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bookmarkStart w:id="71" w:name="_GoBack"/>
      <w:bookmarkEnd w:id="71"/>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77425"/>
      <w:bookmarkStart w:id="3" w:name="_Toc15396475"/>
      <w:bookmarkStart w:id="4" w:name="_Toc15396597"/>
      <w:bookmarkStart w:id="5" w:name="_Toc15377193"/>
      <w:r>
        <w:rPr>
          <w:rFonts w:ascii="黑体" w:hAnsi="黑体" w:eastAsia="黑体"/>
          <w:color w:val="000000"/>
          <w:sz w:val="72"/>
          <w:szCs w:val="72"/>
        </w:rPr>
        <w:t>201</w:t>
      </w:r>
      <w:r>
        <w:rPr>
          <w:rFonts w:hint="eastAsia" w:ascii="黑体" w:hAnsi="黑体" w:eastAsia="黑体"/>
          <w:color w:val="000000"/>
          <w:sz w:val="72"/>
          <w:szCs w:val="72"/>
          <w:lang w:val="en-US" w:eastAsia="zh-CN"/>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52"/>
          <w:szCs w:val="52"/>
        </w:rPr>
      </w:pPr>
      <w:bookmarkStart w:id="6" w:name="_Toc15396476"/>
      <w:bookmarkStart w:id="7" w:name="_Toc15378442"/>
      <w:bookmarkStart w:id="8" w:name="_Toc15377194"/>
      <w:bookmarkStart w:id="9" w:name="_Toc15377426"/>
      <w:bookmarkStart w:id="10" w:name="_Toc15396598"/>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宣汉县</w:t>
      </w:r>
      <w:r>
        <w:rPr>
          <w:rFonts w:hint="eastAsia" w:ascii="方正小标宋简体" w:hAnsi="宋体" w:eastAsia="方正小标宋简体"/>
          <w:color w:val="000000"/>
          <w:sz w:val="72"/>
          <w:szCs w:val="72"/>
          <w:lang w:val="en-US" w:eastAsia="zh-CN"/>
        </w:rPr>
        <w:t>樊哙镇成虎中心校</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w:t>
      </w:r>
      <w:r>
        <w:rPr>
          <w:rFonts w:hint="eastAsia"/>
          <w:lang w:val="en-US" w:eastAsia="zh-CN"/>
        </w:rPr>
        <w:t>20</w:t>
      </w:r>
      <w:r>
        <w:rPr>
          <w:rFonts w:hint="eastAsia"/>
        </w:rPr>
        <w:t>年</w:t>
      </w:r>
      <w:r>
        <w:rPr>
          <w:rFonts w:hint="eastAsia"/>
          <w:lang w:val="en-US" w:eastAsia="zh-CN"/>
        </w:rPr>
        <w:t>11</w:t>
      </w:r>
      <w:r>
        <w:rPr>
          <w:rFonts w:hint="eastAsia"/>
        </w:rPr>
        <w:t>月</w:t>
      </w:r>
      <w:r>
        <w:rPr>
          <w:rFonts w:hint="eastAsia"/>
          <w:lang w:val="en-US" w:eastAsia="zh-CN"/>
        </w:rPr>
        <w:t>12</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w:t>
      </w:r>
      <w:r>
        <w:rPr>
          <w:rStyle w:val="15"/>
          <w:rFonts w:hint="eastAsia"/>
          <w:lang w:val="en-US" w:eastAsia="zh-CN"/>
        </w:rPr>
        <w:t>9</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2</w:t>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rPr>
          <w:rFonts w:hint="eastAsia"/>
        </w:rPr>
        <w:t>1</w:t>
      </w:r>
      <w:r>
        <w:rPr>
          <w:rFonts w:hint="eastAsia"/>
        </w:rPr>
        <w:fldChar w:fldCharType="end"/>
      </w:r>
      <w:r>
        <w:rPr>
          <w:rFonts w:hint="eastAsia"/>
        </w:rPr>
        <w:t>4</w:t>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四部分附件</w:t>
      </w:r>
      <w:r>
        <w:tab/>
      </w:r>
      <w:r>
        <w:rPr>
          <w:rFonts w:hint="eastAsia"/>
        </w:rPr>
        <w:t>1</w:t>
      </w:r>
      <w:r>
        <w:rPr>
          <w:rFonts w:hint="eastAsia"/>
        </w:rPr>
        <w:fldChar w:fldCharType="end"/>
      </w:r>
      <w:r>
        <w:rPr>
          <w:rFonts w:hint="eastAsia"/>
        </w:rPr>
        <w:t>7</w:t>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7</w:t>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0</w:t>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五部分附表</w:t>
      </w:r>
      <w:r>
        <w:tab/>
      </w:r>
      <w:r>
        <w:rPr>
          <w:rFonts w:hint="eastAsia"/>
        </w:rPr>
        <w:t>2</w:t>
      </w:r>
      <w:r>
        <w:rPr>
          <w:rFonts w:hint="eastAsia"/>
        </w:rPr>
        <w:fldChar w:fldCharType="end"/>
      </w:r>
      <w:r>
        <w:rPr>
          <w:rFonts w:hint="eastAsia"/>
        </w:rPr>
        <w:t>1</w:t>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4"/>
        <w:spacing w:line="578" w:lineRule="exact"/>
        <w:ind w:firstLine="562" w:firstLineChars="200"/>
        <w:jc w:val="left"/>
        <w:rPr>
          <w:rFonts w:ascii="仿宋_GB2312" w:hAnsi="仿宋_GB2312" w:eastAsia="仿宋_GB2312" w:cs="仿宋_GB2312"/>
          <w:b w:val="0"/>
          <w:bCs w:val="0"/>
          <w:sz w:val="28"/>
          <w:szCs w:val="28"/>
        </w:rPr>
      </w:pPr>
      <w:bookmarkStart w:id="16" w:name="_Toc15377200"/>
      <w:bookmarkStart w:id="17" w:name="_Toc15396601"/>
      <w:r>
        <w:rPr>
          <w:rFonts w:hint="eastAsia" w:ascii="仿宋_GB2312" w:hAnsi="仿宋_GB2312" w:eastAsia="仿宋_GB2312" w:cs="仿宋_GB2312"/>
          <w:sz w:val="28"/>
          <w:szCs w:val="28"/>
        </w:rPr>
        <w:t>宣汉县樊哙镇成虎中心校是一所九年一贯制义务教育学校，</w:t>
      </w:r>
      <w:r>
        <w:rPr>
          <w:rFonts w:hint="eastAsia" w:ascii="仿宋_GB2312" w:hAnsi="仿宋" w:eastAsia="仿宋_GB2312"/>
        </w:rPr>
        <w:t>学</w:t>
      </w:r>
      <w:r>
        <w:rPr>
          <w:rFonts w:hint="eastAsia" w:ascii="仿宋_GB2312" w:hAnsi="仿宋_GB2312" w:eastAsia="仿宋_GB2312" w:cs="仿宋_GB2312"/>
          <w:sz w:val="28"/>
          <w:szCs w:val="28"/>
        </w:rPr>
        <w:t>校占地面积5634平方米，现有学生约7</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余人，教职工</w:t>
      </w:r>
      <w:r>
        <w:rPr>
          <w:rFonts w:hint="eastAsia" w:ascii="仿宋_GB2312" w:hAnsi="仿宋_GB2312" w:eastAsia="仿宋_GB2312" w:cs="仿宋_GB2312"/>
          <w:sz w:val="28"/>
          <w:szCs w:val="28"/>
          <w:lang w:val="en-US" w:eastAsia="zh-CN"/>
        </w:rPr>
        <w:t>39</w:t>
      </w:r>
      <w:r>
        <w:rPr>
          <w:rFonts w:hint="eastAsia" w:ascii="仿宋_GB2312" w:hAnsi="仿宋_GB2312" w:eastAsia="仿宋_GB2312" w:cs="仿宋_GB2312"/>
          <w:sz w:val="28"/>
          <w:szCs w:val="28"/>
        </w:rPr>
        <w:t>人，退休教师27人。</w:t>
      </w:r>
      <w:r>
        <w:rPr>
          <w:rFonts w:hint="eastAsia" w:ascii="仿宋_GB2312" w:hAnsi="仿宋_GB2312" w:eastAsia="仿宋_GB2312" w:cs="仿宋_GB2312"/>
          <w:b w:val="0"/>
          <w:bCs w:val="0"/>
          <w:sz w:val="28"/>
          <w:szCs w:val="28"/>
        </w:rPr>
        <w:t>学校高举科学发展观大旗，以“办人民满意教育”为宗旨，以“让每一个孩子健康成长，快乐学习”为办学理念，开拓创新，积极探索新形式下农村教育教学工作的新途径和新方法。坚持德育为先，育人为本，加强学生良好行为习惯的养成教育，突出教学工作的中心位置，建立高效、和谐、动态、快乐课堂，提高办学效益。让安全工作为学校保驾护航，营造氛围，落实“一岗双责制度”，确保师生平安，致力校园文化建设，优化育人环境，陶冶情操。</w:t>
      </w:r>
    </w:p>
    <w:p>
      <w:pPr>
        <w:pStyle w:val="4"/>
        <w:spacing w:line="578" w:lineRule="exact"/>
        <w:ind w:firstLine="560" w:firstLineChars="200"/>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一年来，学校先后获得“师德先进集体”、“教育教学先进集体”、“最佳文明单位”、“星级平安学校”等殊荣。</w:t>
      </w:r>
    </w:p>
    <w:p>
      <w:pPr>
        <w:pStyle w:val="3"/>
        <w:rPr>
          <w:rStyle w:val="25"/>
          <w:b w:val="0"/>
          <w:bCs w:val="0"/>
        </w:rPr>
      </w:pPr>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16"/>
      <w:bookmarkEnd w:id="17"/>
    </w:p>
    <w:p>
      <w:pPr>
        <w:widowControl/>
        <w:jc w:val="left"/>
        <w:rPr>
          <w:rFonts w:ascii="仿宋" w:hAnsi="仿宋" w:eastAsia="仿宋"/>
          <w:color w:val="000000"/>
          <w:kern w:val="0"/>
          <w:sz w:val="32"/>
          <w:szCs w:val="32"/>
        </w:rPr>
      </w:pPr>
      <w:r>
        <w:rPr>
          <w:rFonts w:hint="eastAsia" w:ascii="仿宋_GB2312" w:hAnsi="仿宋_GB2312" w:eastAsia="仿宋_GB2312" w:cs="仿宋_GB2312"/>
          <w:sz w:val="28"/>
          <w:szCs w:val="28"/>
        </w:rPr>
        <w:t>宣汉县樊哙镇成虎中心校属财政全额拨款事业单位，是九年一贯制义务教育学校。学校下设办公室、教导处、后勤处、安办、工会等职能部门。，现有学生约7</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0余人，教职工</w:t>
      </w:r>
      <w:r>
        <w:rPr>
          <w:rFonts w:hint="eastAsia" w:ascii="仿宋_GB2312" w:hAnsi="仿宋_GB2312" w:eastAsia="仿宋_GB2312" w:cs="仿宋_GB2312"/>
          <w:sz w:val="28"/>
          <w:szCs w:val="28"/>
          <w:lang w:val="en-US" w:eastAsia="zh-CN"/>
        </w:rPr>
        <w:t>39</w:t>
      </w:r>
      <w:r>
        <w:rPr>
          <w:rFonts w:hint="eastAsia" w:ascii="仿宋_GB2312" w:hAnsi="仿宋_GB2312" w:eastAsia="仿宋_GB2312" w:cs="仿宋_GB2312"/>
          <w:sz w:val="28"/>
          <w:szCs w:val="28"/>
        </w:rPr>
        <w:t>人，退休教师27人</w:t>
      </w:r>
      <w:r>
        <w:rPr>
          <w:rFonts w:hint="eastAsia" w:ascii="仿宋_GB2312" w:hAnsi="仿宋_GB2312" w:cs="仿宋_GB2312"/>
          <w:sz w:val="28"/>
          <w:szCs w:val="28"/>
        </w:rPr>
        <w:t>。</w:t>
      </w: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18" w:name="_Toc15396602"/>
      <w:bookmarkStart w:id="19" w:name="_Toc15377204"/>
      <w:r>
        <w:rPr>
          <w:rFonts w:hint="eastAsia" w:ascii="黑体" w:hAnsi="黑体" w:eastAsia="黑体"/>
          <w:b w:val="0"/>
          <w:color w:val="000000"/>
        </w:rPr>
        <w:t>第二部分</w:t>
      </w:r>
      <w:r>
        <w:rPr>
          <w:rStyle w:val="24"/>
          <w:rFonts w:hint="eastAsia" w:ascii="黑体" w:hAnsi="黑体" w:eastAsia="黑体"/>
          <w:b w:val="0"/>
          <w:bCs w:val="0"/>
        </w:rPr>
        <w:t>201</w:t>
      </w:r>
      <w:r>
        <w:rPr>
          <w:rStyle w:val="24"/>
          <w:rFonts w:hint="eastAsia" w:ascii="黑体" w:hAnsi="黑体" w:eastAsia="黑体"/>
          <w:b w:val="0"/>
          <w:bCs w:val="0"/>
          <w:lang w:val="en-US" w:eastAsia="zh-CN"/>
        </w:rPr>
        <w:t>9</w:t>
      </w:r>
      <w:r>
        <w:rPr>
          <w:rStyle w:val="24"/>
          <w:rFonts w:hint="eastAsia" w:ascii="黑体" w:hAnsi="黑体" w:eastAsia="黑体"/>
          <w:b w:val="0"/>
          <w:bCs w:val="0"/>
        </w:rPr>
        <w:t>年度部门决算情况说明</w:t>
      </w:r>
      <w:bookmarkEnd w:id="18"/>
      <w:bookmarkEnd w:id="19"/>
    </w:p>
    <w:p/>
    <w:p>
      <w:pPr>
        <w:pStyle w:val="23"/>
        <w:numPr>
          <w:ilvl w:val="0"/>
          <w:numId w:val="1"/>
        </w:numPr>
        <w:spacing w:line="600" w:lineRule="exact"/>
        <w:ind w:firstLineChars="0"/>
        <w:outlineLvl w:val="1"/>
        <w:rPr>
          <w:rStyle w:val="25"/>
          <w:rFonts w:ascii="黑体" w:hAnsi="黑体" w:eastAsia="黑体"/>
          <w:b w:val="0"/>
        </w:rPr>
      </w:pPr>
      <w:bookmarkStart w:id="20" w:name="_Toc15396603"/>
      <w:bookmarkStart w:id="21"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0"/>
      <w:bookmarkEnd w:id="21"/>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58240" behindDoc="0" locked="0" layoutInCell="1" allowOverlap="1">
            <wp:simplePos x="0" y="0"/>
            <wp:positionH relativeFrom="column">
              <wp:posOffset>-347980</wp:posOffset>
            </wp:positionH>
            <wp:positionV relativeFrom="paragraph">
              <wp:posOffset>1530350</wp:posOffset>
            </wp:positionV>
            <wp:extent cx="5275580" cy="3072765"/>
            <wp:effectExtent l="19050" t="0" r="20320" b="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745.76</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年相比，收、支总计各</w:t>
      </w:r>
      <w:r>
        <w:rPr>
          <w:rFonts w:hint="eastAsia" w:ascii="仿宋" w:hAnsi="仿宋" w:eastAsia="仿宋"/>
          <w:color w:val="000000"/>
          <w:sz w:val="32"/>
          <w:szCs w:val="32"/>
          <w:lang w:val="en-US" w:eastAsia="zh-CN"/>
        </w:rPr>
        <w:t>减少178.67</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减少38.6</w:t>
      </w:r>
      <w:r>
        <w:rPr>
          <w:rFonts w:ascii="仿宋" w:hAnsi="仿宋" w:eastAsia="仿宋"/>
          <w:color w:val="000000"/>
          <w:sz w:val="32"/>
          <w:szCs w:val="32"/>
        </w:rPr>
        <w:t>%</w:t>
      </w:r>
      <w:r>
        <w:rPr>
          <w:rFonts w:hint="eastAsia" w:ascii="仿宋" w:hAnsi="仿宋" w:eastAsia="仿宋"/>
          <w:color w:val="000000"/>
          <w:sz w:val="32"/>
          <w:szCs w:val="32"/>
        </w:rPr>
        <w:t>。主要变动原因是均衡教育发展投入</w:t>
      </w:r>
      <w:r>
        <w:rPr>
          <w:rFonts w:hint="eastAsia" w:ascii="仿宋" w:hAnsi="仿宋" w:eastAsia="仿宋"/>
          <w:color w:val="000000"/>
          <w:sz w:val="32"/>
          <w:szCs w:val="32"/>
          <w:lang w:val="en-US" w:eastAsia="zh-CN"/>
        </w:rPr>
        <w:t>减少</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2" w:name="_Toc15377206"/>
      <w:bookmarkStart w:id="23"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2"/>
      <w:bookmarkEnd w:id="23"/>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745.76</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745.76</w:t>
      </w:r>
      <w:r>
        <w:rPr>
          <w:rFonts w:hint="eastAsia" w:ascii="仿宋" w:hAnsi="仿宋" w:eastAsia="仿宋"/>
          <w:color w:val="000000"/>
          <w:sz w:val="32"/>
          <w:szCs w:val="32"/>
        </w:rPr>
        <w:t>万元。</w:t>
      </w:r>
    </w:p>
    <w:p>
      <w:pPr>
        <w:spacing w:line="600" w:lineRule="exact"/>
        <w:ind w:firstLine="640" w:firstLineChars="200"/>
        <w:outlineLvl w:val="1"/>
        <w:rPr>
          <w:rFonts w:ascii="仿宋" w:hAnsi="仿宋" w:eastAsia="仿宋"/>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4" w:name="_Toc15396605"/>
      <w:bookmarkStart w:id="25"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4"/>
      <w:bookmarkEnd w:id="2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745.76</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570.54</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76.5</w:t>
      </w:r>
      <w:r>
        <w:rPr>
          <w:rFonts w:hint="eastAsia" w:ascii="仿宋" w:hAnsi="仿宋" w:eastAsia="仿宋"/>
          <w:color w:val="000000"/>
          <w:sz w:val="32"/>
          <w:szCs w:val="32"/>
        </w:rPr>
        <w:t>占</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175.22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23.5</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rPr>
      </w:pPr>
    </w:p>
    <w:p>
      <w:pPr>
        <w:spacing w:line="600" w:lineRule="exact"/>
        <w:ind w:firstLine="640" w:firstLineChars="200"/>
        <w:outlineLvl w:val="1"/>
        <w:rPr>
          <w:rStyle w:val="25"/>
          <w:rFonts w:ascii="黑体" w:hAnsi="黑体" w:eastAsia="黑体"/>
          <w:b w:val="0"/>
        </w:rPr>
      </w:pPr>
      <w:bookmarkStart w:id="26" w:name="_Toc15396606"/>
      <w:bookmarkStart w:id="27"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26"/>
      <w:bookmarkEnd w:id="27"/>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745.76</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年相比，财政拨款收、支总计各</w:t>
      </w:r>
      <w:r>
        <w:rPr>
          <w:rFonts w:hint="eastAsia" w:ascii="仿宋" w:hAnsi="仿宋" w:eastAsia="仿宋"/>
          <w:color w:val="000000"/>
          <w:sz w:val="32"/>
          <w:szCs w:val="32"/>
          <w:lang w:val="en-US" w:eastAsia="zh-CN"/>
        </w:rPr>
        <w:t>减少178.67</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减少38.6</w:t>
      </w:r>
      <w:r>
        <w:rPr>
          <w:rFonts w:ascii="仿宋" w:hAnsi="仿宋" w:eastAsia="仿宋"/>
          <w:color w:val="000000"/>
          <w:sz w:val="32"/>
          <w:szCs w:val="32"/>
        </w:rPr>
        <w:t>%</w:t>
      </w:r>
      <w:r>
        <w:rPr>
          <w:rFonts w:hint="eastAsia" w:ascii="仿宋" w:hAnsi="仿宋" w:eastAsia="仿宋"/>
          <w:color w:val="000000"/>
          <w:sz w:val="32"/>
          <w:szCs w:val="32"/>
        </w:rPr>
        <w:t>。主要变动原因是均衡教育发展投入</w:t>
      </w:r>
      <w:r>
        <w:rPr>
          <w:rFonts w:hint="eastAsia" w:ascii="仿宋" w:hAnsi="仿宋" w:eastAsia="仿宋"/>
          <w:color w:val="000000"/>
          <w:sz w:val="32"/>
          <w:szCs w:val="32"/>
          <w:lang w:val="en-US" w:eastAsia="zh-CN"/>
        </w:rPr>
        <w:t>减少</w:t>
      </w:r>
      <w:r>
        <w:rPr>
          <w:rFonts w:hint="eastAsia" w:ascii="仿宋" w:hAnsi="仿宋" w:eastAsia="仿宋"/>
          <w:color w:val="000000"/>
          <w:sz w:val="32"/>
          <w:szCs w:val="32"/>
        </w:rPr>
        <w:t>。</w:t>
      </w:r>
    </w:p>
    <w:p>
      <w:pPr>
        <w:spacing w:line="600" w:lineRule="exact"/>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drawing>
          <wp:anchor distT="0" distB="0" distL="114300" distR="114300" simplePos="0" relativeHeight="251663360" behindDoc="0" locked="0" layoutInCell="1" allowOverlap="1">
            <wp:simplePos x="0" y="0"/>
            <wp:positionH relativeFrom="column">
              <wp:posOffset>-206375</wp:posOffset>
            </wp:positionH>
            <wp:positionV relativeFrom="paragraph">
              <wp:posOffset>137795</wp:posOffset>
            </wp:positionV>
            <wp:extent cx="5048250" cy="2717165"/>
            <wp:effectExtent l="19050" t="0" r="19050" b="698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outlineLvl w:val="1"/>
        <w:rPr>
          <w:rStyle w:val="25"/>
          <w:rFonts w:ascii="黑体" w:hAnsi="黑体" w:eastAsia="黑体"/>
          <w:b w:val="0"/>
        </w:rPr>
      </w:pPr>
      <w:bookmarkStart w:id="28" w:name="_Toc15377209"/>
      <w:bookmarkStart w:id="29"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28"/>
      <w:bookmarkEnd w:id="29"/>
    </w:p>
    <w:p>
      <w:pPr>
        <w:spacing w:line="600" w:lineRule="exact"/>
        <w:ind w:firstLine="642" w:firstLineChars="200"/>
        <w:outlineLvl w:val="2"/>
        <w:rPr>
          <w:rFonts w:ascii="仿宋" w:hAnsi="仿宋" w:eastAsia="仿宋"/>
          <w:b/>
          <w:color w:val="000000"/>
          <w:sz w:val="32"/>
          <w:szCs w:val="32"/>
        </w:rPr>
      </w:pPr>
      <w:bookmarkStart w:id="30" w:name="_Toc15377210"/>
      <w:r>
        <w:rPr>
          <w:rFonts w:hint="eastAsia" w:ascii="仿宋" w:hAnsi="仿宋" w:eastAsia="仿宋"/>
          <w:b/>
          <w:color w:val="000000"/>
          <w:sz w:val="32"/>
          <w:szCs w:val="32"/>
        </w:rPr>
        <w:t>（一）一般公共预算财政拨款支出决算总体情况</w:t>
      </w:r>
      <w:bookmarkEnd w:id="30"/>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745.76</w:t>
      </w:r>
      <w:r>
        <w:rPr>
          <w:rFonts w:hint="eastAsia" w:ascii="仿宋" w:hAnsi="仿宋" w:eastAsia="仿宋"/>
          <w:color w:val="000000"/>
          <w:sz w:val="32"/>
          <w:szCs w:val="32"/>
        </w:rPr>
        <w:t>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年相比，一般公共预算财政拨款增</w:t>
      </w:r>
      <w:r>
        <w:rPr>
          <w:rFonts w:hint="eastAsia" w:ascii="仿宋" w:hAnsi="仿宋" w:eastAsia="仿宋"/>
          <w:color w:val="000000"/>
          <w:sz w:val="32"/>
          <w:szCs w:val="32"/>
          <w:lang w:val="en-US" w:eastAsia="zh-CN"/>
        </w:rPr>
        <w:t>减少178.67</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减少38.6</w:t>
      </w:r>
      <w:r>
        <w:rPr>
          <w:rFonts w:ascii="仿宋" w:hAnsi="仿宋" w:eastAsia="仿宋"/>
          <w:color w:val="000000"/>
          <w:sz w:val="32"/>
          <w:szCs w:val="32"/>
        </w:rPr>
        <w:t>%</w:t>
      </w:r>
      <w:r>
        <w:rPr>
          <w:rFonts w:hint="eastAsia" w:ascii="仿宋" w:hAnsi="仿宋" w:eastAsia="仿宋"/>
          <w:color w:val="000000"/>
          <w:sz w:val="32"/>
          <w:szCs w:val="32"/>
        </w:rPr>
        <w:t>。主要变动原因是均衡教育发展投入</w:t>
      </w:r>
      <w:r>
        <w:rPr>
          <w:rFonts w:hint="eastAsia" w:ascii="仿宋" w:hAnsi="仿宋" w:eastAsia="仿宋"/>
          <w:color w:val="000000"/>
          <w:sz w:val="32"/>
          <w:szCs w:val="32"/>
          <w:lang w:val="en-US" w:eastAsia="zh-CN"/>
        </w:rPr>
        <w:t>减少</w:t>
      </w:r>
      <w:r>
        <w:rPr>
          <w:rFonts w:hint="eastAsia" w:ascii="仿宋" w:hAnsi="仿宋" w:eastAsia="仿宋"/>
          <w:color w:val="000000"/>
          <w:sz w:val="32"/>
          <w:szCs w:val="32"/>
        </w:rPr>
        <w:t>。</w:t>
      </w:r>
    </w:p>
    <w:p>
      <w:pPr>
        <w:spacing w:line="600" w:lineRule="exact"/>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sz w:val="32"/>
          <w:szCs w:val="32"/>
        </w:rPr>
        <w:drawing>
          <wp:anchor distT="0" distB="0" distL="114300" distR="114300" simplePos="0" relativeHeight="251667456" behindDoc="0" locked="0" layoutInCell="1" allowOverlap="1">
            <wp:simplePos x="0" y="0"/>
            <wp:positionH relativeFrom="column">
              <wp:posOffset>-101600</wp:posOffset>
            </wp:positionH>
            <wp:positionV relativeFrom="paragraph">
              <wp:posOffset>233680</wp:posOffset>
            </wp:positionV>
            <wp:extent cx="4429760" cy="2073275"/>
            <wp:effectExtent l="19050" t="0" r="27940" b="317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2" w:firstLineChars="200"/>
        <w:outlineLvl w:val="2"/>
        <w:rPr>
          <w:rFonts w:ascii="仿宋" w:hAnsi="仿宋" w:eastAsia="仿宋"/>
          <w:b/>
          <w:color w:val="000000"/>
          <w:sz w:val="32"/>
          <w:szCs w:val="32"/>
        </w:rPr>
      </w:pPr>
      <w:bookmarkStart w:id="31" w:name="_Toc15377211"/>
      <w:r>
        <w:rPr>
          <w:rFonts w:hint="eastAsia" w:ascii="仿宋" w:hAnsi="仿宋" w:eastAsia="仿宋"/>
          <w:b/>
          <w:color w:val="000000"/>
          <w:sz w:val="32"/>
          <w:szCs w:val="32"/>
        </w:rPr>
        <w:t>（二）一般公共预算财政拨款支出决算结构情况</w:t>
      </w:r>
      <w:bookmarkEnd w:id="31"/>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745.76</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b/>
          <w:color w:val="000000" w:themeColor="text1"/>
          <w:sz w:val="32"/>
          <w:szCs w:val="32"/>
          <w:lang w:val="en-US" w:eastAsia="zh-CN"/>
          <w14:textFill>
            <w14:solidFill>
              <w14:schemeClr w14:val="tx1"/>
            </w14:solidFill>
          </w14:textFill>
        </w:rPr>
        <w:t>636.79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85.4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52.84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7.09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19.72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2.64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36.41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4.87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72576" behindDoc="0" locked="0" layoutInCell="1" allowOverlap="1">
            <wp:simplePos x="0" y="0"/>
            <wp:positionH relativeFrom="column">
              <wp:posOffset>787400</wp:posOffset>
            </wp:positionH>
            <wp:positionV relativeFrom="paragraph">
              <wp:posOffset>96520</wp:posOffset>
            </wp:positionV>
            <wp:extent cx="4507230" cy="2188845"/>
            <wp:effectExtent l="19050" t="0" r="26670" b="190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2" w:name="_Toc15377212"/>
      <w:r>
        <w:rPr>
          <w:rFonts w:hint="eastAsia" w:ascii="仿宋" w:hAnsi="仿宋" w:eastAsia="仿宋"/>
          <w:b/>
          <w:color w:val="000000"/>
          <w:sz w:val="32"/>
          <w:szCs w:val="32"/>
        </w:rPr>
        <w:t>（三）一般公共预算财政拨款支出决算具体情况</w:t>
      </w:r>
      <w:bookmarkEnd w:id="32"/>
    </w:p>
    <w:p>
      <w:pPr>
        <w:spacing w:line="600" w:lineRule="exact"/>
        <w:ind w:firstLine="642" w:firstLineChars="200"/>
        <w:outlineLvl w:val="2"/>
        <w:rPr>
          <w:rFonts w:ascii="仿宋" w:hAnsi="仿宋" w:eastAsia="仿宋"/>
          <w:color w:val="FF0000"/>
          <w:sz w:val="32"/>
          <w:szCs w:val="32"/>
        </w:rPr>
      </w:pPr>
      <w:bookmarkStart w:id="33" w:name="_Toc15378460"/>
      <w:bookmarkStart w:id="34" w:name="_Toc15377213"/>
      <w:bookmarkStart w:id="35" w:name="_Toc15377444"/>
      <w:r>
        <w:rPr>
          <w:rFonts w:hint="eastAsia" w:ascii="仿宋" w:hAnsi="仿宋" w:eastAsia="仿宋"/>
          <w:b/>
          <w:color w:val="000000" w:themeColor="text1"/>
          <w:sz w:val="32"/>
          <w:szCs w:val="32"/>
          <w14:textFill>
            <w14:solidFill>
              <w14:schemeClr w14:val="tx1"/>
            </w14:solidFill>
          </w14:textFill>
        </w:rPr>
        <w:t>201</w:t>
      </w:r>
      <w:r>
        <w:rPr>
          <w:rFonts w:hint="eastAsia" w:ascii="仿宋" w:hAnsi="仿宋" w:eastAsia="仿宋"/>
          <w:b/>
          <w:color w:val="000000" w:themeColor="text1"/>
          <w:sz w:val="32"/>
          <w:szCs w:val="32"/>
          <w:lang w:val="en-US" w:eastAsia="zh-CN"/>
          <w14:textFill>
            <w14:solidFill>
              <w14:schemeClr w14:val="tx1"/>
            </w14:solidFill>
          </w14:textFill>
        </w:rPr>
        <w:t>9</w:t>
      </w:r>
      <w:r>
        <w:rPr>
          <w:rFonts w:hint="eastAsia" w:ascii="仿宋" w:hAnsi="仿宋" w:eastAsia="仿宋"/>
          <w:b/>
          <w:color w:val="000000" w:themeColor="text1"/>
          <w:sz w:val="32"/>
          <w:szCs w:val="32"/>
          <w14:textFill>
            <w14:solidFill>
              <w14:schemeClr w14:val="tx1"/>
            </w14:solidFill>
          </w14:textFill>
        </w:rPr>
        <w:t>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745.76</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3"/>
      <w:bookmarkEnd w:id="34"/>
      <w:bookmarkEnd w:id="35"/>
    </w:p>
    <w:p>
      <w:pPr>
        <w:spacing w:line="600" w:lineRule="exact"/>
        <w:ind w:firstLine="640" w:firstLineChars="200"/>
        <w:rPr>
          <w:rFonts w:ascii="仿宋" w:hAnsi="仿宋" w:eastAsia="仿宋"/>
          <w:color w:val="000000"/>
          <w:sz w:val="32"/>
          <w:szCs w:val="32"/>
        </w:rPr>
      </w:pPr>
      <w:r>
        <w:rPr>
          <w:rStyle w:val="14"/>
          <w:rFonts w:hint="eastAsia" w:ascii="仿宋" w:hAnsi="仿宋" w:eastAsia="仿宋"/>
          <w:b w:val="0"/>
          <w:bCs/>
          <w:color w:val="000000"/>
          <w:sz w:val="32"/>
          <w:szCs w:val="32"/>
        </w:rPr>
        <w:t>1</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教育（类）普通教育（款）</w:t>
      </w:r>
      <w:r>
        <w:rPr>
          <w:rStyle w:val="14"/>
          <w:rFonts w:hint="eastAsia" w:ascii="仿宋" w:hAnsi="仿宋" w:eastAsia="仿宋"/>
          <w:b w:val="0"/>
          <w:bCs/>
          <w:color w:val="000000"/>
          <w:sz w:val="32"/>
          <w:szCs w:val="32"/>
          <w:lang w:val="en-US" w:eastAsia="zh-CN"/>
        </w:rPr>
        <w:t>小学</w:t>
      </w:r>
      <w:r>
        <w:rPr>
          <w:rStyle w:val="14"/>
          <w:rFonts w:hint="eastAsia" w:ascii="仿宋" w:hAnsi="仿宋" w:eastAsia="仿宋"/>
          <w:b w:val="0"/>
          <w:bCs/>
          <w:color w:val="000000"/>
          <w:sz w:val="32"/>
          <w:szCs w:val="32"/>
        </w:rPr>
        <w:t>教育（项）</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642.49</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rPr>
          <w:rFonts w:ascii="仿宋" w:hAnsi="仿宋" w:eastAsia="仿宋"/>
          <w:color w:val="000000"/>
          <w:sz w:val="32"/>
          <w:szCs w:val="32"/>
        </w:rPr>
      </w:pPr>
      <w:r>
        <w:rPr>
          <w:rStyle w:val="14"/>
          <w:rFonts w:hint="eastAsia" w:ascii="仿宋" w:hAnsi="仿宋" w:eastAsia="仿宋"/>
          <w:b w:val="0"/>
          <w:bCs/>
          <w:color w:val="000000"/>
          <w:sz w:val="32"/>
          <w:szCs w:val="32"/>
        </w:rPr>
        <w:t>2</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教育（类）普通教育（款）其他（项）</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12.3</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rPr>
          <w:rFonts w:ascii="仿宋" w:hAnsi="仿宋" w:eastAsia="仿宋"/>
          <w:color w:val="000000"/>
          <w:sz w:val="32"/>
          <w:szCs w:val="32"/>
        </w:rPr>
      </w:pPr>
      <w:r>
        <w:rPr>
          <w:rStyle w:val="14"/>
          <w:rFonts w:hint="eastAsia" w:ascii="仿宋" w:hAnsi="仿宋" w:eastAsia="仿宋"/>
          <w:b w:val="0"/>
          <w:bCs/>
          <w:color w:val="000000"/>
          <w:sz w:val="32"/>
          <w:szCs w:val="32"/>
        </w:rPr>
        <w:t>3</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社会保障和就业（类）行政事业单位离退休（款）机关事业单位基本养老保险缴费支出（项）</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支出决算为5</w:t>
      </w:r>
      <w:r>
        <w:rPr>
          <w:rStyle w:val="14"/>
          <w:rFonts w:hint="eastAsia" w:ascii="仿宋" w:hAnsi="仿宋" w:eastAsia="仿宋"/>
          <w:b w:val="0"/>
          <w:bCs/>
          <w:color w:val="000000"/>
          <w:sz w:val="32"/>
          <w:szCs w:val="32"/>
          <w:lang w:val="en-US" w:eastAsia="zh-CN"/>
        </w:rPr>
        <w:t>2.84</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rPr>
          <w:rFonts w:ascii="仿宋" w:hAnsi="仿宋" w:eastAsia="仿宋"/>
          <w:color w:val="000000"/>
          <w:sz w:val="32"/>
          <w:szCs w:val="32"/>
        </w:rPr>
      </w:pPr>
      <w:r>
        <w:rPr>
          <w:rStyle w:val="14"/>
          <w:rFonts w:hint="eastAsia" w:ascii="仿宋" w:hAnsi="仿宋" w:eastAsia="仿宋"/>
          <w:b w:val="0"/>
          <w:bCs/>
          <w:color w:val="000000"/>
          <w:sz w:val="32"/>
          <w:szCs w:val="32"/>
        </w:rPr>
        <w:t>4</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医疗卫生与计划生育（类）行政事业单位医疗（款）事业单位医疗（项）</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19.72</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outlineLvl w:val="2"/>
        <w:rPr>
          <w:rFonts w:ascii="仿宋" w:hAnsi="仿宋" w:eastAsia="仿宋"/>
          <w:color w:val="FF0000"/>
          <w:sz w:val="32"/>
          <w:szCs w:val="32"/>
        </w:rPr>
      </w:pPr>
      <w:r>
        <w:rPr>
          <w:rStyle w:val="14"/>
          <w:rFonts w:hint="eastAsia" w:ascii="仿宋" w:hAnsi="仿宋" w:eastAsia="仿宋"/>
          <w:b w:val="0"/>
          <w:bCs/>
          <w:color w:val="000000"/>
          <w:sz w:val="32"/>
          <w:szCs w:val="32"/>
        </w:rPr>
        <w:t>5</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住房保障（类）住房改革支出（款）住房公积金（项）</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36.41</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5"/>
        </w:rPr>
      </w:pPr>
      <w:bookmarkStart w:id="36" w:name="_Toc15377214"/>
      <w:bookmarkStart w:id="37"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36"/>
      <w:bookmarkEnd w:id="37"/>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570.54</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481.45</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86.78</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FF0000"/>
          <w:sz w:val="32"/>
          <w:szCs w:val="32"/>
        </w:rPr>
      </w:pPr>
    </w:p>
    <w:p>
      <w:pPr>
        <w:spacing w:line="600" w:lineRule="exact"/>
        <w:ind w:firstLine="640"/>
        <w:outlineLvl w:val="1"/>
        <w:rPr>
          <w:rStyle w:val="25"/>
          <w:rFonts w:ascii="黑体" w:hAnsi="黑体" w:eastAsia="黑体"/>
          <w:b w:val="0"/>
        </w:rPr>
      </w:pPr>
      <w:bookmarkStart w:id="38" w:name="_Toc15396609"/>
      <w:bookmarkStart w:id="39"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38"/>
      <w:bookmarkEnd w:id="39"/>
    </w:p>
    <w:p>
      <w:pPr>
        <w:spacing w:line="600" w:lineRule="exact"/>
        <w:ind w:firstLine="640"/>
        <w:outlineLvl w:val="2"/>
        <w:rPr>
          <w:rFonts w:ascii="仿宋" w:hAnsi="仿宋" w:eastAsia="仿宋"/>
          <w:b/>
          <w:color w:val="000000"/>
          <w:sz w:val="32"/>
          <w:szCs w:val="32"/>
        </w:rPr>
      </w:pPr>
      <w:bookmarkStart w:id="40" w:name="_Toc15377216"/>
      <w:r>
        <w:rPr>
          <w:rFonts w:hint="eastAsia" w:ascii="仿宋" w:hAnsi="仿宋" w:eastAsia="仿宋"/>
          <w:b/>
          <w:color w:val="000000"/>
          <w:sz w:val="32"/>
          <w:szCs w:val="32"/>
        </w:rPr>
        <w:t>（一）“三公”经费财政拨款支出决算总体情况说明</w:t>
      </w:r>
      <w:bookmarkEnd w:id="40"/>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1.5</w:t>
      </w:r>
      <w:r>
        <w:rPr>
          <w:rFonts w:hint="eastAsia" w:ascii="仿宋" w:hAnsi="仿宋" w:eastAsia="仿宋"/>
          <w:color w:val="000000"/>
          <w:sz w:val="32"/>
          <w:szCs w:val="32"/>
        </w:rPr>
        <w:t>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1" w:name="_Toc15377217"/>
      <w:r>
        <w:rPr>
          <w:rFonts w:hint="eastAsia" w:ascii="仿宋" w:hAnsi="仿宋" w:eastAsia="仿宋"/>
          <w:b/>
          <w:color w:val="000000"/>
          <w:sz w:val="32"/>
          <w:szCs w:val="32"/>
        </w:rPr>
        <w:t>（二）“三公”经费财政拨款支出决算具体情况说明</w:t>
      </w:r>
      <w:bookmarkEnd w:id="4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年“三公”经费财政拨款支出决算中，无因公出国（境）费支出决算0元；公务用车购置及运行维护费支出决算0元；公务接待费支出决算</w:t>
      </w:r>
      <w:r>
        <w:rPr>
          <w:rFonts w:hint="eastAsia" w:ascii="仿宋" w:hAnsi="仿宋" w:eastAsia="仿宋"/>
          <w:color w:val="000000"/>
          <w:sz w:val="32"/>
          <w:szCs w:val="32"/>
          <w:lang w:val="en-US" w:eastAsia="zh-CN"/>
        </w:rPr>
        <w:t>1.5</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1.08</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41.8</w:t>
      </w:r>
      <w:r>
        <w:rPr>
          <w:rFonts w:ascii="仿宋_GB2312" w:eastAsia="仿宋_GB2312"/>
          <w:color w:val="000000"/>
          <w:sz w:val="32"/>
          <w:szCs w:val="32"/>
        </w:rPr>
        <w:t>%</w:t>
      </w:r>
      <w:r>
        <w:rPr>
          <w:rFonts w:hint="eastAsia" w:ascii="仿宋_GB2312" w:eastAsia="仿宋_GB2312"/>
          <w:color w:val="000000"/>
          <w:sz w:val="32"/>
          <w:szCs w:val="32"/>
        </w:rPr>
        <w:t>。主要原因是公务接待次数减少。</w:t>
      </w:r>
    </w:p>
    <w:p>
      <w:pPr>
        <w:spacing w:line="600" w:lineRule="exact"/>
        <w:ind w:firstLine="640" w:firstLineChars="200"/>
        <w:rPr>
          <w:rFonts w:ascii="黑体" w:eastAsia="黑体"/>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35</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210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万元，具体内容包括：教育主管部门检查和教育相关检查</w:t>
      </w:r>
      <w:r>
        <w:rPr>
          <w:rFonts w:hint="eastAsia" w:ascii="仿宋_GB2312" w:eastAsia="仿宋_GB2312"/>
          <w:color w:val="000000"/>
          <w:sz w:val="32"/>
          <w:szCs w:val="32"/>
          <w:lang w:val="en-US" w:eastAsia="zh-CN"/>
        </w:rPr>
        <w:t>105</w:t>
      </w:r>
      <w:r>
        <w:rPr>
          <w:rFonts w:hint="eastAsia" w:ascii="仿宋_GB2312" w:eastAsia="仿宋_GB2312"/>
          <w:color w:val="000000"/>
          <w:sz w:val="32"/>
          <w:szCs w:val="32"/>
        </w:rPr>
        <w:t>人次，金额</w:t>
      </w:r>
      <w:r>
        <w:rPr>
          <w:rFonts w:hint="eastAsia" w:ascii="仿宋_GB2312" w:eastAsia="仿宋_GB2312"/>
          <w:color w:val="000000"/>
          <w:sz w:val="32"/>
          <w:szCs w:val="32"/>
          <w:lang w:val="en-US" w:eastAsia="zh-CN"/>
        </w:rPr>
        <w:t>0.8</w:t>
      </w:r>
      <w:r>
        <w:rPr>
          <w:rFonts w:hint="eastAsia" w:ascii="仿宋_GB2312" w:eastAsia="仿宋_GB2312"/>
          <w:color w:val="000000"/>
          <w:sz w:val="32"/>
          <w:szCs w:val="32"/>
        </w:rPr>
        <w:t>万元；教学质量抽测接待</w:t>
      </w:r>
      <w:r>
        <w:rPr>
          <w:rFonts w:hint="eastAsia" w:ascii="仿宋_GB2312" w:eastAsia="仿宋_GB2312"/>
          <w:color w:val="000000"/>
          <w:sz w:val="32"/>
          <w:szCs w:val="32"/>
          <w:lang w:val="en-US" w:eastAsia="zh-CN"/>
        </w:rPr>
        <w:t>65</w:t>
      </w:r>
      <w:r>
        <w:rPr>
          <w:rFonts w:hint="eastAsia" w:ascii="仿宋_GB2312" w:eastAsia="仿宋_GB2312"/>
          <w:color w:val="000000"/>
          <w:sz w:val="32"/>
          <w:szCs w:val="32"/>
        </w:rPr>
        <w:t>人次，金额</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万元；其他公务接待</w:t>
      </w:r>
      <w:r>
        <w:rPr>
          <w:rFonts w:hint="eastAsia" w:ascii="仿宋_GB2312" w:eastAsia="仿宋_GB2312"/>
          <w:color w:val="000000"/>
          <w:sz w:val="32"/>
          <w:szCs w:val="32"/>
          <w:lang w:val="en-US" w:eastAsia="zh-CN"/>
        </w:rPr>
        <w:t>40</w:t>
      </w:r>
      <w:r>
        <w:rPr>
          <w:rFonts w:hint="eastAsia" w:ascii="仿宋_GB2312" w:eastAsia="仿宋_GB2312"/>
          <w:color w:val="000000"/>
          <w:sz w:val="32"/>
          <w:szCs w:val="32"/>
        </w:rPr>
        <w:t>人次，金额</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万元。</w:t>
      </w:r>
    </w:p>
    <w:p>
      <w:pPr>
        <w:spacing w:line="600" w:lineRule="exact"/>
        <w:ind w:firstLine="640"/>
        <w:outlineLvl w:val="1"/>
        <w:rPr>
          <w:rStyle w:val="25"/>
          <w:rFonts w:ascii="黑体" w:hAnsi="黑体" w:eastAsia="黑体"/>
        </w:rPr>
      </w:pPr>
      <w:bookmarkStart w:id="42" w:name="_Toc15396610"/>
      <w:bookmarkStart w:id="43" w:name="_Toc15377218"/>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2"/>
      <w:bookmarkEnd w:id="43"/>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年无政府性基金预算拨款支出。</w:t>
      </w:r>
    </w:p>
    <w:p>
      <w:pPr>
        <w:numPr>
          <w:ilvl w:val="0"/>
          <w:numId w:val="2"/>
        </w:numPr>
        <w:spacing w:line="600" w:lineRule="exact"/>
        <w:ind w:firstLine="640"/>
        <w:outlineLvl w:val="1"/>
        <w:rPr>
          <w:rStyle w:val="25"/>
          <w:rFonts w:ascii="黑体" w:hAnsi="黑体" w:eastAsia="黑体"/>
          <w:b w:val="0"/>
        </w:rPr>
      </w:pPr>
      <w:bookmarkStart w:id="44" w:name="_Toc15396611"/>
      <w:bookmarkStart w:id="45" w:name="_Toc15377219"/>
      <w:r>
        <w:rPr>
          <w:rStyle w:val="25"/>
          <w:rFonts w:hint="eastAsia" w:ascii="黑体" w:hAnsi="黑体" w:eastAsia="黑体"/>
          <w:b w:val="0"/>
        </w:rPr>
        <w:t>国有资本经营预算支出决算情况说明</w:t>
      </w:r>
      <w:bookmarkEnd w:id="44"/>
      <w:bookmarkEnd w:id="4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年无国有资本经营预算拨款支出。</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一般公共预算项目支出开展了预算事前绩效评估，对1个项目编制了绩效目标，预算执行过程中，选取1个项目开展绩效监控，年终执行完毕后，对1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整体支出开展绩效自评，存在的问题：一是学校内控制度不够健全。二是部门绩效考核创新思维有待加强。下一步改进措施：一是建立健全学校内控制度，加强管理。二是各部门进一步细化绩效考核细则，积极创新，绩效考核更加科学、合理。本部门对项目支出开展了绩效评价，存在的问题：一是项目管理执行力度不够；二是没有充分发挥项目的经济效益和社会效益。下一步改进措施：一是加大业绩项目管理力度.二是要充分发挥项目管理的经济效益和社会效益。</w:t>
      </w:r>
    </w:p>
    <w:p>
      <w:pPr>
        <w:numPr>
          <w:ilvl w:val="0"/>
          <w:numId w:val="4"/>
        </w:numPr>
        <w:spacing w:line="580" w:lineRule="exact"/>
        <w:ind w:firstLine="642"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年度部门决算中反映“义教学生营养改善计划金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“义教贫困寄宿生生活补助”、“均衡发展补助资</w:t>
      </w:r>
      <w:r>
        <w:rPr>
          <w:rFonts w:hint="eastAsia" w:ascii="仿宋_GB2312" w:hAnsi="仿宋_GB2312" w:eastAsia="仿宋_GB2312" w:cs="仿宋_GB2312"/>
          <w:sz w:val="32"/>
          <w:szCs w:val="32"/>
          <w:lang w:val="en-US" w:eastAsia="zh-CN"/>
        </w:rPr>
        <w:t>金</w:t>
      </w:r>
      <w:r>
        <w:rPr>
          <w:rFonts w:hint="eastAsia" w:ascii="仿宋_GB2312" w:hAnsi="仿宋_GB2312" w:eastAsia="仿宋_GB2312" w:cs="仿宋_GB2312"/>
          <w:sz w:val="32"/>
          <w:szCs w:val="32"/>
        </w:rPr>
        <w:t>”5个项目绩效目标实际完成情况。</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义教学生营养改善计划金项目绩效目标完成情况综述。项目全年预算数</w:t>
      </w:r>
      <w:r>
        <w:rPr>
          <w:rFonts w:hint="eastAsia" w:ascii="仿宋_GB2312" w:hAnsi="仿宋_GB2312" w:eastAsia="仿宋_GB2312" w:cs="仿宋_GB2312"/>
          <w:sz w:val="32"/>
          <w:szCs w:val="32"/>
          <w:lang w:val="en-US" w:eastAsia="zh-CN"/>
        </w:rPr>
        <w:t>100.64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100.64</w:t>
      </w:r>
      <w:r>
        <w:rPr>
          <w:rFonts w:hint="eastAsia" w:ascii="仿宋_GB2312" w:hAnsi="仿宋_GB2312" w:eastAsia="仿宋_GB2312" w:cs="仿宋_GB2312"/>
          <w:sz w:val="32"/>
          <w:szCs w:val="32"/>
        </w:rPr>
        <w:t>万元，完成预算的100%。</w:t>
      </w:r>
    </w:p>
    <w:p>
      <w:p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义教贫困寄宿生生活补助项目绩效目标完成情况综述。项目全年预算数</w:t>
      </w:r>
      <w:r>
        <w:rPr>
          <w:rFonts w:hint="eastAsia" w:ascii="仿宋_GB2312" w:hAnsi="仿宋_GB2312" w:eastAsia="仿宋_GB2312" w:cs="仿宋_GB2312"/>
          <w:sz w:val="32"/>
          <w:szCs w:val="32"/>
          <w:lang w:val="en-US" w:eastAsia="zh-CN"/>
        </w:rPr>
        <w:t>26.13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26.13</w:t>
      </w:r>
      <w:r>
        <w:rPr>
          <w:rFonts w:hint="eastAsia" w:ascii="仿宋_GB2312" w:hAnsi="仿宋_GB2312" w:eastAsia="仿宋_GB2312" w:cs="仿宋_GB2312"/>
          <w:sz w:val="32"/>
          <w:szCs w:val="32"/>
        </w:rPr>
        <w:t>万元，完成预算的100%。</w:t>
      </w:r>
    </w:p>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1794" w:tblpY="475"/>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w:t>
            </w:r>
            <w:r>
              <w:rPr>
                <w:rFonts w:hint="eastAsia" w:ascii="宋体" w:hAnsi="宋体" w:cs="宋体"/>
                <w:color w:val="000000"/>
                <w:kern w:val="0"/>
                <w:sz w:val="36"/>
                <w:szCs w:val="36"/>
                <w:lang w:val="en-US" w:eastAsia="zh-CN"/>
              </w:rPr>
              <w:t>9</w:t>
            </w:r>
            <w:r>
              <w:rPr>
                <w:rFonts w:hint="eastAsia" w:ascii="宋体" w:hAnsi="宋体" w:cs="宋体"/>
                <w:color w:val="000000"/>
                <w:kern w:val="0"/>
                <w:sz w:val="36"/>
                <w:szCs w:val="36"/>
              </w:rPr>
              <w:t>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pStyle w:val="23"/>
        <w:spacing w:line="580" w:lineRule="exact"/>
        <w:ind w:firstLine="0" w:firstLineChars="0"/>
        <w:rPr>
          <w:rStyle w:val="25"/>
          <w:rFonts w:ascii="黑体" w:hAnsi="黑体" w:eastAsia="黑体"/>
          <w:b w:val="0"/>
        </w:rPr>
      </w:pPr>
    </w:p>
    <w:p>
      <w:pPr>
        <w:numPr>
          <w:ilvl w:val="0"/>
          <w:numId w:val="4"/>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年部门整体支出绩效评价情况开展自评，《宣汉县</w:t>
      </w:r>
      <w:r>
        <w:rPr>
          <w:rFonts w:hint="eastAsia" w:ascii="仿宋_GB2312" w:hAnsi="仿宋_GB2312" w:eastAsia="仿宋_GB2312" w:cs="仿宋_GB2312"/>
          <w:sz w:val="32"/>
          <w:szCs w:val="32"/>
          <w:lang w:val="en-US" w:eastAsia="zh-CN"/>
        </w:rPr>
        <w:t>樊哙镇成虎中心校</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年部门整体支出绩效评价报告》见附件。</w:t>
      </w:r>
    </w:p>
    <w:p>
      <w:pPr>
        <w:spacing w:line="600" w:lineRule="exact"/>
        <w:ind w:firstLine="800" w:firstLineChars="250"/>
        <w:outlineLvl w:val="1"/>
        <w:rPr>
          <w:rStyle w:val="25"/>
          <w:rFonts w:ascii="黑体" w:hAnsi="黑体" w:eastAsia="黑体"/>
        </w:rPr>
      </w:pPr>
      <w:bookmarkStart w:id="46" w:name="_Toc15377221"/>
      <w:bookmarkStart w:id="47"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46"/>
      <w:bookmarkEnd w:id="47"/>
    </w:p>
    <w:p>
      <w:pPr>
        <w:spacing w:line="600" w:lineRule="exact"/>
        <w:ind w:firstLine="642" w:firstLineChars="200"/>
        <w:outlineLvl w:val="2"/>
        <w:rPr>
          <w:rFonts w:ascii="仿宋" w:hAnsi="仿宋" w:eastAsia="仿宋"/>
          <w:color w:val="000000"/>
          <w:sz w:val="32"/>
          <w:szCs w:val="32"/>
        </w:rPr>
      </w:pPr>
      <w:bookmarkStart w:id="48" w:name="_Toc15377222"/>
      <w:r>
        <w:rPr>
          <w:rFonts w:hint="eastAsia" w:ascii="仿宋" w:hAnsi="仿宋" w:eastAsia="仿宋"/>
          <w:b/>
          <w:color w:val="000000"/>
          <w:sz w:val="32"/>
          <w:szCs w:val="32"/>
        </w:rPr>
        <w:t>（一）机关运行经费支出情况</w:t>
      </w:r>
      <w:bookmarkEnd w:id="48"/>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年无机关运行经费支出。</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49" w:name="_Toc15377223"/>
      <w:r>
        <w:rPr>
          <w:rFonts w:hint="eastAsia" w:ascii="仿宋" w:hAnsi="仿宋" w:eastAsia="仿宋"/>
          <w:b/>
          <w:color w:val="000000"/>
          <w:sz w:val="32"/>
          <w:szCs w:val="32"/>
        </w:rPr>
        <w:t>（二）政府采购支出情况</w:t>
      </w:r>
      <w:bookmarkEnd w:id="49"/>
    </w:p>
    <w:p>
      <w:pPr>
        <w:spacing w:line="600" w:lineRule="exact"/>
        <w:ind w:firstLine="640" w:firstLineChars="200"/>
        <w:rPr>
          <w:rFonts w:ascii="仿宋_GB2312" w:eastAsia="仿宋_GB2312"/>
          <w:color w:val="000000"/>
          <w:sz w:val="32"/>
          <w:szCs w:val="32"/>
        </w:rPr>
      </w:pPr>
      <w:bookmarkStart w:id="50" w:name="_Toc15377224"/>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年，无政府采购支出。</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bookmarkEnd w:id="50"/>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日，无公务用车，无</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万元以上通用设备，无单价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2" w:firstLineChars="150"/>
        <w:jc w:val="center"/>
        <w:outlineLvl w:val="0"/>
        <w:rPr>
          <w:rStyle w:val="24"/>
          <w:rFonts w:ascii="黑体" w:hAnsi="黑体" w:eastAsia="黑体"/>
          <w:b w:val="0"/>
        </w:rPr>
      </w:pPr>
      <w:bookmarkStart w:id="51" w:name="_Toc15396613"/>
      <w:bookmarkStart w:id="52"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51"/>
      <w:bookmarkEnd w:id="52"/>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lang w:val="en-US" w:eastAsia="zh-CN"/>
        </w:rPr>
        <w:t>9</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3" w:name="_Toc15377226"/>
      <w:r>
        <w:rPr>
          <w:rFonts w:ascii="宋体"/>
          <w:b/>
          <w:color w:val="000000"/>
          <w:sz w:val="44"/>
          <w:szCs w:val="44"/>
        </w:rPr>
        <w:br w:type="page"/>
      </w:r>
      <w:bookmarkStart w:id="54"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4"/>
    </w:p>
    <w:p>
      <w:pPr>
        <w:spacing w:line="600" w:lineRule="exact"/>
        <w:jc w:val="center"/>
        <w:outlineLvl w:val="0"/>
        <w:rPr>
          <w:rStyle w:val="24"/>
        </w:rPr>
      </w:pPr>
    </w:p>
    <w:p>
      <w:pPr>
        <w:spacing w:line="600" w:lineRule="exact"/>
        <w:jc w:val="center"/>
        <w:outlineLvl w:val="0"/>
        <w:rPr>
          <w:rFonts w:ascii="黑体" w:hAnsi="黑体" w:eastAsia="黑体" w:cs="方正小标宋简体"/>
          <w:sz w:val="32"/>
          <w:szCs w:val="32"/>
        </w:rPr>
      </w:pPr>
      <w:bookmarkStart w:id="55" w:name="_Toc15396615"/>
      <w:r>
        <w:rPr>
          <w:rFonts w:hint="eastAsia" w:ascii="黑体" w:hAnsi="黑体" w:eastAsia="黑体" w:cs="方正小标宋简体"/>
          <w:sz w:val="32"/>
          <w:szCs w:val="32"/>
        </w:rPr>
        <w:t>宣汉县</w:t>
      </w:r>
      <w:r>
        <w:rPr>
          <w:rFonts w:hint="eastAsia" w:ascii="黑体" w:hAnsi="黑体" w:eastAsia="黑体" w:cs="方正小标宋简体"/>
          <w:sz w:val="32"/>
          <w:szCs w:val="32"/>
          <w:lang w:val="en-US" w:eastAsia="zh-CN"/>
        </w:rPr>
        <w:t>樊哙镇成虎中心校</w:t>
      </w:r>
      <w:r>
        <w:rPr>
          <w:rFonts w:hint="eastAsia" w:ascii="黑体" w:hAnsi="黑体" w:eastAsia="黑体" w:cs="方正小标宋简体"/>
          <w:sz w:val="32"/>
          <w:szCs w:val="32"/>
        </w:rPr>
        <w:t>201</w:t>
      </w:r>
      <w:r>
        <w:rPr>
          <w:rFonts w:hint="eastAsia" w:ascii="黑体" w:hAnsi="黑体" w:eastAsia="黑体" w:cs="方正小标宋简体"/>
          <w:sz w:val="32"/>
          <w:szCs w:val="32"/>
          <w:lang w:val="en-US" w:eastAsia="zh-CN"/>
        </w:rPr>
        <w:t>9</w:t>
      </w:r>
      <w:r>
        <w:rPr>
          <w:rFonts w:hint="eastAsia" w:ascii="黑体" w:hAnsi="黑体" w:eastAsia="黑体" w:cs="方正小标宋简体"/>
          <w:sz w:val="32"/>
          <w:szCs w:val="32"/>
        </w:rPr>
        <w:t>年部门整体支出绩效评价报告</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一、部门概况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（一）机构组成</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宣汉县华景初级中学是一所公办的全日制初中,主管部门为宣汉县教育科技局。</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（二）机构职能</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宣汉县华景初级中学的基本职能和主要工作是：1.全面贯彻党的教育方针，认真执行国家的有关政策、法规，坚持社会主义办学方向，遵循教育、教学规律，面向全体学生，全面提高学校的教育教学质量。2.以素质教育为主线，以培养“有理想、有道德、有文化、有纪律”的社会主义事业的建设者和接班人为目标，坚持“德育为首位，教学为中心”的办学方向，以培养学生的学习能力、创新能力、综合运用知识解决实际问题的能力和积极参与社会生活的意识，达到既教书又育人的目的。3.制定学校的年度教学计划和中长期发展规划，确定教学方向和教育目标，依据《义务教育法》、《</w:t>
      </w:r>
      <w:r>
        <w:rPr>
          <w:rFonts w:hint="eastAsia" w:ascii="仿宋_GB2312" w:hAnsi="Calibri" w:eastAsia="仿宋_GB2312" w:cs="仿宋"/>
          <w:color w:val="000000"/>
          <w:kern w:val="0"/>
          <w:sz w:val="32"/>
          <w:szCs w:val="32"/>
          <w:lang w:eastAsia="zh-CN"/>
        </w:rPr>
        <w:t>中华人民共和国未成年人保护法</w:t>
      </w:r>
      <w:r>
        <w:rPr>
          <w:rFonts w:hint="eastAsia" w:ascii="仿宋_GB2312" w:hAnsi="Calibri" w:eastAsia="仿宋_GB2312" w:cs="仿宋"/>
          <w:color w:val="000000"/>
          <w:kern w:val="0"/>
          <w:sz w:val="32"/>
          <w:szCs w:val="32"/>
        </w:rPr>
        <w:t>》做好“保学控辍”工作，依法保护学生和家长的利益，更好地为学生服务，为家长服务，为社会服务。</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（三）人员概况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宣汉县华景初级中学201</w:t>
      </w:r>
      <w:r>
        <w:rPr>
          <w:rFonts w:hint="eastAsia" w:ascii="仿宋_GB2312" w:hAnsi="Calibri" w:eastAsia="仿宋_GB2312" w:cs="仿宋"/>
          <w:color w:val="000000"/>
          <w:kern w:val="0"/>
          <w:sz w:val="32"/>
          <w:szCs w:val="32"/>
          <w:lang w:val="en-US" w:eastAsia="zh-CN"/>
        </w:rPr>
        <w:t>9</w:t>
      </w:r>
      <w:r>
        <w:rPr>
          <w:rFonts w:hint="eastAsia" w:ascii="仿宋_GB2312" w:hAnsi="Calibri" w:eastAsia="仿宋_GB2312" w:cs="仿宋"/>
          <w:color w:val="000000"/>
          <w:kern w:val="0"/>
          <w:sz w:val="32"/>
          <w:szCs w:val="32"/>
        </w:rPr>
        <w:t>年在编教职工</w:t>
      </w:r>
      <w:r>
        <w:rPr>
          <w:rFonts w:hint="eastAsia" w:ascii="仿宋_GB2312" w:hAnsi="Calibri" w:eastAsia="仿宋_GB2312" w:cs="仿宋"/>
          <w:color w:val="000000"/>
          <w:kern w:val="0"/>
          <w:sz w:val="32"/>
          <w:szCs w:val="32"/>
          <w:lang w:val="en-US" w:eastAsia="zh-CN"/>
        </w:rPr>
        <w:t>39</w:t>
      </w:r>
      <w:r>
        <w:rPr>
          <w:rFonts w:hint="eastAsia" w:ascii="仿宋_GB2312" w:hAnsi="Calibri" w:eastAsia="仿宋_GB2312" w:cs="仿宋"/>
          <w:color w:val="000000"/>
          <w:kern w:val="0"/>
          <w:sz w:val="32"/>
          <w:szCs w:val="32"/>
        </w:rPr>
        <w:t>人（含特岗教师），退休教师</w:t>
      </w:r>
      <w:r>
        <w:rPr>
          <w:rFonts w:hint="eastAsia" w:ascii="仿宋_GB2312" w:hAnsi="Calibri" w:eastAsia="仿宋_GB2312" w:cs="仿宋"/>
          <w:color w:val="000000"/>
          <w:kern w:val="0"/>
          <w:sz w:val="32"/>
          <w:szCs w:val="32"/>
          <w:lang w:val="en-US" w:eastAsia="zh-CN"/>
        </w:rPr>
        <w:t>27</w:t>
      </w:r>
      <w:r>
        <w:rPr>
          <w:rFonts w:hint="eastAsia" w:ascii="仿宋_GB2312" w:hAnsi="Calibri" w:eastAsia="仿宋_GB2312" w:cs="仿宋"/>
          <w:color w:val="000000"/>
          <w:kern w:val="0"/>
          <w:sz w:val="32"/>
          <w:szCs w:val="32"/>
        </w:rPr>
        <w:t>人，临时聘用教师</w:t>
      </w:r>
      <w:r>
        <w:rPr>
          <w:rFonts w:hint="eastAsia" w:ascii="仿宋_GB2312" w:hAnsi="Calibri" w:eastAsia="仿宋_GB2312" w:cs="仿宋"/>
          <w:color w:val="000000"/>
          <w:kern w:val="0"/>
          <w:sz w:val="32"/>
          <w:szCs w:val="32"/>
          <w:lang w:val="en-US" w:eastAsia="zh-CN"/>
        </w:rPr>
        <w:t>9</w:t>
      </w:r>
      <w:r>
        <w:rPr>
          <w:rFonts w:hint="eastAsia" w:ascii="仿宋_GB2312" w:hAnsi="Calibri" w:eastAsia="仿宋_GB2312" w:cs="仿宋"/>
          <w:color w:val="000000"/>
          <w:kern w:val="0"/>
          <w:sz w:val="32"/>
          <w:szCs w:val="32"/>
        </w:rPr>
        <w:t>人，在校学生</w:t>
      </w:r>
      <w:r>
        <w:rPr>
          <w:rFonts w:hint="eastAsia" w:ascii="仿宋_GB2312" w:hAnsi="Calibri" w:eastAsia="仿宋_GB2312" w:cs="仿宋"/>
          <w:color w:val="000000"/>
          <w:kern w:val="0"/>
          <w:sz w:val="32"/>
          <w:szCs w:val="32"/>
          <w:lang w:val="en-US" w:eastAsia="zh-CN"/>
        </w:rPr>
        <w:t>728</w:t>
      </w:r>
      <w:r>
        <w:rPr>
          <w:rFonts w:hint="eastAsia" w:ascii="仿宋_GB2312" w:hAnsi="Calibri" w:eastAsia="仿宋_GB2312" w:cs="仿宋"/>
          <w:color w:val="000000"/>
          <w:kern w:val="0"/>
          <w:sz w:val="32"/>
          <w:szCs w:val="32"/>
        </w:rPr>
        <w:t>人。</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二、部门财政资金收支情况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（一）部门财政资金收入情况。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w:t>
      </w:r>
      <w:r>
        <w:rPr>
          <w:rFonts w:hint="eastAsia" w:ascii="仿宋_GB2312" w:hAnsi="Calibri" w:eastAsia="仿宋_GB2312" w:cs="仿宋"/>
          <w:color w:val="000000"/>
          <w:kern w:val="0"/>
          <w:sz w:val="32"/>
          <w:szCs w:val="32"/>
          <w:lang w:val="en-US" w:eastAsia="zh-CN"/>
        </w:rPr>
        <w:t>9</w:t>
      </w:r>
      <w:r>
        <w:rPr>
          <w:rFonts w:hint="eastAsia" w:ascii="仿宋_GB2312" w:hAnsi="Calibri" w:eastAsia="仿宋_GB2312" w:cs="仿宋"/>
          <w:color w:val="000000"/>
          <w:kern w:val="0"/>
          <w:sz w:val="32"/>
          <w:szCs w:val="32"/>
        </w:rPr>
        <w:t>年收入合计</w:t>
      </w:r>
      <w:r>
        <w:rPr>
          <w:rFonts w:hint="eastAsia" w:ascii="仿宋_GB2312" w:hAnsi="Calibri" w:eastAsia="仿宋_GB2312" w:cs="仿宋"/>
          <w:color w:val="000000"/>
          <w:kern w:val="0"/>
          <w:sz w:val="32"/>
          <w:szCs w:val="32"/>
          <w:lang w:val="en-US" w:eastAsia="zh-CN"/>
        </w:rPr>
        <w:t>745.76</w:t>
      </w:r>
      <w:r>
        <w:rPr>
          <w:rFonts w:hint="eastAsia" w:ascii="仿宋_GB2312" w:hAnsi="Calibri" w:eastAsia="仿宋_GB2312" w:cs="仿宋"/>
          <w:color w:val="000000"/>
          <w:kern w:val="0"/>
          <w:sz w:val="32"/>
          <w:szCs w:val="32"/>
        </w:rPr>
        <w:t>万元，全部为一般公共预算财政拨款收入。</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（二）部门财政资金支出情况。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w:t>
      </w:r>
      <w:r>
        <w:rPr>
          <w:rFonts w:hint="eastAsia" w:ascii="仿宋_GB2312" w:hAnsi="Calibri" w:eastAsia="仿宋_GB2312" w:cs="仿宋"/>
          <w:color w:val="000000"/>
          <w:kern w:val="0"/>
          <w:sz w:val="32"/>
          <w:szCs w:val="32"/>
          <w:lang w:val="en-US" w:eastAsia="zh-CN"/>
        </w:rPr>
        <w:t>9</w:t>
      </w:r>
      <w:r>
        <w:rPr>
          <w:rFonts w:hint="eastAsia" w:ascii="仿宋_GB2312" w:hAnsi="Calibri" w:eastAsia="仿宋_GB2312" w:cs="仿宋"/>
          <w:color w:val="000000"/>
          <w:kern w:val="0"/>
          <w:sz w:val="32"/>
          <w:szCs w:val="32"/>
        </w:rPr>
        <w:t>年一般公共预算财政拨款支出</w:t>
      </w:r>
      <w:r>
        <w:rPr>
          <w:rFonts w:hint="eastAsia" w:ascii="仿宋_GB2312" w:hAnsi="Calibri" w:eastAsia="仿宋_GB2312" w:cs="仿宋"/>
          <w:color w:val="000000"/>
          <w:kern w:val="0"/>
          <w:sz w:val="32"/>
          <w:szCs w:val="32"/>
          <w:lang w:val="en-US" w:eastAsia="zh-CN"/>
        </w:rPr>
        <w:t>745.76</w:t>
      </w:r>
      <w:r>
        <w:rPr>
          <w:rFonts w:hint="eastAsia" w:ascii="仿宋_GB2312" w:hAnsi="Calibri" w:eastAsia="仿宋_GB2312" w:cs="仿宋"/>
          <w:color w:val="000000"/>
          <w:kern w:val="0"/>
          <w:sz w:val="32"/>
          <w:szCs w:val="32"/>
        </w:rPr>
        <w:t>万元，主要用于以下方面:教育支出</w:t>
      </w:r>
      <w:r>
        <w:rPr>
          <w:rFonts w:hint="eastAsia" w:ascii="仿宋_GB2312" w:hAnsi="Calibri" w:eastAsia="仿宋_GB2312" w:cs="仿宋"/>
          <w:color w:val="000000"/>
          <w:kern w:val="0"/>
          <w:sz w:val="32"/>
          <w:szCs w:val="32"/>
          <w:lang w:val="en-US" w:eastAsia="zh-CN"/>
        </w:rPr>
        <w:t>636.79</w:t>
      </w:r>
      <w:r>
        <w:rPr>
          <w:rFonts w:hint="eastAsia" w:ascii="仿宋_GB2312" w:hAnsi="Calibri" w:eastAsia="仿宋_GB2312" w:cs="仿宋"/>
          <w:color w:val="000000"/>
          <w:kern w:val="0"/>
          <w:sz w:val="32"/>
          <w:szCs w:val="32"/>
        </w:rPr>
        <w:t>万元，社会保障和就业支出</w:t>
      </w:r>
      <w:r>
        <w:rPr>
          <w:rFonts w:hint="eastAsia" w:ascii="仿宋_GB2312" w:hAnsi="Calibri" w:eastAsia="仿宋_GB2312" w:cs="仿宋"/>
          <w:color w:val="000000"/>
          <w:kern w:val="0"/>
          <w:sz w:val="32"/>
          <w:szCs w:val="32"/>
          <w:lang w:val="en-US" w:eastAsia="zh-CN"/>
        </w:rPr>
        <w:t>52.84</w:t>
      </w:r>
      <w:r>
        <w:rPr>
          <w:rFonts w:hint="eastAsia" w:ascii="仿宋_GB2312" w:hAnsi="Calibri" w:eastAsia="仿宋_GB2312" w:cs="仿宋"/>
          <w:color w:val="000000"/>
          <w:kern w:val="0"/>
          <w:sz w:val="32"/>
          <w:szCs w:val="32"/>
        </w:rPr>
        <w:t>万元，医疗卫生与计划生育支出</w:t>
      </w:r>
      <w:r>
        <w:rPr>
          <w:rFonts w:hint="eastAsia" w:ascii="仿宋_GB2312" w:hAnsi="Calibri" w:eastAsia="仿宋_GB2312" w:cs="仿宋"/>
          <w:color w:val="000000"/>
          <w:kern w:val="0"/>
          <w:sz w:val="32"/>
          <w:szCs w:val="32"/>
          <w:lang w:val="en-US" w:eastAsia="zh-CN"/>
        </w:rPr>
        <w:t>19.72</w:t>
      </w:r>
      <w:r>
        <w:rPr>
          <w:rFonts w:hint="eastAsia" w:ascii="仿宋_GB2312" w:hAnsi="Calibri" w:eastAsia="仿宋_GB2312" w:cs="仿宋"/>
          <w:color w:val="000000"/>
          <w:kern w:val="0"/>
          <w:sz w:val="32"/>
          <w:szCs w:val="32"/>
        </w:rPr>
        <w:t>万元，住房保障支出</w:t>
      </w:r>
      <w:r>
        <w:rPr>
          <w:rFonts w:hint="eastAsia" w:ascii="仿宋_GB2312" w:hAnsi="Calibri" w:eastAsia="仿宋_GB2312" w:cs="仿宋"/>
          <w:color w:val="000000"/>
          <w:kern w:val="0"/>
          <w:sz w:val="32"/>
          <w:szCs w:val="32"/>
          <w:lang w:val="en-US" w:eastAsia="zh-CN"/>
        </w:rPr>
        <w:t>36.41</w:t>
      </w:r>
      <w:r>
        <w:rPr>
          <w:rFonts w:hint="eastAsia" w:ascii="仿宋_GB2312" w:hAnsi="Calibri" w:eastAsia="仿宋_GB2312" w:cs="仿宋"/>
          <w:color w:val="000000"/>
          <w:kern w:val="0"/>
          <w:sz w:val="32"/>
          <w:szCs w:val="32"/>
        </w:rPr>
        <w:t>万元。</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三、部门整体预算绩效管理情况。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（一）部门预算管理。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w:t>
      </w:r>
      <w:r>
        <w:rPr>
          <w:rFonts w:hint="eastAsia" w:ascii="仿宋_GB2312" w:hAnsi="Calibri" w:eastAsia="仿宋_GB2312" w:cs="仿宋"/>
          <w:color w:val="000000"/>
          <w:kern w:val="0"/>
          <w:sz w:val="32"/>
          <w:szCs w:val="32"/>
          <w:lang w:val="en-US" w:eastAsia="zh-CN"/>
        </w:rPr>
        <w:t>9</w:t>
      </w:r>
      <w:r>
        <w:rPr>
          <w:rFonts w:hint="eastAsia" w:ascii="仿宋_GB2312" w:hAnsi="Calibri" w:eastAsia="仿宋_GB2312" w:cs="仿宋"/>
          <w:color w:val="000000"/>
          <w:kern w:val="0"/>
          <w:sz w:val="32"/>
          <w:szCs w:val="32"/>
        </w:rPr>
        <w:t>年度宣汉县华景初级中学履职效益情况良好，认真遵守各项财务规章制度，严格执行各项支出审批程序，确保专款专用，无截留、挤占或挪用。“三公”经费按照预算额度进行控制、努力节约经费。项目按计划组织实施，确保专项资金合理使用，切实提高资金效益。部门整体支出绩效情况如下：</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1、在原相对健全的财务管理制度基础上，适时地、针对性地进行了相关制度的增补，制度的建立更为完善。</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2、贯彻落实中央八项规定和省、市相关文件精神。进一步加强“三公”经费管理，严格执行党政机关公务接待管理规定，尽力压缩“三公”经费等行政支出。</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3、教师办公条件改善，给教育教学工作带来了很大的帮助，同时也提高了教师的工作积极性。</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（二）专项预算管理。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一是加强领导责任意识，落实管理责任；二是加强资金管理制度建设，确保机构健全、分工明确；三是加强资金支出管理，严格支出标准和范围，确保专款专用，无截留、挤占或挪用。</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（三）结果应用情况。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将绩效评价结果作为以后年度安排预算的依据，优化资源配置。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四、评价结论及建议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（一）评价结论：优良。</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（二）存在问题。</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由于我校缺编严重，加之请产假的教师较多，故而我校本年度聘请了很多临时代课老师，学校用于临聘教师资金较多，严重制约了学校的发展。</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（三）改进建议。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厉行节约，开源节流，严格控制支出，根据学校实际有计划地减少临聘人员，合理地运用资金，促进学校不断向前发展。</w:t>
      </w:r>
    </w:p>
    <w:bookmarkEnd w:id="55"/>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4"/>
          <w:rFonts w:ascii="仿宋" w:hAnsi="仿宋" w:eastAsia="仿宋"/>
          <w:b w:val="0"/>
          <w:bCs w:val="0"/>
          <w:sz w:val="32"/>
          <w:szCs w:val="32"/>
        </w:rPr>
      </w:pPr>
      <w:bookmarkStart w:id="56" w:name="_Toc15396617"/>
      <w:r>
        <w:rPr>
          <w:rStyle w:val="24"/>
          <w:rFonts w:hint="eastAsia" w:ascii="仿宋" w:hAnsi="仿宋" w:eastAsia="仿宋"/>
          <w:b w:val="0"/>
          <w:bCs w:val="0"/>
          <w:sz w:val="32"/>
          <w:szCs w:val="32"/>
        </w:rPr>
        <w:t>附件2</w:t>
      </w:r>
      <w:bookmarkEnd w:id="56"/>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w:t>
      </w:r>
      <w:r>
        <w:rPr>
          <w:rFonts w:hint="eastAsia" w:ascii="黑体" w:hAnsi="黑体" w:eastAsia="黑体" w:cs="方正小标宋简体"/>
          <w:sz w:val="44"/>
          <w:szCs w:val="44"/>
          <w:lang w:val="en-US" w:eastAsia="zh-CN"/>
        </w:rPr>
        <w:t>9</w:t>
      </w:r>
      <w:r>
        <w:rPr>
          <w:rFonts w:hint="eastAsia" w:ascii="黑体" w:hAnsi="黑体" w:eastAsia="黑体" w:cs="方正小标宋简体"/>
          <w:sz w:val="44"/>
          <w:szCs w:val="44"/>
        </w:rPr>
        <w:t>年XXX项目支出绩效评价报告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Style w:val="24"/>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600" w:lineRule="exact"/>
        <w:jc w:val="center"/>
        <w:outlineLvl w:val="0"/>
        <w:rPr>
          <w:rStyle w:val="24"/>
          <w:rFonts w:ascii="黑体" w:hAnsi="黑体" w:eastAsia="黑体"/>
          <w:b w:val="0"/>
        </w:rPr>
      </w:pPr>
      <w:bookmarkStart w:id="57"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3"/>
      <w:bookmarkEnd w:id="57"/>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8"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58"/>
    </w:p>
    <w:p>
      <w:pPr>
        <w:pStyle w:val="3"/>
        <w:rPr>
          <w:rFonts w:ascii="仿宋" w:hAnsi="仿宋" w:eastAsia="仿宋"/>
          <w:color w:val="000000"/>
        </w:rPr>
      </w:pPr>
      <w:bookmarkStart w:id="59"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59"/>
    </w:p>
    <w:p>
      <w:pPr>
        <w:pStyle w:val="3"/>
        <w:rPr>
          <w:rFonts w:ascii="仿宋" w:hAnsi="仿宋" w:eastAsia="仿宋"/>
          <w:color w:val="000000"/>
        </w:rPr>
      </w:pPr>
      <w:bookmarkStart w:id="60"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0"/>
    </w:p>
    <w:p>
      <w:pPr>
        <w:pStyle w:val="3"/>
        <w:rPr>
          <w:rFonts w:ascii="仿宋" w:hAnsi="仿宋" w:eastAsia="仿宋"/>
          <w:b w:val="0"/>
          <w:color w:val="000000"/>
        </w:rPr>
      </w:pPr>
      <w:bookmarkStart w:id="61"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1"/>
    </w:p>
    <w:p>
      <w:pPr>
        <w:pStyle w:val="3"/>
        <w:rPr>
          <w:rFonts w:ascii="仿宋" w:hAnsi="仿宋" w:eastAsia="仿宋"/>
          <w:color w:val="000000"/>
        </w:rPr>
      </w:pPr>
      <w:bookmarkStart w:id="62"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2"/>
    </w:p>
    <w:p>
      <w:pPr>
        <w:pStyle w:val="3"/>
        <w:rPr>
          <w:rFonts w:ascii="仿宋" w:hAnsi="仿宋" w:eastAsia="仿宋"/>
          <w:color w:val="000000"/>
        </w:rPr>
      </w:pPr>
      <w:bookmarkStart w:id="63"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3"/>
    </w:p>
    <w:p>
      <w:pPr>
        <w:pStyle w:val="3"/>
        <w:rPr>
          <w:rFonts w:ascii="仿宋" w:hAnsi="仿宋" w:eastAsia="仿宋"/>
          <w:color w:val="000000"/>
        </w:rPr>
      </w:pPr>
      <w:bookmarkStart w:id="64"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4"/>
    </w:p>
    <w:p>
      <w:pPr>
        <w:pStyle w:val="3"/>
        <w:rPr>
          <w:rFonts w:ascii="仿宋" w:hAnsi="仿宋" w:eastAsia="仿宋"/>
          <w:color w:val="000000"/>
        </w:rPr>
      </w:pPr>
      <w:bookmarkStart w:id="65"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5"/>
    </w:p>
    <w:p>
      <w:pPr>
        <w:pStyle w:val="3"/>
        <w:rPr>
          <w:rFonts w:ascii="仿宋" w:hAnsi="仿宋" w:eastAsia="仿宋"/>
          <w:color w:val="000000"/>
        </w:rPr>
      </w:pPr>
      <w:bookmarkStart w:id="66"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6"/>
    </w:p>
    <w:p>
      <w:pPr>
        <w:pStyle w:val="3"/>
        <w:rPr>
          <w:rFonts w:ascii="仿宋" w:hAnsi="仿宋" w:eastAsia="仿宋"/>
          <w:color w:val="000000"/>
        </w:rPr>
      </w:pPr>
      <w:bookmarkStart w:id="67"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7"/>
    </w:p>
    <w:p>
      <w:pPr>
        <w:pStyle w:val="3"/>
        <w:rPr>
          <w:rFonts w:ascii="仿宋" w:hAnsi="仿宋" w:eastAsia="仿宋"/>
          <w:color w:val="000000"/>
        </w:rPr>
      </w:pPr>
      <w:bookmarkStart w:id="68"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8"/>
    </w:p>
    <w:p>
      <w:pPr>
        <w:pStyle w:val="3"/>
        <w:rPr>
          <w:rFonts w:ascii="仿宋" w:hAnsi="仿宋" w:eastAsia="仿宋"/>
          <w:color w:val="000000"/>
        </w:rPr>
      </w:pPr>
      <w:bookmarkStart w:id="69"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69"/>
    </w:p>
    <w:p>
      <w:pPr>
        <w:pStyle w:val="3"/>
        <w:rPr>
          <w:rFonts w:ascii="仿宋" w:hAnsi="仿宋" w:eastAsia="仿宋"/>
          <w:color w:val="000000" w:themeColor="text1"/>
          <w14:textFill>
            <w14:solidFill>
              <w14:schemeClr w14:val="tx1"/>
            </w14:solidFill>
          </w14:textFill>
        </w:rPr>
      </w:pPr>
      <w:bookmarkStart w:id="70"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0"/>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17</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00000BD8"/>
    <w:rsid w:val="000222C6"/>
    <w:rsid w:val="0002549F"/>
    <w:rsid w:val="0006240D"/>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106A"/>
    <w:rsid w:val="000E6613"/>
    <w:rsid w:val="000E7119"/>
    <w:rsid w:val="00114E9B"/>
    <w:rsid w:val="0014729F"/>
    <w:rsid w:val="00155C1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139CC"/>
    <w:rsid w:val="004168C5"/>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02A0"/>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66C9"/>
    <w:rsid w:val="008E707C"/>
    <w:rsid w:val="00900B08"/>
    <w:rsid w:val="00902155"/>
    <w:rsid w:val="00902FA3"/>
    <w:rsid w:val="0091029C"/>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32455"/>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2ECD"/>
    <w:rsid w:val="00B944D6"/>
    <w:rsid w:val="00BB4DF0"/>
    <w:rsid w:val="00BC289F"/>
    <w:rsid w:val="00BC47A1"/>
    <w:rsid w:val="00BC5361"/>
    <w:rsid w:val="00BC5460"/>
    <w:rsid w:val="00BC6B50"/>
    <w:rsid w:val="00BD0E25"/>
    <w:rsid w:val="00BF5BD6"/>
    <w:rsid w:val="00C03E31"/>
    <w:rsid w:val="00C1216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B6033"/>
    <w:rsid w:val="00DC410D"/>
    <w:rsid w:val="00DC68CA"/>
    <w:rsid w:val="00DC7CBA"/>
    <w:rsid w:val="00DD73B7"/>
    <w:rsid w:val="00DF28BC"/>
    <w:rsid w:val="00DF34B9"/>
    <w:rsid w:val="00E01053"/>
    <w:rsid w:val="00E07ACF"/>
    <w:rsid w:val="00E331A1"/>
    <w:rsid w:val="00E33202"/>
    <w:rsid w:val="00E336A9"/>
    <w:rsid w:val="00E33A44"/>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91E71"/>
    <w:rsid w:val="00FA23E8"/>
    <w:rsid w:val="00FD3CC1"/>
    <w:rsid w:val="00FF1E02"/>
    <w:rsid w:val="00FF30B4"/>
    <w:rsid w:val="0946388F"/>
    <w:rsid w:val="0FA8094E"/>
    <w:rsid w:val="0FC45B5A"/>
    <w:rsid w:val="10BE00D2"/>
    <w:rsid w:val="10C055FF"/>
    <w:rsid w:val="10CC2D55"/>
    <w:rsid w:val="118B3296"/>
    <w:rsid w:val="11F80196"/>
    <w:rsid w:val="129F0E9A"/>
    <w:rsid w:val="12EF75C4"/>
    <w:rsid w:val="136E5E22"/>
    <w:rsid w:val="16BB723D"/>
    <w:rsid w:val="177852EF"/>
    <w:rsid w:val="183F51B7"/>
    <w:rsid w:val="18F617A4"/>
    <w:rsid w:val="1AE15951"/>
    <w:rsid w:val="1BCA2A89"/>
    <w:rsid w:val="1BEB63A3"/>
    <w:rsid w:val="1D2D7CA9"/>
    <w:rsid w:val="1EE66366"/>
    <w:rsid w:val="1F1257EC"/>
    <w:rsid w:val="215A7178"/>
    <w:rsid w:val="23BB08AF"/>
    <w:rsid w:val="240371BF"/>
    <w:rsid w:val="24384B38"/>
    <w:rsid w:val="24FB1A10"/>
    <w:rsid w:val="2586148D"/>
    <w:rsid w:val="27E1307C"/>
    <w:rsid w:val="28591430"/>
    <w:rsid w:val="29FD04D3"/>
    <w:rsid w:val="2B7653C6"/>
    <w:rsid w:val="2B997DD3"/>
    <w:rsid w:val="2BE970F8"/>
    <w:rsid w:val="2C8C1676"/>
    <w:rsid w:val="31650E11"/>
    <w:rsid w:val="319F7F4E"/>
    <w:rsid w:val="332829EE"/>
    <w:rsid w:val="36374200"/>
    <w:rsid w:val="413E502C"/>
    <w:rsid w:val="42010976"/>
    <w:rsid w:val="42946E24"/>
    <w:rsid w:val="43526076"/>
    <w:rsid w:val="439C1973"/>
    <w:rsid w:val="49106F6D"/>
    <w:rsid w:val="491E3731"/>
    <w:rsid w:val="4950494B"/>
    <w:rsid w:val="4CE251B3"/>
    <w:rsid w:val="53D541B6"/>
    <w:rsid w:val="55C174ED"/>
    <w:rsid w:val="560D3524"/>
    <w:rsid w:val="5F4D09AB"/>
    <w:rsid w:val="5FA34BBD"/>
    <w:rsid w:val="60B81E54"/>
    <w:rsid w:val="60F6467A"/>
    <w:rsid w:val="628E7BB3"/>
    <w:rsid w:val="6477031D"/>
    <w:rsid w:val="64A51CE8"/>
    <w:rsid w:val="66D35DB4"/>
    <w:rsid w:val="702D649F"/>
    <w:rsid w:val="711A59FF"/>
    <w:rsid w:val="71475E9A"/>
    <w:rsid w:val="726C0A5A"/>
    <w:rsid w:val="75F00894"/>
    <w:rsid w:val="78B03643"/>
    <w:rsid w:val="7BB60362"/>
    <w:rsid w:val="7DBF3DBF"/>
    <w:rsid w:val="7E5E6444"/>
    <w:rsid w:val="7E70333F"/>
    <w:rsid w:val="BE3AE2C5"/>
    <w:rsid w:val="FF7F2EF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948711774620756"/>
          <c:y val="0.0518059855521156"/>
          <c:w val="0.764026005297375"/>
          <c:h val="0.846233230134159"/>
        </c:manualLayout>
      </c:layout>
      <c:barChart>
        <c:barDir val="col"/>
        <c:grouping val="clustered"/>
        <c:varyColors val="false"/>
        <c:ser>
          <c:idx val="0"/>
          <c:order val="0"/>
          <c:tx>
            <c:strRef>
              <c:f>Sheet1!$B$1</c:f>
              <c:strCache>
                <c:ptCount val="1"/>
                <c:pt idx="0">
                  <c:v>2019年</c:v>
                </c:pt>
              </c:strCache>
            </c:strRef>
          </c:tx>
          <c:invertIfNegative val="false"/>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745.76</a:t>
                    </a:r>
                    <a:endParaRPr lang="en-US"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745.76</a:t>
                    </a:r>
                    <a:endParaRPr lang="en-US"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收入</c:v>
                </c:pt>
                <c:pt idx="1">
                  <c:v>支出</c:v>
                </c:pt>
              </c:strCache>
            </c:strRef>
          </c:cat>
          <c:val>
            <c:numRef>
              <c:f>Sheet1!$B$2:$B$3</c:f>
              <c:numCache>
                <c:formatCode>General</c:formatCode>
                <c:ptCount val="2"/>
                <c:pt idx="0">
                  <c:v>799.42</c:v>
                </c:pt>
                <c:pt idx="1">
                  <c:v>799.42</c:v>
                </c:pt>
              </c:numCache>
            </c:numRef>
          </c:val>
        </c:ser>
        <c:ser>
          <c:idx val="1"/>
          <c:order val="1"/>
          <c:tx>
            <c:strRef>
              <c:f>Sheet1!$C$1</c:f>
              <c:strCache>
                <c:ptCount val="1"/>
                <c:pt idx="0">
                  <c:v>2018年</c:v>
                </c:pt>
              </c:strCache>
            </c:strRef>
          </c:tx>
          <c:invertIfNegative val="false"/>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924.43</a:t>
                    </a:r>
                    <a:endParaRPr lang="en-US"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924.43</a:t>
                    </a:r>
                    <a:endParaRPr lang="en-US"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收入</c:v>
                </c:pt>
                <c:pt idx="1">
                  <c:v>支出</c:v>
                </c:pt>
              </c:strCache>
            </c:strRef>
          </c:cat>
          <c:val>
            <c:numRef>
              <c:f>Sheet1!$C$2:$C$3</c:f>
              <c:numCache>
                <c:formatCode>General</c:formatCode>
                <c:ptCount val="2"/>
                <c:pt idx="0">
                  <c:v>1032.16</c:v>
                </c:pt>
                <c:pt idx="1">
                  <c:v>1032.16</c:v>
                </c:pt>
              </c:numCache>
            </c:numRef>
          </c:val>
        </c:ser>
        <c:dLbls>
          <c:showLegendKey val="false"/>
          <c:showVal val="false"/>
          <c:showCatName val="false"/>
          <c:showSerName val="false"/>
          <c:showPercent val="false"/>
          <c:showBubbleSize val="false"/>
        </c:dLbls>
        <c:gapWidth val="150"/>
        <c:axId val="299659824"/>
        <c:axId val="295937408"/>
      </c:barChart>
      <c:catAx>
        <c:axId val="299659824"/>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95937408"/>
        <c:crosses val="autoZero"/>
        <c:auto val="true"/>
        <c:lblAlgn val="ctr"/>
        <c:lblOffset val="100"/>
        <c:noMultiLvlLbl val="false"/>
      </c:catAx>
      <c:valAx>
        <c:axId val="295937408"/>
        <c:scaling>
          <c:orientation val="minMax"/>
          <c:min val="0"/>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99659824"/>
        <c:crosses val="autoZero"/>
        <c:crossBetween val="between"/>
      </c:valAx>
    </c:plotArea>
    <c:legend>
      <c:legendPos val="r"/>
      <c:layout>
        <c:manualLayout>
          <c:xMode val="edge"/>
          <c:yMode val="edge"/>
          <c:x val="0.876986037554165"/>
          <c:y val="0.372597644141351"/>
          <c:w val="0.119402985074627"/>
          <c:h val="0.194668319900806"/>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2019年</c:v>
                </c:pt>
              </c:strCache>
            </c:strRef>
          </c:tx>
          <c:invertIfNegative val="false"/>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745.76</a:t>
                    </a:r>
                    <a:endParaRPr lang="en-US"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745.76</a:t>
                    </a:r>
                    <a:endParaRPr lang="en-US"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财政拨款收入</c:v>
                </c:pt>
                <c:pt idx="1">
                  <c:v>财政拨款支出</c:v>
                </c:pt>
              </c:strCache>
            </c:strRef>
          </c:cat>
          <c:val>
            <c:numRef>
              <c:f>Sheet1!$B$2:$B$3</c:f>
              <c:numCache>
                <c:formatCode>General</c:formatCode>
                <c:ptCount val="2"/>
                <c:pt idx="0">
                  <c:v>799.42</c:v>
                </c:pt>
                <c:pt idx="1">
                  <c:v>799.42</c:v>
                </c:pt>
              </c:numCache>
            </c:numRef>
          </c:val>
        </c:ser>
        <c:ser>
          <c:idx val="1"/>
          <c:order val="1"/>
          <c:tx>
            <c:strRef>
              <c:f>Sheet1!$C$1</c:f>
              <c:strCache>
                <c:ptCount val="1"/>
                <c:pt idx="0">
                  <c:v>2018年</c:v>
                </c:pt>
              </c:strCache>
            </c:strRef>
          </c:tx>
          <c:invertIfNegative val="false"/>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924.43</a:t>
                    </a:r>
                    <a:endParaRPr lang="en-US"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924.43</a:t>
                    </a:r>
                    <a:endParaRPr lang="en-US"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财政拨款收入</c:v>
                </c:pt>
                <c:pt idx="1">
                  <c:v>财政拨款支出</c:v>
                </c:pt>
              </c:strCache>
            </c:strRef>
          </c:cat>
          <c:val>
            <c:numRef>
              <c:f>Sheet1!$C$2:$C$3</c:f>
              <c:numCache>
                <c:formatCode>General</c:formatCode>
                <c:ptCount val="2"/>
                <c:pt idx="0">
                  <c:v>1032.16</c:v>
                </c:pt>
                <c:pt idx="1">
                  <c:v>1032.16</c:v>
                </c:pt>
              </c:numCache>
            </c:numRef>
          </c:val>
        </c:ser>
        <c:dLbls>
          <c:showLegendKey val="false"/>
          <c:showVal val="false"/>
          <c:showCatName val="false"/>
          <c:showSerName val="false"/>
          <c:showPercent val="false"/>
          <c:showBubbleSize val="false"/>
        </c:dLbls>
        <c:gapWidth val="150"/>
        <c:axId val="303380384"/>
        <c:axId val="301299008"/>
      </c:barChart>
      <c:catAx>
        <c:axId val="303380384"/>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01299008"/>
        <c:crosses val="autoZero"/>
        <c:auto val="true"/>
        <c:lblAlgn val="ctr"/>
        <c:lblOffset val="100"/>
        <c:noMultiLvlLbl val="false"/>
      </c:catAx>
      <c:valAx>
        <c:axId val="301299008"/>
        <c:scaling>
          <c:orientation val="minMax"/>
          <c:min val="0"/>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03380384"/>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566986889475"/>
          <c:y val="0.148522572738109"/>
          <c:w val="0.687373124814166"/>
          <c:h val="0.740354750432315"/>
        </c:manualLayout>
      </c:layout>
      <c:barChart>
        <c:barDir val="col"/>
        <c:grouping val="clustered"/>
        <c:varyColors val="false"/>
        <c:ser>
          <c:idx val="0"/>
          <c:order val="0"/>
          <c:tx>
            <c:strRef>
              <c:f>Sheet1!$B$1</c:f>
              <c:strCache>
                <c:ptCount val="1"/>
                <c:pt idx="0">
                  <c:v>2019</c:v>
                </c:pt>
              </c:strCache>
            </c:strRef>
          </c:tx>
          <c:invertIfNegative val="false"/>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745.76</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一般公共预算财政拨款支出</c:v>
                </c:pt>
              </c:strCache>
            </c:strRef>
          </c:cat>
          <c:val>
            <c:numRef>
              <c:f>Sheet1!$B$2</c:f>
              <c:numCache>
                <c:formatCode>General</c:formatCode>
                <c:ptCount val="1"/>
                <c:pt idx="0">
                  <c:v>1185.46</c:v>
                </c:pt>
              </c:numCache>
            </c:numRef>
          </c:val>
        </c:ser>
        <c:ser>
          <c:idx val="1"/>
          <c:order val="1"/>
          <c:tx>
            <c:strRef>
              <c:f>Sheet1!$C$1</c:f>
              <c:strCache>
                <c:ptCount val="1"/>
                <c:pt idx="0">
                  <c:v>2018年</c:v>
                </c:pt>
              </c:strCache>
            </c:strRef>
          </c:tx>
          <c:invertIfNegative val="false"/>
          <c:dLbls>
            <c:dLbl>
              <c:idx val="0"/>
              <c:layout>
                <c:manualLayout>
                  <c:x val="-0.0193520642201835"/>
                  <c:y val="-0.0219619694580993"/>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924.43</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一般公共预算财政拨款支出</c:v>
                </c:pt>
              </c:strCache>
            </c:strRef>
          </c:cat>
          <c:val>
            <c:numRef>
              <c:f>Sheet1!$C$2</c:f>
              <c:numCache>
                <c:formatCode>General</c:formatCode>
                <c:ptCount val="1"/>
                <c:pt idx="0">
                  <c:v>1156.77</c:v>
                </c:pt>
              </c:numCache>
            </c:numRef>
          </c:val>
        </c:ser>
        <c:dLbls>
          <c:showLegendKey val="false"/>
          <c:showVal val="false"/>
          <c:showCatName val="false"/>
          <c:showSerName val="false"/>
          <c:showPercent val="false"/>
          <c:showBubbleSize val="false"/>
        </c:dLbls>
        <c:gapWidth val="150"/>
        <c:axId val="301301808"/>
        <c:axId val="301302368"/>
      </c:barChart>
      <c:catAx>
        <c:axId val="301301808"/>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01302368"/>
        <c:crosses val="autoZero"/>
        <c:auto val="true"/>
        <c:lblAlgn val="ctr"/>
        <c:lblOffset val="100"/>
        <c:noMultiLvlLbl val="false"/>
      </c:catAx>
      <c:valAx>
        <c:axId val="301302368"/>
        <c:scaling>
          <c:orientation val="minMax"/>
          <c:min val="0"/>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01301808"/>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a:t>一般公共预算财政拨款支出结构图</a:t>
            </a:r>
            <a:endParaRPr lang="zh-CN" altLang="en-US"/>
          </a:p>
        </c:rich>
      </c:tx>
      <c:layout>
        <c:manualLayout>
          <c:xMode val="edge"/>
          <c:yMode val="edge"/>
          <c:x val="0.105100028176951"/>
          <c:y val="0.0348128807658834"/>
        </c:manualLayout>
      </c:layout>
      <c:overlay val="false"/>
    </c:title>
    <c:autoTitleDeleted val="false"/>
    <c:plotArea>
      <c:layout/>
      <c:pieChart>
        <c:varyColors val="true"/>
        <c:ser>
          <c:idx val="0"/>
          <c:order val="0"/>
          <c:tx>
            <c:strRef>
              <c:f>Sheet1!$B$1</c:f>
              <c:strCache>
                <c:ptCount val="1"/>
                <c:pt idx="0">
                  <c:v>一般公共预算财政拨款支出结构</c:v>
                </c:pt>
              </c:strCache>
            </c:strRef>
          </c:tx>
          <c:explosion val="0"/>
          <c:dPt>
            <c:idx val="0"/>
            <c:bubble3D val="false"/>
          </c:dPt>
          <c:dPt>
            <c:idx val="1"/>
            <c:bubble3D val="false"/>
          </c:dPt>
          <c:dPt>
            <c:idx val="2"/>
            <c:bubble3D val="false"/>
          </c:dPt>
          <c:dPt>
            <c:idx val="3"/>
            <c:bubble3D val="false"/>
          </c:dPt>
          <c:dLbls>
            <c:delete val="true"/>
          </c:dLbls>
          <c:cat>
            <c:strRef>
              <c:f>Sheet1!$A$2:$A$5</c:f>
              <c:strCache>
                <c:ptCount val="4"/>
                <c:pt idx="0">
                  <c:v>教育支出</c:v>
                </c:pt>
                <c:pt idx="1">
                  <c:v>社会保障和就业支出</c:v>
                </c:pt>
                <c:pt idx="2">
                  <c:v>医疗卫生与计划生育支出</c:v>
                </c:pt>
                <c:pt idx="3">
                  <c:v>住房保障支出</c:v>
                </c:pt>
              </c:strCache>
            </c:strRef>
          </c:cat>
          <c:val>
            <c:numRef>
              <c:f>Sheet1!$B$2:$B$5</c:f>
              <c:numCache>
                <c:formatCode>General</c:formatCode>
                <c:ptCount val="4"/>
                <c:pt idx="0">
                  <c:v>89</c:v>
                </c:pt>
                <c:pt idx="1">
                  <c:v>5</c:v>
                </c:pt>
                <c:pt idx="2">
                  <c:v>2.3</c:v>
                </c:pt>
                <c:pt idx="3">
                  <c:v>3.7</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21</Pages>
  <Words>1285</Words>
  <Characters>7325</Characters>
  <Lines>61</Lines>
  <Paragraphs>17</Paragraphs>
  <TotalTime>58</TotalTime>
  <ScaleCrop>false</ScaleCrop>
  <LinksUpToDate>false</LinksUpToDate>
  <CharactersWithSpaces>8593</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2019-09-03T03:44:00Z</dcterms:created>
  <dc:creator>张彬茜</dc:creator>
  <cp:lastModifiedBy>user</cp:lastModifiedBy>
  <cp:lastPrinted>2019-08-01T16:48:00Z</cp:lastPrinted>
  <dcterms:modified xsi:type="dcterms:W3CDTF">2022-03-07T10:20:22Z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