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5" w:name="_GoBack"/>
      <w:bookmarkEnd w:id="75"/>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96597"/>
      <w:bookmarkStart w:id="4" w:name="_Toc15377425"/>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77194"/>
      <w:bookmarkStart w:id="7" w:name="_Toc15377426"/>
      <w:bookmarkStart w:id="8" w:name="_Toc15396476"/>
      <w:bookmarkStart w:id="9" w:name="_Toc15378442"/>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w:t>
      </w:r>
      <w:r>
        <w:rPr>
          <w:rFonts w:hint="eastAsia" w:ascii="方正小标宋简体" w:hAnsi="宋体" w:eastAsia="方正小标宋简体"/>
          <w:color w:val="000000"/>
          <w:sz w:val="72"/>
          <w:szCs w:val="72"/>
          <w:lang w:eastAsia="zh-CN"/>
        </w:rPr>
        <w:t>漆树乡中心校</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公开时间：2019年8月29日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2</w:t>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rPr>
        <w:t>1</w:t>
      </w:r>
      <w:r>
        <w:rPr>
          <w:rFonts w:hint="eastAsia"/>
        </w:rPr>
        <w:fldChar w:fldCharType="end"/>
      </w:r>
      <w:r>
        <w:rPr>
          <w:rFonts w:hint="eastAsia"/>
        </w:rPr>
        <w:t>4</w:t>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rPr>
          <w:rFonts w:hint="eastAsia"/>
        </w:rPr>
        <w:t>1</w:t>
      </w:r>
      <w:r>
        <w:rPr>
          <w:rFonts w:hint="eastAsia"/>
        </w:rPr>
        <w:fldChar w:fldCharType="end"/>
      </w:r>
      <w:r>
        <w:rPr>
          <w:rFonts w:hint="eastAsia"/>
        </w:rPr>
        <w:t>7</w:t>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7</w:t>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0</w:t>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rPr>
          <w:rFonts w:hint="eastAsia"/>
        </w:rPr>
        <w:t>2</w:t>
      </w:r>
      <w:r>
        <w:rPr>
          <w:rFonts w:hint="eastAsia"/>
        </w:rPr>
        <w:fldChar w:fldCharType="end"/>
      </w:r>
      <w:r>
        <w:rPr>
          <w:rFonts w:hint="eastAsia"/>
        </w:rPr>
        <w:t>1</w:t>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1</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snapToGrid w:val="0"/>
        <w:spacing w:line="588" w:lineRule="exact"/>
        <w:ind w:firstLine="640" w:firstLineChars="200"/>
        <w:rPr>
          <w:rFonts w:hint="eastAsia" w:ascii="华文仿宋" w:hAnsi="华文仿宋" w:eastAsia="华文仿宋" w:cs="仿宋"/>
          <w:sz w:val="32"/>
          <w:szCs w:val="32"/>
        </w:rPr>
      </w:pPr>
      <w:bookmarkStart w:id="16" w:name="_Toc15378445"/>
      <w:bookmarkStart w:id="17" w:name="_Toc15377198"/>
      <w:bookmarkStart w:id="18" w:name="_Toc15377200"/>
      <w:bookmarkStart w:id="19" w:name="_Toc15396601"/>
      <w:r>
        <w:rPr>
          <w:rFonts w:hint="eastAsia" w:ascii="仿宋" w:hAnsi="仿宋" w:eastAsia="仿宋"/>
          <w:bCs/>
          <w:color w:val="000000"/>
          <w:sz w:val="32"/>
          <w:szCs w:val="32"/>
        </w:rPr>
        <w:t>（一）</w:t>
      </w:r>
      <w:r>
        <w:rPr>
          <w:rFonts w:hint="eastAsia" w:ascii="华文仿宋" w:hAnsi="华文仿宋" w:eastAsia="华文仿宋"/>
          <w:sz w:val="32"/>
          <w:szCs w:val="32"/>
        </w:rPr>
        <w:t>四川省宣汉县漆树乡中心校成立于1956年8月，是一所农村普通小学，主要职能是从事义务教育小学阶段、学前教育的教育教学。</w:t>
      </w:r>
      <w:r>
        <w:rPr>
          <w:rFonts w:hint="eastAsia" w:ascii="华文仿宋" w:hAnsi="华文仿宋" w:eastAsia="华文仿宋" w:cs="仿宋"/>
          <w:sz w:val="32"/>
          <w:szCs w:val="32"/>
        </w:rPr>
        <w:t>学校占地面积5230平方米，有学生</w:t>
      </w:r>
      <w:r>
        <w:rPr>
          <w:rFonts w:hint="eastAsia" w:ascii="华文仿宋" w:hAnsi="华文仿宋" w:eastAsia="华文仿宋" w:cs="仿宋"/>
          <w:sz w:val="32"/>
          <w:szCs w:val="32"/>
          <w:lang w:val="en-US" w:eastAsia="zh-CN"/>
        </w:rPr>
        <w:t>577</w:t>
      </w:r>
      <w:r>
        <w:rPr>
          <w:rFonts w:hint="eastAsia" w:ascii="华文仿宋" w:hAnsi="华文仿宋" w:eastAsia="华文仿宋" w:cs="仿宋"/>
          <w:sz w:val="32"/>
          <w:szCs w:val="32"/>
        </w:rPr>
        <w:t>人，16个教学班，教职工38人，其中在编教职工26人，特岗教师6人，临聘人员6人。</w:t>
      </w:r>
    </w:p>
    <w:bookmarkEnd w:id="16"/>
    <w:bookmarkEnd w:id="17"/>
    <w:p>
      <w:pPr>
        <w:spacing w:line="560" w:lineRule="exact"/>
        <w:ind w:firstLine="640" w:firstLineChars="200"/>
        <w:rPr>
          <w:rFonts w:ascii="仿宋_GB2312" w:hAnsi="仿宋_GB2312" w:eastAsia="仿宋_GB2312" w:cs="仿宋_GB2312"/>
          <w:b w:val="0"/>
          <w:bCs w:val="0"/>
          <w:sz w:val="28"/>
          <w:szCs w:val="28"/>
        </w:rPr>
      </w:pPr>
      <w:bookmarkStart w:id="20" w:name="_Toc15377199"/>
      <w:bookmarkStart w:id="21" w:name="_Toc15378446"/>
      <w:r>
        <w:rPr>
          <w:rFonts w:hint="eastAsia" w:ascii="仿宋" w:hAnsi="仿宋" w:eastAsia="仿宋"/>
          <w:bCs/>
          <w:color w:val="000000"/>
          <w:sz w:val="32"/>
          <w:szCs w:val="32"/>
        </w:rPr>
        <w:t>（二）</w:t>
      </w:r>
      <w:bookmarkEnd w:id="20"/>
      <w:bookmarkEnd w:id="21"/>
      <w:r>
        <w:rPr>
          <w:rFonts w:hint="eastAsia" w:ascii="华文仿宋" w:hAnsi="华文仿宋" w:eastAsia="华文仿宋"/>
          <w:sz w:val="32"/>
          <w:szCs w:val="32"/>
        </w:rPr>
        <w:t>一年来，在上级的指引下，在党、政、工、团的同心协力下，在全体教职工的不懈努力下，学校工作顺利、平稳、扎实推进，取得了有目共睹的成绩：</w:t>
      </w:r>
      <w:r>
        <w:rPr>
          <w:rFonts w:hint="eastAsia" w:ascii="华文仿宋" w:hAnsi="华文仿宋" w:eastAsia="华文仿宋"/>
          <w:kern w:val="0"/>
          <w:sz w:val="32"/>
          <w:szCs w:val="32"/>
        </w:rPr>
        <w:t>获得了市级卫生先进单位、县级学校健康先进集体等荣誉。</w:t>
      </w:r>
      <w:r>
        <w:rPr>
          <w:rFonts w:hint="eastAsia" w:ascii="仿宋_GB2312" w:hAnsi="仿宋_GB2312" w:eastAsia="仿宋_GB2312" w:cs="仿宋_GB2312"/>
          <w:b w:val="0"/>
          <w:bCs w:val="0"/>
          <w:sz w:val="28"/>
          <w:szCs w:val="28"/>
        </w:rPr>
        <w:t>建立高效、和谐、动态、快乐课堂，提高办学效益。让安全工作为学校保驾护航，营造氛围，落实“一岗双责制度”，确保师生平安，致力校园文化建设，优化育人环境，陶冶情操。一年来，学校先后获得“师德先进集体”、“教育教学先进集体”、“最佳文明单位”、“星级平安学校”等殊荣。</w:t>
      </w:r>
    </w:p>
    <w:p>
      <w:pPr>
        <w:pStyle w:val="3"/>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18"/>
      <w:bookmarkEnd w:id="19"/>
    </w:p>
    <w:p>
      <w:pPr>
        <w:widowControl/>
        <w:jc w:val="left"/>
        <w:rPr>
          <w:rFonts w:ascii="仿宋" w:hAnsi="仿宋" w:eastAsia="仿宋"/>
          <w:color w:val="000000"/>
          <w:kern w:val="0"/>
          <w:sz w:val="32"/>
          <w:szCs w:val="32"/>
        </w:rPr>
      </w:pPr>
      <w:r>
        <w:rPr>
          <w:rFonts w:hint="eastAsia" w:ascii="仿宋_GB2312" w:hAnsi="仿宋_GB2312" w:eastAsia="仿宋_GB2312" w:cs="仿宋_GB2312"/>
          <w:sz w:val="28"/>
          <w:szCs w:val="28"/>
          <w:lang w:eastAsia="zh-CN"/>
        </w:rPr>
        <w:t>漆树乡中心校</w:t>
      </w:r>
      <w:r>
        <w:rPr>
          <w:rFonts w:hint="eastAsia" w:ascii="仿宋_GB2312" w:hAnsi="仿宋_GB2312" w:eastAsia="仿宋_GB2312" w:cs="仿宋_GB2312"/>
          <w:sz w:val="28"/>
          <w:szCs w:val="28"/>
        </w:rPr>
        <w:t>属财政全额拨款事业单位，</w:t>
      </w:r>
      <w:r>
        <w:rPr>
          <w:rFonts w:hint="eastAsia" w:ascii="仿宋_GB2312" w:hAnsi="仿宋_GB2312" w:cs="仿宋_GB2312"/>
          <w:sz w:val="28"/>
          <w:szCs w:val="28"/>
        </w:rPr>
        <w:t>单设</w:t>
      </w:r>
      <w:r>
        <w:rPr>
          <w:rFonts w:hint="eastAsia" w:ascii="仿宋_GB2312" w:hAnsi="仿宋_GB2312" w:cs="仿宋_GB2312"/>
          <w:sz w:val="28"/>
          <w:szCs w:val="28"/>
          <w:lang w:eastAsia="zh-CN"/>
        </w:rPr>
        <w:t>小</w:t>
      </w:r>
      <w:r>
        <w:rPr>
          <w:rFonts w:hint="eastAsia" w:ascii="仿宋_GB2312" w:hAnsi="仿宋_GB2312" w:cs="仿宋_GB2312"/>
          <w:sz w:val="28"/>
          <w:szCs w:val="28"/>
        </w:rPr>
        <w:t>学</w:t>
      </w:r>
      <w:r>
        <w:rPr>
          <w:rFonts w:hint="eastAsia" w:ascii="仿宋_GB2312" w:hAnsi="仿宋_GB2312" w:eastAsia="仿宋_GB2312" w:cs="仿宋_GB2312"/>
          <w:sz w:val="28"/>
          <w:szCs w:val="28"/>
        </w:rPr>
        <w:t>。学校下设办公室、教导处、后勤处、安办、工会等职能部门。</w:t>
      </w: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521.502</w:t>
      </w:r>
      <w:r>
        <w:rPr>
          <w:rFonts w:hint="eastAsia" w:ascii="仿宋" w:hAnsi="仿宋" w:eastAsia="仿宋"/>
          <w:color w:val="000000"/>
          <w:sz w:val="32"/>
          <w:szCs w:val="32"/>
        </w:rPr>
        <w:t>万元。与2017年相比，收、支总计各增加</w:t>
      </w:r>
      <w:r>
        <w:rPr>
          <w:rFonts w:hint="eastAsia" w:ascii="仿宋" w:hAnsi="仿宋" w:eastAsia="仿宋"/>
          <w:color w:val="000000"/>
          <w:sz w:val="32"/>
          <w:szCs w:val="32"/>
          <w:lang w:val="en-US" w:eastAsia="zh-CN"/>
        </w:rPr>
        <w:t>35.13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7</w:t>
      </w:r>
      <w:r>
        <w:rPr>
          <w:rFonts w:ascii="仿宋" w:hAnsi="仿宋" w:eastAsia="仿宋"/>
          <w:color w:val="000000"/>
          <w:sz w:val="32"/>
          <w:szCs w:val="32"/>
        </w:rPr>
        <w:t>%</w:t>
      </w:r>
      <w:r>
        <w:rPr>
          <w:rFonts w:hint="eastAsia" w:ascii="仿宋" w:hAnsi="仿宋" w:eastAsia="仿宋"/>
          <w:color w:val="000000"/>
          <w:sz w:val="32"/>
          <w:szCs w:val="32"/>
        </w:rPr>
        <w:t>。主要变动原因是均衡教育发展投入增加。</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8240" behindDoc="0" locked="0" layoutInCell="1" allowOverlap="1">
            <wp:simplePos x="0" y="0"/>
            <wp:positionH relativeFrom="column">
              <wp:posOffset>-338455</wp:posOffset>
            </wp:positionH>
            <wp:positionV relativeFrom="paragraph">
              <wp:posOffset>358775</wp:posOffset>
            </wp:positionV>
            <wp:extent cx="5275580" cy="3072765"/>
            <wp:effectExtent l="19050" t="0" r="20320" b="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521.502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521.502</w:t>
      </w:r>
      <w:r>
        <w:rPr>
          <w:rFonts w:hint="eastAsia" w:ascii="仿宋" w:hAnsi="仿宋" w:eastAsia="仿宋"/>
          <w:color w:val="000000"/>
          <w:sz w:val="32"/>
          <w:szCs w:val="32"/>
        </w:rPr>
        <w:t>万元。</w:t>
      </w:r>
    </w:p>
    <w:p>
      <w:pPr>
        <w:spacing w:line="600" w:lineRule="exact"/>
        <w:ind w:firstLine="640" w:firstLineChars="200"/>
        <w:outlineLvl w:val="1"/>
        <w:rPr>
          <w:rFonts w:ascii="仿宋" w:hAnsi="仿宋" w:eastAsia="仿宋"/>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521.502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411.142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110.36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22</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521.502</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7年相比，财政拨款收、支总计各增加</w:t>
      </w:r>
      <w:r>
        <w:rPr>
          <w:rFonts w:hint="eastAsia" w:ascii="仿宋" w:hAnsi="仿宋" w:eastAsia="仿宋"/>
          <w:color w:val="000000"/>
          <w:sz w:val="32"/>
          <w:szCs w:val="32"/>
          <w:lang w:val="en-US" w:eastAsia="zh-CN"/>
        </w:rPr>
        <w:t>35.13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7</w:t>
      </w:r>
      <w:r>
        <w:rPr>
          <w:rFonts w:ascii="仿宋" w:hAnsi="仿宋" w:eastAsia="仿宋"/>
          <w:color w:val="000000"/>
          <w:sz w:val="32"/>
          <w:szCs w:val="32"/>
        </w:rPr>
        <w:t>%</w:t>
      </w:r>
      <w:r>
        <w:rPr>
          <w:rFonts w:hint="eastAsia" w:ascii="仿宋" w:hAnsi="仿宋" w:eastAsia="仿宋"/>
          <w:color w:val="000000"/>
          <w:sz w:val="32"/>
          <w:szCs w:val="32"/>
        </w:rPr>
        <w:t>。主要变动原因是均衡教育发展投入增加。</w:t>
      </w:r>
    </w:p>
    <w:p>
      <w:pPr>
        <w:spacing w:line="600" w:lineRule="exact"/>
        <w:ind w:firstLine="642" w:firstLineChars="200"/>
        <w:rPr>
          <w:rFonts w:ascii="仿宋" w:hAnsi="仿宋" w:eastAsia="仿宋"/>
          <w:color w:val="000000" w:themeColor="text1"/>
          <w:sz w:val="32"/>
          <w:szCs w:val="32"/>
        </w:rPr>
      </w:pPr>
      <w:r>
        <w:rPr>
          <w:rFonts w:hint="eastAsia" w:ascii="仿宋" w:hAnsi="仿宋" w:eastAsia="仿宋"/>
          <w:b/>
          <w:color w:val="000000" w:themeColor="text1"/>
          <w:sz w:val="32"/>
          <w:szCs w:val="32"/>
        </w:rPr>
        <w:drawing>
          <wp:anchor distT="0" distB="0" distL="114300" distR="114300" simplePos="0" relativeHeight="251663360" behindDoc="0" locked="0" layoutInCell="1" allowOverlap="1">
            <wp:simplePos x="0" y="0"/>
            <wp:positionH relativeFrom="column">
              <wp:posOffset>-206375</wp:posOffset>
            </wp:positionH>
            <wp:positionV relativeFrom="paragraph">
              <wp:posOffset>137795</wp:posOffset>
            </wp:positionV>
            <wp:extent cx="5048250" cy="2717165"/>
            <wp:effectExtent l="4445" t="4445" r="14605" b="2159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521.502</w:t>
      </w:r>
      <w:r>
        <w:rPr>
          <w:rFonts w:hint="eastAsia" w:ascii="仿宋" w:hAnsi="仿宋" w:eastAsia="仿宋"/>
          <w:color w:val="000000"/>
          <w:sz w:val="32"/>
          <w:szCs w:val="32"/>
        </w:rPr>
        <w:t>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35.13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7</w:t>
      </w:r>
      <w:r>
        <w:rPr>
          <w:rFonts w:ascii="仿宋" w:hAnsi="仿宋" w:eastAsia="仿宋"/>
          <w:color w:val="000000"/>
          <w:sz w:val="32"/>
          <w:szCs w:val="32"/>
        </w:rPr>
        <w:t>%</w:t>
      </w:r>
      <w:r>
        <w:rPr>
          <w:rFonts w:hint="eastAsia" w:ascii="仿宋" w:hAnsi="仿宋" w:eastAsia="仿宋"/>
          <w:color w:val="000000"/>
          <w:sz w:val="32"/>
          <w:szCs w:val="32"/>
        </w:rPr>
        <w:t>。主要变动原因是均衡教育发展投入增加。</w:t>
      </w:r>
    </w:p>
    <w:p>
      <w:pPr>
        <w:spacing w:line="600" w:lineRule="exact"/>
        <w:ind w:firstLine="642" w:firstLineChars="200"/>
        <w:rPr>
          <w:rFonts w:ascii="仿宋" w:hAnsi="仿宋" w:eastAsia="仿宋"/>
          <w:color w:val="000000" w:themeColor="text1"/>
          <w:sz w:val="32"/>
          <w:szCs w:val="32"/>
        </w:rPr>
      </w:pPr>
      <w:r>
        <w:rPr>
          <w:rFonts w:hint="eastAsia" w:ascii="仿宋" w:hAnsi="仿宋" w:eastAsia="仿宋"/>
          <w:b/>
          <w:color w:val="000000"/>
          <w:sz w:val="32"/>
          <w:szCs w:val="32"/>
        </w:rPr>
        <w:drawing>
          <wp:anchor distT="0" distB="0" distL="114300" distR="114300" simplePos="0" relativeHeight="251667456" behindDoc="0" locked="0" layoutInCell="1" allowOverlap="1">
            <wp:simplePos x="0" y="0"/>
            <wp:positionH relativeFrom="column">
              <wp:posOffset>-101600</wp:posOffset>
            </wp:positionH>
            <wp:positionV relativeFrom="paragraph">
              <wp:posOffset>233680</wp:posOffset>
            </wp:positionV>
            <wp:extent cx="4429760" cy="2073275"/>
            <wp:effectExtent l="5080" t="4445" r="22860" b="1778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521.502</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b/>
          <w:color w:val="000000" w:themeColor="text1"/>
          <w:sz w:val="32"/>
          <w:szCs w:val="32"/>
          <w:lang w:val="en-US" w:eastAsia="zh-CN"/>
        </w:rPr>
        <w:t>446.67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42.58</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w:t>
      </w:r>
      <w:r>
        <w:rPr>
          <w:rFonts w:hint="eastAsia" w:ascii="仿宋" w:hAnsi="仿宋" w:eastAsia="仿宋"/>
          <w:color w:val="000000" w:themeColor="text1"/>
          <w:sz w:val="32"/>
          <w:szCs w:val="32"/>
          <w:lang w:val="en-US" w:eastAsia="zh-CN"/>
        </w:rPr>
        <w:t>8.06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1.5</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24.19</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72576" behindDoc="0" locked="0" layoutInCell="1" allowOverlap="1">
            <wp:simplePos x="0" y="0"/>
            <wp:positionH relativeFrom="column">
              <wp:posOffset>787400</wp:posOffset>
            </wp:positionH>
            <wp:positionV relativeFrom="paragraph">
              <wp:posOffset>96520</wp:posOffset>
            </wp:positionV>
            <wp:extent cx="4239260" cy="2123440"/>
            <wp:effectExtent l="4445" t="4445" r="23495" b="571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rPr>
        <w:t>2018年般公共预算支出决算数为</w:t>
      </w:r>
      <w:r>
        <w:rPr>
          <w:rFonts w:hint="eastAsia" w:ascii="仿宋" w:hAnsi="仿宋" w:eastAsia="仿宋"/>
          <w:b/>
          <w:color w:val="000000" w:themeColor="text1"/>
          <w:sz w:val="32"/>
          <w:szCs w:val="32"/>
          <w:lang w:val="en-US" w:eastAsia="zh-CN"/>
        </w:rPr>
        <w:t>521.502</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bCs/>
          <w:color w:val="000000"/>
          <w:sz w:val="32"/>
          <w:szCs w:val="32"/>
        </w:rPr>
        <w:t>1</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教育（类）普通教育（款）</w:t>
      </w:r>
      <w:r>
        <w:rPr>
          <w:rStyle w:val="14"/>
          <w:rFonts w:hint="eastAsia" w:ascii="仿宋" w:hAnsi="仿宋" w:eastAsia="仿宋"/>
          <w:b w:val="0"/>
          <w:bCs/>
          <w:color w:val="000000"/>
          <w:sz w:val="32"/>
          <w:szCs w:val="32"/>
          <w:lang w:eastAsia="zh-CN"/>
        </w:rPr>
        <w:t>小学</w:t>
      </w:r>
      <w:r>
        <w:rPr>
          <w:rStyle w:val="14"/>
          <w:rFonts w:hint="eastAsia" w:ascii="仿宋" w:hAnsi="仿宋" w:eastAsia="仿宋"/>
          <w:b w:val="0"/>
          <w:bCs/>
          <w:color w:val="000000"/>
          <w:sz w:val="32"/>
          <w:szCs w:val="32"/>
        </w:rPr>
        <w:t>教育（项）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430.42</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bCs/>
          <w:color w:val="000000"/>
          <w:sz w:val="32"/>
          <w:szCs w:val="32"/>
        </w:rPr>
        <w:t>2</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教育（类）普通教育（款）其他（项）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bCs/>
          <w:color w:val="000000"/>
          <w:sz w:val="32"/>
          <w:szCs w:val="32"/>
        </w:rPr>
        <w:t>3</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社会保障和就业（类）行政事业单位离退休（款）机关事业单位基本养老保险缴费支出（项）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34.82</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color w:val="000000"/>
          <w:sz w:val="32"/>
          <w:szCs w:val="32"/>
        </w:rPr>
      </w:pPr>
      <w:r>
        <w:rPr>
          <w:rStyle w:val="14"/>
          <w:rFonts w:hint="eastAsia" w:ascii="仿宋" w:hAnsi="仿宋" w:eastAsia="仿宋"/>
          <w:b w:val="0"/>
          <w:bCs/>
          <w:color w:val="000000"/>
          <w:sz w:val="32"/>
          <w:szCs w:val="32"/>
        </w:rPr>
        <w:t>4</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医疗卫生与计划生育（类）行政事业单位医疗（款）事业单位医疗（项）</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8.06</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outlineLvl w:val="2"/>
        <w:rPr>
          <w:rFonts w:ascii="仿宋" w:hAnsi="仿宋" w:eastAsia="仿宋"/>
          <w:color w:val="FF0000"/>
          <w:sz w:val="32"/>
          <w:szCs w:val="32"/>
        </w:rPr>
      </w:pPr>
      <w:r>
        <w:rPr>
          <w:rStyle w:val="14"/>
          <w:rFonts w:hint="eastAsia" w:ascii="仿宋" w:hAnsi="仿宋" w:eastAsia="仿宋"/>
          <w:b w:val="0"/>
          <w:bCs/>
          <w:color w:val="000000"/>
          <w:sz w:val="32"/>
          <w:szCs w:val="32"/>
        </w:rPr>
        <w:t>5</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住房保障（类）住房改革支出（款）住房公积金（项）</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24.19</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411.142</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317.29</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93.85</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1.26</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8年“三公”经费财政拨款支出决算中，无因公出国（境）费支出决算0元；公务用车购置及运行维护费支出决算0元；公务接待费支出决算</w:t>
      </w:r>
      <w:r>
        <w:rPr>
          <w:rFonts w:hint="eastAsia" w:ascii="仿宋" w:hAnsi="仿宋" w:eastAsia="仿宋"/>
          <w:color w:val="000000"/>
          <w:sz w:val="32"/>
          <w:szCs w:val="32"/>
          <w:lang w:val="en-US" w:eastAsia="zh-CN"/>
        </w:rPr>
        <w:t>1.26</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7年减少0.0</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万元，下降1</w:t>
      </w:r>
      <w:r>
        <w:rPr>
          <w:rFonts w:ascii="仿宋_GB2312" w:eastAsia="仿宋_GB2312"/>
          <w:color w:val="000000"/>
          <w:sz w:val="32"/>
          <w:szCs w:val="32"/>
        </w:rPr>
        <w:t>%</w:t>
      </w:r>
      <w:r>
        <w:rPr>
          <w:rFonts w:hint="eastAsia" w:ascii="仿宋_GB2312" w:eastAsia="仿宋_GB2312"/>
          <w:color w:val="000000"/>
          <w:sz w:val="32"/>
          <w:szCs w:val="32"/>
        </w:rPr>
        <w:t>。主要原因是公务接待次数减少。</w:t>
      </w:r>
    </w:p>
    <w:p>
      <w:pPr>
        <w:spacing w:line="600" w:lineRule="exact"/>
        <w:ind w:firstLine="640" w:firstLineChars="200"/>
        <w:rPr>
          <w:rFonts w:ascii="黑体" w:eastAsia="黑体"/>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0批次，</w:t>
      </w:r>
      <w:r>
        <w:rPr>
          <w:rFonts w:hint="eastAsia" w:ascii="仿宋_GB2312" w:eastAsia="仿宋_GB2312"/>
          <w:color w:val="000000"/>
          <w:sz w:val="32"/>
          <w:szCs w:val="32"/>
          <w:lang w:val="en-US" w:eastAsia="zh-CN"/>
        </w:rPr>
        <w:t>620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1.26</w:t>
      </w:r>
      <w:r>
        <w:rPr>
          <w:rFonts w:hint="eastAsia" w:ascii="仿宋_GB2312" w:eastAsia="仿宋_GB2312"/>
          <w:color w:val="000000"/>
          <w:sz w:val="32"/>
          <w:szCs w:val="32"/>
        </w:rPr>
        <w:t>万元，具体内容包括：教育主管部门检查和教育相关检查</w:t>
      </w:r>
      <w:r>
        <w:rPr>
          <w:rFonts w:hint="eastAsia" w:ascii="仿宋_GB2312" w:eastAsia="仿宋_GB2312"/>
          <w:color w:val="000000"/>
          <w:sz w:val="32"/>
          <w:szCs w:val="32"/>
          <w:lang w:val="en-US" w:eastAsia="zh-CN"/>
        </w:rPr>
        <w:t>50</w:t>
      </w:r>
      <w:r>
        <w:rPr>
          <w:rFonts w:hint="eastAsia" w:ascii="仿宋_GB2312" w:eastAsia="仿宋_GB2312"/>
          <w:color w:val="000000"/>
          <w:sz w:val="32"/>
          <w:szCs w:val="32"/>
        </w:rPr>
        <w:t>2人次，金额</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万元；教学质量抽测接待</w:t>
      </w:r>
      <w:r>
        <w:rPr>
          <w:rFonts w:hint="eastAsia" w:ascii="仿宋_GB2312" w:eastAsia="仿宋_GB2312"/>
          <w:color w:val="000000"/>
          <w:sz w:val="32"/>
          <w:szCs w:val="32"/>
          <w:lang w:val="en-US" w:eastAsia="zh-CN"/>
        </w:rPr>
        <w:t>55</w:t>
      </w:r>
      <w:r>
        <w:rPr>
          <w:rFonts w:hint="eastAsia" w:ascii="仿宋_GB2312" w:eastAsia="仿宋_GB2312"/>
          <w:color w:val="000000"/>
          <w:sz w:val="32"/>
          <w:szCs w:val="32"/>
        </w:rPr>
        <w:t>人次，金额0.</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万元；其他公务接待</w:t>
      </w:r>
      <w:r>
        <w:rPr>
          <w:rFonts w:hint="eastAsia" w:ascii="仿宋_GB2312" w:eastAsia="仿宋_GB2312"/>
          <w:color w:val="000000"/>
          <w:sz w:val="32"/>
          <w:szCs w:val="32"/>
          <w:lang w:val="en-US" w:eastAsia="zh-CN"/>
        </w:rPr>
        <w:t>63</w:t>
      </w:r>
      <w:r>
        <w:rPr>
          <w:rFonts w:hint="eastAsia" w:ascii="仿宋_GB2312" w:eastAsia="仿宋_GB2312"/>
          <w:color w:val="000000"/>
          <w:sz w:val="32"/>
          <w:szCs w:val="32"/>
        </w:rPr>
        <w:t>人次，金额0.</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万元。</w:t>
      </w:r>
    </w:p>
    <w:p>
      <w:pPr>
        <w:spacing w:line="600" w:lineRule="exact"/>
        <w:ind w:firstLine="640"/>
        <w:outlineLvl w:val="1"/>
        <w:rPr>
          <w:rStyle w:val="25"/>
          <w:rFonts w:ascii="黑体" w:hAnsi="黑体" w:eastAsia="黑体"/>
        </w:rPr>
      </w:pPr>
      <w:bookmarkStart w:id="46" w:name="_Toc15396610"/>
      <w:bookmarkStart w:id="47"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8年无政府性基金预算拨款支出。</w:t>
      </w: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8年无国有资本经营预算拨款支出。</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一般公共预算项目支出开展了预算事前绩效评估，对1个项目编制了绩效目标，预算执行过程中，选取1个项目开展绩效监控，年终执行完毕后，对1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对2018年整体支出开展绩效自评，存在的问题：一是学校内控制度不够健全。二是部门绩效考核创新思维有待加强。下一步改进措施：一是建立健全学校内控制度，加强管理。二是各部门进一步细化绩效考核细则，积极创新，绩效考核更加科学、合理。本部门对项目支出开展了绩效评价，存在的问题：一是项目管理执行力度不够；二是没有充分发挥项目的经济效益和社会效益。下一步改进措施：一是加大业绩项目管理力度.二是要充分发挥项目管理的经济效益和社会效益。</w:t>
      </w:r>
    </w:p>
    <w:p>
      <w:pPr>
        <w:numPr>
          <w:ilvl w:val="0"/>
          <w:numId w:val="4"/>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本部门在2018年度部门决算中反映“义教学生营养改善计划金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“义教贫困寄宿生生活补助”、“均衡发展补助资金”5个项目绩效目标实际完成情况。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义教学生营养改善计划金项目绩效目标完成情况综述。项目全年预算数</w:t>
      </w:r>
      <w:r>
        <w:rPr>
          <w:rFonts w:hint="eastAsia" w:ascii="仿宋_GB2312" w:hAnsi="仿宋_GB2312" w:eastAsia="仿宋_GB2312" w:cs="仿宋_GB2312"/>
          <w:sz w:val="32"/>
          <w:szCs w:val="32"/>
          <w:lang w:val="en-US" w:eastAsia="zh-CN"/>
        </w:rPr>
        <w:t>33.23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33.23</w:t>
      </w:r>
      <w:r>
        <w:rPr>
          <w:rFonts w:hint="eastAsia" w:ascii="仿宋_GB2312" w:hAnsi="仿宋_GB2312" w:eastAsia="仿宋_GB2312" w:cs="仿宋_GB2312"/>
          <w:sz w:val="32"/>
          <w:szCs w:val="32"/>
        </w:rPr>
        <w:t>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义教贫困寄宿生生活补助项目绩效目标完成情况综述。项目全年预算数</w:t>
      </w:r>
      <w:r>
        <w:rPr>
          <w:rFonts w:hint="eastAsia" w:ascii="仿宋_GB2312" w:hAnsi="仿宋_GB2312" w:eastAsia="仿宋_GB2312" w:cs="仿宋_GB2312"/>
          <w:sz w:val="32"/>
          <w:szCs w:val="32"/>
          <w:lang w:val="en-US" w:eastAsia="zh-CN"/>
        </w:rPr>
        <w:t>7.05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7.05</w:t>
      </w:r>
      <w:r>
        <w:rPr>
          <w:rFonts w:hint="eastAsia" w:ascii="仿宋_GB2312" w:hAnsi="仿宋_GB2312" w:eastAsia="仿宋_GB2312" w:cs="仿宋_GB2312"/>
          <w:sz w:val="32"/>
          <w:szCs w:val="32"/>
        </w:rPr>
        <w:t>万元，完成预算的100%。</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均衡发展补助资金项目绩效目标完成情况综述。项目全年预算数33.14万元，执行数为33.14万元，完成预算的100%。</w:t>
      </w:r>
    </w:p>
    <w:tbl>
      <w:tblPr>
        <w:tblStyle w:val="12"/>
        <w:tblpPr w:leftFromText="180" w:rightFromText="180" w:vertAnchor="text" w:horzAnchor="page" w:tblpX="1794" w:tblpY="475"/>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pStyle w:val="23"/>
        <w:spacing w:line="580" w:lineRule="exact"/>
        <w:ind w:firstLine="0" w:firstLineChars="0"/>
        <w:rPr>
          <w:rStyle w:val="25"/>
          <w:rFonts w:ascii="黑体" w:hAnsi="黑体" w:eastAsia="黑体"/>
          <w:b w:val="0"/>
        </w:rPr>
      </w:pPr>
    </w:p>
    <w:p>
      <w:pPr>
        <w:numPr>
          <w:ilvl w:val="0"/>
          <w:numId w:val="4"/>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本部门按要求对2018年部门整体支出绩效评价情况开展自评，《宣汉县华景初级中学2018年部门整体支出绩效评价报告》见附件。</w:t>
      </w: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8年无机关运行经费支出。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bookmarkStart w:id="54" w:name="_Toc15377224"/>
      <w:r>
        <w:rPr>
          <w:rFonts w:ascii="仿宋_GB2312" w:eastAsia="仿宋_GB2312"/>
          <w:color w:val="000000"/>
          <w:sz w:val="32"/>
          <w:szCs w:val="32"/>
        </w:rPr>
        <w:t>201</w:t>
      </w:r>
      <w:r>
        <w:rPr>
          <w:rFonts w:hint="eastAsia" w:ascii="仿宋_GB2312" w:eastAsia="仿宋_GB2312"/>
          <w:color w:val="000000"/>
          <w:sz w:val="32"/>
          <w:szCs w:val="32"/>
        </w:rPr>
        <w:t>8年，无政府采购支出。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日，无公务用车，无</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万元以上通用设备，无单价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spacing w:line="600" w:lineRule="exact"/>
        <w:jc w:val="center"/>
        <w:outlineLvl w:val="0"/>
        <w:rPr>
          <w:rFonts w:ascii="黑体" w:hAnsi="黑体" w:eastAsia="黑体" w:cs="方正小标宋简体"/>
          <w:sz w:val="32"/>
          <w:szCs w:val="32"/>
        </w:rPr>
      </w:pPr>
      <w:bookmarkStart w:id="59" w:name="_Toc15396615"/>
      <w:r>
        <w:rPr>
          <w:rFonts w:hint="eastAsia" w:ascii="黑体" w:hAnsi="黑体" w:eastAsia="黑体" w:cs="方正小标宋简体"/>
          <w:sz w:val="32"/>
          <w:szCs w:val="32"/>
        </w:rPr>
        <w:t>宣汉县</w:t>
      </w:r>
      <w:r>
        <w:rPr>
          <w:rFonts w:hint="eastAsia" w:ascii="黑体" w:hAnsi="黑体" w:eastAsia="黑体" w:cs="方正小标宋简体"/>
          <w:sz w:val="32"/>
          <w:szCs w:val="32"/>
          <w:lang w:eastAsia="zh-CN"/>
        </w:rPr>
        <w:t>漆树乡中心校</w:t>
      </w:r>
      <w:r>
        <w:rPr>
          <w:rFonts w:hint="eastAsia" w:ascii="黑体" w:hAnsi="黑体" w:eastAsia="黑体" w:cs="方正小标宋简体"/>
          <w:sz w:val="32"/>
          <w:szCs w:val="32"/>
        </w:rPr>
        <w:t>2018年部门整体支出绩效评价报告</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一、部门概况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（一）机构组成</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w:t>
      </w:r>
      <w:r>
        <w:rPr>
          <w:rFonts w:hint="eastAsia" w:ascii="仿宋_GB2312" w:hAnsi="Calibri" w:eastAsia="仿宋_GB2312" w:cs="仿宋"/>
          <w:color w:val="000000"/>
          <w:kern w:val="0"/>
          <w:sz w:val="32"/>
          <w:szCs w:val="32"/>
          <w:lang w:eastAsia="zh-CN"/>
        </w:rPr>
        <w:t>漆树乡中心校</w:t>
      </w:r>
      <w:r>
        <w:rPr>
          <w:rFonts w:hint="eastAsia" w:ascii="仿宋_GB2312" w:hAnsi="Calibri" w:eastAsia="仿宋_GB2312" w:cs="仿宋"/>
          <w:color w:val="000000"/>
          <w:kern w:val="0"/>
          <w:sz w:val="32"/>
          <w:szCs w:val="32"/>
        </w:rPr>
        <w:t>是一所公办的全日制</w:t>
      </w:r>
      <w:r>
        <w:rPr>
          <w:rFonts w:hint="eastAsia" w:ascii="仿宋_GB2312" w:hAnsi="Calibri" w:eastAsia="仿宋_GB2312" w:cs="仿宋"/>
          <w:color w:val="000000"/>
          <w:kern w:val="0"/>
          <w:sz w:val="32"/>
          <w:szCs w:val="32"/>
          <w:lang w:eastAsia="zh-CN"/>
        </w:rPr>
        <w:t>小学</w:t>
      </w:r>
      <w:r>
        <w:rPr>
          <w:rFonts w:hint="eastAsia" w:ascii="仿宋_GB2312" w:hAnsi="Calibri" w:eastAsia="仿宋_GB2312" w:cs="仿宋"/>
          <w:color w:val="000000"/>
          <w:kern w:val="0"/>
          <w:sz w:val="32"/>
          <w:szCs w:val="32"/>
        </w:rPr>
        <w:t>,主管部门为宣汉县教育科技局。</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（二）机构职能</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w:t>
      </w:r>
      <w:r>
        <w:rPr>
          <w:rFonts w:hint="eastAsia" w:ascii="仿宋_GB2312" w:hAnsi="Calibri" w:eastAsia="仿宋_GB2312" w:cs="仿宋"/>
          <w:color w:val="000000"/>
          <w:kern w:val="0"/>
          <w:sz w:val="32"/>
          <w:szCs w:val="32"/>
          <w:lang w:eastAsia="zh-CN"/>
        </w:rPr>
        <w:t>漆树乡中心校</w:t>
      </w:r>
      <w:r>
        <w:rPr>
          <w:rFonts w:hint="eastAsia" w:ascii="仿宋_GB2312" w:hAnsi="Calibri" w:eastAsia="仿宋_GB2312" w:cs="仿宋"/>
          <w:color w:val="000000"/>
          <w:kern w:val="0"/>
          <w:sz w:val="32"/>
          <w:szCs w:val="32"/>
        </w:rPr>
        <w:t>的基本职能和主要工作是：1.全面贯彻党的教育方针，认真执行国家的有关政策、法规，坚持社会主义办学方向，遵循教育、教学规律，面向全体学生，全面提高学校的教育教学质量。2.以素质教育为主线，以培养“有理想、有道德、有文化、有纪律”的社会主义事业的建设者和接班人为目标，坚持“德育为首位，教学为中心”的办学方向，以培养学生的学习能力、创新能力、综合运用知识解决实际问题的能力和积极参与社会生活的意识，达到既教书又育人的目的。3.制定学校的年度教学计划和中长期发展规划，确定教学方向和教育目标，依据《义务教育法》、《</w:t>
      </w:r>
      <w:r>
        <w:rPr>
          <w:rFonts w:hint="eastAsia" w:ascii="仿宋_GB2312" w:hAnsi="Calibri" w:eastAsia="仿宋_GB2312" w:cs="仿宋"/>
          <w:color w:val="000000"/>
          <w:kern w:val="0"/>
          <w:sz w:val="32"/>
          <w:szCs w:val="32"/>
          <w:lang w:eastAsia="zh-CN"/>
        </w:rPr>
        <w:t>中华人民共和国未成年人保护法</w:t>
      </w:r>
      <w:r>
        <w:rPr>
          <w:rFonts w:hint="eastAsia" w:ascii="仿宋_GB2312" w:hAnsi="Calibri" w:eastAsia="仿宋_GB2312" w:cs="仿宋"/>
          <w:color w:val="000000"/>
          <w:kern w:val="0"/>
          <w:sz w:val="32"/>
          <w:szCs w:val="32"/>
        </w:rPr>
        <w:t>》做好“保学控辍”工作，依法保护学生和家长的利益，更好地为学生服务，为家长服务，为社会服务。</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（三）人员概况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宣汉县</w:t>
      </w:r>
      <w:r>
        <w:rPr>
          <w:rFonts w:hint="eastAsia" w:ascii="仿宋_GB2312" w:hAnsi="Calibri" w:eastAsia="仿宋_GB2312" w:cs="仿宋"/>
          <w:color w:val="000000"/>
          <w:kern w:val="0"/>
          <w:sz w:val="32"/>
          <w:szCs w:val="32"/>
          <w:lang w:eastAsia="zh-CN"/>
        </w:rPr>
        <w:t>漆树乡中心校</w:t>
      </w:r>
      <w:r>
        <w:rPr>
          <w:rFonts w:hint="eastAsia" w:ascii="仿宋_GB2312" w:hAnsi="Calibri" w:eastAsia="仿宋_GB2312" w:cs="仿宋"/>
          <w:color w:val="000000"/>
          <w:kern w:val="0"/>
          <w:sz w:val="32"/>
          <w:szCs w:val="32"/>
        </w:rPr>
        <w:t>2018年在编教职工</w:t>
      </w:r>
      <w:r>
        <w:rPr>
          <w:rFonts w:hint="eastAsia" w:ascii="仿宋_GB2312" w:hAnsi="Calibri" w:eastAsia="仿宋_GB2312" w:cs="仿宋"/>
          <w:color w:val="000000"/>
          <w:kern w:val="0"/>
          <w:sz w:val="32"/>
          <w:szCs w:val="32"/>
          <w:lang w:val="en-US" w:eastAsia="zh-CN"/>
        </w:rPr>
        <w:t>26</w:t>
      </w:r>
      <w:r>
        <w:rPr>
          <w:rFonts w:hint="eastAsia" w:ascii="仿宋_GB2312" w:hAnsi="Calibri" w:eastAsia="仿宋_GB2312" w:cs="仿宋"/>
          <w:color w:val="000000"/>
          <w:kern w:val="0"/>
          <w:sz w:val="32"/>
          <w:szCs w:val="32"/>
        </w:rPr>
        <w:t>人（含特岗教师），退休教师</w:t>
      </w:r>
      <w:r>
        <w:rPr>
          <w:rFonts w:hint="eastAsia" w:ascii="仿宋_GB2312" w:hAnsi="Calibri" w:eastAsia="仿宋_GB2312" w:cs="仿宋"/>
          <w:color w:val="000000"/>
          <w:kern w:val="0"/>
          <w:sz w:val="32"/>
          <w:szCs w:val="32"/>
          <w:lang w:val="en-US" w:eastAsia="zh-CN"/>
        </w:rPr>
        <w:t>16</w:t>
      </w:r>
      <w:r>
        <w:rPr>
          <w:rFonts w:hint="eastAsia" w:ascii="仿宋_GB2312" w:hAnsi="Calibri" w:eastAsia="仿宋_GB2312" w:cs="仿宋"/>
          <w:color w:val="000000"/>
          <w:kern w:val="0"/>
          <w:sz w:val="32"/>
          <w:szCs w:val="32"/>
        </w:rPr>
        <w:t>人，临时聘用教师</w:t>
      </w:r>
      <w:r>
        <w:rPr>
          <w:rFonts w:hint="eastAsia" w:ascii="仿宋_GB2312" w:hAnsi="Calibri" w:eastAsia="仿宋_GB2312" w:cs="仿宋"/>
          <w:color w:val="000000"/>
          <w:kern w:val="0"/>
          <w:sz w:val="32"/>
          <w:szCs w:val="32"/>
          <w:lang w:val="en-US" w:eastAsia="zh-CN"/>
        </w:rPr>
        <w:t>6</w:t>
      </w:r>
      <w:r>
        <w:rPr>
          <w:rFonts w:hint="eastAsia" w:ascii="仿宋_GB2312" w:hAnsi="Calibri" w:eastAsia="仿宋_GB2312" w:cs="仿宋"/>
          <w:color w:val="000000"/>
          <w:kern w:val="0"/>
          <w:sz w:val="32"/>
          <w:szCs w:val="32"/>
        </w:rPr>
        <w:t>人，在校学生</w:t>
      </w:r>
      <w:r>
        <w:rPr>
          <w:rFonts w:hint="eastAsia" w:ascii="仿宋_GB2312" w:hAnsi="Calibri" w:eastAsia="仿宋_GB2312" w:cs="仿宋"/>
          <w:color w:val="000000"/>
          <w:kern w:val="0"/>
          <w:sz w:val="32"/>
          <w:szCs w:val="32"/>
          <w:lang w:val="en-US" w:eastAsia="zh-CN"/>
        </w:rPr>
        <w:t>577</w:t>
      </w:r>
      <w:r>
        <w:rPr>
          <w:rFonts w:hint="eastAsia" w:ascii="仿宋_GB2312" w:hAnsi="Calibri" w:eastAsia="仿宋_GB2312" w:cs="仿宋"/>
          <w:color w:val="000000"/>
          <w:kern w:val="0"/>
          <w:sz w:val="32"/>
          <w:szCs w:val="32"/>
        </w:rPr>
        <w:t>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二、部门财政资金收支情况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（一）部门财政资金收入情况。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2018年收入合计</w:t>
      </w:r>
      <w:r>
        <w:rPr>
          <w:rFonts w:hint="eastAsia" w:ascii="仿宋_GB2312" w:hAnsi="Calibri" w:eastAsia="仿宋_GB2312" w:cs="仿宋"/>
          <w:color w:val="000000"/>
          <w:kern w:val="0"/>
          <w:sz w:val="32"/>
          <w:szCs w:val="32"/>
          <w:lang w:val="en-US" w:eastAsia="zh-CN"/>
        </w:rPr>
        <w:t>521.502</w:t>
      </w:r>
      <w:r>
        <w:rPr>
          <w:rFonts w:hint="eastAsia" w:ascii="仿宋_GB2312" w:hAnsi="Calibri" w:eastAsia="仿宋_GB2312" w:cs="仿宋"/>
          <w:color w:val="000000"/>
          <w:kern w:val="0"/>
          <w:sz w:val="32"/>
          <w:szCs w:val="32"/>
        </w:rPr>
        <w:t>万元，全部为一般公共预算财政拨款收入。</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（二）部门财政资金支出情况。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2018年一般公共预算财政拨款支出</w:t>
      </w:r>
      <w:r>
        <w:rPr>
          <w:rFonts w:hint="eastAsia" w:ascii="仿宋_GB2312" w:hAnsi="Calibri" w:eastAsia="仿宋_GB2312" w:cs="仿宋"/>
          <w:color w:val="000000"/>
          <w:kern w:val="0"/>
          <w:sz w:val="32"/>
          <w:szCs w:val="32"/>
          <w:lang w:val="en-US" w:eastAsia="zh-CN"/>
        </w:rPr>
        <w:t>521.502</w:t>
      </w:r>
      <w:r>
        <w:rPr>
          <w:rFonts w:hint="eastAsia" w:ascii="仿宋_GB2312" w:hAnsi="Calibri" w:eastAsia="仿宋_GB2312" w:cs="仿宋"/>
          <w:color w:val="000000"/>
          <w:kern w:val="0"/>
          <w:sz w:val="32"/>
          <w:szCs w:val="32"/>
        </w:rPr>
        <w:t>万元，主要用于以下方面:教育支出</w:t>
      </w:r>
      <w:r>
        <w:rPr>
          <w:rFonts w:hint="eastAsia" w:ascii="仿宋_GB2312" w:hAnsi="Calibri" w:eastAsia="仿宋_GB2312" w:cs="仿宋"/>
          <w:color w:val="000000"/>
          <w:kern w:val="0"/>
          <w:sz w:val="32"/>
          <w:szCs w:val="32"/>
          <w:lang w:val="en-US" w:eastAsia="zh-CN"/>
        </w:rPr>
        <w:t>4466.73</w:t>
      </w:r>
      <w:r>
        <w:rPr>
          <w:rFonts w:hint="eastAsia" w:ascii="仿宋_GB2312" w:hAnsi="Calibri" w:eastAsia="仿宋_GB2312" w:cs="仿宋"/>
          <w:color w:val="000000"/>
          <w:kern w:val="0"/>
          <w:sz w:val="32"/>
          <w:szCs w:val="32"/>
        </w:rPr>
        <w:t>万元，社会保障和就业支出</w:t>
      </w:r>
      <w:r>
        <w:rPr>
          <w:rFonts w:hint="eastAsia" w:ascii="仿宋_GB2312" w:hAnsi="Calibri" w:eastAsia="仿宋_GB2312" w:cs="仿宋"/>
          <w:color w:val="000000"/>
          <w:kern w:val="0"/>
          <w:sz w:val="32"/>
          <w:szCs w:val="32"/>
          <w:lang w:val="en-US" w:eastAsia="zh-CN"/>
        </w:rPr>
        <w:t>42.58</w:t>
      </w:r>
      <w:r>
        <w:rPr>
          <w:rFonts w:hint="eastAsia" w:ascii="仿宋_GB2312" w:hAnsi="Calibri" w:eastAsia="仿宋_GB2312" w:cs="仿宋"/>
          <w:color w:val="000000"/>
          <w:kern w:val="0"/>
          <w:sz w:val="32"/>
          <w:szCs w:val="32"/>
        </w:rPr>
        <w:t>万元，医疗卫生与计划生育支出</w:t>
      </w:r>
      <w:r>
        <w:rPr>
          <w:rFonts w:hint="eastAsia" w:ascii="仿宋_GB2312" w:hAnsi="Calibri" w:eastAsia="仿宋_GB2312" w:cs="仿宋"/>
          <w:color w:val="000000"/>
          <w:kern w:val="0"/>
          <w:sz w:val="32"/>
          <w:szCs w:val="32"/>
          <w:lang w:val="en-US" w:eastAsia="zh-CN"/>
        </w:rPr>
        <w:t>8.06</w:t>
      </w:r>
      <w:r>
        <w:rPr>
          <w:rFonts w:hint="eastAsia" w:ascii="仿宋_GB2312" w:hAnsi="Calibri" w:eastAsia="仿宋_GB2312" w:cs="仿宋"/>
          <w:color w:val="000000"/>
          <w:kern w:val="0"/>
          <w:sz w:val="32"/>
          <w:szCs w:val="32"/>
        </w:rPr>
        <w:t>万元，住房保障支出</w:t>
      </w:r>
      <w:r>
        <w:rPr>
          <w:rFonts w:hint="eastAsia" w:ascii="仿宋_GB2312" w:hAnsi="Calibri" w:eastAsia="仿宋_GB2312" w:cs="仿宋"/>
          <w:color w:val="000000"/>
          <w:kern w:val="0"/>
          <w:sz w:val="32"/>
          <w:szCs w:val="32"/>
          <w:lang w:val="en-US" w:eastAsia="zh-CN"/>
        </w:rPr>
        <w:t>24.19</w:t>
      </w:r>
      <w:r>
        <w:rPr>
          <w:rFonts w:hint="eastAsia" w:ascii="仿宋_GB2312" w:hAnsi="Calibri" w:eastAsia="仿宋_GB2312" w:cs="仿宋"/>
          <w:color w:val="000000"/>
          <w:kern w:val="0"/>
          <w:sz w:val="32"/>
          <w:szCs w:val="32"/>
        </w:rPr>
        <w:t>万元。</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三、部门整体预算绩效管理情况。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（一）部门预算管理。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2018年度宣汉县</w:t>
      </w:r>
      <w:r>
        <w:rPr>
          <w:rFonts w:hint="eastAsia" w:ascii="仿宋_GB2312" w:hAnsi="Calibri" w:eastAsia="仿宋_GB2312" w:cs="仿宋"/>
          <w:color w:val="000000"/>
          <w:kern w:val="0"/>
          <w:sz w:val="32"/>
          <w:szCs w:val="32"/>
          <w:lang w:eastAsia="zh-CN"/>
        </w:rPr>
        <w:t>漆树乡中心校</w:t>
      </w:r>
      <w:r>
        <w:rPr>
          <w:rFonts w:hint="eastAsia" w:ascii="仿宋_GB2312" w:hAnsi="Calibri" w:eastAsia="仿宋_GB2312" w:cs="仿宋"/>
          <w:color w:val="000000"/>
          <w:kern w:val="0"/>
          <w:sz w:val="32"/>
          <w:szCs w:val="32"/>
        </w:rPr>
        <w:t>履职效益情况良好，认真遵守各项财务规章制度，严格执行各项支出审批程序，确保专款专用，无截留、挤占或挪用。“三公”经费按照预算额度进行控制、努力节约经费。项目按计划组织实施，确保专项资金合理使用，切实提高资金效益。部门整体支出绩效情况如下：</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1、在原相对健全的财务管理制度基础上，适时地、针对性地进行了相关制度的增补，制度的建立更为完善。</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2、贯彻落实中央八项规定和省、市相关文件精神。进一步加强“三公”经费管理，严格执行党政机关公务接待管理规定，尽力压缩“三公”经费等行政支出。</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3、教师办公条件改善，给教育教学工作带来了很大的帮助，同时也提高了教师的工作积极性。</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（二）专项预算管理。</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一是加强领导责任意识，落实管理责任；二是加强资金管理制度建设，确保机构健全、分工明确；三是加强资金支出管理，严格支出标准和范围，确保专款专用，无截留、挤占或挪用。</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（三）结果应用情况。</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将绩效评价结果作为以后年度安排预算的依据，优化资源配置。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四、评价结论及建议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（一）评价结论：优良。</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（二）存在问题。</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由于我校缺编严重，加之请产假的教师较多，故而我校本年度聘请了很多临时代课老师，学校用于临聘教师资金较多，严重制约了学校的发展。</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（三）改进建议。</w:t>
      </w:r>
    </w:p>
    <w:p>
      <w:pPr>
        <w:spacing w:line="58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厉行节约，开源节流，严格控制支出，根据学校实际有计划地减少临聘人员，合理地运用资金，促进学校不断向前发展。</w:t>
      </w:r>
    </w:p>
    <w:bookmarkEnd w:id="59"/>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0" w:name="_Toc15396617"/>
      <w:r>
        <w:rPr>
          <w:rStyle w:val="24"/>
          <w:rFonts w:hint="eastAsia" w:ascii="仿宋" w:hAnsi="仿宋" w:eastAsia="仿宋"/>
          <w:b w:val="0"/>
          <w:bCs w:val="0"/>
          <w:sz w:val="32"/>
          <w:szCs w:val="32"/>
        </w:rPr>
        <w:t>附件2</w:t>
      </w:r>
      <w:bookmarkEnd w:id="60"/>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4"/>
          <w:rFonts w:ascii="黑体" w:hAnsi="黑体" w:eastAsia="黑体"/>
          <w:b w:val="0"/>
        </w:rPr>
      </w:pPr>
      <w:bookmarkStart w:id="61"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3"/>
    </w:p>
    <w:p>
      <w:pPr>
        <w:pStyle w:val="3"/>
        <w:rPr>
          <w:rFonts w:ascii="仿宋" w:hAnsi="仿宋" w:eastAsia="仿宋"/>
          <w:color w:val="000000"/>
        </w:rPr>
      </w:pPr>
      <w:bookmarkStart w:id="64"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4"/>
    </w:p>
    <w:p>
      <w:pPr>
        <w:pStyle w:val="3"/>
        <w:rPr>
          <w:rFonts w:ascii="仿宋" w:hAnsi="仿宋" w:eastAsia="仿宋"/>
          <w:b w:val="0"/>
          <w:color w:val="000000"/>
        </w:rPr>
      </w:pPr>
      <w:bookmarkStart w:id="65"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5"/>
    </w:p>
    <w:p>
      <w:pPr>
        <w:pStyle w:val="3"/>
        <w:rPr>
          <w:rFonts w:ascii="仿宋" w:hAnsi="仿宋" w:eastAsia="仿宋"/>
          <w:color w:val="000000"/>
        </w:rPr>
      </w:pPr>
      <w:bookmarkStart w:id="66"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6"/>
    </w:p>
    <w:p>
      <w:pPr>
        <w:pStyle w:val="3"/>
        <w:rPr>
          <w:rFonts w:ascii="仿宋" w:hAnsi="仿宋" w:eastAsia="仿宋"/>
          <w:color w:val="000000"/>
        </w:rPr>
      </w:pPr>
      <w:bookmarkStart w:id="67"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3"/>
    </w:p>
    <w:p>
      <w:pPr>
        <w:pStyle w:val="3"/>
        <w:rPr>
          <w:rFonts w:ascii="仿宋" w:hAnsi="仿宋" w:eastAsia="仿宋"/>
          <w:color w:val="000000" w:themeColor="text1"/>
        </w:rPr>
      </w:pPr>
      <w:bookmarkStart w:id="74"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5C1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02A0"/>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1029C"/>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91E71"/>
    <w:rsid w:val="00FA23E8"/>
    <w:rsid w:val="00FD3CC1"/>
    <w:rsid w:val="00FF1E02"/>
    <w:rsid w:val="00FF30B4"/>
    <w:rsid w:val="0FA8094E"/>
    <w:rsid w:val="10C055FF"/>
    <w:rsid w:val="16BB723D"/>
    <w:rsid w:val="19A808E8"/>
    <w:rsid w:val="1BCA2A89"/>
    <w:rsid w:val="1C021FCB"/>
    <w:rsid w:val="1D2D7CA9"/>
    <w:rsid w:val="1FFA10A6"/>
    <w:rsid w:val="23BB08AF"/>
    <w:rsid w:val="240371BF"/>
    <w:rsid w:val="24384B38"/>
    <w:rsid w:val="28591430"/>
    <w:rsid w:val="29FD04D3"/>
    <w:rsid w:val="2DAA6201"/>
    <w:rsid w:val="31650E11"/>
    <w:rsid w:val="319F7F4E"/>
    <w:rsid w:val="413E502C"/>
    <w:rsid w:val="439C1973"/>
    <w:rsid w:val="521542A2"/>
    <w:rsid w:val="55C174ED"/>
    <w:rsid w:val="60B81E54"/>
    <w:rsid w:val="628E7BB3"/>
    <w:rsid w:val="6B7B3509"/>
    <w:rsid w:val="78B03643"/>
    <w:rsid w:val="7D394BD2"/>
    <w:rsid w:val="7EFF6F6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948711774620756"/>
          <c:y val="0.0518059855521156"/>
          <c:w val="0.764026005297375"/>
          <c:h val="0.846233230134159"/>
        </c:manualLayout>
      </c:layout>
      <c:barChart>
        <c:barDir val="col"/>
        <c:grouping val="clustered"/>
        <c:varyColors val="false"/>
        <c:ser>
          <c:idx val="0"/>
          <c:order val="0"/>
          <c:tx>
            <c:strRef>
              <c:f>Sheet1!$B$1</c:f>
              <c:strCache>
                <c:ptCount val="1"/>
                <c:pt idx="0">
                  <c:v>2017年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Sheet1!$B$2:$B$3</c:f>
              <c:numCache>
                <c:formatCode>General</c:formatCode>
                <c:ptCount val="2"/>
                <c:pt idx="0">
                  <c:v>486.37</c:v>
                </c:pt>
                <c:pt idx="1">
                  <c:v>487.37</c:v>
                </c:pt>
              </c:numCache>
            </c:numRef>
          </c:val>
        </c:ser>
        <c:ser>
          <c:idx val="1"/>
          <c:order val="1"/>
          <c:tx>
            <c:strRef>
              <c:f>Sheet1!$C$1</c:f>
              <c:strCache>
                <c:ptCount val="1"/>
                <c:pt idx="0">
                  <c:v>2018年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Sheet1!$C$2:$C$3</c:f>
              <c:numCache>
                <c:formatCode>General</c:formatCode>
                <c:ptCount val="2"/>
                <c:pt idx="0">
                  <c:v>521.502</c:v>
                </c:pt>
                <c:pt idx="1">
                  <c:v>521.502</c:v>
                </c:pt>
              </c:numCache>
            </c:numRef>
          </c:val>
        </c:ser>
        <c:dLbls>
          <c:showLegendKey val="false"/>
          <c:showVal val="true"/>
          <c:showCatName val="false"/>
          <c:showSerName val="false"/>
          <c:showPercent val="false"/>
          <c:showBubbleSize val="false"/>
        </c:dLbls>
        <c:gapWidth val="150"/>
        <c:axId val="97564160"/>
        <c:axId val="97565696"/>
      </c:barChart>
      <c:catAx>
        <c:axId val="9756416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7565696"/>
        <c:crosses val="autoZero"/>
        <c:auto val="true"/>
        <c:lblAlgn val="ctr"/>
        <c:lblOffset val="100"/>
        <c:noMultiLvlLbl val="false"/>
      </c:catAx>
      <c:valAx>
        <c:axId val="97565696"/>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756416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2017年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Sheet1!$B$2:$B$3</c:f>
              <c:numCache>
                <c:formatCode>General</c:formatCode>
                <c:ptCount val="2"/>
                <c:pt idx="0">
                  <c:v>799.42</c:v>
                </c:pt>
                <c:pt idx="1">
                  <c:v>799.42</c:v>
                </c:pt>
              </c:numCache>
            </c:numRef>
          </c:val>
        </c:ser>
        <c:ser>
          <c:idx val="1"/>
          <c:order val="1"/>
          <c:tx>
            <c:strRef>
              <c:f>Sheet1!$C$1</c:f>
              <c:strCache>
                <c:ptCount val="1"/>
                <c:pt idx="0">
                  <c:v>2018年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Sheet1!$C$2:$C$3</c:f>
              <c:numCache>
                <c:formatCode>General</c:formatCode>
                <c:ptCount val="2"/>
                <c:pt idx="0">
                  <c:v>1032.16</c:v>
                </c:pt>
                <c:pt idx="1">
                  <c:v>1032.16</c:v>
                </c:pt>
              </c:numCache>
            </c:numRef>
          </c:val>
        </c:ser>
        <c:dLbls>
          <c:showLegendKey val="false"/>
          <c:showVal val="true"/>
          <c:showCatName val="false"/>
          <c:showSerName val="false"/>
          <c:showPercent val="false"/>
          <c:showBubbleSize val="false"/>
        </c:dLbls>
        <c:gapWidth val="150"/>
        <c:axId val="102603392"/>
        <c:axId val="102842752"/>
      </c:barChart>
      <c:catAx>
        <c:axId val="10260339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02842752"/>
        <c:crosses val="autoZero"/>
        <c:auto val="true"/>
        <c:lblAlgn val="ctr"/>
        <c:lblOffset val="100"/>
        <c:noMultiLvlLbl val="false"/>
      </c:catAx>
      <c:valAx>
        <c:axId val="102842752"/>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02603392"/>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66986889475"/>
          <c:y val="0.148522572738109"/>
          <c:w val="0.687373124814166"/>
          <c:h val="0.740354750432315"/>
        </c:manualLayout>
      </c:layout>
      <c:barChart>
        <c:barDir val="col"/>
        <c:grouping val="clustered"/>
        <c:varyColors val="false"/>
        <c:ser>
          <c:idx val="0"/>
          <c:order val="0"/>
          <c:tx>
            <c:strRef>
              <c:f>Sheet1!$B$1</c:f>
              <c:strCache>
                <c:ptCount val="1"/>
                <c:pt idx="0">
                  <c:v>2017年</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799.42</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Sheet1!$B$2</c:f>
              <c:numCache>
                <c:formatCode>General</c:formatCode>
                <c:ptCount val="1"/>
                <c:pt idx="0">
                  <c:v>1185.46</c:v>
                </c:pt>
              </c:numCache>
            </c:numRef>
          </c:val>
        </c:ser>
        <c:ser>
          <c:idx val="1"/>
          <c:order val="1"/>
          <c:tx>
            <c:strRef>
              <c:f>Sheet1!$C$1</c:f>
              <c:strCache>
                <c:ptCount val="1"/>
                <c:pt idx="0">
                  <c:v>2018年</c:v>
                </c:pt>
              </c:strCache>
            </c:strRef>
          </c:tx>
          <c:invertIfNegative val="false"/>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1032.16</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Sheet1!$C$2</c:f>
              <c:numCache>
                <c:formatCode>General</c:formatCode>
                <c:ptCount val="1"/>
                <c:pt idx="0">
                  <c:v>1156.77</c:v>
                </c:pt>
              </c:numCache>
            </c:numRef>
          </c:val>
        </c:ser>
        <c:dLbls>
          <c:showLegendKey val="false"/>
          <c:showVal val="true"/>
          <c:showCatName val="false"/>
          <c:showSerName val="false"/>
          <c:showPercent val="false"/>
          <c:showBubbleSize val="false"/>
        </c:dLbls>
        <c:gapWidth val="150"/>
        <c:axId val="115860992"/>
        <c:axId val="117150080"/>
      </c:barChart>
      <c:catAx>
        <c:axId val="11586099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7150080"/>
        <c:crosses val="autoZero"/>
        <c:auto val="true"/>
        <c:lblAlgn val="ctr"/>
        <c:lblOffset val="100"/>
        <c:noMultiLvlLbl val="false"/>
      </c:catAx>
      <c:valAx>
        <c:axId val="117150080"/>
        <c:scaling>
          <c:orientation val="minMax"/>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5860992"/>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一般公共预算财政拨款支出结构图</a:t>
            </a:r>
            <a:endParaRPr lang="zh-CN" altLang="en-US"/>
          </a:p>
        </c:rich>
      </c:tx>
      <c:layout>
        <c:manualLayout>
          <c:xMode val="edge"/>
          <c:yMode val="edge"/>
          <c:x val="0.105100028176951"/>
          <c:y val="0.0348128807658834"/>
        </c:manualLayout>
      </c:layout>
      <c:overlay val="false"/>
    </c:title>
    <c:autoTitleDeleted val="false"/>
    <c:plotArea>
      <c:layout/>
      <c:pieChart>
        <c:varyColors val="true"/>
        <c:ser>
          <c:idx val="0"/>
          <c:order val="0"/>
          <c:tx>
            <c:strRef>
              <c:f>Sheet1!$B$1</c:f>
              <c:strCache>
                <c:ptCount val="1"/>
                <c:pt idx="0">
                  <c:v>一般公共预算财政拨款支出结构</c:v>
                </c:pt>
              </c:strCache>
            </c:strRef>
          </c:tx>
          <c:explosion val="0"/>
          <c:dPt>
            <c:idx val="0"/>
            <c:bubble3D val="false"/>
          </c:dPt>
          <c:dPt>
            <c:idx val="1"/>
            <c:bubble3D val="false"/>
          </c:dPt>
          <c:dPt>
            <c:idx val="2"/>
            <c:bubble3D val="false"/>
          </c:dPt>
          <c:dPt>
            <c:idx val="3"/>
            <c:bubble3D val="false"/>
          </c:dPt>
          <c:dPt>
            <c:idx val="4"/>
            <c:bubble3D val="false"/>
          </c:dPt>
          <c:dLbls>
            <c:dLbl>
              <c:idx val="0"/>
              <c:layout>
                <c:manualLayout>
                  <c:x val="-0.0450640415510191"/>
                  <c:y val="-0.160301894378085"/>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89%</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5%</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dLbl>
              <c:idx val="2"/>
              <c:layout>
                <c:manualLayout>
                  <c:x val="0.00470929810589091"/>
                  <c:y val="0.0244098477359739"/>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2.3%</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3.</a:t>
                    </a:r>
                    <a:r>
                      <a:rPr lang="en-US" altLang="zh-CN"/>
                      <a:t>7</a:t>
                    </a:r>
                    <a:r>
                      <a:rPr lang="en-US" altLang="en-US"/>
                      <a:t>%</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教育支出</c:v>
                </c:pt>
                <c:pt idx="1">
                  <c:v>社会保障和就业支出</c:v>
                </c:pt>
                <c:pt idx="2">
                  <c:v>医疗卫生与计划生育支出</c:v>
                </c:pt>
                <c:pt idx="3">
                  <c:v>住房保障支出</c:v>
                </c:pt>
              </c:strCache>
            </c:strRef>
          </c:cat>
          <c:val>
            <c:numRef>
              <c:f>Sheet1!$B$2:$B$6</c:f>
              <c:numCache>
                <c:formatCode>General</c:formatCode>
                <c:ptCount val="5"/>
                <c:pt idx="0">
                  <c:v>85</c:v>
                </c:pt>
                <c:pt idx="1">
                  <c:v>8.2</c:v>
                </c:pt>
                <c:pt idx="2">
                  <c:v>1.6</c:v>
                </c:pt>
                <c:pt idx="3">
                  <c:v>5.2</c:v>
                </c:pt>
              </c:numCache>
            </c:numRef>
          </c:val>
        </c:ser>
        <c:ser>
          <c:idx val="1"/>
          <c:order val="1"/>
          <c:tx>
            <c:strRef>
              <c:f>Sheet1!$C$1</c:f>
              <c:strCache>
                <c:ptCount val="1"/>
                <c:pt idx="0">
                  <c:v/>
                </c:pt>
              </c:strCache>
            </c:strRef>
          </c:tx>
          <c:explosion val="0"/>
          <c:dPt>
            <c:idx val="0"/>
            <c:bubble3D val="false"/>
          </c:dPt>
          <c:dPt>
            <c:idx val="1"/>
            <c:bubble3D val="false"/>
          </c:dPt>
          <c:dPt>
            <c:idx val="2"/>
            <c:bubble3D val="false"/>
          </c:dPt>
          <c:dPt>
            <c:idx val="3"/>
            <c:bubble3D val="false"/>
          </c:dPt>
          <c:dPt>
            <c:idx val="4"/>
            <c:bubble3D val="false"/>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教育支出</c:v>
                </c:pt>
                <c:pt idx="1">
                  <c:v>社会保障和就业支出</c:v>
                </c:pt>
                <c:pt idx="2">
                  <c:v>医疗卫生与计划生育支出</c:v>
                </c:pt>
                <c:pt idx="3">
                  <c:v>住房保障支出</c:v>
                </c:pt>
              </c:strCache>
            </c:strRef>
          </c:cat>
          <c:val>
            <c:numRef>
              <c:f>Sheet1!$C$2:$C$6</c:f>
              <c:numCache>
                <c:formatCode>General</c:formatCode>
                <c:ptCount val="5"/>
              </c:numCache>
            </c:numRef>
          </c:val>
        </c:ser>
        <c:ser>
          <c:idx val="2"/>
          <c:order val="2"/>
          <c:tx>
            <c:strRef>
              <c:f>Sheet1!$D$1</c:f>
              <c:strCache>
                <c:ptCount val="1"/>
                <c:pt idx="0">
                  <c:v/>
                </c:pt>
              </c:strCache>
            </c:strRef>
          </c:tx>
          <c:explosion val="0"/>
          <c:dPt>
            <c:idx val="0"/>
            <c:bubble3D val="false"/>
          </c:dPt>
          <c:dPt>
            <c:idx val="1"/>
            <c:bubble3D val="false"/>
          </c:dPt>
          <c:dPt>
            <c:idx val="2"/>
            <c:bubble3D val="false"/>
          </c:dPt>
          <c:dPt>
            <c:idx val="3"/>
            <c:bubble3D val="false"/>
          </c:dPt>
          <c:dPt>
            <c:idx val="4"/>
            <c:bubble3D val="false"/>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教育支出</c:v>
                </c:pt>
                <c:pt idx="1">
                  <c:v>社会保障和就业支出</c:v>
                </c:pt>
                <c:pt idx="2">
                  <c:v>医疗卫生与计划生育支出</c:v>
                </c:pt>
                <c:pt idx="3">
                  <c:v>住房保障支出</c:v>
                </c:pt>
              </c:strCache>
            </c:strRef>
          </c:cat>
          <c:val>
            <c:numRef>
              <c:f>Sheet1!$D$2:$D$6</c:f>
              <c:numCache>
                <c:formatCode>General</c:formatCode>
                <c:ptCount val="5"/>
              </c:numCache>
            </c:numRef>
          </c:val>
        </c:ser>
        <c:dLbls>
          <c:showLegendKey val="false"/>
          <c:showVal val="false"/>
          <c:showCatName val="false"/>
          <c:showSerName val="false"/>
          <c:showPercent val="tru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21</Pages>
  <Words>1275</Words>
  <Characters>7273</Characters>
  <Lines>60</Lines>
  <Paragraphs>17</Paragraphs>
  <TotalTime>13</TotalTime>
  <ScaleCrop>false</ScaleCrop>
  <LinksUpToDate>false</LinksUpToDate>
  <CharactersWithSpaces>8531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2019-09-02T17:01:00Z</dcterms:created>
  <dc:creator>张彬茜</dc:creator>
  <cp:lastModifiedBy>user</cp:lastModifiedBy>
  <cp:lastPrinted>2019-08-01T16:48:00Z</cp:lastPrinted>
  <dcterms:modified xsi:type="dcterms:W3CDTF">2022-03-07T10:14:33Z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