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7193"/>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宋体" w:eastAsia="方正小标宋简体"/>
          <w:color w:val="000000"/>
          <w:sz w:val="72"/>
          <w:szCs w:val="72"/>
        </w:rPr>
        <w:t>四川省宣汉县土壤肥料工作站</w:t>
      </w:r>
      <w:bookmarkEnd w:id="0"/>
      <w:bookmarkStart w:id="11" w:name="_Toc15306268"/>
      <w:r>
        <w:rPr>
          <w:rFonts w:hint="eastAsia" w:ascii="方正小标宋简体" w:hAnsi="宋体" w:eastAsia="方正小标宋简体"/>
          <w:color w:val="000000"/>
          <w:sz w:val="72"/>
          <w:szCs w:val="72"/>
        </w:rPr>
        <w:t xml:space="preserve">  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widowControl/>
        <w:jc w:val="center"/>
        <w:rPr>
          <w:rFonts w:hint="eastAsia" w:ascii="方正小标宋简体" w:hAnsi="宋体" w:eastAsia="方正小标宋简体"/>
          <w:color w:val="000000"/>
          <w:sz w:val="52"/>
          <w:szCs w:val="52"/>
        </w:rPr>
      </w:pPr>
    </w:p>
    <w:p>
      <w:pPr>
        <w:widowControl/>
        <w:jc w:val="center"/>
        <w:rPr>
          <w:rFonts w:hint="eastAsia" w:ascii="方正小标宋简体" w:hAnsi="宋体" w:eastAsia="方正小标宋简体"/>
          <w:color w:val="000000"/>
          <w:sz w:val="52"/>
          <w:szCs w:val="52"/>
        </w:rPr>
      </w:pPr>
    </w:p>
    <w:p>
      <w:pPr>
        <w:widowControl/>
        <w:jc w:val="center"/>
        <w:rPr>
          <w:rFonts w:hint="eastAsia" w:ascii="方正小标宋简体" w:hAnsi="宋体" w:eastAsia="方正小标宋简体"/>
          <w:color w:val="000000"/>
          <w:sz w:val="52"/>
          <w:szCs w:val="52"/>
        </w:rPr>
      </w:pPr>
    </w:p>
    <w:p>
      <w:pPr>
        <w:widowControl/>
        <w:rPr>
          <w:rFonts w:hint="eastAsia" w:ascii="方正小标宋简体" w:hAnsi="宋体" w:eastAsia="方正小标宋简体"/>
          <w:color w:val="000000"/>
          <w:sz w:val="52"/>
          <w:szCs w:val="52"/>
        </w:rPr>
      </w:pPr>
    </w:p>
    <w:p>
      <w:pPr>
        <w:widowControl/>
        <w:jc w:val="center"/>
        <w:rPr>
          <w:rFonts w:hint="eastAsia" w:ascii="方正小标宋简体" w:hAnsi="宋体" w:eastAsia="方正小标宋简体"/>
          <w:color w:val="000000"/>
          <w:sz w:val="52"/>
          <w:szCs w:val="52"/>
        </w:rPr>
      </w:pPr>
    </w:p>
    <w:p>
      <w:pPr>
        <w:widowControl/>
        <w:jc w:val="center"/>
        <w:rPr>
          <w:rFonts w:hint="eastAsia" w:ascii="方正小标宋简体" w:hAnsi="宋体" w:eastAsia="方正小标宋简体"/>
          <w:color w:val="000000"/>
          <w:sz w:val="52"/>
          <w:szCs w:val="52"/>
        </w:rPr>
      </w:pPr>
    </w:p>
    <w:p>
      <w:pPr>
        <w:widowControl/>
        <w:jc w:val="center"/>
        <w:rPr>
          <w:rFonts w:hint="eastAsia"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公开时间：2020年11月12日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kinsoku w:val="0"/>
        <w:adjustRightInd w:val="0"/>
        <w:snapToGrid w:val="0"/>
        <w:spacing w:line="580" w:lineRule="exact"/>
        <w:ind w:firstLine="640" w:firstLineChars="200"/>
        <w:rPr>
          <w:rFonts w:hint="eastAsia" w:ascii="仿宋" w:hAnsi="仿宋" w:eastAsia="仿宋"/>
          <w:b/>
          <w:snapToGrid w:val="0"/>
          <w:kern w:val="0"/>
          <w:sz w:val="32"/>
          <w:szCs w:val="32"/>
        </w:rPr>
      </w:pPr>
      <w:bookmarkStart w:id="16" w:name="_Toc15377198"/>
      <w:bookmarkStart w:id="17" w:name="_Toc15378445"/>
      <w:r>
        <w:rPr>
          <w:rFonts w:hint="eastAsia" w:ascii="仿宋" w:hAnsi="仿宋" w:eastAsia="仿宋"/>
          <w:bCs/>
          <w:color w:val="000000"/>
          <w:sz w:val="32"/>
          <w:szCs w:val="32"/>
        </w:rPr>
        <w:t>（一）主要职能。</w:t>
      </w:r>
      <w:r>
        <w:rPr>
          <w:rFonts w:hint="eastAsia" w:ascii="仿宋" w:hAnsi="仿宋" w:eastAsia="仿宋"/>
          <w:snapToGrid w:val="0"/>
          <w:kern w:val="0"/>
          <w:sz w:val="32"/>
          <w:szCs w:val="32"/>
        </w:rPr>
        <w:t>1</w:t>
      </w:r>
      <w:r>
        <w:rPr>
          <w:rFonts w:hint="eastAsia" w:ascii="仿宋" w:hAnsi="仿宋" w:eastAsia="仿宋"/>
          <w:b/>
          <w:sz w:val="32"/>
          <w:szCs w:val="32"/>
        </w:rPr>
        <w:t>.</w:t>
      </w:r>
      <w:r>
        <w:rPr>
          <w:rFonts w:hint="eastAsia" w:ascii="仿宋" w:hAnsi="仿宋" w:eastAsia="仿宋"/>
          <w:snapToGrid w:val="0"/>
          <w:kern w:val="0"/>
          <w:sz w:val="32"/>
          <w:szCs w:val="32"/>
        </w:rPr>
        <w:t>主要职能:</w:t>
      </w:r>
      <w:r>
        <w:rPr>
          <w:rStyle w:val="30"/>
          <w:rFonts w:hint="eastAsia" w:ascii="仿宋" w:hAnsi="仿宋" w:eastAsia="仿宋"/>
          <w:snapToGrid w:val="0"/>
          <w:kern w:val="0"/>
          <w:sz w:val="32"/>
          <w:szCs w:val="32"/>
        </w:rPr>
        <w:t>调查全县耕地资源及利用现状,提出保护耕地、土地利用、改造中低产田土的科学规划，规划设计中低产田土工程改造方案和实施办法，监督改造质量。监测全县土壤肥力，分析化验土壤养分含量，检测土壤有毒物质含量，监测土壤生态环境，保护农业环境，为农产品质量安全服务。 负责全县农作物科学施肥的试验、示范、推广工作，监测市场化肥质量，打击假、冒、伪、劣化肥。 对县境内的新型化肥品种、土壤调理剂进行检测、试验、登记上报</w:t>
      </w:r>
    </w:p>
    <w:bookmarkEnd w:id="16"/>
    <w:bookmarkEnd w:id="17"/>
    <w:p>
      <w:pPr>
        <w:spacing w:line="580" w:lineRule="exact"/>
        <w:ind w:firstLine="640" w:firstLineChars="200"/>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580" w:lineRule="exact"/>
        <w:ind w:firstLine="642" w:firstLineChars="200"/>
        <w:rPr>
          <w:rFonts w:ascii="仿宋" w:hAnsi="仿宋" w:eastAsia="仿宋"/>
          <w:sz w:val="32"/>
          <w:szCs w:val="32"/>
        </w:rPr>
      </w:pPr>
      <w:r>
        <w:rPr>
          <w:rFonts w:hint="eastAsia" w:ascii="仿宋" w:hAnsi="仿宋" w:eastAsia="仿宋"/>
          <w:b/>
          <w:color w:val="000000"/>
          <w:sz w:val="32"/>
          <w:szCs w:val="32"/>
        </w:rPr>
        <w:t>1</w:t>
      </w:r>
      <w:r>
        <w:rPr>
          <w:rFonts w:hint="eastAsia" w:ascii="仿宋" w:hAnsi="仿宋" w:eastAsia="仿宋"/>
          <w:b/>
          <w:sz w:val="32"/>
          <w:szCs w:val="32"/>
        </w:rPr>
        <w:t>.</w:t>
      </w:r>
      <w:r>
        <w:rPr>
          <w:rFonts w:hint="eastAsia" w:ascii="仿宋" w:hAnsi="仿宋" w:eastAsia="仿宋"/>
          <w:sz w:val="32"/>
          <w:szCs w:val="32"/>
        </w:rPr>
        <w:t>全国新增千亿斤粮食生产能力宣汉县2019年田间工程建设项目：</w:t>
      </w:r>
      <w:r>
        <w:rPr>
          <w:rFonts w:ascii="仿宋" w:hAnsi="仿宋" w:eastAsia="仿宋"/>
          <w:sz w:val="32"/>
          <w:szCs w:val="32"/>
        </w:rPr>
        <w:t>主要建设地点及内容宣汉县五宝镇高坝、扇子、长白、沙沟、回龙寨和漆碑乡花盆村，共两个乡镇6个村田型调整</w:t>
      </w:r>
      <w:r>
        <w:rPr>
          <w:rFonts w:hint="eastAsia" w:ascii="仿宋" w:hAnsi="仿宋" w:eastAsia="仿宋"/>
          <w:sz w:val="32"/>
          <w:szCs w:val="32"/>
        </w:rPr>
        <w:t>641.23亩。</w:t>
      </w:r>
    </w:p>
    <w:p>
      <w:pPr>
        <w:spacing w:line="560" w:lineRule="exact"/>
        <w:ind w:firstLine="600"/>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w:t>
      </w:r>
      <w:r>
        <w:rPr>
          <w:rFonts w:hint="eastAsia" w:ascii="仿宋" w:hAnsi="仿宋" w:eastAsia="仿宋"/>
          <w:sz w:val="32"/>
          <w:szCs w:val="32"/>
        </w:rPr>
        <w:t>农产品产地环境长期定位监测</w:t>
      </w:r>
      <w:r>
        <w:rPr>
          <w:rFonts w:ascii="仿宋" w:hAnsi="仿宋" w:eastAsia="仿宋"/>
          <w:sz w:val="32"/>
          <w:szCs w:val="32"/>
        </w:rPr>
        <w:t>：</w:t>
      </w:r>
      <w:r>
        <w:rPr>
          <w:rFonts w:hint="eastAsia" w:ascii="仿宋" w:hAnsi="仿宋" w:eastAsia="仿宋"/>
          <w:sz w:val="32"/>
          <w:szCs w:val="32"/>
        </w:rPr>
        <w:t>建立隔离墙，土壤、植株取样分析化验。</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b/>
          <w:sz w:val="32"/>
          <w:szCs w:val="32"/>
        </w:rPr>
        <w:t>.</w:t>
      </w:r>
      <w:r>
        <w:rPr>
          <w:rFonts w:hint="eastAsia" w:ascii="仿宋" w:hAnsi="仿宋" w:eastAsia="仿宋"/>
          <w:color w:val="000000"/>
          <w:sz w:val="32"/>
          <w:szCs w:val="32"/>
        </w:rPr>
        <w:t>作物秸秆综合利用：提高秸秆农用水平,推进秸秆机械化粉碎还田10万亩、秸秆留茬翻耕还田10万亩，开展秸秆覆盖还田栽培5万亩，秸秆腐熟堆沤还田1万亩，利用新型农业经营组织开展农业循环经济试点示范5个1万亩。积极发展专业合作组织、种植大户、家庭农场利用秸秆作基料生产食用菌。推广生物质灶具替代传统燃具500台，鼓励农村居民使用生物质固体燃料。</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s="仿宋_GB2312"/>
          <w:sz w:val="32"/>
          <w:szCs w:val="32"/>
        </w:rPr>
        <w:t>4</w:t>
      </w:r>
      <w:r>
        <w:rPr>
          <w:rFonts w:hint="eastAsia" w:ascii="仿宋" w:hAnsi="仿宋" w:eastAsia="仿宋"/>
          <w:b/>
          <w:sz w:val="32"/>
          <w:szCs w:val="32"/>
        </w:rPr>
        <w:t>.</w:t>
      </w:r>
      <w:r>
        <w:rPr>
          <w:rFonts w:hint="eastAsia" w:ascii="仿宋" w:hAnsi="仿宋" w:eastAsia="仿宋" w:cs="仿宋_GB2312"/>
          <w:sz w:val="32"/>
          <w:szCs w:val="32"/>
        </w:rPr>
        <w:t>是</w:t>
      </w:r>
      <w:r>
        <w:rPr>
          <w:rFonts w:hint="eastAsia" w:ascii="仿宋" w:hAnsi="仿宋" w:eastAsia="仿宋"/>
          <w:bCs/>
          <w:color w:val="000000"/>
          <w:sz w:val="32"/>
          <w:szCs w:val="32"/>
        </w:rPr>
        <w:t>抓好生态环境保护：</w:t>
      </w:r>
      <w:r>
        <w:rPr>
          <w:rFonts w:hint="eastAsia" w:ascii="仿宋" w:hAnsi="仿宋" w:eastAsia="仿宋"/>
          <w:color w:val="000000"/>
          <w:sz w:val="32"/>
          <w:szCs w:val="32"/>
        </w:rPr>
        <w:t>加强农业面源污染治理，特别是江口湖库区沿线面源污染的治理，开展农作物秸秆综合利用和土壤重金属污染治理，实施好化肥零增长行动，化肥年度增长率≤0.6%。</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b/>
          <w:sz w:val="32"/>
          <w:szCs w:val="32"/>
        </w:rPr>
        <w:t>.</w:t>
      </w:r>
      <w:r>
        <w:rPr>
          <w:rFonts w:hint="eastAsia" w:ascii="仿宋" w:hAnsi="仿宋" w:eastAsia="仿宋"/>
          <w:color w:val="000000"/>
          <w:sz w:val="32"/>
          <w:szCs w:val="32"/>
        </w:rPr>
        <w:t>是抓好脱贫</w:t>
      </w:r>
      <w:r>
        <w:rPr>
          <w:rFonts w:hint="eastAsia" w:ascii="仿宋" w:hAnsi="仿宋" w:eastAsia="仿宋"/>
          <w:color w:val="000000"/>
          <w:sz w:val="32"/>
          <w:szCs w:val="32"/>
          <w:lang w:eastAsia="zh-CN"/>
        </w:rPr>
        <w:t>攻坚</w:t>
      </w:r>
      <w:bookmarkStart w:id="49" w:name="_GoBack"/>
      <w:bookmarkEnd w:id="49"/>
      <w:r>
        <w:rPr>
          <w:rFonts w:hint="eastAsia" w:ascii="仿宋" w:hAnsi="仿宋" w:eastAsia="仿宋"/>
          <w:color w:val="000000"/>
          <w:sz w:val="32"/>
          <w:szCs w:val="32"/>
        </w:rPr>
        <w:t>工作：2019年耕地质量提升与化肥减量增效项目建设</w:t>
      </w:r>
      <w:r>
        <w:rPr>
          <w:rFonts w:hint="eastAsia" w:ascii="仿宋" w:hAnsi="仿宋" w:eastAsia="仿宋" w:cs="仿宋"/>
          <w:bCs/>
          <w:sz w:val="32"/>
          <w:szCs w:val="32"/>
        </w:rPr>
        <w:t>示范片2000亩。主要</w:t>
      </w:r>
      <w:r>
        <w:rPr>
          <w:rFonts w:hint="eastAsia" w:ascii="仿宋" w:hAnsi="仿宋" w:eastAsia="仿宋"/>
          <w:color w:val="000000"/>
          <w:sz w:val="32"/>
          <w:szCs w:val="32"/>
        </w:rPr>
        <w:t>向贫困乡镇、贫困村社的宣传示范建设。扎实做好技术扶贫和结对帮扶工作。</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kinsoku w:val="0"/>
        <w:adjustRightInd w:val="0"/>
        <w:spacing w:line="58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1</w:t>
      </w:r>
      <w:r>
        <w:rPr>
          <w:rFonts w:hint="eastAsia" w:ascii="仿宋" w:hAnsi="仿宋" w:eastAsia="仿宋"/>
          <w:b/>
          <w:sz w:val="32"/>
          <w:szCs w:val="32"/>
        </w:rPr>
        <w:t>.</w:t>
      </w:r>
      <w:r>
        <w:rPr>
          <w:rFonts w:hint="eastAsia" w:ascii="仿宋" w:hAnsi="仿宋" w:eastAsia="仿宋"/>
          <w:snapToGrid w:val="0"/>
          <w:kern w:val="0"/>
          <w:sz w:val="32"/>
          <w:szCs w:val="32"/>
        </w:rPr>
        <w:t>机构情况:宣汉县土壤肥料工作站属财政全额拨款事业单位，事业编制10人。</w:t>
      </w:r>
    </w:p>
    <w:p>
      <w:pPr>
        <w:kinsoku w:val="0"/>
        <w:adjustRightInd w:val="0"/>
        <w:spacing w:line="597"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2</w:t>
      </w:r>
      <w:r>
        <w:rPr>
          <w:rFonts w:hint="eastAsia" w:ascii="仿宋" w:hAnsi="仿宋" w:eastAsia="仿宋"/>
          <w:b/>
          <w:sz w:val="32"/>
          <w:szCs w:val="32"/>
        </w:rPr>
        <w:t>.</w:t>
      </w:r>
      <w:r>
        <w:rPr>
          <w:rFonts w:hint="eastAsia" w:ascii="仿宋" w:hAnsi="仿宋" w:eastAsia="仿宋"/>
          <w:snapToGrid w:val="0"/>
          <w:kern w:val="0"/>
          <w:sz w:val="32"/>
          <w:szCs w:val="32"/>
        </w:rPr>
        <w:t>人员情况:上年末实有在编在职人员10人，今年末实有在编在职人员11人,增加原因</w:t>
      </w:r>
      <w:r>
        <w:rPr>
          <w:rFonts w:hint="eastAsia" w:ascii="仿宋" w:hAnsi="仿宋" w:eastAsia="仿宋"/>
          <w:kern w:val="30"/>
          <w:sz w:val="32"/>
          <w:szCs w:val="32"/>
        </w:rPr>
        <w:t>（因水务局职能变更，高标农田建设划分到县土肥站实施，2019年4月从水务局调入1人））</w:t>
      </w:r>
      <w:r>
        <w:rPr>
          <w:rFonts w:hint="eastAsia" w:ascii="仿宋" w:hAnsi="仿宋" w:eastAsia="仿宋"/>
          <w:snapToGrid w:val="0"/>
          <w:kern w:val="0"/>
          <w:sz w:val="32"/>
          <w:szCs w:val="32"/>
        </w:rPr>
        <w:t>，遗嘱3人。</w:t>
      </w:r>
      <w:bookmarkStart w:id="22" w:name="_Toc15377202"/>
      <w:bookmarkStart w:id="23" w:name="_Toc15378449"/>
      <w:bookmarkStart w:id="24" w:name="_Toc15377433"/>
      <w:bookmarkStart w:id="25" w:name="_Toc15306276"/>
    </w:p>
    <w:bookmarkEnd w:id="22"/>
    <w:bookmarkEnd w:id="23"/>
    <w:bookmarkEnd w:id="24"/>
    <w:bookmarkEnd w:id="25"/>
    <w:p>
      <w:pPr>
        <w:pStyle w:val="5"/>
        <w:adjustRightInd w:val="0"/>
        <w:snapToGrid w:val="0"/>
        <w:spacing w:before="93" w:line="600" w:lineRule="exact"/>
        <w:ind w:firstLine="1120" w:firstLineChars="350"/>
        <w:rPr>
          <w:rFonts w:hint="eastAsia" w:ascii="仿宋" w:hAnsi="仿宋" w:eastAsia="仿宋"/>
          <w:color w:val="000000"/>
          <w:sz w:val="32"/>
          <w:szCs w:val="32"/>
        </w:rPr>
      </w:pPr>
    </w:p>
    <w:p>
      <w:pPr>
        <w:widowControl/>
        <w:jc w:val="left"/>
        <w:rPr>
          <w:rFonts w:hint="eastAsia" w:ascii="仿宋" w:hAnsi="仿宋" w:eastAsia="仿宋"/>
          <w:color w:val="000000"/>
          <w:sz w:val="32"/>
          <w:szCs w:val="32"/>
        </w:rPr>
      </w:pPr>
    </w:p>
    <w:p>
      <w:pPr>
        <w:widowControl/>
        <w:jc w:val="lef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widowControl/>
        <w:jc w:val="left"/>
        <w:rPr>
          <w:rFonts w:hint="eastAsia" w:ascii="仿宋" w:hAnsi="仿宋" w:eastAsia="仿宋"/>
          <w:color w:val="000000"/>
          <w:sz w:val="32"/>
          <w:szCs w:val="32"/>
        </w:rPr>
      </w:pPr>
    </w:p>
    <w:p>
      <w:pPr>
        <w:widowControl/>
        <w:jc w:val="left"/>
        <w:rPr>
          <w:rFonts w:ascii="仿宋" w:hAnsi="仿宋" w:eastAsia="仿宋"/>
          <w:color w:val="000000"/>
          <w:kern w:val="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6"/>
      <w:bookmarkEnd w:id="27"/>
    </w:p>
    <w:p/>
    <w:p>
      <w:pPr>
        <w:pStyle w:val="23"/>
        <w:numPr>
          <w:ilvl w:val="0"/>
          <w:numId w:val="1"/>
        </w:numPr>
        <w:spacing w:line="600" w:lineRule="exact"/>
        <w:ind w:firstLineChars="0"/>
        <w:outlineLvl w:val="1"/>
        <w:rPr>
          <w:rStyle w:val="25"/>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00" w:firstLineChars="200"/>
        <w:rPr>
          <w:rFonts w:hint="eastAsia" w:ascii="仿宋" w:hAnsi="仿宋" w:eastAsia="仿宋"/>
          <w:color w:val="000000"/>
          <w:sz w:val="32"/>
          <w:szCs w:val="32"/>
        </w:rPr>
      </w:pPr>
      <w:r>
        <w:rPr>
          <w:rFonts w:hint="eastAsia" w:ascii="仿宋" w:hAnsi="仿宋" w:eastAsia="仿宋"/>
          <w:kern w:val="0"/>
          <w:sz w:val="30"/>
          <w:szCs w:val="32"/>
        </w:rPr>
        <w:t>2019年宣汉县土壤肥料工作站</w:t>
      </w:r>
      <w:r>
        <w:rPr>
          <w:rFonts w:hint="eastAsia" w:ascii="仿宋" w:hAnsi="仿宋" w:eastAsia="仿宋"/>
          <w:color w:val="000000"/>
          <w:sz w:val="32"/>
          <w:szCs w:val="32"/>
        </w:rPr>
        <w:t>收、支总计168.58万元。与2018年相比，收、支总计各减少37.92万元，减少18.36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0"/>
          <w:szCs w:val="32"/>
        </w:rPr>
        <w:t>财政局农业股清算2014年退耕还林基本口粮田建设田间基础设施项目退质保金。</w:t>
      </w:r>
    </w:p>
    <w:p>
      <w:pPr>
        <w:spacing w:line="600" w:lineRule="exact"/>
        <w:ind w:firstLine="640" w:firstLineChars="200"/>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9年本年收入合计168.58万元，其中：一般公共预算财政拨款收入168.58万元，占100</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支</w:t>
      </w:r>
      <w:r>
        <w:rPr>
          <w:rStyle w:val="25"/>
          <w:rFonts w:hint="eastAsia" w:ascii="黑体" w:hAnsi="黑体" w:eastAsia="黑体"/>
          <w:b w:val="0"/>
        </w:rPr>
        <w:t>出决算情况说明</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9年本年支出合计168.58万元，其中：基本支出155.58万元，占92.29；项目支出13万元，占7.71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9年财政拨款收、支总计168.58万元。与2018年相比，财政拨款收、支总计各减少37.92万元，减少18.36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0"/>
          <w:szCs w:val="32"/>
        </w:rPr>
        <w:t>财政局农业股清算账户后2014年退耕还林基本口粮田建设田间基础设施项目重新安排实施退质保金。</w:t>
      </w: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9年一般公共预算财政拨款支出168.58万元，占本年支出合计的100</w:t>
      </w:r>
      <w:r>
        <w:rPr>
          <w:rFonts w:ascii="仿宋" w:hAnsi="仿宋" w:eastAsia="仿宋"/>
          <w:color w:val="000000"/>
          <w:sz w:val="32"/>
          <w:szCs w:val="32"/>
        </w:rPr>
        <w:t>%</w:t>
      </w:r>
      <w:r>
        <w:rPr>
          <w:rFonts w:hint="eastAsia" w:ascii="仿宋" w:hAnsi="仿宋" w:eastAsia="仿宋"/>
          <w:color w:val="000000"/>
          <w:sz w:val="32"/>
          <w:szCs w:val="32"/>
        </w:rPr>
        <w:t>。与2018年相比，一般公共预算财政拨款减少37.92万元，减少18.36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0"/>
          <w:szCs w:val="32"/>
        </w:rPr>
        <w:t>财政局农业股清算账户后2014年退耕还林基本口粮田建设田间基础设施项目退质保金。</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19年一般公共预算财</w:t>
      </w:r>
      <w:r>
        <w:rPr>
          <w:rFonts w:hint="eastAsia" w:ascii="仿宋" w:hAnsi="仿宋" w:eastAsia="仿宋"/>
          <w:color w:val="000000" w:themeColor="text1"/>
          <w:sz w:val="32"/>
          <w:szCs w:val="32"/>
        </w:rPr>
        <w:t>政拨款支出168.58万元，主要用于以下方面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支出137.05万元，占81.30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支出15.71万元，占9.32</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；医疗卫生支出5.74万元，占3.4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；住房保障支出10.08万元，占5.98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2" w:firstLineChars="200"/>
        <w:outlineLvl w:val="2"/>
        <w:rPr>
          <w:rFonts w:ascii="仿宋" w:hAnsi="仿宋" w:eastAsia="仿宋"/>
          <w:color w:val="FF0000"/>
          <w:sz w:val="32"/>
          <w:szCs w:val="32"/>
        </w:rPr>
      </w:pPr>
      <w:r>
        <w:rPr>
          <w:rFonts w:hint="eastAsia" w:ascii="仿宋" w:hAnsi="仿宋" w:eastAsia="仿宋"/>
          <w:b/>
          <w:color w:val="000000" w:themeColor="text1"/>
          <w:sz w:val="32"/>
          <w:szCs w:val="32"/>
        </w:rPr>
        <w:t>2019年般公共预算支出决算数为168.58万元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1.农林水</w:t>
      </w:r>
      <w:r>
        <w:rPr>
          <w:rStyle w:val="14"/>
          <w:rFonts w:hint="eastAsia" w:ascii="仿宋" w:hAnsi="仿宋" w:eastAsia="仿宋"/>
          <w:bCs/>
          <w:color w:val="000000"/>
          <w:sz w:val="32"/>
          <w:szCs w:val="32"/>
        </w:rPr>
        <w:t>（类）农业（款）事业运行（项）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支出决算为124.05万元，完成预算100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.农林水</w:t>
      </w:r>
      <w:r>
        <w:rPr>
          <w:rStyle w:val="14"/>
          <w:rFonts w:hint="eastAsia" w:ascii="仿宋" w:hAnsi="仿宋" w:eastAsia="仿宋"/>
          <w:bCs/>
          <w:color w:val="000000"/>
          <w:sz w:val="32"/>
          <w:szCs w:val="32"/>
        </w:rPr>
        <w:t>（类）农业（款）其他农业（项）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社会保障和就业（类）行政事业单位离退休（款）机关事业单位养老保险（项）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支出决算为15.71万元，完成预算100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支出决算为5.74万元，完成预算100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4.住房保障支出（类）住房改革（款）住房公积金（项）：</w:t>
      </w:r>
      <w:r>
        <w:rPr>
          <w:rStyle w:val="14"/>
          <w:rFonts w:hint="eastAsia" w:ascii="仿宋" w:hAnsi="仿宋" w:eastAsia="仿宋"/>
          <w:b w:val="0"/>
          <w:bCs/>
          <w:color w:val="000000"/>
          <w:sz w:val="32"/>
          <w:szCs w:val="32"/>
        </w:rPr>
        <w:t>支出决算为10.08万元，完成预算100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9年一般公共预算财政拨款基本支出155.58万元，其中：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149.12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6.46万元，主要包括：办公费、印刷费、咨询费、手续费、水费、电费、邮电费、取暖费、物业管理费、差旅费、会议费、培训费、公务接待费、劳务费、委托业务费、工会经费、福利费、公务用车运行维护费、其他交通费、其他商品和服务支出、办公设备购置、专用设备购置、信息网络及软件购置更新、其他资本性支出等。</w:t>
      </w:r>
    </w:p>
    <w:p>
      <w:pPr>
        <w:snapToGrid w:val="0"/>
        <w:spacing w:line="58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9年一般公共预算财政拨款项目支出13万元，其中：</w:t>
      </w:r>
      <w:r>
        <w:rPr>
          <w:rFonts w:ascii="仿宋" w:hAnsi="仿宋" w:eastAsia="仿宋"/>
          <w:color w:val="000000"/>
          <w:sz w:val="32"/>
          <w:szCs w:val="32"/>
        </w:rPr>
        <w:t>行政事业类项目</w:t>
      </w:r>
      <w:r>
        <w:rPr>
          <w:rFonts w:hint="eastAsia" w:ascii="仿宋" w:hAnsi="仿宋" w:eastAsia="仿宋"/>
          <w:color w:val="000000"/>
          <w:sz w:val="32"/>
          <w:szCs w:val="32"/>
        </w:rPr>
        <w:t>13万元，</w:t>
      </w:r>
      <w:r>
        <w:rPr>
          <w:rFonts w:ascii="仿宋" w:hAnsi="仿宋" w:eastAsia="仿宋" w:cs="仿宋"/>
          <w:sz w:val="32"/>
          <w:szCs w:val="32"/>
        </w:rPr>
        <w:t>用于全国新增千亿斤粮食生产能力田间工程项目可研报告，实施方案编制资料费，招标，预决算审核费，项目检查指导差旅费等5万元。农产品产地环境长期定位监测项目区建立隔离墙，土壤、植株取样分析化验等5万元。农作物秸秆综合利用项目资料费及差旅费3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三公”经费财政拨款支出决算情况说明质</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（一）“三公”经费财政拨款支出决算总体情况说明</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9年“三公”经费财政拨款支出决算为0.6万元，完成预算100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9年“三公”经费财政拨款支出决算中，公务接待费支出0.6万元，占100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1.公务接待费支出</w:t>
      </w:r>
      <w:r>
        <w:rPr>
          <w:rFonts w:hint="eastAsia" w:ascii="仿宋_GB2312" w:eastAsia="仿宋_GB2312"/>
          <w:color w:val="000000"/>
          <w:sz w:val="32"/>
          <w:szCs w:val="32"/>
        </w:rPr>
        <w:t>0.6万元，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8年相等。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主要用于执行公务、开展业务活动开支的住宿费、用餐费等。国内公务接待6批次，65人次，共计支出0.6万元，具体内容包括：市土肥站检查高标农田建设和省检测中心检查肥料使用情况。</w:t>
      </w:r>
    </w:p>
    <w:p>
      <w:pPr>
        <w:pStyle w:val="23"/>
        <w:numPr>
          <w:ilvl w:val="0"/>
          <w:numId w:val="2"/>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3"/>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根据预算绩效管理要求，本单位年初预算编制168.58万元，基本支出155.58万元，主要用于土肥站人员工资福利支出及办公等业务费。项目支出13万元；行政事业类项目13万元</w:t>
      </w:r>
      <w:r>
        <w:rPr>
          <w:rFonts w:hint="eastAsia" w:ascii="仿宋" w:hAnsi="仿宋" w:eastAsia="仿宋" w:cs="仿宋_GB2312"/>
          <w:sz w:val="32"/>
          <w:szCs w:val="32"/>
        </w:rPr>
        <w:t>。年初通过对“</w:t>
      </w:r>
      <w:r>
        <w:rPr>
          <w:rFonts w:hint="eastAsia" w:ascii="仿宋" w:hAnsi="仿宋" w:eastAsia="仿宋"/>
          <w:sz w:val="32"/>
          <w:szCs w:val="32"/>
        </w:rPr>
        <w:t>农产品产地环境长期定位监测</w:t>
      </w:r>
      <w:r>
        <w:rPr>
          <w:rFonts w:hint="eastAsia" w:ascii="仿宋" w:hAnsi="仿宋" w:eastAsia="仿宋" w:cs="宋体"/>
          <w:color w:val="000000"/>
          <w:sz w:val="32"/>
          <w:szCs w:val="32"/>
        </w:rPr>
        <w:t>”、“</w:t>
      </w:r>
      <w:r>
        <w:rPr>
          <w:rFonts w:hint="eastAsia" w:ascii="仿宋" w:hAnsi="仿宋" w:eastAsia="仿宋" w:cs="仿宋_GB2312"/>
          <w:sz w:val="32"/>
          <w:szCs w:val="32"/>
        </w:rPr>
        <w:t>2019年耕地质量提升与化肥减量增效项目”、“</w:t>
      </w:r>
      <w:r>
        <w:rPr>
          <w:rFonts w:hint="eastAsia" w:ascii="仿宋" w:hAnsi="仿宋" w:eastAsia="仿宋"/>
          <w:sz w:val="32"/>
          <w:szCs w:val="32"/>
        </w:rPr>
        <w:t>全国新增千亿斤粮食生产能力宣汉县2019年田间工程建设</w:t>
      </w:r>
      <w:r>
        <w:rPr>
          <w:rFonts w:hint="eastAsia" w:ascii="仿宋_GB2312" w:hAnsi="仿宋_GB2312" w:eastAsia="仿宋_GB2312" w:cs="仿宋_GB2312"/>
          <w:sz w:val="32"/>
          <w:szCs w:val="32"/>
        </w:rPr>
        <w:t>项目”的可研报告，实施方案编制，招标，预决算审核，项目检查指导差旅费、资料费等</w:t>
      </w:r>
      <w:r>
        <w:rPr>
          <w:rFonts w:hint="eastAsia" w:ascii="仿宋" w:hAnsi="仿宋" w:eastAsia="仿宋" w:cs="仿宋_GB2312"/>
          <w:sz w:val="32"/>
          <w:szCs w:val="32"/>
        </w:rPr>
        <w:t>开展了预算事前绩效评估。本部门按要求对2019年部门整体支出开展绩效自评</w:t>
      </w:r>
      <w:r>
        <w:rPr>
          <w:rFonts w:hint="eastAsia" w:ascii="仿宋" w:hAnsi="仿宋" w:eastAsia="仿宋" w:cs="宋体"/>
          <w:color w:val="000000"/>
          <w:kern w:val="0"/>
          <w:sz w:val="32"/>
          <w:szCs w:val="32"/>
        </w:rPr>
        <w:t>。按部门</w:t>
      </w:r>
      <w:r>
        <w:rPr>
          <w:rFonts w:hint="eastAsia" w:ascii="仿宋" w:hAnsi="仿宋" w:eastAsia="仿宋" w:cs="仿宋_GB2312"/>
          <w:sz w:val="32"/>
          <w:szCs w:val="32"/>
        </w:rPr>
        <w:t>年初预算年终绩效评估等程序</w:t>
      </w:r>
      <w:r>
        <w:rPr>
          <w:rFonts w:hint="eastAsia" w:eastAsia="仿宋_GB2312"/>
          <w:color w:val="000000"/>
          <w:kern w:val="0"/>
          <w:sz w:val="32"/>
          <w:szCs w:val="32"/>
          <w:shd w:val="clear" w:color="auto" w:fill="FFFFFF"/>
          <w:lang w:val="zh-CN"/>
        </w:rPr>
        <w:t>对2019年预算执行情况进行了评价，</w:t>
      </w:r>
      <w:r>
        <w:rPr>
          <w:rFonts w:hint="eastAsia" w:ascii="仿宋" w:hAnsi="仿宋" w:eastAsia="仿宋" w:cs="仿宋_GB2312"/>
          <w:sz w:val="32"/>
          <w:szCs w:val="32"/>
        </w:rPr>
        <w:t>从评价情况来看</w:t>
      </w:r>
      <w:r>
        <w:rPr>
          <w:rFonts w:hint="eastAsia" w:eastAsia="仿宋_GB2312"/>
          <w:color w:val="000000"/>
          <w:kern w:val="0"/>
          <w:sz w:val="32"/>
          <w:szCs w:val="32"/>
          <w:shd w:val="clear" w:color="auto" w:fill="FFFFFF"/>
          <w:lang w:val="zh-CN"/>
        </w:rPr>
        <w:t>基本达到了预决算与目标任务完成一致的要求、产生了应有的经济效益、社会效益、生态环保效益</w:t>
      </w:r>
      <w:r>
        <w:rPr>
          <w:rFonts w:hint="eastAsia" w:ascii="仿宋" w:hAnsi="仿宋" w:eastAsia="仿宋" w:cs="仿宋_GB2312"/>
          <w:sz w:val="32"/>
          <w:szCs w:val="32"/>
        </w:rPr>
        <w:t>。</w:t>
      </w:r>
    </w:p>
    <w:p>
      <w:pPr>
        <w:autoSpaceDE w:val="0"/>
        <w:spacing w:line="580" w:lineRule="exact"/>
        <w:ind w:firstLine="640" w:firstLineChars="200"/>
        <w:jc w:val="left"/>
        <w:rPr>
          <w:rFonts w:hint="eastAsia" w:ascii="仿宋" w:hAnsi="仿宋" w:eastAsia="仿宋"/>
          <w:sz w:val="32"/>
          <w:szCs w:val="32"/>
        </w:rPr>
      </w:pPr>
      <w:r>
        <w:rPr>
          <w:rFonts w:hint="eastAsia" w:ascii="仿宋" w:hAnsi="仿宋" w:eastAsia="仿宋" w:cs="仿宋_GB2312"/>
          <w:sz w:val="32"/>
          <w:szCs w:val="32"/>
        </w:rPr>
        <w:t>（二）</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sz w:val="32"/>
          <w:szCs w:val="32"/>
        </w:rPr>
        <w:t>1</w:t>
      </w:r>
      <w:r>
        <w:rPr>
          <w:rFonts w:hint="eastAsia" w:ascii="仿宋" w:hAnsi="仿宋" w:eastAsia="仿宋"/>
          <w:b/>
          <w:sz w:val="32"/>
          <w:szCs w:val="32"/>
        </w:rPr>
        <w:t>.</w:t>
      </w:r>
      <w:r>
        <w:rPr>
          <w:rFonts w:hint="eastAsia" w:ascii="仿宋" w:hAnsi="仿宋" w:eastAsia="仿宋"/>
          <w:sz w:val="32"/>
          <w:szCs w:val="32"/>
        </w:rPr>
        <w:t>全国新增千亿斤粮食生产能力宣汉县2019年田间工程建设项目：</w:t>
      </w:r>
      <w:r>
        <w:rPr>
          <w:rFonts w:ascii="仿宋" w:hAnsi="仿宋" w:eastAsia="仿宋"/>
          <w:sz w:val="32"/>
          <w:szCs w:val="32"/>
        </w:rPr>
        <w:t>主要建设地点及内容宣汉县五宝镇高坝、扇子、长白、沙沟、回龙寨和漆碑乡花盆村，共两个乡镇6个村田型调整</w:t>
      </w:r>
      <w:r>
        <w:rPr>
          <w:rFonts w:hint="eastAsia" w:ascii="仿宋" w:hAnsi="仿宋" w:eastAsia="仿宋"/>
          <w:sz w:val="32"/>
          <w:szCs w:val="32"/>
        </w:rPr>
        <w:t>641.23亩。完成方案设计及召标工作。</w:t>
      </w:r>
    </w:p>
    <w:p>
      <w:pPr>
        <w:autoSpaceDE w:val="0"/>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w:t>
      </w:r>
      <w:r>
        <w:rPr>
          <w:rFonts w:hint="eastAsia" w:ascii="仿宋" w:hAnsi="仿宋" w:eastAsia="仿宋"/>
          <w:sz w:val="32"/>
          <w:szCs w:val="32"/>
        </w:rPr>
        <w:t>农产品产地环境长期定位监测</w:t>
      </w:r>
      <w:r>
        <w:rPr>
          <w:rFonts w:ascii="仿宋" w:hAnsi="仿宋" w:eastAsia="仿宋"/>
          <w:sz w:val="32"/>
          <w:szCs w:val="32"/>
        </w:rPr>
        <w:t>：在天宝乡、七里镇</w:t>
      </w:r>
      <w:r>
        <w:rPr>
          <w:rFonts w:hint="eastAsia" w:ascii="仿宋" w:hAnsi="仿宋" w:eastAsia="仿宋"/>
          <w:sz w:val="32"/>
          <w:szCs w:val="32"/>
        </w:rPr>
        <w:t>建立环境定位监测隔离墙两处，采集项目土壤、植株取样分析化验。</w:t>
      </w:r>
    </w:p>
    <w:p>
      <w:pPr>
        <w:autoSpaceDE w:val="0"/>
        <w:spacing w:line="580" w:lineRule="exact"/>
        <w:ind w:firstLine="640" w:firstLineChars="200"/>
        <w:jc w:val="left"/>
        <w:rPr>
          <w:rFonts w:hint="eastAsia" w:ascii="仿宋" w:hAnsi="仿宋" w:eastAsia="仿宋" w:cs="仿宋"/>
          <w:sz w:val="32"/>
          <w:szCs w:val="32"/>
        </w:rPr>
      </w:pPr>
      <w:r>
        <w:rPr>
          <w:rFonts w:hint="eastAsia" w:ascii="仿宋" w:hAnsi="仿宋" w:eastAsia="仿宋"/>
          <w:sz w:val="32"/>
          <w:szCs w:val="32"/>
        </w:rPr>
        <w:t>3</w:t>
      </w:r>
      <w:r>
        <w:rPr>
          <w:rFonts w:hint="eastAsia" w:ascii="仿宋" w:hAnsi="仿宋" w:eastAsia="仿宋"/>
          <w:b/>
          <w:sz w:val="32"/>
          <w:szCs w:val="32"/>
        </w:rPr>
        <w:t>.</w:t>
      </w:r>
      <w:r>
        <w:rPr>
          <w:rFonts w:hint="eastAsia" w:ascii="仿宋" w:hAnsi="仿宋" w:eastAsia="仿宋"/>
          <w:sz w:val="32"/>
          <w:szCs w:val="32"/>
        </w:rPr>
        <w:t>2019年耕地质量提升促进化肥减量增效示范项目：</w:t>
      </w:r>
      <w:r>
        <w:rPr>
          <w:rFonts w:hint="eastAsia" w:ascii="仿宋" w:hAnsi="仿宋" w:eastAsia="仿宋" w:cs="仿宋"/>
          <w:bCs/>
          <w:sz w:val="32"/>
          <w:szCs w:val="32"/>
        </w:rPr>
        <w:t>一是完成田间试验10个（其中肥料利用率6个，肥料配比试验4个），现已全部收获，考种，计算；二是完成土样采集179个，送往检测机构已经出了检测报告；三是物资招标采购已经完成，共采集有机肥100吨、配方肥236吨；四是完成油菜秸秆覆盖栽培示范片2000亩。五是在双河、天生、七里、天台进建立1万亩水稻示范片，峰城、桃花建立0.8万亩玉米示范片。六是到七里镇、双河镇、天台乡、峰城镇的10个行政村，召开了耕地质量提升和化肥减量增效技术培训会10场，培训人员1300余人，发放质量5000份。</w:t>
      </w:r>
      <w:r>
        <w:rPr>
          <w:rFonts w:hint="eastAsia" w:ascii="仿宋" w:hAnsi="仿宋" w:eastAsia="仿宋"/>
          <w:sz w:val="32"/>
          <w:szCs w:val="32"/>
        </w:rPr>
        <w:t>各乡镇组织召开的会议78次，宣传条幅54幅，出动宣传车54辆，义务宣传员150人，发放秸秆综合利用技术资料7500份，培训人次达3万多人通过项目实施，优化的作物施肥指标体系可持续指导农民科学合理施肥，</w:t>
      </w:r>
      <w:r>
        <w:rPr>
          <w:rFonts w:ascii="仿宋" w:hAnsi="仿宋" w:eastAsia="仿宋"/>
          <w:color w:val="000000"/>
          <w:sz w:val="32"/>
          <w:szCs w:val="32"/>
        </w:rPr>
        <w:t>耕地质量等级变更调查评价</w:t>
      </w:r>
      <w:r>
        <w:rPr>
          <w:rFonts w:hint="eastAsia" w:ascii="仿宋" w:hAnsi="仿宋" w:eastAsia="仿宋"/>
          <w:color w:val="000000"/>
          <w:sz w:val="32"/>
          <w:szCs w:val="32"/>
        </w:rPr>
        <w:t>可为</w:t>
      </w:r>
      <w:r>
        <w:rPr>
          <w:rFonts w:ascii="仿宋" w:hAnsi="仿宋" w:eastAsia="仿宋"/>
          <w:color w:val="000000"/>
          <w:sz w:val="32"/>
          <w:szCs w:val="32"/>
        </w:rPr>
        <w:t>农产品产地环境保护、耕地质量保护与提升的</w:t>
      </w:r>
      <w:r>
        <w:rPr>
          <w:rFonts w:hint="eastAsia" w:ascii="仿宋" w:hAnsi="仿宋" w:eastAsia="仿宋"/>
          <w:color w:val="000000"/>
          <w:sz w:val="32"/>
          <w:szCs w:val="32"/>
        </w:rPr>
        <w:t>提出</w:t>
      </w:r>
      <w:r>
        <w:rPr>
          <w:rFonts w:ascii="仿宋" w:hAnsi="仿宋" w:eastAsia="仿宋"/>
          <w:color w:val="000000"/>
          <w:sz w:val="32"/>
          <w:szCs w:val="32"/>
        </w:rPr>
        <w:t>对策措施与建议</w:t>
      </w:r>
      <w:r>
        <w:rPr>
          <w:rFonts w:hint="eastAsia" w:ascii="仿宋" w:hAnsi="仿宋" w:eastAsia="仿宋"/>
          <w:color w:val="000000"/>
          <w:sz w:val="32"/>
          <w:szCs w:val="32"/>
        </w:rPr>
        <w:t>，建立秸秆优化还田模式可为秸秆综合利用、提高土壤肥力、改良土壤结构、降低化肥施用量提供技术支撑</w:t>
      </w:r>
      <w:r>
        <w:rPr>
          <w:rFonts w:hint="eastAsia" w:ascii="仿宋" w:hAnsi="仿宋" w:eastAsia="仿宋" w:cs="仿宋"/>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30" w:name="_Toc15377224"/>
      <w:r>
        <w:rPr>
          <w:rFonts w:hint="eastAsia" w:ascii="仿宋" w:hAnsi="仿宋" w:eastAsia="仿宋"/>
          <w:b/>
          <w:color w:val="000000"/>
          <w:sz w:val="32"/>
          <w:szCs w:val="32"/>
        </w:rPr>
        <w:t>（三）国有资产占有使用情况</w:t>
      </w:r>
      <w:bookmarkEnd w:id="3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日，固定资产共85台（套），其中</w:t>
      </w:r>
      <w:r>
        <w:rPr>
          <w:rFonts w:hint="eastAsia" w:ascii="仿宋_GB2312" w:eastAsia="仿宋_GB2312"/>
          <w:color w:val="000000" w:themeColor="text1"/>
          <w:sz w:val="32"/>
          <w:szCs w:val="32"/>
        </w:rPr>
        <w:t>通用设备54台（套），专用设备31台（套），固定资产原价77.70万元，其中通用设备25.56万元、专用设备49.48万元、办公家具2.66万元。通用设备主要是办公电脑、空调、打印机等。专用设备主要是土样检测化验、触屏施肥机</w:t>
      </w:r>
      <w:r>
        <w:rPr>
          <w:rFonts w:hint="eastAsia" w:ascii="仿宋_GB2312" w:eastAsia="仿宋_GB2312"/>
          <w:color w:val="000000"/>
          <w:sz w:val="32"/>
          <w:szCs w:val="32"/>
        </w:rPr>
        <w:t>。办公家具主要是办公桌椅等</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1、根据预算绩效管理要求，本部门在年初预算编制阶段，组织对</w:t>
      </w:r>
      <w:r>
        <w:rPr>
          <w:rFonts w:hint="eastAsia" w:ascii="仿宋" w:hAnsi="仿宋" w:eastAsia="仿宋"/>
          <w:sz w:val="32"/>
          <w:szCs w:val="32"/>
        </w:rPr>
        <w:t>全国新增千亿斤粮食生产能力宣汉县2019年田间工程建设项目、2018年农产品产地环境长期定位监测、2019年耕地质量提升促进化肥减量增效示范项目</w:t>
      </w:r>
      <w:r>
        <w:rPr>
          <w:rFonts w:hint="eastAsia" w:ascii="仿宋_GB2312" w:hAnsi="仿宋_GB2312" w:eastAsia="仿宋_GB2312" w:cs="仿宋_GB2312"/>
          <w:sz w:val="32"/>
          <w:szCs w:val="32"/>
        </w:rPr>
        <w:t>开展了预算事前绩效评估，对3个项目编制了绩效目标，预算执行过程中，选取3个项目开展绩效监控，年终执行完毕后，对3个项目开展了绩效目标完成情况自评。</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本部门按要求对2019年部门整体支出绩效评价情况开展自评，《宣汉县土壤肥料工作站部门2019年部门整体支出绩效评价报告》见附件（附件1）。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numPr>
          <w:ilvl w:val="0"/>
          <w:numId w:val="4"/>
        </w:numPr>
        <w:spacing w:line="600" w:lineRule="exact"/>
        <w:ind w:firstLine="660" w:firstLineChars="150"/>
        <w:jc w:val="center"/>
        <w:outlineLvl w:val="0"/>
        <w:rPr>
          <w:rFonts w:hint="eastAsia" w:ascii="黑体" w:hAnsi="黑体" w:eastAsia="黑体"/>
          <w:bCs/>
          <w:kern w:val="44"/>
          <w:sz w:val="44"/>
          <w:szCs w:val="44"/>
        </w:rPr>
      </w:pPr>
      <w:bookmarkStart w:id="31" w:name="_Toc15377225"/>
      <w:bookmarkStart w:id="32" w:name="_Toc15396613"/>
    </w:p>
    <w:p>
      <w:pPr>
        <w:numPr>
          <w:ilvl w:val="0"/>
          <w:numId w:val="4"/>
        </w:numPr>
        <w:spacing w:line="600" w:lineRule="exact"/>
        <w:ind w:firstLine="660" w:firstLineChars="150"/>
        <w:jc w:val="center"/>
        <w:outlineLvl w:val="0"/>
        <w:rPr>
          <w:rStyle w:val="24"/>
          <w:rFonts w:ascii="黑体" w:hAnsi="黑体" w:eastAsia="黑体"/>
          <w:b w:val="0"/>
        </w:rPr>
      </w:pPr>
      <w:r>
        <w:rPr>
          <w:rFonts w:hint="eastAsia" w:ascii="黑体" w:hAnsi="黑体" w:eastAsia="黑体"/>
          <w:color w:val="000000"/>
          <w:sz w:val="44"/>
          <w:szCs w:val="44"/>
        </w:rPr>
        <w:t>名</w:t>
      </w:r>
      <w:r>
        <w:rPr>
          <w:rStyle w:val="24"/>
          <w:rFonts w:hint="eastAsia" w:ascii="黑体" w:hAnsi="黑体" w:eastAsia="黑体"/>
          <w:b w:val="0"/>
        </w:rPr>
        <w:t>词解释</w:t>
      </w:r>
      <w:bookmarkEnd w:id="31"/>
      <w:bookmarkEnd w:id="3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33" w:name="_Toc15377226"/>
      <w:r>
        <w:rPr>
          <w:rFonts w:ascii="宋体"/>
          <w:b/>
          <w:color w:val="000000"/>
          <w:sz w:val="44"/>
          <w:szCs w:val="44"/>
        </w:rPr>
        <w:br w:type="page"/>
      </w:r>
      <w:bookmarkStart w:id="3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34"/>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0"/>
          <w:lang w:val="zh-CN"/>
        </w:rPr>
      </w:pPr>
      <w:r>
        <w:rPr>
          <w:rFonts w:hint="eastAsia" w:ascii="黑体" w:hAnsi="黑体" w:eastAsia="黑体" w:cs="方正小标宋简体"/>
          <w:sz w:val="40"/>
          <w:szCs w:val="40"/>
        </w:rPr>
        <w:t>宣汉县土壤肥料工作站</w:t>
      </w:r>
      <w:r>
        <w:rPr>
          <w:rFonts w:hint="eastAsia" w:ascii="方正小标宋简体" w:hAnsi="宋体" w:eastAsia="方正小标宋简体"/>
          <w:color w:val="000000"/>
          <w:kern w:val="0"/>
          <w:sz w:val="40"/>
          <w:szCs w:val="40"/>
          <w:lang w:val="zh-CN"/>
        </w:rPr>
        <w:t>部门</w:t>
      </w:r>
      <w:r>
        <w:rPr>
          <w:rFonts w:ascii="方正小标宋简体" w:hAnsi="宋体" w:eastAsia="方正小标宋简体"/>
          <w:color w:val="000000"/>
          <w:kern w:val="0"/>
          <w:sz w:val="40"/>
          <w:szCs w:val="40"/>
        </w:rPr>
        <w:t>2019年部门</w:t>
      </w:r>
      <w:r>
        <w:rPr>
          <w:rFonts w:hint="eastAsia" w:ascii="方正小标宋简体" w:hAnsi="宋体" w:eastAsia="方正小标宋简体"/>
          <w:color w:val="000000"/>
          <w:kern w:val="0"/>
          <w:sz w:val="40"/>
          <w:szCs w:val="40"/>
          <w:lang w:val="zh-CN"/>
        </w:rPr>
        <w:t>整体支出绩效</w:t>
      </w:r>
    </w:p>
    <w:p>
      <w:pPr>
        <w:spacing w:line="600" w:lineRule="exact"/>
        <w:jc w:val="center"/>
        <w:rPr>
          <w:rFonts w:ascii="方正小标宋简体" w:hAnsi="宋体" w:eastAsia="方正小标宋简体"/>
          <w:color w:val="000000"/>
          <w:kern w:val="0"/>
          <w:sz w:val="40"/>
          <w:szCs w:val="40"/>
          <w:lang w:val="zh-CN"/>
        </w:rPr>
      </w:pPr>
      <w:r>
        <w:rPr>
          <w:rFonts w:hint="eastAsia" w:ascii="方正小标宋简体" w:hAnsi="宋体" w:eastAsia="方正小标宋简体"/>
          <w:color w:val="000000"/>
          <w:kern w:val="0"/>
          <w:sz w:val="40"/>
          <w:szCs w:val="40"/>
          <w:lang w:val="zh-CN"/>
        </w:rPr>
        <w:t>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320" w:firstLineChars="100"/>
        <w:rPr>
          <w:rFonts w:ascii="仿宋" w:hAnsi="仿宋" w:eastAsia="仿宋" w:cs="仿宋_GB2312"/>
          <w:sz w:val="32"/>
          <w:szCs w:val="32"/>
        </w:rPr>
      </w:pPr>
      <w:r>
        <w:rPr>
          <w:rFonts w:ascii="黑体" w:hAnsi="黑体" w:eastAsia="黑体" w:cs="仿宋_GB2312"/>
          <w:sz w:val="32"/>
          <w:szCs w:val="32"/>
        </w:rPr>
        <w:t>（一）机构组成</w:t>
      </w:r>
      <w:r>
        <w:rPr>
          <w:rFonts w:ascii="仿宋" w:hAnsi="仿宋" w:eastAsia="仿宋" w:cs="仿宋_GB2312"/>
          <w:sz w:val="32"/>
          <w:szCs w:val="32"/>
        </w:rPr>
        <w:t>。宣汉县土壤肥料工作站属一级预算</w:t>
      </w:r>
      <w:r>
        <w:rPr>
          <w:rFonts w:hint="eastAsia" w:ascii="仿宋" w:hAnsi="仿宋" w:eastAsia="仿宋"/>
          <w:kern w:val="30"/>
          <w:sz w:val="32"/>
          <w:szCs w:val="32"/>
        </w:rPr>
        <w:t>财政全额拨款事业单位，</w:t>
      </w:r>
      <w:r>
        <w:rPr>
          <w:rFonts w:hint="eastAsia" w:ascii="仿宋" w:hAnsi="仿宋" w:eastAsia="仿宋" w:cs="仿宋_GB2312"/>
          <w:sz w:val="32"/>
          <w:szCs w:val="32"/>
        </w:rPr>
        <w:t>主管部门宣汉县农业农村局</w:t>
      </w:r>
      <w:r>
        <w:rPr>
          <w:rFonts w:hint="eastAsia" w:ascii="仿宋" w:hAnsi="仿宋" w:eastAsia="仿宋"/>
          <w:kern w:val="30"/>
          <w:sz w:val="32"/>
          <w:szCs w:val="32"/>
        </w:rPr>
        <w:t>。</w:t>
      </w:r>
    </w:p>
    <w:p>
      <w:pPr>
        <w:spacing w:line="520" w:lineRule="exact"/>
        <w:ind w:firstLine="321" w:firstLineChars="100"/>
        <w:rPr>
          <w:rFonts w:ascii="仿宋" w:hAnsi="仿宋" w:eastAsia="仿宋"/>
          <w:kern w:val="30"/>
          <w:sz w:val="32"/>
          <w:szCs w:val="32"/>
        </w:rPr>
      </w:pPr>
      <w:r>
        <w:rPr>
          <w:rFonts w:ascii="仿宋" w:hAnsi="仿宋" w:eastAsia="仿宋" w:cs="仿宋_GB2312"/>
          <w:b/>
          <w:sz w:val="32"/>
          <w:szCs w:val="32"/>
        </w:rPr>
        <w:t>（二）机构职能</w:t>
      </w:r>
      <w:r>
        <w:rPr>
          <w:rFonts w:ascii="仿宋" w:hAnsi="仿宋" w:eastAsia="仿宋" w:cs="仿宋_GB2312"/>
          <w:sz w:val="32"/>
          <w:szCs w:val="32"/>
        </w:rPr>
        <w:t>。</w:t>
      </w:r>
      <w:r>
        <w:rPr>
          <w:rFonts w:hint="eastAsia" w:ascii="仿宋" w:hAnsi="仿宋" w:eastAsia="仿宋" w:cs="仿宋"/>
          <w:kern w:val="30"/>
          <w:sz w:val="32"/>
          <w:szCs w:val="32"/>
        </w:rPr>
        <w:t>县耕地资源及利用现状,提出保护耕地、土地利用、改造中低产田土的科学规划，规划设计中低产田土工程改造方案和实施办法，监督改造质量。</w:t>
      </w:r>
    </w:p>
    <w:p>
      <w:pPr>
        <w:spacing w:line="520" w:lineRule="exact"/>
        <w:ind w:firstLine="640" w:firstLineChars="200"/>
        <w:rPr>
          <w:rFonts w:ascii="仿宋" w:hAnsi="仿宋" w:eastAsia="仿宋" w:cs="仿宋"/>
          <w:kern w:val="30"/>
          <w:sz w:val="32"/>
          <w:szCs w:val="32"/>
        </w:rPr>
      </w:pPr>
      <w:r>
        <w:rPr>
          <w:rFonts w:hint="eastAsia" w:ascii="仿宋" w:hAnsi="仿宋" w:eastAsia="仿宋" w:cs="仿宋"/>
          <w:kern w:val="30"/>
          <w:sz w:val="32"/>
          <w:szCs w:val="32"/>
        </w:rPr>
        <w:t>监测全县土壤肥力，分析化验土壤养分含量，检测土壤有毒物质含量，监测土壤生态环境，保护农业环境，为农产品质量安全服务。</w:t>
      </w:r>
    </w:p>
    <w:p>
      <w:pPr>
        <w:spacing w:line="520" w:lineRule="exact"/>
        <w:ind w:firstLine="640" w:firstLineChars="200"/>
        <w:rPr>
          <w:rFonts w:ascii="仿宋" w:hAnsi="仿宋" w:eastAsia="仿宋" w:cs="仿宋"/>
          <w:kern w:val="30"/>
          <w:sz w:val="32"/>
          <w:szCs w:val="32"/>
        </w:rPr>
      </w:pPr>
      <w:r>
        <w:rPr>
          <w:rFonts w:hint="eastAsia" w:ascii="仿宋" w:hAnsi="仿宋" w:eastAsia="仿宋" w:cs="仿宋"/>
          <w:kern w:val="30"/>
          <w:sz w:val="32"/>
          <w:szCs w:val="32"/>
        </w:rPr>
        <w:t>负责全县农作物科学施肥的试验、示范、推广工作，监测市场化肥质量，打击假、冒、伪、劣化肥。</w:t>
      </w:r>
    </w:p>
    <w:p>
      <w:pPr>
        <w:spacing w:line="520" w:lineRule="exact"/>
        <w:ind w:firstLine="640" w:firstLineChars="200"/>
        <w:rPr>
          <w:rFonts w:ascii="仿宋" w:hAnsi="仿宋" w:eastAsia="仿宋" w:cs="仿宋"/>
          <w:kern w:val="30"/>
          <w:sz w:val="32"/>
          <w:szCs w:val="32"/>
        </w:rPr>
      </w:pPr>
      <w:r>
        <w:rPr>
          <w:rFonts w:hint="eastAsia" w:ascii="仿宋" w:hAnsi="仿宋" w:eastAsia="仿宋" w:cs="仿宋"/>
          <w:kern w:val="30"/>
          <w:sz w:val="32"/>
          <w:szCs w:val="32"/>
        </w:rPr>
        <w:t>对县境内的新型化肥品种、土壤调理剂进行检测、试验、登记上报。</w:t>
      </w:r>
    </w:p>
    <w:p>
      <w:pPr>
        <w:spacing w:line="580" w:lineRule="exact"/>
        <w:ind w:firstLine="640" w:firstLineChars="200"/>
        <w:rPr>
          <w:rFonts w:ascii="仿宋" w:hAnsi="仿宋" w:eastAsia="仿宋" w:cs="仿宋_GB2312"/>
          <w:sz w:val="32"/>
          <w:szCs w:val="32"/>
        </w:rPr>
      </w:pPr>
      <w:r>
        <w:rPr>
          <w:rFonts w:ascii="黑体" w:hAnsi="黑体" w:eastAsia="黑体" w:cs="仿宋_GB2312"/>
          <w:sz w:val="32"/>
          <w:szCs w:val="32"/>
        </w:rPr>
        <w:t>（三）人员概况。</w:t>
      </w:r>
      <w:r>
        <w:rPr>
          <w:rFonts w:hint="eastAsia" w:ascii="仿宋" w:hAnsi="仿宋" w:eastAsia="仿宋"/>
          <w:kern w:val="30"/>
          <w:sz w:val="32"/>
          <w:szCs w:val="32"/>
        </w:rPr>
        <w:t>财政全额拨款事业单位编制 10名，年末在编在职人员11人，（因水务局职能变更，高标农田建设划分到县土肥站实施，2019年4月从水务局调入1人），遗嘱人员3人。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tabs>
          <w:tab w:val="left" w:pos="795"/>
        </w:tabs>
        <w:spacing w:line="520" w:lineRule="exact"/>
        <w:ind w:firstLine="900" w:firstLineChars="300"/>
        <w:rPr>
          <w:rFonts w:ascii="仿宋" w:hAnsi="仿宋" w:eastAsia="仿宋" w:cs="仿宋"/>
          <w:kern w:val="30"/>
          <w:sz w:val="30"/>
          <w:szCs w:val="30"/>
        </w:rPr>
      </w:pPr>
      <w:r>
        <w:rPr>
          <w:rFonts w:hint="eastAsia" w:ascii="仿宋" w:hAnsi="仿宋" w:eastAsia="仿宋" w:cs="仿宋"/>
          <w:kern w:val="30"/>
          <w:sz w:val="30"/>
          <w:szCs w:val="30"/>
        </w:rPr>
        <w:t>2019年土壤肥料工作站收入总额为168.58万元，当年一般公共财政预算拨款收入168.58万元。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tabs>
          <w:tab w:val="left" w:pos="795"/>
        </w:tabs>
        <w:spacing w:line="520" w:lineRule="exact"/>
        <w:ind w:firstLine="900" w:firstLineChars="300"/>
        <w:rPr>
          <w:rFonts w:ascii="仿宋" w:hAnsi="仿宋" w:eastAsia="仿宋" w:cs="仿宋"/>
          <w:kern w:val="30"/>
          <w:sz w:val="30"/>
          <w:szCs w:val="30"/>
        </w:rPr>
      </w:pPr>
      <w:r>
        <w:rPr>
          <w:rFonts w:hint="eastAsia" w:ascii="仿宋" w:hAnsi="仿宋" w:eastAsia="仿宋"/>
          <w:kern w:val="30"/>
          <w:sz w:val="30"/>
          <w:szCs w:val="30"/>
        </w:rPr>
        <w:t>2019年宣汉县土壤肥料工作站支出总额168.58万元，</w:t>
      </w:r>
      <w:r>
        <w:rPr>
          <w:rFonts w:hint="eastAsia" w:ascii="仿宋" w:hAnsi="仿宋" w:eastAsia="仿宋" w:cs="仿宋"/>
          <w:kern w:val="30"/>
          <w:sz w:val="30"/>
          <w:szCs w:val="30"/>
        </w:rPr>
        <w:t>其中基本支出155.58万元，项目支出13万元。</w:t>
      </w:r>
    </w:p>
    <w:p>
      <w:pPr>
        <w:snapToGrid w:val="0"/>
        <w:spacing w:line="520" w:lineRule="exact"/>
        <w:ind w:firstLine="600" w:firstLineChars="200"/>
        <w:rPr>
          <w:rFonts w:ascii="仿宋" w:hAnsi="仿宋" w:eastAsia="仿宋"/>
          <w:kern w:val="30"/>
          <w:sz w:val="30"/>
          <w:szCs w:val="30"/>
        </w:rPr>
      </w:pPr>
      <w:r>
        <w:rPr>
          <w:rFonts w:hint="eastAsia" w:ascii="仿宋" w:hAnsi="仿宋" w:eastAsia="仿宋"/>
          <w:kern w:val="30"/>
          <w:sz w:val="30"/>
          <w:szCs w:val="30"/>
        </w:rPr>
        <w:t>一般公共财政预算拨款基本支出155.58万元，其中人员支出149.12万元,占总支出88.46%；日常公用支出6.46万元,占总支出3.84%。项目支出13万元，行政事业类项目支出13万元，占总支出7.7%。（</w:t>
      </w:r>
      <w:r>
        <w:rPr>
          <w:rFonts w:ascii="仿宋" w:hAnsi="仿宋" w:eastAsia="仿宋" w:cs="仿宋"/>
          <w:sz w:val="32"/>
          <w:szCs w:val="32"/>
        </w:rPr>
        <w:t>用于全国新增千亿斤粮食生产能力田间工程项目可研报告，实施方案编制资料费，招标，预决算审核费，项目检查指导差旅费等5万元。农产品产地环境长期定位监测项目区建立隔离墙，土壤、植株取样分析化验等5万元。农作物秸秆综合利用项目资料费及差旅费3万元</w:t>
      </w:r>
      <w:r>
        <w:rPr>
          <w:rFonts w:hint="eastAsia" w:ascii="仿宋" w:hAnsi="仿宋" w:eastAsia="仿宋"/>
          <w:kern w:val="30"/>
          <w:sz w:val="30"/>
          <w:szCs w:val="30"/>
        </w:rPr>
        <w:t>）。</w:t>
      </w:r>
    </w:p>
    <w:p>
      <w:pPr>
        <w:widowControl/>
        <w:adjustRightInd w:val="0"/>
        <w:snapToGrid w:val="0"/>
        <w:spacing w:line="580" w:lineRule="exact"/>
        <w:ind w:firstLine="960" w:firstLineChars="3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napToGrid w:val="0"/>
        <w:spacing w:line="520" w:lineRule="exact"/>
        <w:ind w:firstLine="600" w:firstLineChars="200"/>
        <w:rPr>
          <w:rFonts w:ascii="仿宋" w:hAnsi="仿宋" w:eastAsia="仿宋"/>
          <w:kern w:val="30"/>
          <w:sz w:val="30"/>
          <w:szCs w:val="30"/>
        </w:rPr>
      </w:pPr>
      <w:r>
        <w:rPr>
          <w:rFonts w:hint="eastAsia" w:ascii="仿宋" w:hAnsi="仿宋" w:eastAsia="仿宋"/>
          <w:kern w:val="30"/>
          <w:sz w:val="30"/>
          <w:szCs w:val="30"/>
        </w:rPr>
        <w:t>2019年宣汉县土壤肥料工作站财务人员年初进行预算编制、年末进行决算编制。严格按照先预算再支出的原则，做到收支平衡。财政收入、支出预算执行基本情况：本年度财政拨款预算收入168.58万元、财政拨款决算收入支出168.58万元，本年预决算收入支出差异率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adjustRightInd w:val="0"/>
        <w:snapToGrid w:val="0"/>
        <w:spacing w:line="520" w:lineRule="exact"/>
        <w:ind w:firstLine="600" w:firstLineChars="200"/>
        <w:rPr>
          <w:rFonts w:ascii="华文仿宋" w:hAnsi="华文仿宋" w:eastAsia="华文仿宋"/>
          <w:color w:val="000000"/>
          <w:kern w:val="30"/>
          <w:sz w:val="30"/>
          <w:szCs w:val="30"/>
          <w:shd w:val="clear" w:color="auto" w:fill="FFFFFF"/>
          <w:lang w:val="zh-CN"/>
        </w:rPr>
      </w:pPr>
      <w:r>
        <w:rPr>
          <w:rFonts w:hint="eastAsia" w:ascii="华文仿宋" w:hAnsi="华文仿宋" w:eastAsia="华文仿宋"/>
          <w:kern w:val="30"/>
          <w:sz w:val="30"/>
          <w:szCs w:val="30"/>
        </w:rPr>
        <w:t>土肥站严格按照上级相关部门的要求，</w:t>
      </w:r>
      <w:r>
        <w:rPr>
          <w:rFonts w:ascii="华文仿宋" w:hAnsi="华文仿宋" w:eastAsia="华文仿宋"/>
          <w:color w:val="000000"/>
          <w:kern w:val="30"/>
          <w:sz w:val="30"/>
          <w:szCs w:val="30"/>
          <w:shd w:val="clear" w:color="auto" w:fill="FFFFFF"/>
          <w:lang w:val="zh-CN"/>
        </w:rPr>
        <w:t>执行《四川省省级财政专项资金绩效分配管理暂行办法》实施绩效分配。</w:t>
      </w:r>
      <w:r>
        <w:rPr>
          <w:rFonts w:hint="eastAsia" w:ascii="华文仿宋" w:hAnsi="华文仿宋" w:eastAsia="华文仿宋"/>
          <w:kern w:val="30"/>
          <w:sz w:val="30"/>
          <w:szCs w:val="30"/>
        </w:rPr>
        <w:t>按规定执行预决算制度，按规定流程编报预决算报表；</w:t>
      </w:r>
      <w:r>
        <w:rPr>
          <w:rFonts w:ascii="华文仿宋" w:hAnsi="华文仿宋" w:eastAsia="华文仿宋"/>
          <w:color w:val="222222"/>
          <w:kern w:val="30"/>
          <w:sz w:val="30"/>
          <w:szCs w:val="30"/>
        </w:rPr>
        <w:t>绩效考核工作按照“计划、总结 、评估、反馈”的流程，对各项工作目标完成情况开展绩效考核工作</w:t>
      </w:r>
      <w:r>
        <w:rPr>
          <w:rFonts w:hint="eastAsia" w:ascii="华文仿宋" w:hAnsi="华文仿宋" w:eastAsia="华文仿宋"/>
          <w:color w:val="222222"/>
          <w:kern w:val="30"/>
          <w:sz w:val="30"/>
          <w:szCs w:val="30"/>
        </w:rPr>
        <w:t>。</w:t>
      </w:r>
      <w:r>
        <w:rPr>
          <w:rFonts w:ascii="华文仿宋" w:hAnsi="华文仿宋" w:eastAsia="华文仿宋"/>
          <w:color w:val="000000"/>
          <w:kern w:val="30"/>
          <w:sz w:val="30"/>
          <w:szCs w:val="30"/>
          <w:shd w:val="clear" w:color="auto" w:fill="FFFFFF"/>
          <w:lang w:val="zh-CN"/>
        </w:rPr>
        <w:t xml:space="preserve">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adjustRightInd w:val="0"/>
        <w:snapToGrid w:val="0"/>
        <w:spacing w:line="520" w:lineRule="exact"/>
        <w:ind w:firstLine="640" w:firstLineChars="200"/>
        <w:rPr>
          <w:rFonts w:hint="eastAsia" w:ascii="华文仿宋" w:hAnsi="华文仿宋" w:eastAsia="华文仿宋"/>
          <w:b/>
          <w:color w:val="000000"/>
          <w:kern w:val="30"/>
          <w:sz w:val="32"/>
          <w:szCs w:val="32"/>
        </w:rPr>
      </w:pPr>
      <w:r>
        <w:rPr>
          <w:rFonts w:hint="eastAsia" w:eastAsia="仿宋_GB2312"/>
          <w:color w:val="000000"/>
          <w:kern w:val="0"/>
          <w:sz w:val="32"/>
          <w:szCs w:val="32"/>
          <w:shd w:val="clear" w:color="auto" w:fill="FFFFFF"/>
          <w:lang w:val="zh-CN"/>
        </w:rPr>
        <w:t>客观公正反应了本单位2019年的财政资金收支情况、单位运行情况、履行职能职责及工作开展。</w:t>
      </w:r>
      <w:r>
        <w:rPr>
          <w:rFonts w:hint="eastAsia" w:ascii="华文仿宋" w:hAnsi="华文仿宋" w:eastAsia="华文仿宋"/>
          <w:color w:val="000000"/>
          <w:kern w:val="30"/>
          <w:sz w:val="30"/>
          <w:szCs w:val="30"/>
        </w:rPr>
        <w:t>按照《预算法》按时完成预决算编制。在执行过程中有计划进行资金申报、使用，完善资金管理及内部控制制度，确保资金安全，做到账款、账账、账实相符。为全面开展工作提供有效资金保障。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adjustRightInd w:val="0"/>
        <w:snapToGrid w:val="0"/>
        <w:spacing w:line="520" w:lineRule="exact"/>
        <w:ind w:firstLine="640" w:firstLineChars="200"/>
        <w:rPr>
          <w:rFonts w:ascii="仿宋" w:hAnsi="仿宋" w:eastAsia="仿宋"/>
          <w:b/>
          <w:color w:val="000000"/>
          <w:kern w:val="30"/>
          <w:sz w:val="32"/>
          <w:szCs w:val="32"/>
        </w:rPr>
      </w:pPr>
      <w:r>
        <w:rPr>
          <w:rFonts w:hint="eastAsia" w:ascii="仿宋" w:hAnsi="仿宋" w:eastAsia="仿宋"/>
          <w:color w:val="000000"/>
          <w:kern w:val="30"/>
          <w:sz w:val="32"/>
          <w:szCs w:val="32"/>
        </w:rPr>
        <w:t>专项经费地方配套不足，项目资金下达不及时，导致有的项目跨年实施。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adjustRightInd w:val="0"/>
        <w:snapToGrid w:val="0"/>
        <w:spacing w:line="520" w:lineRule="exact"/>
        <w:ind w:firstLine="640" w:firstLineChars="200"/>
        <w:rPr>
          <w:rFonts w:ascii="华文仿宋" w:hAnsi="华文仿宋" w:eastAsia="华文仿宋"/>
          <w:color w:val="000000"/>
          <w:kern w:val="30"/>
          <w:sz w:val="30"/>
          <w:szCs w:val="30"/>
        </w:rPr>
      </w:pPr>
      <w:r>
        <w:rPr>
          <w:rFonts w:hint="eastAsia" w:eastAsia="仿宋_GB2312"/>
          <w:color w:val="000000"/>
          <w:kern w:val="0"/>
          <w:sz w:val="32"/>
          <w:szCs w:val="32"/>
          <w:shd w:val="clear" w:color="auto" w:fill="FFFFFF"/>
          <w:lang w:val="zh-CN"/>
        </w:rPr>
        <w:t>希相关上级部门加强对绩效评价工作的指导，使单位能够高质量完成绩效目标任务。</w:t>
      </w:r>
      <w:r>
        <w:rPr>
          <w:rFonts w:hint="eastAsia" w:ascii="华文仿宋" w:hAnsi="华文仿宋" w:eastAsia="华文仿宋"/>
          <w:color w:val="000000"/>
          <w:kern w:val="30"/>
          <w:sz w:val="30"/>
          <w:szCs w:val="30"/>
        </w:rPr>
        <w:t>在今后工作中，进一步提高工作效率，把有限的资金用在刀刃上，扎实更好地开展工作</w:t>
      </w:r>
      <w:r>
        <w:rPr>
          <w:rFonts w:hint="eastAsia"/>
          <w:color w:val="000000"/>
          <w:sz w:val="30"/>
          <w:szCs w:val="30"/>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bookmarkStart w:id="35"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33"/>
      <w:bookmarkEnd w:id="35"/>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36"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36"/>
    </w:p>
    <w:p>
      <w:pPr>
        <w:pStyle w:val="3"/>
        <w:rPr>
          <w:rFonts w:ascii="仿宋" w:hAnsi="仿宋" w:eastAsia="仿宋"/>
          <w:color w:val="000000"/>
        </w:rPr>
      </w:pPr>
      <w:bookmarkStart w:id="37"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37"/>
    </w:p>
    <w:p>
      <w:pPr>
        <w:pStyle w:val="3"/>
        <w:rPr>
          <w:rFonts w:ascii="仿宋" w:hAnsi="仿宋" w:eastAsia="仿宋"/>
          <w:color w:val="000000"/>
        </w:rPr>
      </w:pPr>
      <w:bookmarkStart w:id="38"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38"/>
    </w:p>
    <w:p>
      <w:pPr>
        <w:pStyle w:val="3"/>
        <w:rPr>
          <w:rFonts w:ascii="仿宋" w:hAnsi="仿宋" w:eastAsia="仿宋"/>
          <w:b w:val="0"/>
          <w:color w:val="000000"/>
        </w:rPr>
      </w:pPr>
      <w:bookmarkStart w:id="39"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39"/>
    </w:p>
    <w:p>
      <w:pPr>
        <w:pStyle w:val="3"/>
        <w:rPr>
          <w:rStyle w:val="25"/>
          <w:rFonts w:ascii="仿宋" w:hAnsi="仿宋" w:eastAsia="仿宋"/>
          <w:b w:val="0"/>
          <w:bCs w:val="0"/>
        </w:rPr>
      </w:pPr>
      <w:bookmarkStart w:id="40"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40"/>
      <w:bookmarkStart w:id="41"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41"/>
    </w:p>
    <w:p>
      <w:pPr>
        <w:pStyle w:val="3"/>
        <w:rPr>
          <w:rFonts w:ascii="仿宋" w:hAnsi="仿宋" w:eastAsia="仿宋"/>
          <w:color w:val="000000"/>
        </w:rPr>
      </w:pPr>
      <w:bookmarkStart w:id="42"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42"/>
    </w:p>
    <w:p>
      <w:pPr>
        <w:pStyle w:val="3"/>
        <w:rPr>
          <w:rFonts w:ascii="仿宋" w:hAnsi="仿宋" w:eastAsia="仿宋"/>
          <w:color w:val="000000"/>
        </w:rPr>
      </w:pPr>
      <w:bookmarkStart w:id="43"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43"/>
    </w:p>
    <w:p>
      <w:pPr>
        <w:pStyle w:val="3"/>
        <w:rPr>
          <w:rFonts w:ascii="仿宋" w:hAnsi="仿宋" w:eastAsia="仿宋"/>
          <w:color w:val="000000"/>
        </w:rPr>
      </w:pPr>
      <w:bookmarkStart w:id="44"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44"/>
    </w:p>
    <w:p>
      <w:pPr>
        <w:pStyle w:val="3"/>
        <w:rPr>
          <w:rFonts w:ascii="仿宋" w:hAnsi="仿宋" w:eastAsia="仿宋"/>
          <w:color w:val="000000"/>
        </w:rPr>
      </w:pPr>
      <w:bookmarkStart w:id="45"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45"/>
    </w:p>
    <w:p>
      <w:pPr>
        <w:pStyle w:val="3"/>
        <w:rPr>
          <w:rFonts w:ascii="仿宋" w:hAnsi="仿宋" w:eastAsia="仿宋"/>
          <w:color w:val="000000"/>
        </w:rPr>
      </w:pPr>
      <w:bookmarkStart w:id="46"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46"/>
    </w:p>
    <w:p>
      <w:pPr>
        <w:pStyle w:val="3"/>
        <w:rPr>
          <w:rFonts w:ascii="仿宋" w:hAnsi="仿宋" w:eastAsia="仿宋"/>
          <w:color w:val="000000"/>
        </w:rPr>
      </w:pPr>
      <w:bookmarkStart w:id="47"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47"/>
    </w:p>
    <w:p>
      <w:pPr>
        <w:pStyle w:val="3"/>
        <w:rPr>
          <w:rFonts w:ascii="仿宋" w:hAnsi="仿宋" w:eastAsia="仿宋"/>
          <w:color w:val="000000" w:themeColor="text1"/>
        </w:rPr>
      </w:pPr>
      <w:bookmarkStart w:id="48"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48"/>
    </w:p>
    <w:sectPr>
      <w:headerReference r:id="rId3" w:type="default"/>
      <w:footerReference r:id="rId4" w:type="default"/>
      <w:pgSz w:w="11906" w:h="16838"/>
      <w:pgMar w:top="1440" w:right="1080" w:bottom="1440" w:left="108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color w:val="000000" w:themeColor="text1"/>
        <w:sz w:val="32"/>
        <w:szCs w:val="32"/>
      </w:rPr>
    </w:lvl>
  </w:abstractNum>
  <w:abstractNum w:abstractNumId="2">
    <w:nsid w:val="1272550B"/>
    <w:multiLevelType w:val="multilevel"/>
    <w:tmpl w:val="1272550B"/>
    <w:lvl w:ilvl="0" w:tentative="0">
      <w:start w:val="1"/>
      <w:numFmt w:val="japaneseCounting"/>
      <w:lvlText w:val="%1、"/>
      <w:lvlJc w:val="left"/>
      <w:pPr>
        <w:ind w:left="1429" w:hanging="720"/>
      </w:pPr>
      <w:rPr>
        <w:rFonts w:hint="default"/>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9F21759"/>
    <w:multiLevelType w:val="multilevel"/>
    <w:tmpl w:val="79F21759"/>
    <w:lvl w:ilvl="0" w:tentative="0">
      <w:start w:val="8"/>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A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3F5D"/>
    <w:rsid w:val="002D5FCE"/>
    <w:rsid w:val="002D6D05"/>
    <w:rsid w:val="002F1818"/>
    <w:rsid w:val="002F567B"/>
    <w:rsid w:val="003216A9"/>
    <w:rsid w:val="00335A74"/>
    <w:rsid w:val="0036561B"/>
    <w:rsid w:val="0037013F"/>
    <w:rsid w:val="003779EE"/>
    <w:rsid w:val="00380C92"/>
    <w:rsid w:val="003A484F"/>
    <w:rsid w:val="003A4883"/>
    <w:rsid w:val="003B0BE0"/>
    <w:rsid w:val="003B0C1B"/>
    <w:rsid w:val="003B688C"/>
    <w:rsid w:val="003C0291"/>
    <w:rsid w:val="003C1787"/>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40B"/>
    <w:rsid w:val="00487E5D"/>
    <w:rsid w:val="004A711F"/>
    <w:rsid w:val="004B199D"/>
    <w:rsid w:val="004B4690"/>
    <w:rsid w:val="004C05CB"/>
    <w:rsid w:val="004C74E3"/>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A115E"/>
    <w:rsid w:val="005B5C64"/>
    <w:rsid w:val="005C6BD0"/>
    <w:rsid w:val="005C6C4C"/>
    <w:rsid w:val="005C718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3B7A"/>
    <w:rsid w:val="00727533"/>
    <w:rsid w:val="007334D6"/>
    <w:rsid w:val="007416B6"/>
    <w:rsid w:val="00746F48"/>
    <w:rsid w:val="0075404D"/>
    <w:rsid w:val="0076182A"/>
    <w:rsid w:val="00766FA7"/>
    <w:rsid w:val="00767B7E"/>
    <w:rsid w:val="007770C3"/>
    <w:rsid w:val="00784D24"/>
    <w:rsid w:val="00785FBA"/>
    <w:rsid w:val="00786E4A"/>
    <w:rsid w:val="007875EB"/>
    <w:rsid w:val="0079426B"/>
    <w:rsid w:val="007A745A"/>
    <w:rsid w:val="007B5858"/>
    <w:rsid w:val="007D1682"/>
    <w:rsid w:val="007D312A"/>
    <w:rsid w:val="007D3F19"/>
    <w:rsid w:val="007E23B0"/>
    <w:rsid w:val="007E5FF9"/>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E2ECD"/>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5F5A"/>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35F06"/>
    <w:rsid w:val="00C42709"/>
    <w:rsid w:val="00C533CC"/>
    <w:rsid w:val="00C5751C"/>
    <w:rsid w:val="00C61BFC"/>
    <w:rsid w:val="00C62B85"/>
    <w:rsid w:val="00C65438"/>
    <w:rsid w:val="00C91CBB"/>
    <w:rsid w:val="00CB4E70"/>
    <w:rsid w:val="00CC09B6"/>
    <w:rsid w:val="00CC666F"/>
    <w:rsid w:val="00CD1E3F"/>
    <w:rsid w:val="00CE198B"/>
    <w:rsid w:val="00CE44F6"/>
    <w:rsid w:val="00CE49DA"/>
    <w:rsid w:val="00CE7B61"/>
    <w:rsid w:val="00D00095"/>
    <w:rsid w:val="00D114F0"/>
    <w:rsid w:val="00D20620"/>
    <w:rsid w:val="00D254F7"/>
    <w:rsid w:val="00D2572A"/>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F3E"/>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78E"/>
    <w:rsid w:val="00F26230"/>
    <w:rsid w:val="00F36D8F"/>
    <w:rsid w:val="00F417B1"/>
    <w:rsid w:val="00F45853"/>
    <w:rsid w:val="00F602DF"/>
    <w:rsid w:val="00F754A1"/>
    <w:rsid w:val="00F81FD9"/>
    <w:rsid w:val="00F841AA"/>
    <w:rsid w:val="00F84A94"/>
    <w:rsid w:val="00F87E96"/>
    <w:rsid w:val="00FA23E8"/>
    <w:rsid w:val="00FD3CC1"/>
    <w:rsid w:val="00FF1E02"/>
    <w:rsid w:val="00FF2CBB"/>
    <w:rsid w:val="00FF30B4"/>
    <w:rsid w:val="04D90FB0"/>
    <w:rsid w:val="10C055FF"/>
    <w:rsid w:val="16BB723D"/>
    <w:rsid w:val="240371BF"/>
    <w:rsid w:val="29FD04D3"/>
    <w:rsid w:val="319F7F4E"/>
    <w:rsid w:val="3AE540C5"/>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font71"/>
    <w:basedOn w:val="1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1158</Words>
  <Characters>6607</Characters>
  <Lines>55</Lines>
  <Paragraphs>15</Paragraphs>
  <TotalTime>2</TotalTime>
  <ScaleCrop>false</ScaleCrop>
  <LinksUpToDate>false</LinksUpToDate>
  <CharactersWithSpaces>7750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2020-11-12T16:11:00Z</dcterms:created>
  <dc:creator>曹颖</dc:creator>
  <cp:lastModifiedBy>仁可女青</cp:lastModifiedBy>
  <cp:lastPrinted>2020-07-23T10:58:00Z</cp:lastPrinted>
  <dcterms:modified xsi:type="dcterms:W3CDTF">2021-11-30T19:05:15Z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