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96597"/>
      <w:bookmarkStart w:id="3" w:name="_Toc15378441"/>
      <w:bookmarkStart w:id="4" w:name="_Toc15377193"/>
      <w:bookmarkStart w:id="5" w:name="_Toc1537742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77194"/>
      <w:bookmarkStart w:id="8" w:name="_Toc15396598"/>
      <w:bookmarkStart w:id="9" w:name="_Toc15377426"/>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宣汉县东乡镇</w:t>
      </w:r>
    </w:p>
    <w:p>
      <w:pPr>
        <w:adjustRightInd w:val="0"/>
        <w:snapToGrid w:val="0"/>
        <w:spacing w:line="360" w:lineRule="auto"/>
        <w:jc w:val="center"/>
        <w:outlineLvl w:val="0"/>
        <w:rPr>
          <w:rFonts w:ascii="方正小标宋简体" w:hAnsi="宋体" w:eastAsia="方正小标宋简体"/>
          <w:color w:val="000000"/>
          <w:sz w:val="84"/>
          <w:szCs w:val="84"/>
        </w:rPr>
      </w:pPr>
      <w:r>
        <w:rPr>
          <w:rFonts w:hint="eastAsia" w:ascii="方正小标宋简体" w:hAnsi="宋体" w:eastAsia="方正小标宋简体"/>
          <w:color w:val="000000"/>
          <w:sz w:val="84"/>
          <w:szCs w:val="84"/>
        </w:rPr>
        <w:t>西北中心校部门决算</w:t>
      </w:r>
      <w:bookmarkEnd w:id="6"/>
      <w:bookmarkEnd w:id="7"/>
      <w:bookmarkEnd w:id="8"/>
      <w:bookmarkEnd w:id="9"/>
      <w:bookmarkEnd w:id="10"/>
      <w:bookmarkEnd w:id="11"/>
      <w:r>
        <w:rPr>
          <w:rFonts w:hint="eastAsia" w:ascii="方正小标宋简体" w:hAnsi="宋体" w:eastAsia="方正小标宋简体"/>
          <w:color w:val="000000"/>
          <w:sz w:val="84"/>
          <w:szCs w:val="84"/>
        </w:rPr>
        <w:t>公   示</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1"/>
      </w:pPr>
      <w:r>
        <w:rPr>
          <w:rFonts w:hint="eastAsia"/>
        </w:rPr>
        <w:t>公开时间：2019年9月5日</w:t>
      </w:r>
    </w:p>
    <w:p/>
    <w:p>
      <w:pPr>
        <w:pStyle w:val="11"/>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pPr>
        <w:pStyle w:val="12"/>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2"/>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1"/>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2"/>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1"/>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2"/>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sz w:val="32"/>
        </w:rPr>
        <w:t>实施小学义务教育，促进基础教育发展，小学学历教育服务。</w:t>
      </w:r>
    </w:p>
    <w:p>
      <w:pPr>
        <w:adjustRightInd w:val="0"/>
        <w:snapToGrid w:val="0"/>
        <w:spacing w:line="500" w:lineRule="exact"/>
        <w:ind w:firstLine="640" w:firstLineChars="200"/>
        <w:rPr>
          <w:rFonts w:hint="eastAsia"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回眸过去的一年，在县委、政府的领导下，在县委教育工委、县教科局和东乡镇党委的指导下，学校全体教职员工认真践行</w:t>
      </w:r>
      <w:r>
        <w:rPr>
          <w:rFonts w:hint="eastAsia" w:ascii="仿宋" w:hAnsi="仿宋" w:eastAsia="仿宋"/>
          <w:sz w:val="32"/>
          <w:szCs w:val="32"/>
          <w:lang w:val="en-US" w:eastAsia="zh-CN"/>
        </w:rPr>
        <w:t>习近平</w:t>
      </w:r>
      <w:r>
        <w:rPr>
          <w:rFonts w:hint="eastAsia" w:ascii="仿宋" w:hAnsi="仿宋" w:eastAsia="仿宋"/>
          <w:sz w:val="32"/>
          <w:szCs w:val="32"/>
        </w:rPr>
        <w:t>总书记提出的“四有”好老师标准，以“面向全体师生，促进全面发展”为宗旨，充分发扬新时代人民教师爱岗敬业，无私奉献的“红烛”精神，演绎了学校工作一个又一个精彩与辉煌，一串串硕果为2018画上圆满的句号。</w:t>
      </w:r>
    </w:p>
    <w:p>
      <w:pPr>
        <w:autoSpaceDE w:val="0"/>
        <w:autoSpaceDN w:val="0"/>
        <w:adjustRightInd w:val="0"/>
        <w:snapToGrid w:val="0"/>
        <w:spacing w:line="500" w:lineRule="exact"/>
        <w:ind w:firstLine="643" w:firstLineChars="200"/>
        <w:rPr>
          <w:rFonts w:hint="eastAsia" w:ascii="仿宋" w:hAnsi="仿宋" w:eastAsia="仿宋"/>
          <w:b/>
          <w:bCs/>
          <w:sz w:val="32"/>
          <w:szCs w:val="32"/>
        </w:rPr>
      </w:pPr>
      <w:r>
        <w:rPr>
          <w:rFonts w:hint="eastAsia" w:ascii="仿宋" w:hAnsi="仿宋" w:eastAsia="仿宋"/>
          <w:b/>
          <w:bCs/>
          <w:sz w:val="32"/>
          <w:szCs w:val="32"/>
          <w:lang w:val="en-US" w:eastAsia="zh-CN"/>
        </w:rPr>
        <w:t>&lt;</w:t>
      </w:r>
      <w:r>
        <w:rPr>
          <w:rFonts w:hint="eastAsia" w:ascii="仿宋" w:hAnsi="仿宋" w:eastAsia="仿宋"/>
          <w:b/>
          <w:bCs/>
          <w:sz w:val="32"/>
          <w:szCs w:val="32"/>
        </w:rPr>
        <w:t>一</w:t>
      </w:r>
      <w:r>
        <w:rPr>
          <w:rFonts w:hint="eastAsia" w:ascii="仿宋" w:hAnsi="仿宋" w:eastAsia="仿宋"/>
          <w:b/>
          <w:bCs/>
          <w:sz w:val="32"/>
          <w:szCs w:val="32"/>
          <w:lang w:val="en-US" w:eastAsia="zh-CN"/>
        </w:rPr>
        <w:t>&gt;</w:t>
      </w:r>
      <w:r>
        <w:rPr>
          <w:rFonts w:hint="eastAsia" w:ascii="仿宋" w:hAnsi="仿宋" w:eastAsia="仿宋"/>
          <w:b/>
          <w:bCs/>
          <w:sz w:val="32"/>
          <w:szCs w:val="32"/>
        </w:rPr>
        <w:t xml:space="preserve">夯实党建，狠抓廉洁，规范办学行为 </w:t>
      </w:r>
    </w:p>
    <w:p>
      <w:pPr>
        <w:autoSpaceDE w:val="0"/>
        <w:autoSpaceDN w:val="0"/>
        <w:adjustRightInd w:val="0"/>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在学校管理中，一是高度重视党建工作，充分发挥党组织的核心战斗力和党员的先锋带头作用，我们扎实抓好了支部阵地建设，进一步完善了党建办和党员活动室，制作了阵地宣传展板；强化了党员学习教育，以集中学习、分组学习、专题辅导、个人自学等方式深入学习了</w:t>
      </w:r>
      <w:r>
        <w:rPr>
          <w:rFonts w:hint="eastAsia" w:ascii="仿宋" w:hAnsi="仿宋" w:eastAsia="仿宋"/>
          <w:sz w:val="32"/>
          <w:szCs w:val="32"/>
          <w:lang w:val="en-US" w:eastAsia="zh-CN"/>
        </w:rPr>
        <w:t>习近平</w:t>
      </w:r>
      <w:r>
        <w:rPr>
          <w:rFonts w:hint="eastAsia" w:ascii="仿宋" w:hAnsi="仿宋" w:eastAsia="仿宋"/>
          <w:sz w:val="32"/>
          <w:szCs w:val="32"/>
        </w:rPr>
        <w:t>总书记系列讲话、党章党规及准则，并辅以知识考试，能力检测，让学习内容入脑入心；落实“三会一课”制度，规范了党内</w:t>
      </w:r>
      <w:bookmarkStart w:id="76" w:name="_GoBack"/>
      <w:bookmarkEnd w:id="76"/>
      <w:r>
        <w:rPr>
          <w:rFonts w:hint="eastAsia" w:ascii="仿宋" w:hAnsi="仿宋" w:eastAsia="仿宋"/>
          <w:sz w:val="32"/>
          <w:szCs w:val="32"/>
        </w:rPr>
        <w:t>政治生活。2018年以来，支部组织全体党员教师到黄金槽村开展了精准贫困户慰问活动、诵唱活动、四风问题专题教育活动，“大学习、大调研、大讨论”的专题活动，到万源市保卫战遗址参观学习活动，为了迎接均衡发展验收过关，组织全体党员到周桥村小参加义务劳动，对红峰中心校和梨坪村小开展深度帮扶及党员教师上课活动。二是加强党风廉政建设，设立了党务校务公开栏，学校党支部与各行政部门分管领导、负责人签订《党风廉政建设责任书》。同时，学校以创建“廉洁学校”为契机，规范办学行为。成立创建领导小组，全体教师签订了《廉政承诺书》、《廉洁从教承诺书》，举办了廉洁教育专题讲座，开展了廉洁教育“小手拉大手”活动，较好地杜绝了教师的“四乱”行为，形成“爱岗敬业、关爱学生”的良好氛围 。7月，学校党支部在被县教育工委表彰为“先进基层党组织”。</w:t>
      </w:r>
    </w:p>
    <w:p>
      <w:pPr>
        <w:autoSpaceDE w:val="0"/>
        <w:autoSpaceDN w:val="0"/>
        <w:adjustRightInd w:val="0"/>
        <w:snapToGrid w:val="0"/>
        <w:spacing w:line="500" w:lineRule="exact"/>
        <w:ind w:firstLine="643" w:firstLineChars="200"/>
        <w:rPr>
          <w:rFonts w:hint="eastAsia" w:ascii="仿宋" w:hAnsi="仿宋" w:eastAsia="仿宋"/>
          <w:b/>
          <w:bCs/>
          <w:sz w:val="32"/>
          <w:szCs w:val="32"/>
        </w:rPr>
      </w:pPr>
      <w:r>
        <w:rPr>
          <w:rFonts w:hint="eastAsia" w:ascii="仿宋" w:hAnsi="仿宋" w:eastAsia="仿宋"/>
          <w:b/>
          <w:bCs/>
          <w:sz w:val="32"/>
          <w:szCs w:val="32"/>
          <w:lang w:val="en-US" w:eastAsia="zh-CN"/>
        </w:rPr>
        <w:t>&lt;</w:t>
      </w:r>
      <w:r>
        <w:rPr>
          <w:rFonts w:hint="eastAsia" w:ascii="仿宋" w:hAnsi="仿宋" w:eastAsia="仿宋"/>
          <w:b/>
          <w:bCs/>
          <w:sz w:val="32"/>
          <w:szCs w:val="32"/>
        </w:rPr>
        <w:t>二</w:t>
      </w:r>
      <w:r>
        <w:rPr>
          <w:rFonts w:hint="eastAsia" w:ascii="仿宋" w:hAnsi="仿宋" w:eastAsia="仿宋"/>
          <w:b/>
          <w:bCs/>
          <w:sz w:val="32"/>
          <w:szCs w:val="32"/>
          <w:lang w:val="en-US" w:eastAsia="zh-CN"/>
        </w:rPr>
        <w:t>&gt;</w:t>
      </w:r>
      <w:r>
        <w:rPr>
          <w:rFonts w:hint="eastAsia" w:ascii="仿宋" w:hAnsi="仿宋" w:eastAsia="仿宋"/>
          <w:b/>
          <w:bCs/>
          <w:sz w:val="32"/>
          <w:szCs w:val="32"/>
        </w:rPr>
        <w:t xml:space="preserve">提升素养，打造名师，强化师资建设 </w:t>
      </w:r>
    </w:p>
    <w:p>
      <w:pPr>
        <w:adjustRightInd w:val="0"/>
        <w:snapToGrid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学校立足“站位更高、技艺更精”的要求，从抓骨干力量入手，积极开展师培师训活动。一是派出骨干教师参加高规格、高水平的学习培训，迅速与当前教育发展最前沿的改革接轨。</w:t>
      </w:r>
      <w:r>
        <w:rPr>
          <w:rFonts w:hint="eastAsia" w:ascii="方正仿宋简体" w:eastAsia="方正仿宋简体"/>
          <w:sz w:val="32"/>
          <w:szCs w:val="32"/>
        </w:rPr>
        <w:t>如</w:t>
      </w:r>
      <w:r>
        <w:rPr>
          <w:rFonts w:hint="eastAsia" w:ascii="仿宋" w:hAnsi="仿宋" w:eastAsia="仿宋"/>
          <w:sz w:val="32"/>
          <w:szCs w:val="32"/>
        </w:rPr>
        <w:t>卢霞、李玉秀、赵红英到</w:t>
      </w:r>
      <w:r>
        <w:rPr>
          <w:rFonts w:hint="eastAsia" w:ascii="方正仿宋简体" w:eastAsia="方正仿宋简体"/>
          <w:sz w:val="32"/>
          <w:szCs w:val="32"/>
        </w:rPr>
        <w:t>达州市“语文群文阅读”研讨会、</w:t>
      </w:r>
      <w:r>
        <w:rPr>
          <w:rFonts w:hint="eastAsia" w:ascii="仿宋" w:hAnsi="仿宋" w:eastAsia="仿宋"/>
          <w:sz w:val="32"/>
          <w:szCs w:val="32"/>
        </w:rPr>
        <w:t>杨春琼、冯涛、尹美、李英到绵阳参加四川省2018教师年会暨基于关键能力发展课例研讨会、王洪、张胜到</w:t>
      </w:r>
      <w:r>
        <w:rPr>
          <w:rFonts w:hint="eastAsia" w:ascii="方正仿宋简体" w:eastAsia="方正仿宋简体"/>
          <w:sz w:val="32"/>
          <w:szCs w:val="32"/>
        </w:rPr>
        <w:t>四川大邑参加“美丽而有温度的乡村教育”全国推介会等等。</w:t>
      </w:r>
      <w:r>
        <w:rPr>
          <w:rFonts w:hint="eastAsia" w:ascii="仿宋" w:hAnsi="仿宋" w:eastAsia="仿宋"/>
          <w:sz w:val="32"/>
          <w:szCs w:val="32"/>
        </w:rPr>
        <w:t>二是以青年教师培养为重点，不断强化青年教师的发展意识。我们给青年教师压担子、搭平台、创机会，并在生活、工作上多给予信任，在教学、教研上多给予支持。先后派出冉淑清、李腾、陈敏、代强、李昕到师源外国语小学参加片区内艺体联合教研活动，冉淑清、李腾到育才小学参加体育课堂展评活动；选派了冯涛、覃永清、高青燕、冉淑清老师送教到桃花中心校和红峰中心校；学校40名老师参加了东乡片区语文、数学联合教研活动。岁月不居，天道酬勤。一年来，学校9名教师进入县级“名师库”，程艳、向晓洪、冯涛、李英五名教师成为县级名师。在全县教师菜单式专业知识竞赛中，我校三年级语文、四年级数学共12名教师参考，平均成绩居全县第7名，前30名占5名，学校荣获“教师专业知识考试先进学校”。</w:t>
      </w:r>
    </w:p>
    <w:p>
      <w:pPr>
        <w:adjustRightInd w:val="0"/>
        <w:snapToGrid w:val="0"/>
        <w:spacing w:line="500" w:lineRule="exact"/>
        <w:ind w:firstLine="643" w:firstLineChars="200"/>
        <w:rPr>
          <w:rFonts w:hint="eastAsia" w:ascii="仿宋" w:hAnsi="仿宋" w:eastAsia="仿宋"/>
          <w:b/>
          <w:bCs/>
          <w:sz w:val="32"/>
          <w:szCs w:val="32"/>
        </w:rPr>
      </w:pPr>
      <w:r>
        <w:rPr>
          <w:rFonts w:hint="eastAsia" w:ascii="仿宋" w:hAnsi="仿宋" w:eastAsia="仿宋"/>
          <w:b/>
          <w:bCs/>
          <w:sz w:val="32"/>
          <w:szCs w:val="32"/>
          <w:lang w:val="en-US" w:eastAsia="zh-CN"/>
        </w:rPr>
        <w:t>&lt;</w:t>
      </w:r>
      <w:r>
        <w:rPr>
          <w:rFonts w:hint="eastAsia" w:ascii="仿宋" w:hAnsi="仿宋" w:eastAsia="仿宋"/>
          <w:b/>
          <w:bCs/>
          <w:sz w:val="32"/>
          <w:szCs w:val="32"/>
        </w:rPr>
        <w:t>三</w:t>
      </w:r>
      <w:r>
        <w:rPr>
          <w:rFonts w:hint="eastAsia" w:ascii="仿宋" w:hAnsi="仿宋" w:eastAsia="仿宋"/>
          <w:b/>
          <w:bCs/>
          <w:sz w:val="32"/>
          <w:szCs w:val="32"/>
          <w:lang w:val="en-US" w:eastAsia="zh-CN"/>
        </w:rPr>
        <w:t>&gt;</w:t>
      </w:r>
      <w:r>
        <w:rPr>
          <w:rFonts w:hint="eastAsia" w:ascii="仿宋" w:hAnsi="仿宋" w:eastAsia="仿宋"/>
          <w:b/>
          <w:bCs/>
          <w:sz w:val="32"/>
          <w:szCs w:val="32"/>
        </w:rPr>
        <w:t xml:space="preserve">聚焦课堂，关注质量，促进全面发展 </w:t>
      </w:r>
    </w:p>
    <w:p>
      <w:pPr>
        <w:adjustRightInd w:val="0"/>
        <w:snapToGrid w:val="0"/>
        <w:spacing w:line="500" w:lineRule="exact"/>
        <w:ind w:firstLine="643" w:firstLineChars="200"/>
        <w:rPr>
          <w:rFonts w:hint="eastAsia" w:ascii="仿宋" w:hAnsi="仿宋" w:eastAsia="仿宋"/>
          <w:sz w:val="32"/>
          <w:szCs w:val="32"/>
        </w:rPr>
      </w:pPr>
      <w:r>
        <w:rPr>
          <w:rFonts w:hint="eastAsia" w:ascii="仿宋" w:hAnsi="仿宋" w:eastAsia="仿宋"/>
          <w:b/>
          <w:bCs/>
          <w:sz w:val="32"/>
          <w:szCs w:val="32"/>
        </w:rPr>
        <w:t>一是</w:t>
      </w:r>
      <w:r>
        <w:rPr>
          <w:rFonts w:hint="eastAsia" w:ascii="仿宋" w:hAnsi="仿宋" w:eastAsia="仿宋"/>
          <w:sz w:val="32"/>
          <w:szCs w:val="32"/>
        </w:rPr>
        <w:t>严格执行国家课程计划，开齐开足开好规定课程，严禁语、数教师挤占其他课程的正常教学时间，尤其是加强综合科的教学与管理。</w:t>
      </w:r>
      <w:r>
        <w:rPr>
          <w:rFonts w:hint="eastAsia" w:ascii="仿宋" w:hAnsi="仿宋" w:eastAsia="仿宋"/>
          <w:b/>
          <w:bCs/>
          <w:sz w:val="32"/>
          <w:szCs w:val="32"/>
        </w:rPr>
        <w:t>二是</w:t>
      </w:r>
      <w:r>
        <w:rPr>
          <w:rFonts w:hint="eastAsia" w:ascii="仿宋" w:hAnsi="仿宋" w:eastAsia="仿宋"/>
          <w:sz w:val="32"/>
          <w:szCs w:val="32"/>
        </w:rPr>
        <w:t>以“教学六认真”为抓手，强化过程管理，及时把握教学动态，适时调整工作措施；以教学诊断为入口，深入细致的分析教学质量，强化质量意识；以教研组为单位，加强教学研讨，切搓教法和学法，上好示范课、研讨课和展示课。</w:t>
      </w:r>
      <w:r>
        <w:rPr>
          <w:rFonts w:hint="eastAsia" w:ascii="仿宋" w:hAnsi="仿宋" w:eastAsia="仿宋"/>
          <w:b/>
          <w:bCs/>
          <w:sz w:val="32"/>
          <w:szCs w:val="32"/>
        </w:rPr>
        <w:t>三是</w:t>
      </w:r>
      <w:r>
        <w:rPr>
          <w:rFonts w:hint="eastAsia" w:ascii="仿宋" w:hAnsi="仿宋" w:eastAsia="仿宋"/>
          <w:sz w:val="32"/>
          <w:szCs w:val="32"/>
        </w:rPr>
        <w:t>继续开展“631分享式研讨活动”和读书分享活动。广大教师在教学实践中不断反思自己的教学行为和方式，并通过“闲聊式”教研的形式相互交流，促进了教师的教学水平的提升。</w:t>
      </w:r>
      <w:r>
        <w:rPr>
          <w:rFonts w:hint="eastAsia" w:ascii="仿宋" w:hAnsi="仿宋" w:eastAsia="仿宋"/>
          <w:b/>
          <w:bCs/>
          <w:sz w:val="32"/>
          <w:szCs w:val="32"/>
        </w:rPr>
        <w:t>四是</w:t>
      </w:r>
      <w:r>
        <w:rPr>
          <w:rFonts w:hint="eastAsia" w:ascii="仿宋" w:hAnsi="仿宋" w:eastAsia="仿宋"/>
          <w:sz w:val="32"/>
          <w:szCs w:val="32"/>
        </w:rPr>
        <w:t>以课题为抓手，促进学生良好行为习惯养成。本学年，学校申报的课题《农村小学中高段语文读写画结合的教学策略研究》、《城郊小学学生良好行为习惯养成教育研究》获市教育科研成果一等奖；《小学班队会主题教育活动设计与实施策略研究》获市教学教科研成果二等奖，学生在各级各类竞赛中近3百余人获一、二等奖。组织80多位教师参加2018年全国高考工作获“教育考试先进集体”称号。</w:t>
      </w:r>
    </w:p>
    <w:p>
      <w:pPr>
        <w:adjustRightInd w:val="0"/>
        <w:snapToGrid w:val="0"/>
        <w:spacing w:line="500" w:lineRule="exact"/>
        <w:ind w:firstLine="602" w:firstLineChars="200"/>
        <w:rPr>
          <w:rFonts w:hint="eastAsia" w:ascii="仿宋" w:hAnsi="仿宋" w:eastAsia="仿宋"/>
          <w:b/>
          <w:bCs/>
          <w:sz w:val="30"/>
          <w:szCs w:val="30"/>
        </w:rPr>
      </w:pPr>
      <w:r>
        <w:rPr>
          <w:rFonts w:hint="eastAsia" w:ascii="仿宋" w:hAnsi="仿宋" w:eastAsia="仿宋"/>
          <w:b/>
          <w:bCs/>
          <w:sz w:val="30"/>
          <w:szCs w:val="30"/>
          <w:lang w:val="en-US" w:eastAsia="zh-CN"/>
        </w:rPr>
        <w:t>&lt;</w:t>
      </w:r>
      <w:r>
        <w:rPr>
          <w:rFonts w:hint="eastAsia" w:ascii="仿宋" w:hAnsi="仿宋" w:eastAsia="仿宋"/>
          <w:b/>
          <w:bCs/>
          <w:sz w:val="30"/>
          <w:szCs w:val="30"/>
        </w:rPr>
        <w:t>四</w:t>
      </w:r>
      <w:r>
        <w:rPr>
          <w:rFonts w:hint="eastAsia" w:ascii="仿宋" w:hAnsi="仿宋" w:eastAsia="仿宋"/>
          <w:b/>
          <w:bCs/>
          <w:sz w:val="30"/>
          <w:szCs w:val="30"/>
          <w:lang w:val="en-US" w:eastAsia="zh-CN"/>
        </w:rPr>
        <w:t>&gt;</w:t>
      </w:r>
      <w:r>
        <w:rPr>
          <w:rFonts w:hint="eastAsia" w:ascii="仿宋" w:hAnsi="仿宋" w:eastAsia="仿宋"/>
          <w:b/>
          <w:bCs/>
          <w:sz w:val="30"/>
          <w:szCs w:val="30"/>
        </w:rPr>
        <w:t xml:space="preserve">把握重点，细化措施，维护学生安全 </w:t>
      </w:r>
    </w:p>
    <w:p>
      <w:pPr>
        <w:adjustRightInd w:val="0"/>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学校当前主要面临两大安全隐患。一个是施工安全；另一是交通安全。针对施工安全，学校一方面通过安装铁门，修建隔离墙，把施工区与教学区进行了隔断；另一方面每天组织教师成立安保队伍，随时进行巡视，在关键部位安装了监控设备，严禁学生进入施工区域，有效做到物防、技防、人防三结合，确保学生安全；在交通安全方面，学校先后与交警、城管等部门取得了联系，强力整治了校园周边环境，有效提高了师生出入校园的安全。同时，我们还充分利用每周的安全教育课，每月的安全演练，放学前1分钟的安全提示，教育学生各类安全注意事项，重新组建了红袖标护校队，增强了护校队力量，每周定时校园周边巡逻和值班，有效保证了师生的安全。5月，组织全校师生参加全省中小学防震减灾安全知识普及阅读活动获“先进学校”称号。</w:t>
      </w:r>
    </w:p>
    <w:p>
      <w:pPr>
        <w:adjustRightInd w:val="0"/>
        <w:snapToGrid w:val="0"/>
        <w:spacing w:line="500" w:lineRule="exact"/>
        <w:ind w:firstLine="602" w:firstLineChars="200"/>
        <w:rPr>
          <w:rFonts w:hint="eastAsia" w:ascii="仿宋" w:hAnsi="仿宋" w:eastAsia="仿宋"/>
          <w:b/>
          <w:bCs/>
          <w:sz w:val="30"/>
          <w:szCs w:val="30"/>
        </w:rPr>
      </w:pPr>
      <w:r>
        <w:rPr>
          <w:rFonts w:hint="eastAsia" w:ascii="仿宋" w:hAnsi="仿宋" w:eastAsia="仿宋"/>
          <w:b/>
          <w:bCs/>
          <w:sz w:val="30"/>
          <w:szCs w:val="30"/>
          <w:lang w:val="en-US" w:eastAsia="zh-CN"/>
        </w:rPr>
        <w:t>&lt;</w:t>
      </w:r>
      <w:r>
        <w:rPr>
          <w:rFonts w:hint="eastAsia" w:ascii="仿宋" w:hAnsi="仿宋" w:eastAsia="仿宋"/>
          <w:b/>
          <w:bCs/>
          <w:sz w:val="30"/>
          <w:szCs w:val="30"/>
        </w:rPr>
        <w:t>五</w:t>
      </w:r>
      <w:r>
        <w:rPr>
          <w:rFonts w:hint="eastAsia" w:ascii="仿宋" w:hAnsi="仿宋" w:eastAsia="仿宋"/>
          <w:b/>
          <w:bCs/>
          <w:sz w:val="30"/>
          <w:szCs w:val="30"/>
          <w:lang w:val="en-US" w:eastAsia="zh-CN"/>
        </w:rPr>
        <w:t>&gt;</w:t>
      </w:r>
      <w:r>
        <w:rPr>
          <w:rFonts w:hint="eastAsia" w:ascii="仿宋" w:hAnsi="仿宋" w:eastAsia="仿宋"/>
          <w:b/>
          <w:bCs/>
          <w:sz w:val="30"/>
          <w:szCs w:val="30"/>
        </w:rPr>
        <w:t xml:space="preserve">以德育人，百花齐放，增强学生素质 </w:t>
      </w:r>
    </w:p>
    <w:p>
      <w:pPr>
        <w:adjustRightInd w:val="0"/>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一是以养成教育为主线，加强德育工作管理。严格执行升国旗制度，充分发挥在国旗下讲话的宣传阵地作用，开展校门口礼仪示范，搞好班级特色文化，营造舒心学习氛围。二是行为礼仪习惯养成。学生行为习惯养成教育成为校园文化特色。整个校园逐渐减少垃圾筒，学生乱丢垃圾纸屑减少了，养成了良好的校园保洁习惯；上下楼道靠右行，整个校园无学生在楼道上追逐、打闹、嬉戏；学生文明礼仪养成教育，学生见到老师要弯腰问好，随手关灯等，成立了校园文明礼仪队。三是开展丰富多彩的少先队活动，打造多姿校园。传统文化融入平常的活动之中，乡村少年宫、社团活动如火如荼地开展。4月，我校参加县文广局的“书香宣汉，唯美阅读”活动，呈上了精彩的国学诵读表演，被评为“优秀组织单位”。12月，被达州市精神文明建设办公室和达州市教育局评为“第一届达州市中小学文明校园”。</w:t>
      </w:r>
    </w:p>
    <w:p>
      <w:pPr>
        <w:adjustRightInd w:val="0"/>
        <w:snapToGrid w:val="0"/>
        <w:spacing w:line="500" w:lineRule="exact"/>
        <w:ind w:firstLine="602" w:firstLineChars="200"/>
        <w:rPr>
          <w:rFonts w:hint="eastAsia" w:ascii="仿宋" w:hAnsi="仿宋" w:eastAsia="仿宋"/>
          <w:b/>
          <w:bCs/>
          <w:sz w:val="30"/>
          <w:szCs w:val="30"/>
        </w:rPr>
      </w:pPr>
      <w:r>
        <w:rPr>
          <w:rFonts w:hint="eastAsia" w:ascii="仿宋" w:hAnsi="仿宋" w:eastAsia="仿宋"/>
          <w:b/>
          <w:bCs/>
          <w:sz w:val="30"/>
          <w:szCs w:val="30"/>
          <w:lang w:val="en-US" w:eastAsia="zh-CN"/>
        </w:rPr>
        <w:t>&lt;</w:t>
      </w:r>
      <w:r>
        <w:rPr>
          <w:rFonts w:hint="eastAsia" w:ascii="仿宋" w:hAnsi="仿宋" w:eastAsia="仿宋"/>
          <w:b/>
          <w:bCs/>
          <w:sz w:val="30"/>
          <w:szCs w:val="30"/>
        </w:rPr>
        <w:t>六</w:t>
      </w:r>
      <w:r>
        <w:rPr>
          <w:rFonts w:hint="eastAsia" w:ascii="仿宋" w:hAnsi="仿宋" w:eastAsia="仿宋"/>
          <w:b/>
          <w:bCs/>
          <w:sz w:val="30"/>
          <w:szCs w:val="30"/>
          <w:lang w:val="en-US" w:eastAsia="zh-CN"/>
        </w:rPr>
        <w:t>&gt;</w:t>
      </w:r>
      <w:r>
        <w:rPr>
          <w:rFonts w:hint="eastAsia" w:ascii="仿宋" w:hAnsi="仿宋" w:eastAsia="仿宋"/>
          <w:b/>
          <w:bCs/>
          <w:sz w:val="30"/>
          <w:szCs w:val="30"/>
        </w:rPr>
        <w:t xml:space="preserve">突出个性，培养特长，展示体艺风采 </w:t>
      </w:r>
    </w:p>
    <w:p>
      <w:pPr>
        <w:adjustRightInd w:val="0"/>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我校是全国首批校园足球特色学校和全县乒乓球基点校，特别注重两球的训练和参赛，上期开展了校园乒乓球联赛，下期开展了校园足球联赛，从中选拔优秀队员参加县级以上赛事。在“新阶联杯”宣汉县校园足球赛中我校荣获甲组第三名、乙组第五名。在宣汉县13届小学生“新华文轩杯”田径运动会上获团体第四名。坚持阳光体艺大课间活动，编排了有地方特色的课间活动项目，在宣汉县第十一届中小学生艺术节上，我校大课间活动展演获一等奖。在宣汉县第十一届中小学生艺术节上，我校校歌展演和舞蹈类展演都荣获一等奖，还荣获了“优秀组织奖”；在达州市第九届中小学生艺术节艺术表演节目获小学舞蹈三等奖。</w:t>
      </w:r>
    </w:p>
    <w:p>
      <w:pPr>
        <w:adjustRightInd w:val="0"/>
        <w:snapToGrid w:val="0"/>
        <w:spacing w:line="500" w:lineRule="exact"/>
        <w:ind w:firstLine="602" w:firstLineChars="200"/>
        <w:rPr>
          <w:rFonts w:hint="eastAsia" w:ascii="仿宋" w:hAnsi="仿宋" w:eastAsia="仿宋"/>
          <w:sz w:val="32"/>
          <w:szCs w:val="32"/>
        </w:rPr>
      </w:pPr>
      <w:r>
        <w:rPr>
          <w:rFonts w:hint="eastAsia" w:ascii="仿宋" w:hAnsi="仿宋" w:eastAsia="仿宋"/>
          <w:b/>
          <w:bCs/>
          <w:sz w:val="30"/>
          <w:szCs w:val="30"/>
          <w:lang w:val="en-US" w:eastAsia="zh-CN"/>
        </w:rPr>
        <w:t>&lt;</w:t>
      </w:r>
      <w:r>
        <w:rPr>
          <w:rFonts w:hint="eastAsia" w:ascii="仿宋" w:hAnsi="仿宋" w:eastAsia="仿宋"/>
          <w:b/>
          <w:bCs/>
          <w:sz w:val="30"/>
          <w:szCs w:val="30"/>
        </w:rPr>
        <w:t>七</w:t>
      </w:r>
      <w:r>
        <w:rPr>
          <w:rFonts w:hint="eastAsia" w:ascii="仿宋" w:hAnsi="仿宋" w:eastAsia="仿宋"/>
          <w:b/>
          <w:bCs/>
          <w:sz w:val="30"/>
          <w:szCs w:val="30"/>
          <w:lang w:val="en-US" w:eastAsia="zh-CN"/>
        </w:rPr>
        <w:t>&gt;</w:t>
      </w:r>
      <w:r>
        <w:rPr>
          <w:rFonts w:hint="eastAsia" w:ascii="仿宋" w:hAnsi="仿宋" w:eastAsia="仿宋"/>
          <w:b/>
          <w:bCs/>
          <w:sz w:val="30"/>
          <w:szCs w:val="30"/>
        </w:rPr>
        <w:t>全员行动，倾力打造，成功迎接国检</w:t>
      </w:r>
      <w:r>
        <w:rPr>
          <w:rFonts w:hint="eastAsia" w:ascii="仿宋" w:hAnsi="仿宋" w:eastAsia="仿宋"/>
          <w:sz w:val="32"/>
          <w:szCs w:val="32"/>
        </w:rPr>
        <w:t xml:space="preserve"> </w:t>
      </w:r>
    </w:p>
    <w:p>
      <w:pPr>
        <w:adjustRightInd w:val="0"/>
        <w:snapToGrid w:val="0"/>
        <w:spacing w:line="500" w:lineRule="exact"/>
        <w:ind w:firstLine="640" w:firstLineChars="200"/>
        <w:rPr>
          <w:rFonts w:hint="eastAsia" w:ascii="仿宋" w:hAnsi="仿宋" w:eastAsia="仿宋"/>
          <w:sz w:val="32"/>
          <w:szCs w:val="32"/>
        </w:rPr>
      </w:pPr>
      <w:r>
        <w:rPr>
          <w:rFonts w:hint="eastAsia" w:ascii="仿宋" w:hAnsi="仿宋" w:eastAsia="仿宋"/>
          <w:sz w:val="32"/>
          <w:szCs w:val="32"/>
        </w:rPr>
        <w:t>根据全县迎检工作方案，按照四川省推进义务教育均衡发展评估指标，学校围绕指标要求认真开展工作，“三到位”抓实义务教育均衡发展各项工作。即组织到位，组建了迎接“义务教育均衡发展”国检工作领导小组，使迎检工作有效开展。宣传到位，通过标语、板报、讲座、媒体等多种形式加强宣传，在全校范围内营造良好的迎国检氛围。措施到位：一是制定系列工作实施方案并有序组织实施，对工作开展情况全程监督；二是加强学校标准化建设。根据实际情况，明确改造方案和方法，对学校进行了科学、合理的总体规划。积极推进迎检点——周桥村小建设；三是推动优质教育资源共享，充分发挥中心校的辐射带动作用，推动辖区各村小和教学点的建设，实现学校之间教学资源互联互通，达到资源共享；四是均衡配置办学资源，按照《四川省义务教育学校办学基本标准》为村小配足配齐各类图书、教学实验仪器设备音体美等器材，着力改善薄弱学校的办学条件。9月中旬，周桥村小在迎国检中受到检查评估组一致好评。学校被评为“义务教育均衡发展先进集体”。</w:t>
      </w:r>
    </w:p>
    <w:p>
      <w:pPr>
        <w:adjustRightInd w:val="0"/>
        <w:snapToGrid w:val="0"/>
        <w:spacing w:line="500" w:lineRule="exact"/>
        <w:ind w:firstLine="602" w:firstLineChars="200"/>
        <w:rPr>
          <w:rFonts w:hint="eastAsia" w:ascii="仿宋" w:hAnsi="仿宋" w:eastAsia="仿宋"/>
          <w:b/>
          <w:bCs/>
          <w:sz w:val="30"/>
          <w:szCs w:val="30"/>
        </w:rPr>
      </w:pPr>
      <w:r>
        <w:rPr>
          <w:rFonts w:hint="eastAsia" w:ascii="仿宋" w:hAnsi="仿宋" w:eastAsia="仿宋"/>
          <w:b/>
          <w:bCs/>
          <w:sz w:val="30"/>
          <w:szCs w:val="30"/>
          <w:lang w:val="en-US" w:eastAsia="zh-CN"/>
        </w:rPr>
        <w:t>&lt;</w:t>
      </w:r>
      <w:r>
        <w:rPr>
          <w:rFonts w:hint="eastAsia" w:ascii="仿宋" w:hAnsi="仿宋" w:eastAsia="仿宋"/>
          <w:b/>
          <w:bCs/>
          <w:sz w:val="30"/>
          <w:szCs w:val="30"/>
        </w:rPr>
        <w:t>八</w:t>
      </w:r>
      <w:r>
        <w:rPr>
          <w:rFonts w:hint="eastAsia" w:ascii="仿宋" w:hAnsi="仿宋" w:eastAsia="仿宋"/>
          <w:b/>
          <w:bCs/>
          <w:sz w:val="30"/>
          <w:szCs w:val="30"/>
          <w:lang w:val="en-US" w:eastAsia="zh-CN"/>
        </w:rPr>
        <w:t>&gt;</w:t>
      </w:r>
      <w:r>
        <w:rPr>
          <w:rFonts w:hint="eastAsia" w:ascii="仿宋" w:hAnsi="仿宋" w:eastAsia="仿宋"/>
          <w:b/>
          <w:bCs/>
          <w:sz w:val="30"/>
          <w:szCs w:val="30"/>
        </w:rPr>
        <w:t xml:space="preserve">立足本职，服务一线，保障正常运行 </w:t>
      </w:r>
    </w:p>
    <w:p>
      <w:pPr>
        <w:adjustRightInd w:val="0"/>
        <w:snapToGrid w:val="0"/>
        <w:spacing w:line="500" w:lineRule="exact"/>
        <w:ind w:firstLine="643" w:firstLineChars="200"/>
        <w:rPr>
          <w:rFonts w:hint="eastAsia" w:ascii="仿宋" w:hAnsi="仿宋" w:eastAsia="仿宋"/>
          <w:sz w:val="32"/>
          <w:szCs w:val="32"/>
        </w:rPr>
      </w:pPr>
      <w:r>
        <w:rPr>
          <w:rFonts w:hint="eastAsia" w:ascii="楷体" w:hAnsi="楷体" w:eastAsia="楷体"/>
          <w:b/>
          <w:bCs/>
          <w:sz w:val="32"/>
          <w:szCs w:val="32"/>
        </w:rPr>
        <w:t>1、工会工作有序开展。</w:t>
      </w:r>
      <w:r>
        <w:rPr>
          <w:rFonts w:hint="eastAsia" w:ascii="仿宋" w:hAnsi="仿宋" w:eastAsia="仿宋"/>
          <w:sz w:val="32"/>
          <w:szCs w:val="32"/>
        </w:rPr>
        <w:t>我们一切从教师利益为出发点，在做好日常性工作的同时，还先后对学校患病教师，家庭困难教师，教师子女升学等进行了看望和慰问，让广大教师深切感受到学校大家庭的温暖。三八节，学校行政、工会积极组织教职工参加了县“书香三八”征文活动和县第42届职工运动会，获男女混合跳绳比赛第一名，男女混合负重接力第二名，五步拳三等奖；10月，学校荣获宣汉县妇联颁发的“巾帼文明岗”称号；11月，参加县第五届“园丁杯”门球赛获甲组二等奖；庆元旦，全体教职工参加了趣味体育活动，各工会小组团结协作，积极配合，取得了较好的效果</w:t>
      </w:r>
    </w:p>
    <w:p>
      <w:pPr>
        <w:adjustRightInd w:val="0"/>
        <w:snapToGrid w:val="0"/>
        <w:spacing w:line="500" w:lineRule="exact"/>
        <w:ind w:firstLine="643" w:firstLineChars="200"/>
        <w:rPr>
          <w:rFonts w:hint="eastAsia" w:ascii="仿宋" w:hAnsi="仿宋" w:eastAsia="仿宋"/>
          <w:sz w:val="32"/>
          <w:szCs w:val="32"/>
        </w:rPr>
      </w:pPr>
      <w:r>
        <w:rPr>
          <w:rFonts w:hint="eastAsia" w:ascii="楷体" w:hAnsi="楷体" w:eastAsia="楷体"/>
          <w:b/>
          <w:bCs/>
          <w:sz w:val="32"/>
          <w:szCs w:val="32"/>
        </w:rPr>
        <w:t>2、强力推进项目建设。</w:t>
      </w:r>
      <w:r>
        <w:rPr>
          <w:rFonts w:hint="eastAsia" w:ascii="仿宋" w:hAnsi="仿宋" w:eastAsia="仿宋"/>
          <w:sz w:val="32"/>
          <w:szCs w:val="32"/>
        </w:rPr>
        <w:t>我校综合楼建设项目规划设计在2017年县规委会上讨论通过，2018年年初下达了立项文件，划拨了800万资金，9月又追加了100万，5月进行了公开招投标，于7月底正式开始施工建设，目前主体工程已完成大半，2019年9月将投入使用。同时，学校运动场及附属设施建设项目设计已报县教科局特审定。</w:t>
      </w:r>
    </w:p>
    <w:p>
      <w:pPr>
        <w:adjustRightInd w:val="0"/>
        <w:snapToGrid w:val="0"/>
        <w:spacing w:line="500" w:lineRule="exact"/>
        <w:ind w:firstLine="643" w:firstLineChars="200"/>
        <w:rPr>
          <w:rFonts w:hint="eastAsia" w:ascii="仿宋" w:hAnsi="仿宋" w:eastAsia="仿宋"/>
          <w:sz w:val="32"/>
          <w:szCs w:val="32"/>
        </w:rPr>
      </w:pPr>
      <w:r>
        <w:rPr>
          <w:rFonts w:hint="eastAsia" w:ascii="楷体" w:hAnsi="楷体" w:eastAsia="楷体"/>
          <w:b/>
          <w:bCs/>
          <w:sz w:val="32"/>
          <w:szCs w:val="32"/>
        </w:rPr>
        <w:t>3、健康教育扎实开展。</w:t>
      </w:r>
      <w:r>
        <w:rPr>
          <w:rFonts w:hint="eastAsia" w:ascii="仿宋" w:hAnsi="仿宋" w:eastAsia="仿宋"/>
          <w:sz w:val="32"/>
          <w:szCs w:val="32"/>
        </w:rPr>
        <w:t>学校注重师生的身体和心理健康教育，通过班队活动、升旗仪式、全校讲座、观看教育片、参加竞赛等方式大力开展健康教育活动。12月，我校被宣汉县重大疾病防治委员会办公室表彰为“艾滋病宣传教育工作先进学校”、“学校结核病防控宣传教育工作先进集体”、“学校健康教育工作先进集体”；被宣汉县禁毒委员会办公室表彰为“学校禁毒宣传教育工作先进学校”。</w:t>
      </w:r>
    </w:p>
    <w:p>
      <w:pPr>
        <w:adjustRightInd w:val="0"/>
        <w:snapToGrid w:val="0"/>
        <w:spacing w:line="500" w:lineRule="exact"/>
        <w:ind w:firstLine="643" w:firstLineChars="200"/>
        <w:rPr>
          <w:rFonts w:hint="eastAsia" w:ascii="仿宋" w:hAnsi="仿宋" w:eastAsia="仿宋"/>
          <w:sz w:val="32"/>
          <w:szCs w:val="32"/>
        </w:rPr>
      </w:pPr>
      <w:r>
        <w:rPr>
          <w:rFonts w:hint="eastAsia" w:ascii="楷体" w:hAnsi="楷体" w:eastAsia="楷体"/>
          <w:b/>
          <w:bCs/>
          <w:sz w:val="32"/>
          <w:szCs w:val="32"/>
        </w:rPr>
        <w:t>4、营养餐工作扎实有序。</w:t>
      </w:r>
      <w:r>
        <w:rPr>
          <w:rFonts w:hint="eastAsia" w:ascii="仿宋" w:hAnsi="仿宋" w:eastAsia="仿宋"/>
          <w:sz w:val="32"/>
          <w:szCs w:val="32"/>
        </w:rPr>
        <w:t>学校营养餐全部采用自主供餐模式，自主管理，零利润经营，全部让惠于学生。同时利用家长会和营养餐“家长开放日”之机，广泛宣传国家的惠民政策，并组织部分家长代表和膳食委员会代表参观学校营养餐的加工流程、运作模式，免费试尝饭菜质量，不定时深入食堂抽检饭菜质量和数量等，我们还坚持值班教师值守就餐模式，让学生吃上实惠、放心的营养餐。</w:t>
      </w:r>
    </w:p>
    <w:p>
      <w:pPr>
        <w:adjustRightInd w:val="0"/>
        <w:snapToGrid w:val="0"/>
        <w:spacing w:line="500" w:lineRule="exact"/>
        <w:ind w:firstLine="643" w:firstLineChars="200"/>
        <w:rPr>
          <w:rFonts w:hint="eastAsia" w:ascii="仿宋" w:hAnsi="仿宋" w:eastAsia="仿宋"/>
          <w:sz w:val="32"/>
          <w:szCs w:val="32"/>
        </w:rPr>
      </w:pPr>
      <w:r>
        <w:rPr>
          <w:rFonts w:hint="eastAsia" w:ascii="楷体" w:hAnsi="楷体" w:eastAsia="楷体"/>
          <w:b/>
          <w:bCs/>
          <w:sz w:val="32"/>
          <w:szCs w:val="32"/>
        </w:rPr>
        <w:t>5、扎实开展扶贫工作。</w:t>
      </w:r>
      <w:r>
        <w:rPr>
          <w:rFonts w:hint="eastAsia" w:ascii="仿宋" w:hAnsi="仿宋" w:eastAsia="仿宋"/>
          <w:sz w:val="32"/>
          <w:szCs w:val="32"/>
        </w:rPr>
        <w:t>我校与红峰中心校梨坪村小是结对帮扶，从今年3月开始，先后开展了帮扶座谈、送教帮扶、物资帮扶、手拉手联谊帮扶等活动。每位教师都是两户贫困户的帮扶责任人，每个月组织教师到户帮扶，提供政策宣传和入户调查等，我校开展的帮扶工作得到了永安村和黄金槽村支两委的好评。</w:t>
      </w:r>
    </w:p>
    <w:p>
      <w:pPr>
        <w:adjustRightInd w:val="0"/>
        <w:snapToGrid w:val="0"/>
        <w:spacing w:line="500" w:lineRule="exact"/>
        <w:ind w:firstLine="643" w:firstLineChars="200"/>
        <w:rPr>
          <w:rFonts w:hint="eastAsia" w:ascii="仿宋" w:hAnsi="仿宋" w:eastAsia="仿宋"/>
          <w:sz w:val="32"/>
          <w:szCs w:val="32"/>
        </w:rPr>
      </w:pPr>
      <w:r>
        <w:rPr>
          <w:rFonts w:hint="eastAsia" w:ascii="楷体" w:hAnsi="楷体" w:eastAsia="楷体"/>
          <w:b/>
          <w:bCs/>
          <w:sz w:val="32"/>
          <w:szCs w:val="32"/>
        </w:rPr>
        <w:t>6、宣传报道及时准确。</w:t>
      </w:r>
      <w:r>
        <w:rPr>
          <w:rFonts w:hint="eastAsia" w:ascii="仿宋" w:hAnsi="仿宋" w:eastAsia="仿宋"/>
          <w:sz w:val="32"/>
          <w:szCs w:val="32"/>
        </w:rPr>
        <w:t>今年，学校加大宣传力度，建立了微信公众号，组建报道工作小组，按照工作分工落实人员撰写稿子，明确专人对外衔接，取得了丰硕成果。截止目前，市级及以上84篇。</w:t>
      </w:r>
    </w:p>
    <w:p>
      <w:pPr>
        <w:adjustRightInd w:val="0"/>
        <w:snapToGrid w:val="0"/>
        <w:spacing w:line="500" w:lineRule="exact"/>
        <w:ind w:firstLine="643" w:firstLineChars="200"/>
        <w:rPr>
          <w:rFonts w:ascii="仿宋" w:hAnsi="仿宋" w:eastAsia="仿宋"/>
          <w:bCs/>
          <w:color w:val="000000"/>
          <w:sz w:val="32"/>
          <w:szCs w:val="32"/>
        </w:rPr>
      </w:pPr>
      <w:r>
        <w:rPr>
          <w:rFonts w:hint="eastAsia" w:ascii="楷体" w:hAnsi="楷体" w:eastAsia="楷体"/>
          <w:b/>
          <w:bCs/>
          <w:sz w:val="32"/>
          <w:szCs w:val="32"/>
        </w:rPr>
        <w:t>7、民办教育良性发展。</w:t>
      </w:r>
      <w:r>
        <w:rPr>
          <w:rFonts w:hint="eastAsia" w:ascii="仿宋" w:hAnsi="仿宋" w:eastAsia="仿宋"/>
          <w:sz w:val="32"/>
          <w:szCs w:val="32"/>
        </w:rPr>
        <w:t>加强了对托管的7所民办幼儿园和2所义务教育学校的指导管理，每期开学进行安全检查，完善了各类设施，保障了幼儿在园的安全，让他们校园里学习得开心，生活得愉快。</w:t>
      </w:r>
    </w:p>
    <w:p>
      <w:pPr>
        <w:widowControl/>
        <w:ind w:firstLine="960" w:firstLineChars="300"/>
        <w:jc w:val="left"/>
        <w:rPr>
          <w:rFonts w:ascii="仿宋" w:hAnsi="仿宋" w:eastAsia="仿宋"/>
          <w:bCs/>
          <w:color w:val="000000"/>
          <w:sz w:val="32"/>
          <w:szCs w:val="32"/>
        </w:rPr>
      </w:pPr>
      <w:r>
        <w:rPr>
          <w:rFonts w:hint="eastAsia" w:ascii="仿宋" w:hAnsi="仿宋" w:eastAsia="仿宋"/>
          <w:bCs/>
          <w:color w:val="000000"/>
          <w:kern w:val="0"/>
          <w:sz w:val="32"/>
          <w:szCs w:val="32"/>
        </w:rPr>
        <w:t>2018年，学校在全县年终目标考核中位居全县第二名（一等奖），学校先后获得四川省中小学防震减灾安全知识普及阅读活动先进学校、达州市首届中小学文明校园、第34届青少年科技创新大赛优秀组织单位、《农村小学中高段语文读写画结合的教学策略研究》教育科研成果一等奖、《城郊小学生良好行为习惯养成教育研究》教育科研成果一等奖、《小学班队会主题教育活动设计与实施策略研究》教育科研成果一等奖、第九届中小学生艺术节艺术表演类节目小学舞蹈三等奖、第33届青少年科技创新大赛优秀组织单位；获全县小学教育教学工作先进单位、校本教研先进集体、教育考试工作先进集体、义务教育均衡发展工作先进集体、中小学教师专业知识考试先进学校、中小学德育成果评选一等奖、第十一届中小学生艺术节大课间活动展演一等奖、第十一届中小学生艺术节校歌展演一等奖、第十一届中小学生艺术节舞蹈一等奖、“书香宣汉，唯美阅读”优秀组织单位、教育技术装备工作先进学校、民办教育托管工作先进单位、第42届职工运动会男女混合跳绳比赛冠军、第42届职工运动会男女混合负重接力第二名、“巾帼文明岗”、乒乓球比赛亚军、“新阶联杯”宣汉县中小学和校园足球比赛小学甲组季军，乙组第五名、第21届中学生暨第13届小学生“新华文轩杯”田径运动会小学组团体第四名、健康教育先进单位、爱国卫生教育先进单位、禁毒教育先进单位、结核病防控先进单位等48项殊荣</w:t>
      </w:r>
      <w:r>
        <w:rPr>
          <w:rFonts w:ascii="宋体" w:hAnsi="宋体" w:cs="宋体"/>
          <w:kern w:val="0"/>
          <w:sz w:val="24"/>
        </w:rPr>
        <w:t>。</w:t>
      </w:r>
    </w:p>
    <w:p>
      <w:pPr>
        <w:pStyle w:val="3"/>
        <w:rPr>
          <w:rStyle w:val="26"/>
          <w:rFonts w:eastAsia="黑体"/>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snapToGrid w:val="0"/>
        <w:spacing w:line="360" w:lineRule="auto"/>
        <w:ind w:firstLine="640" w:firstLineChars="200"/>
        <w:rPr>
          <w:rFonts w:ascii="仿宋" w:hAnsi="仿宋" w:eastAsia="仿宋"/>
          <w:color w:val="000000"/>
          <w:kern w:val="0"/>
          <w:sz w:val="32"/>
          <w:szCs w:val="32"/>
        </w:rPr>
      </w:pPr>
      <w:r>
        <w:rPr>
          <w:rFonts w:hint="eastAsia" w:ascii="仿宋_GB2312" w:eastAsia="仿宋_GB2312"/>
          <w:sz w:val="32"/>
        </w:rPr>
        <w:t>宣汉县东乡镇西北中心校是一级预算事业单位，机构人员年末实有人数106人，退休教师122人。</w:t>
      </w:r>
    </w:p>
    <w:p>
      <w:pPr>
        <w:pStyle w:val="2"/>
        <w:ind w:right="440"/>
        <w:jc w:val="right"/>
        <w:rPr>
          <w:rStyle w:val="25"/>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2018年度部门决算情况说明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2018年度收、支总计2190.35万元。与2017年相比，收、支总计2887.64万元，各减少697.29万元，下降24.1</w:t>
      </w:r>
      <w:r>
        <w:rPr>
          <w:rFonts w:ascii="仿宋" w:hAnsi="仿宋" w:eastAsia="仿宋"/>
          <w:color w:val="000000"/>
          <w:sz w:val="32"/>
          <w:szCs w:val="32"/>
        </w:rPr>
        <w:t>%</w:t>
      </w:r>
      <w:r>
        <w:rPr>
          <w:rFonts w:hint="eastAsia" w:ascii="仿宋" w:hAnsi="仿宋" w:eastAsia="仿宋"/>
          <w:color w:val="000000"/>
          <w:sz w:val="32"/>
          <w:szCs w:val="32"/>
        </w:rPr>
        <w:t>。主要变动原因是基建项目资金减少。</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drawing>
          <wp:anchor distT="0" distB="0" distL="114300" distR="114300" simplePos="0" relativeHeight="251661312" behindDoc="0" locked="0" layoutInCell="1" allowOverlap="1">
            <wp:simplePos x="0" y="0"/>
            <wp:positionH relativeFrom="column">
              <wp:posOffset>410845</wp:posOffset>
            </wp:positionH>
            <wp:positionV relativeFrom="paragraph">
              <wp:posOffset>-1862455</wp:posOffset>
            </wp:positionV>
            <wp:extent cx="4756785" cy="2152650"/>
            <wp:effectExtent l="4445" t="4445" r="20320" b="1460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4"/>
        <w:numPr>
          <w:ilvl w:val="0"/>
          <w:numId w:val="1"/>
        </w:numPr>
        <w:spacing w:line="600" w:lineRule="exac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hint="eastAsia" w:ascii="仿宋_GB2312" w:eastAsia="仿宋_GB2312"/>
          <w:color w:val="FF0000"/>
          <w:sz w:val="32"/>
          <w:szCs w:val="32"/>
          <w:lang w:eastAsia="zh-CN"/>
        </w:rPr>
        <w:drawing>
          <wp:anchor distT="0" distB="0" distL="114300" distR="114300" simplePos="0" relativeHeight="251660288" behindDoc="0" locked="0" layoutInCell="1" allowOverlap="1">
            <wp:simplePos x="0" y="0"/>
            <wp:positionH relativeFrom="column">
              <wp:posOffset>567055</wp:posOffset>
            </wp:positionH>
            <wp:positionV relativeFrom="paragraph">
              <wp:posOffset>1214120</wp:posOffset>
            </wp:positionV>
            <wp:extent cx="3804285" cy="2401570"/>
            <wp:effectExtent l="5080" t="5080" r="19685" b="1270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8年本年收入合计2190.35万元，其中：一般公共预算财政拨款收入2185.35万元，占99.8</w:t>
      </w:r>
      <w:r>
        <w:rPr>
          <w:rFonts w:ascii="仿宋" w:hAnsi="仿宋" w:eastAsia="仿宋"/>
          <w:color w:val="000000"/>
          <w:sz w:val="32"/>
          <w:szCs w:val="32"/>
        </w:rPr>
        <w:t>%</w:t>
      </w:r>
      <w:r>
        <w:rPr>
          <w:rFonts w:hint="eastAsia" w:ascii="仿宋" w:hAnsi="仿宋" w:eastAsia="仿宋"/>
          <w:color w:val="000000"/>
          <w:sz w:val="32"/>
          <w:szCs w:val="32"/>
        </w:rPr>
        <w:t>；政府性基金预算财政拨款收入5万元，占0.2</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_GB2312" w:eastAsia="仿宋_GB2312"/>
          <w:color w:val="FF0000"/>
          <w:sz w:val="32"/>
          <w:szCs w:val="32"/>
        </w:rPr>
      </w:pPr>
      <w:r>
        <w:rPr>
          <w:rFonts w:hint="eastAsia" w:ascii="仿宋" w:hAnsi="仿宋" w:eastAsia="仿宋"/>
          <w:color w:val="000000" w:themeColor="text1"/>
          <w:sz w:val="32"/>
          <w:szCs w:val="32"/>
        </w:rPr>
        <w:t>（图2：收入决算结构图）（饼状图）</w:t>
      </w:r>
    </w:p>
    <w:p>
      <w:pPr>
        <w:pStyle w:val="24"/>
        <w:numPr>
          <w:ilvl w:val="0"/>
          <w:numId w:val="1"/>
        </w:numPr>
        <w:spacing w:line="600" w:lineRule="exact"/>
        <w:ind w:firstLineChars="0"/>
        <w:outlineLvl w:val="1"/>
        <w:rPr>
          <w:rStyle w:val="26"/>
          <w:rFonts w:ascii="黑体" w:hAnsi="黑体" w:eastAsia="黑体"/>
          <w:b w:val="0"/>
        </w:rPr>
      </w:pPr>
      <w:bookmarkStart w:id="28" w:name="_Toc15396605"/>
      <w:bookmarkStart w:id="29" w:name="_Toc15377207"/>
      <w:r>
        <w:rPr>
          <w:rFonts w:hint="eastAsia" w:ascii="仿宋_GB2312" w:eastAsia="仿宋_GB2312"/>
          <w:color w:val="FF0000"/>
          <w:sz w:val="32"/>
          <w:szCs w:val="32"/>
          <w:lang w:eastAsia="zh-CN"/>
        </w:rPr>
        <w:drawing>
          <wp:anchor distT="0" distB="0" distL="114300" distR="114300" simplePos="0" relativeHeight="251659264" behindDoc="0" locked="0" layoutInCell="1" allowOverlap="1">
            <wp:simplePos x="0" y="0"/>
            <wp:positionH relativeFrom="column">
              <wp:posOffset>433705</wp:posOffset>
            </wp:positionH>
            <wp:positionV relativeFrom="paragraph">
              <wp:posOffset>1786255</wp:posOffset>
            </wp:positionV>
            <wp:extent cx="3804285" cy="2401570"/>
            <wp:effectExtent l="5080" t="5080" r="19685" b="1270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8年本年支出合计2190.35万元，其中：基本支出1674.52万元，占76.4</w:t>
      </w:r>
      <w:r>
        <w:rPr>
          <w:rFonts w:ascii="仿宋" w:hAnsi="仿宋" w:eastAsia="仿宋"/>
          <w:color w:val="000000"/>
          <w:sz w:val="32"/>
          <w:szCs w:val="32"/>
        </w:rPr>
        <w:t>%</w:t>
      </w:r>
      <w:r>
        <w:rPr>
          <w:rFonts w:hint="eastAsia" w:ascii="仿宋" w:hAnsi="仿宋" w:eastAsia="仿宋"/>
          <w:color w:val="000000"/>
          <w:sz w:val="32"/>
          <w:szCs w:val="32"/>
        </w:rPr>
        <w:t>；项目支出515.83万元，占23.6</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ind w:firstLine="640" w:firstLineChars="200"/>
        <w:rPr>
          <w:rFonts w:hint="eastAsia" w:ascii="仿宋_GB2312" w:eastAsia="仿宋_GB2312"/>
          <w:color w:val="FF0000"/>
          <w:sz w:val="32"/>
          <w:szCs w:val="32"/>
          <w:lang w:eastAsia="zh-CN"/>
        </w:rPr>
      </w:pPr>
    </w:p>
    <w:p>
      <w:pPr>
        <w:spacing w:line="600" w:lineRule="exact"/>
        <w:ind w:firstLine="640" w:firstLineChars="200"/>
        <w:rPr>
          <w:rFonts w:hint="eastAsia" w:ascii="仿宋_GB2312" w:eastAsia="仿宋_GB2312"/>
          <w:color w:val="FF0000"/>
          <w:sz w:val="32"/>
          <w:szCs w:val="32"/>
          <w:lang w:eastAsia="zh-CN"/>
        </w:rPr>
      </w:pPr>
    </w:p>
    <w:p>
      <w:pPr>
        <w:spacing w:line="600" w:lineRule="exact"/>
        <w:ind w:firstLine="640" w:firstLineChars="200"/>
        <w:rPr>
          <w:rFonts w:hint="eastAsia" w:ascii="仿宋_GB2312" w:eastAsia="仿宋_GB2312"/>
          <w:color w:val="FF0000"/>
          <w:sz w:val="32"/>
          <w:szCs w:val="32"/>
          <w:lang w:eastAsia="zh-CN"/>
        </w:rPr>
      </w:pPr>
    </w:p>
    <w:p>
      <w:pPr>
        <w:spacing w:line="600" w:lineRule="exact"/>
        <w:ind w:firstLine="640" w:firstLineChars="200"/>
        <w:rPr>
          <w:rFonts w:hint="eastAsia" w:ascii="仿宋_GB2312" w:eastAsia="仿宋_GB2312"/>
          <w:color w:val="FF0000"/>
          <w:sz w:val="32"/>
          <w:szCs w:val="32"/>
          <w:lang w:eastAsia="zh-CN"/>
        </w:rPr>
      </w:pPr>
    </w:p>
    <w:p>
      <w:pPr>
        <w:spacing w:line="600" w:lineRule="exact"/>
        <w:ind w:firstLine="640" w:firstLineChars="200"/>
        <w:outlineLvl w:val="1"/>
        <w:rPr>
          <w:rFonts w:hint="eastAsia" w:ascii="黑体" w:hAnsi="黑体" w:eastAsia="黑体"/>
          <w:color w:val="000000"/>
          <w:sz w:val="32"/>
          <w:szCs w:val="32"/>
        </w:rPr>
      </w:pPr>
      <w:bookmarkStart w:id="30" w:name="_Toc15396606"/>
      <w:bookmarkStart w:id="31" w:name="_Toc15377208"/>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Style w:val="26"/>
          <w:rFonts w:ascii="黑体" w:hAnsi="黑体" w:eastAsia="黑体"/>
          <w:b w:val="0"/>
        </w:rPr>
      </w:pPr>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8年财政拨款收、支总计2190.35万元。与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7年相比，财政拨款收、支总计各减少697.29万元，下降24.1</w:t>
      </w:r>
      <w:r>
        <w:rPr>
          <w:rFonts w:ascii="仿宋" w:hAnsi="仿宋" w:eastAsia="仿宋"/>
          <w:color w:val="000000"/>
          <w:sz w:val="32"/>
          <w:szCs w:val="32"/>
        </w:rPr>
        <w:t>%</w:t>
      </w:r>
      <w:r>
        <w:rPr>
          <w:rFonts w:hint="eastAsia" w:ascii="仿宋" w:hAnsi="仿宋" w:eastAsia="仿宋"/>
          <w:color w:val="000000"/>
          <w:sz w:val="32"/>
          <w:szCs w:val="32"/>
        </w:rPr>
        <w:t>。主要变动原因是基建项目资金减少。</w:t>
      </w:r>
    </w:p>
    <w:p>
      <w:pPr>
        <w:spacing w:line="600" w:lineRule="exact"/>
        <w:ind w:firstLine="640" w:firstLineChars="200"/>
        <w:rPr>
          <w:rFonts w:ascii="仿宋" w:hAnsi="仿宋" w:eastAsia="仿宋"/>
          <w:b/>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0"/>
        <w:rPr>
          <w:rFonts w:ascii="仿宋" w:hAnsi="仿宋" w:eastAsia="仿宋"/>
          <w:b/>
          <w:color w:val="00B050"/>
          <w:sz w:val="32"/>
          <w:szCs w:val="32"/>
        </w:rPr>
      </w:pPr>
      <w:r>
        <w:rPr>
          <w:rFonts w:hint="eastAsia" w:ascii="仿宋_GB2312" w:eastAsia="仿宋_GB2312"/>
          <w:color w:val="000000"/>
          <w:sz w:val="32"/>
          <w:szCs w:val="32"/>
          <w:lang w:eastAsia="zh-CN"/>
        </w:rPr>
        <w:drawing>
          <wp:anchor distT="0" distB="0" distL="114300" distR="114300" simplePos="0" relativeHeight="251662336" behindDoc="0" locked="0" layoutInCell="1" allowOverlap="1">
            <wp:simplePos x="0" y="0"/>
            <wp:positionH relativeFrom="column">
              <wp:posOffset>-43180</wp:posOffset>
            </wp:positionH>
            <wp:positionV relativeFrom="paragraph">
              <wp:posOffset>132080</wp:posOffset>
            </wp:positionV>
            <wp:extent cx="4756785" cy="1867535"/>
            <wp:effectExtent l="4445" t="4445" r="20320" b="1397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8年一般公共预算财政拨款支出2185.53万元，占本年支出合计的99.8</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7年相比，一般公共预算财政拨款减少697.29万元，下降24.2</w:t>
      </w:r>
      <w:r>
        <w:rPr>
          <w:rFonts w:ascii="仿宋" w:hAnsi="仿宋" w:eastAsia="仿宋"/>
          <w:color w:val="000000"/>
          <w:sz w:val="32"/>
          <w:szCs w:val="32"/>
        </w:rPr>
        <w:t>%</w:t>
      </w:r>
      <w:r>
        <w:rPr>
          <w:rFonts w:hint="eastAsia" w:ascii="仿宋" w:hAnsi="仿宋" w:eastAsia="仿宋"/>
          <w:color w:val="000000"/>
          <w:sz w:val="32"/>
          <w:szCs w:val="32"/>
        </w:rPr>
        <w:t>。主要变动原因是因是基建项目资金减少。</w:t>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spacing w:line="600" w:lineRule="exact"/>
        <w:ind w:firstLine="640" w:firstLineChars="200"/>
        <w:rPr>
          <w:rFonts w:hint="eastAsia" w:ascii="仿宋" w:hAnsi="仿宋" w:eastAsia="仿宋"/>
          <w:color w:val="000000" w:themeColor="text1"/>
          <w:sz w:val="32"/>
          <w:szCs w:val="32"/>
        </w:rPr>
      </w:pPr>
      <w:r>
        <w:rPr>
          <w:rFonts w:hint="eastAsia" w:ascii="仿宋_GB2312" w:eastAsia="仿宋_GB2312"/>
          <w:color w:val="000000"/>
          <w:sz w:val="32"/>
          <w:szCs w:val="32"/>
          <w:lang w:eastAsia="zh-CN"/>
        </w:rPr>
        <w:drawing>
          <wp:anchor distT="0" distB="0" distL="114300" distR="114300" simplePos="0" relativeHeight="251663360" behindDoc="0" locked="0" layoutInCell="1" allowOverlap="1">
            <wp:simplePos x="0" y="0"/>
            <wp:positionH relativeFrom="column">
              <wp:posOffset>90170</wp:posOffset>
            </wp:positionH>
            <wp:positionV relativeFrom="paragraph">
              <wp:posOffset>261620</wp:posOffset>
            </wp:positionV>
            <wp:extent cx="4756785" cy="1867535"/>
            <wp:effectExtent l="4445" t="4445" r="20320" b="1397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3" w:firstLineChars="200"/>
        <w:outlineLvl w:val="2"/>
        <w:rPr>
          <w:rFonts w:hint="eastAsia" w:ascii="仿宋" w:hAnsi="仿宋" w:eastAsia="仿宋"/>
          <w:b/>
          <w:color w:val="000000"/>
          <w:sz w:val="32"/>
          <w:szCs w:val="32"/>
        </w:rPr>
      </w:pPr>
      <w:bookmarkStart w:id="35" w:name="_Toc15377211"/>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sz w:val="32"/>
          <w:szCs w:val="32"/>
        </w:rPr>
        <w:t>2185.53</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color w:val="000000" w:themeColor="text1"/>
          <w:sz w:val="32"/>
          <w:szCs w:val="32"/>
        </w:rPr>
        <w:t>1843.99万元，占84.4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支出185.35万元，占8.5</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；医疗卫生支出57.04万元，占2.6</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；住房保障支出98.99万元，占4.5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（罗列全部功能分类科目，至类级。）</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r>
        <w:rPr>
          <w:rFonts w:hint="eastAsia" w:ascii="仿宋_GB2312" w:eastAsia="仿宋_GB2312"/>
          <w:color w:val="FF0000"/>
          <w:sz w:val="32"/>
          <w:szCs w:val="32"/>
          <w:lang w:eastAsia="zh-CN"/>
        </w:rPr>
        <w:drawing>
          <wp:anchor distT="0" distB="0" distL="114300" distR="114300" simplePos="0" relativeHeight="251664384" behindDoc="0" locked="0" layoutInCell="1" allowOverlap="1">
            <wp:simplePos x="0" y="0"/>
            <wp:positionH relativeFrom="column">
              <wp:posOffset>605155</wp:posOffset>
            </wp:positionH>
            <wp:positionV relativeFrom="paragraph">
              <wp:posOffset>252730</wp:posOffset>
            </wp:positionV>
            <wp:extent cx="3804285" cy="2401570"/>
            <wp:effectExtent l="5080" t="5080" r="19685" b="1270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hint="eastAsia" w:ascii="仿宋" w:hAnsi="仿宋" w:eastAsia="仿宋"/>
          <w:b/>
          <w:color w:val="000000"/>
          <w:sz w:val="32"/>
          <w:szCs w:val="32"/>
        </w:rPr>
      </w:pPr>
      <w:bookmarkStart w:id="36" w:name="_Toc15377212"/>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rPr>
        <w:t>2018年般公共预算支出决算数为2185.53</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支出决算为0万元，完成预算0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 w:val="0"/>
          <w:bCs/>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1教育（类）普通教育（款）学前教育（项）2050201</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支出决算为152.36万元，完成预算100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 w:val="0"/>
          <w:bCs/>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2教育（类）普通教育（款）小学教育2050202</w:t>
      </w:r>
      <w:r>
        <w:rPr>
          <w:rStyle w:val="15"/>
          <w:rFonts w:hint="eastAsia" w:ascii="仿宋" w:hAnsi="仿宋" w:eastAsia="仿宋"/>
          <w:b w:val="0"/>
          <w:bCs/>
          <w:color w:val="000000"/>
          <w:sz w:val="32"/>
          <w:szCs w:val="32"/>
        </w:rPr>
        <w:t>：支出决算为1676.13万元，完成预算100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 w:val="0"/>
          <w:bCs/>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3教育（类）普通教育（款）其他普通教育支出2050299</w:t>
      </w:r>
      <w:r>
        <w:rPr>
          <w:rStyle w:val="15"/>
          <w:rFonts w:hint="eastAsia" w:ascii="仿宋" w:hAnsi="仿宋" w:eastAsia="仿宋"/>
          <w:b w:val="0"/>
          <w:bCs/>
          <w:color w:val="000000"/>
          <w:sz w:val="32"/>
          <w:szCs w:val="32"/>
        </w:rPr>
        <w:t>：决算为3.5万元，完成预算100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 w:val="0"/>
          <w:bCs/>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4教育（类）教育费附加安排的支出（款）其他教育费附加安排的支出205099：</w:t>
      </w:r>
      <w:r>
        <w:rPr>
          <w:rStyle w:val="15"/>
          <w:rFonts w:hint="eastAsia" w:ascii="仿宋" w:hAnsi="仿宋" w:eastAsia="仿宋"/>
          <w:b w:val="0"/>
          <w:bCs/>
          <w:color w:val="000000"/>
          <w:sz w:val="32"/>
          <w:szCs w:val="32"/>
        </w:rPr>
        <w:t>决算为10万元，完成预算100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 w:val="0"/>
          <w:bCs/>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5教育（类）其他教育支出（款）其他教育支出205999</w:t>
      </w:r>
      <w:r>
        <w:rPr>
          <w:rStyle w:val="15"/>
          <w:rFonts w:hint="eastAsia" w:ascii="仿宋" w:hAnsi="仿宋" w:eastAsia="仿宋"/>
          <w:b w:val="0"/>
          <w:bCs/>
          <w:color w:val="000000"/>
          <w:sz w:val="32"/>
          <w:szCs w:val="32"/>
        </w:rPr>
        <w:t>：决算为:2万元，完成预算100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科学技术（类）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支出决算为0万元，完成预算0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4.</w:t>
      </w:r>
      <w:r>
        <w:rPr>
          <w:rStyle w:val="15"/>
          <w:rFonts w:hint="eastAsia" w:ascii="仿宋" w:hAnsi="仿宋" w:eastAsia="仿宋"/>
          <w:bCs/>
          <w:color w:val="000000"/>
          <w:sz w:val="32"/>
          <w:szCs w:val="32"/>
        </w:rPr>
        <w:t>文化体育与传媒（类）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支出决算为0万元，完成预算0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 w:val="0"/>
          <w:bCs/>
          <w:color w:val="000000"/>
          <w:sz w:val="32"/>
          <w:szCs w:val="32"/>
        </w:rPr>
      </w:pPr>
      <w:r>
        <w:rPr>
          <w:rStyle w:val="15"/>
          <w:rFonts w:ascii="仿宋" w:hAnsi="仿宋" w:eastAsia="仿宋"/>
          <w:bCs/>
          <w:color w:val="000000"/>
          <w:sz w:val="32"/>
          <w:szCs w:val="32"/>
        </w:rPr>
        <w:t>5.</w:t>
      </w:r>
      <w:r>
        <w:rPr>
          <w:rStyle w:val="15"/>
          <w:rFonts w:hint="eastAsia" w:ascii="仿宋" w:hAnsi="仿宋" w:eastAsia="仿宋"/>
          <w:bCs/>
          <w:color w:val="000000"/>
          <w:sz w:val="32"/>
          <w:szCs w:val="32"/>
        </w:rPr>
        <w:t>1社会保障和就业（类）行政事业单位离退休（款） 机关事业单位基本养老保险缴费支出（项）2080505</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支出决算为158.81万元，完成预算100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5.</w:t>
      </w:r>
      <w:r>
        <w:rPr>
          <w:rStyle w:val="15"/>
          <w:rFonts w:hint="eastAsia" w:ascii="仿宋" w:hAnsi="仿宋" w:eastAsia="仿宋"/>
          <w:bCs/>
          <w:color w:val="000000"/>
          <w:sz w:val="32"/>
          <w:szCs w:val="32"/>
        </w:rPr>
        <w:t>2社会保障和就业（类）行政事业单位离退休（款）机关事业单位职业年金缴费支出2080506：</w:t>
      </w:r>
      <w:r>
        <w:rPr>
          <w:rStyle w:val="15"/>
          <w:rFonts w:hint="eastAsia" w:ascii="仿宋" w:hAnsi="仿宋" w:eastAsia="仿宋"/>
          <w:b w:val="0"/>
          <w:bCs/>
          <w:color w:val="000000"/>
          <w:sz w:val="32"/>
          <w:szCs w:val="32"/>
        </w:rPr>
        <w:t>支出决算为26.54万元，完成预算100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6.</w:t>
      </w:r>
      <w:r>
        <w:rPr>
          <w:rStyle w:val="15"/>
          <w:rFonts w:hint="eastAsia" w:ascii="仿宋" w:hAnsi="仿宋" w:eastAsia="仿宋"/>
          <w:bCs/>
          <w:color w:val="000000"/>
          <w:sz w:val="32"/>
          <w:szCs w:val="32"/>
        </w:rPr>
        <w:t>医疗卫生与计划生育（类）行政事业单位医疗（款）事业单位医疗（项）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支出决算为57.04万元，完成预算100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themeColor="text1"/>
          <w:sz w:val="32"/>
          <w:szCs w:val="32"/>
        </w:rPr>
        <w:t>7.住房保障支出（类）</w:t>
      </w:r>
      <w:r>
        <w:rPr>
          <w:rStyle w:val="15"/>
          <w:rFonts w:hint="eastAsia" w:ascii="仿宋" w:hAnsi="仿宋" w:eastAsia="仿宋"/>
          <w:bCs/>
          <w:color w:val="000000"/>
          <w:sz w:val="32"/>
          <w:szCs w:val="32"/>
        </w:rPr>
        <w:t>住房改革支出（款）住房公积金（项）2210201：</w:t>
      </w:r>
      <w:r>
        <w:rPr>
          <w:rStyle w:val="15"/>
          <w:rFonts w:hint="eastAsia" w:ascii="仿宋" w:hAnsi="仿宋" w:eastAsia="仿宋"/>
          <w:b w:val="0"/>
          <w:bCs/>
          <w:color w:val="000000"/>
          <w:sz w:val="32"/>
          <w:szCs w:val="32"/>
        </w:rPr>
        <w:t>支出决算为98.99万元，完成预算100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8年一般公共预算财政拨款基本支出2185.35万元，其中：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1674.29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511.06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000000" w:themeColor="text1"/>
          <w:sz w:val="32"/>
          <w:szCs w:val="32"/>
        </w:rPr>
      </w:pPr>
      <w:r>
        <w:rPr>
          <w:rFonts w:hint="eastAsia" w:ascii="仿宋" w:hAnsi="仿宋" w:eastAsia="仿宋"/>
          <w:b/>
          <w:color w:val="000000" w:themeColor="text1"/>
          <w:sz w:val="32"/>
          <w:szCs w:val="32"/>
        </w:rPr>
        <w:t>（数据来源财决</w:t>
      </w:r>
      <w:r>
        <w:rPr>
          <w:rFonts w:ascii="仿宋" w:hAnsi="仿宋" w:eastAsia="仿宋"/>
          <w:b/>
          <w:color w:val="000000" w:themeColor="text1"/>
          <w:sz w:val="32"/>
          <w:szCs w:val="32"/>
        </w:rPr>
        <w:t>0</w:t>
      </w:r>
      <w:r>
        <w:rPr>
          <w:rFonts w:hint="eastAsia" w:ascii="仿宋" w:hAnsi="仿宋" w:eastAsia="仿宋"/>
          <w:b/>
          <w:color w:val="000000" w:themeColor="text1"/>
          <w:sz w:val="32"/>
          <w:szCs w:val="32"/>
        </w:rPr>
        <w:t>7表，根据本部门实际支出情况罗列全部经济分类科目。）</w:t>
      </w:r>
    </w:p>
    <w:p>
      <w:pPr>
        <w:spacing w:line="600" w:lineRule="exact"/>
        <w:ind w:firstLine="640"/>
        <w:rPr>
          <w:rFonts w:ascii="仿宋" w:hAnsi="仿宋" w:eastAsia="仿宋"/>
          <w:b/>
          <w:color w:val="FF0000"/>
          <w:sz w:val="32"/>
          <w:szCs w:val="32"/>
        </w:rPr>
      </w:pPr>
    </w:p>
    <w:p>
      <w:pPr>
        <w:spacing w:line="600" w:lineRule="exact"/>
        <w:ind w:firstLine="640"/>
        <w:outlineLvl w:val="1"/>
        <w:rPr>
          <w:rStyle w:val="26"/>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8年“三公”经费财政拨款支出决算为3.59万元，完成预算94.5</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，决算数小于预算数的主要原因接待次数减少，减少配餐人员。</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；公务接待费支出决算3.59万元，占100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3.59万元，</w:t>
      </w:r>
      <w:r>
        <w:rPr>
          <w:rStyle w:val="15"/>
          <w:rFonts w:hint="eastAsia" w:ascii="仿宋" w:hAnsi="仿宋" w:eastAsia="仿宋"/>
          <w:b w:val="0"/>
          <w:bCs/>
          <w:color w:val="000000"/>
          <w:sz w:val="32"/>
          <w:szCs w:val="32"/>
        </w:rPr>
        <w:t>完成预算94.5</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7年减少0.21万元，下降5.5</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 w:hAnsi="仿宋" w:eastAsia="仿宋"/>
          <w:color w:val="000000"/>
          <w:sz w:val="32"/>
          <w:szCs w:val="32"/>
        </w:rPr>
        <w:t>接待次数减少，减少配餐人员</w:t>
      </w:r>
      <w:r>
        <w:rPr>
          <w:rFonts w:hint="eastAsia" w:ascii="仿宋_GB2312" w:eastAsia="仿宋_GB2312"/>
          <w:color w:val="000000"/>
          <w:sz w:val="32"/>
          <w:szCs w:val="32"/>
        </w:rPr>
        <w:t>。</w:t>
      </w:r>
    </w:p>
    <w:p>
      <w:pPr>
        <w:spacing w:line="600" w:lineRule="exact"/>
        <w:ind w:firstLine="640"/>
        <w:outlineLvl w:val="1"/>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主要用于执行公务、开展业务活动开支的交通费、住宿费、用餐费等。国内公务接待97批次，485人次（不包括陪同人员），共计支出3.59万元。</w:t>
      </w:r>
      <w:bookmarkStart w:id="46" w:name="_Toc15396610"/>
      <w:bookmarkStart w:id="47" w:name="_Toc15377218"/>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8年政府性基金预算拨款支出5万元。</w:t>
      </w:r>
    </w:p>
    <w:p>
      <w:pPr>
        <w:numPr>
          <w:ilvl w:val="0"/>
          <w:numId w:val="2"/>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4"/>
        </w:numPr>
        <w:spacing w:line="580" w:lineRule="exact"/>
        <w:ind w:left="420" w:firstLine="482" w:firstLineChars="150"/>
        <w:rPr>
          <w:rFonts w:hint="eastAsia" w:ascii="仿宋_GB2312" w:eastAsia="仿宋_GB2312"/>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部门（单位）在年初预算编制阶段，组织对一般公共预算财政拨款的人员经费、日常公用经费、项目支出等开展了预算事前绩效评估，对个项目（在园幼儿保教费减免&lt;含建档立卡&gt;、贫困寄宿生生活补助、校舍维修、校园足球项目、少年宫彩票基金）编制了绩效目标，预算执行过程中，选取5个项目开展绩效监控，年终执行完毕后，对5个项目开展了绩效目标完成情况梳理填报。</w:t>
      </w:r>
    </w:p>
    <w:p>
      <w:pPr>
        <w:pStyle w:val="24"/>
        <w:numPr>
          <w:ilvl w:val="0"/>
          <w:numId w:val="4"/>
        </w:numPr>
        <w:spacing w:line="580" w:lineRule="exact"/>
        <w:ind w:firstLineChars="0"/>
        <w:rPr>
          <w:rFonts w:hint="eastAsia" w:ascii="仿宋_GB2312" w:eastAsia="仿宋_GB2312"/>
          <w:sz w:val="32"/>
          <w:szCs w:val="32"/>
        </w:rPr>
      </w:pPr>
      <w:r>
        <w:rPr>
          <w:rFonts w:hint="eastAsia" w:ascii="仿宋_GB2312" w:eastAsia="仿宋_GB2312"/>
          <w:sz w:val="32"/>
          <w:szCs w:val="32"/>
        </w:rPr>
        <w:t>本部门按要求对2018年部门整体支出开展绩效自评，从评价情况来看，预算编制、执行、管理严格按照程序进行支出符合部门预算批复的用途，无截留、挤占、挪用、虚列支出等情况。本部门还自行组织了5个项目绩效评价，从评价情况来看，项目资金做到了专款专用，涉及资金</w:t>
      </w:r>
      <w:r>
        <w:rPr>
          <w:rFonts w:hint="eastAsia" w:ascii="仿宋" w:hAnsi="仿宋" w:eastAsia="仿宋"/>
          <w:color w:val="000000"/>
          <w:sz w:val="32"/>
          <w:szCs w:val="32"/>
        </w:rPr>
        <w:t>515.83</w:t>
      </w:r>
      <w:r>
        <w:rPr>
          <w:rFonts w:hint="eastAsia" w:ascii="仿宋_GB2312" w:eastAsia="仿宋_GB2312"/>
          <w:sz w:val="32"/>
          <w:szCs w:val="32"/>
        </w:rPr>
        <w:t>万元，严格按照文件精神落实进行，合理使用了项目资金。</w:t>
      </w:r>
    </w:p>
    <w:p>
      <w:pPr>
        <w:numPr>
          <w:ilvl w:val="0"/>
          <w:numId w:val="5"/>
        </w:numPr>
        <w:spacing w:line="580" w:lineRule="exact"/>
        <w:ind w:firstLine="643" w:firstLineChars="200"/>
        <w:rPr>
          <w:rFonts w:ascii="仿宋_GB2312" w:eastAsia="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ascii="仿宋_GB2312" w:eastAsia="仿宋_GB2312"/>
          <w:sz w:val="32"/>
          <w:szCs w:val="32"/>
        </w:rPr>
        <w:t>本部门在2018年度部门决算中反映“幼儿保教费减免&lt;含建档立卡&gt;”“ 贫困寄宿生生活补助”“校舍维修专项资金”“ 校园足球项目”“ 少年宫彩票基金”等5个项目绩效目标实际完成情况。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 幼儿保教费减免&lt;含建档立卡&gt;项目绩效目标完成情况综述。项目全年预算数</w:t>
      </w:r>
      <w:r>
        <w:rPr>
          <w:rFonts w:hint="eastAsia" w:ascii="仿宋_GB2312" w:eastAsia="仿宋_GB2312"/>
          <w:sz w:val="32"/>
          <w:szCs w:val="32"/>
          <w:lang w:val="en-US" w:eastAsia="zh-CN"/>
        </w:rPr>
        <w:t>152.35</w:t>
      </w:r>
      <w:r>
        <w:rPr>
          <w:rFonts w:hint="eastAsia" w:ascii="仿宋_GB2312" w:eastAsia="仿宋_GB2312"/>
          <w:sz w:val="32"/>
          <w:szCs w:val="32"/>
        </w:rPr>
        <w:t>万元，执行数为</w:t>
      </w:r>
      <w:r>
        <w:rPr>
          <w:rFonts w:hint="eastAsia" w:ascii="仿宋_GB2312" w:eastAsia="仿宋_GB2312"/>
          <w:sz w:val="32"/>
          <w:szCs w:val="32"/>
          <w:lang w:val="en-US" w:eastAsia="zh-CN"/>
        </w:rPr>
        <w:t>152.35</w:t>
      </w:r>
      <w:r>
        <w:rPr>
          <w:rFonts w:hint="eastAsia" w:ascii="仿宋_GB2312" w:eastAsia="仿宋_GB2312"/>
          <w:sz w:val="32"/>
          <w:szCs w:val="32"/>
        </w:rPr>
        <w:t>万元，完成预算的100%。通过项目实施，保障了普惠性幼儿园在园幼儿入学，学前教育幼儿学生免保教费我园按照文件精神实施报名入学就直接减免，财政补助到园的方式进行。</w:t>
      </w:r>
      <w:r>
        <w:rPr>
          <w:rFonts w:hint="eastAsia" w:ascii="仿宋_GB2312" w:eastAsia="仿宋_GB2312"/>
          <w:sz w:val="32"/>
          <w:szCs w:val="32"/>
          <w:lang w:eastAsia="zh-CN"/>
        </w:rPr>
        <w:t>建档立卡贫困幼儿减免资金通过现金形式直接发给监护人，学校留有签字名册和部分影响资料。</w:t>
      </w:r>
      <w:r>
        <w:rPr>
          <w:rFonts w:hint="eastAsia" w:ascii="仿宋_GB2312" w:eastAsia="仿宋_GB2312"/>
          <w:sz w:val="32"/>
          <w:szCs w:val="32"/>
        </w:rPr>
        <w:t>发现的主要问题：有部分监护人是老年人，不了解政策内容。下一步改进措施：督促各班老师进一步宣传政策，务必家长人人了解。</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2.贫困寄宿生生活补助</w:t>
      </w:r>
      <w:r>
        <w:rPr>
          <w:rFonts w:hint="eastAsia" w:ascii="仿宋_GB2312" w:eastAsia="仿宋_GB2312"/>
          <w:sz w:val="32"/>
          <w:szCs w:val="32"/>
          <w:lang w:eastAsia="zh-CN"/>
        </w:rPr>
        <w:t>和营养餐资金</w:t>
      </w:r>
      <w:r>
        <w:rPr>
          <w:rFonts w:hint="eastAsia" w:ascii="仿宋_GB2312" w:eastAsia="仿宋_GB2312"/>
          <w:sz w:val="32"/>
          <w:szCs w:val="32"/>
        </w:rPr>
        <w:t>项目绩效目标完成情况综述。项目全年预算数</w:t>
      </w:r>
      <w:r>
        <w:rPr>
          <w:rFonts w:hint="eastAsia" w:ascii="仿宋_GB2312" w:eastAsia="仿宋_GB2312"/>
          <w:sz w:val="32"/>
          <w:szCs w:val="32"/>
          <w:lang w:val="en-US" w:eastAsia="zh-CN"/>
        </w:rPr>
        <w:t>230.48</w:t>
      </w:r>
      <w:r>
        <w:rPr>
          <w:rFonts w:hint="eastAsia" w:ascii="仿宋_GB2312" w:eastAsia="仿宋_GB2312"/>
          <w:sz w:val="32"/>
          <w:szCs w:val="32"/>
        </w:rPr>
        <w:t>万元，执行数为数万元，完成预算的100%。通过项目实施，保障了</w:t>
      </w:r>
      <w:r>
        <w:rPr>
          <w:rFonts w:hint="eastAsia" w:ascii="仿宋_GB2312" w:eastAsia="仿宋_GB2312"/>
          <w:sz w:val="32"/>
          <w:szCs w:val="32"/>
          <w:lang w:eastAsia="zh-CN"/>
        </w:rPr>
        <w:t>民办教育贫困寄宿生生活和义务教育阶段在校学生营养。民办教育寄宿生生活补助全部实施打卡发放</w:t>
      </w:r>
      <w:r>
        <w:rPr>
          <w:rFonts w:hint="eastAsia" w:ascii="仿宋_GB2312" w:eastAsia="仿宋_GB2312"/>
          <w:sz w:val="32"/>
          <w:szCs w:val="32"/>
        </w:rPr>
        <w:t>，</w:t>
      </w:r>
      <w:r>
        <w:rPr>
          <w:rFonts w:hint="eastAsia" w:ascii="仿宋_GB2312" w:eastAsia="仿宋_GB2312"/>
          <w:sz w:val="32"/>
          <w:szCs w:val="32"/>
          <w:lang w:eastAsia="zh-CN"/>
        </w:rPr>
        <w:t>并且全部发放到位。义务教育阶段营养餐实行日清月结管理，切实保障学生餐食，加强营养餐资金的管理，做到了不挪用、不截留、不挤占，杜绝了贪污现象。</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3.校园足球</w:t>
      </w:r>
      <w:r>
        <w:rPr>
          <w:rFonts w:hint="eastAsia" w:ascii="仿宋_GB2312" w:eastAsia="仿宋_GB2312"/>
          <w:sz w:val="32"/>
          <w:szCs w:val="32"/>
        </w:rPr>
        <w:t>项目绩效目标完成情况综述。项目全年预算数</w:t>
      </w:r>
      <w:r>
        <w:rPr>
          <w:rFonts w:hint="eastAsia" w:ascii="仿宋_GB2312" w:eastAsia="仿宋_GB2312"/>
          <w:sz w:val="32"/>
          <w:szCs w:val="32"/>
          <w:lang w:val="en-US" w:eastAsia="zh-CN"/>
        </w:rPr>
        <w:t>2</w:t>
      </w:r>
      <w:r>
        <w:rPr>
          <w:rFonts w:hint="eastAsia" w:ascii="仿宋_GB2312" w:eastAsia="仿宋_GB2312"/>
          <w:sz w:val="32"/>
          <w:szCs w:val="32"/>
        </w:rPr>
        <w:t>万元，执行数为数</w:t>
      </w:r>
      <w:r>
        <w:rPr>
          <w:rFonts w:hint="eastAsia" w:ascii="仿宋_GB2312" w:eastAsia="仿宋_GB2312"/>
          <w:sz w:val="32"/>
          <w:szCs w:val="32"/>
          <w:lang w:val="en-US" w:eastAsia="zh-CN"/>
        </w:rPr>
        <w:t>2</w:t>
      </w:r>
      <w:r>
        <w:rPr>
          <w:rFonts w:hint="eastAsia" w:ascii="仿宋_GB2312" w:eastAsia="仿宋_GB2312"/>
          <w:sz w:val="32"/>
          <w:szCs w:val="32"/>
        </w:rPr>
        <w:t>万元，完成预算的100%。</w:t>
      </w:r>
      <w:r>
        <w:rPr>
          <w:rFonts w:hint="eastAsia" w:ascii="仿宋_GB2312" w:eastAsia="仿宋_GB2312"/>
          <w:sz w:val="32"/>
          <w:szCs w:val="32"/>
          <w:lang w:eastAsia="zh-CN"/>
        </w:rPr>
        <w:t>经费严格按照足球项目资金文件执行，主要用于校园足球外聘教练的工资、足球项目设备的购置、校外参加校园足球活动等支出。校园足球项目开展的有声有色，校优秀足球运动健儿到重庆、达州多次参加活动，均已获得不同级别的奖。</w:t>
      </w:r>
    </w:p>
    <w:p>
      <w:pPr>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4.彩票基金少年宫</w:t>
      </w:r>
      <w:r>
        <w:rPr>
          <w:rFonts w:hint="eastAsia" w:ascii="仿宋_GB2312" w:eastAsia="仿宋_GB2312"/>
          <w:sz w:val="32"/>
          <w:szCs w:val="32"/>
        </w:rPr>
        <w:t>项目绩效目标完成情况综述。项目全年预算数</w:t>
      </w:r>
      <w:r>
        <w:rPr>
          <w:rFonts w:hint="eastAsia" w:ascii="仿宋_GB2312" w:eastAsia="仿宋_GB2312"/>
          <w:sz w:val="32"/>
          <w:szCs w:val="32"/>
          <w:lang w:val="en-US" w:eastAsia="zh-CN"/>
        </w:rPr>
        <w:t>5</w:t>
      </w:r>
      <w:r>
        <w:rPr>
          <w:rFonts w:hint="eastAsia" w:ascii="仿宋_GB2312" w:eastAsia="仿宋_GB2312"/>
          <w:sz w:val="32"/>
          <w:szCs w:val="32"/>
        </w:rPr>
        <w:t>万元，执行数为数</w:t>
      </w:r>
      <w:r>
        <w:rPr>
          <w:rFonts w:hint="eastAsia" w:ascii="仿宋_GB2312" w:eastAsia="仿宋_GB2312"/>
          <w:sz w:val="32"/>
          <w:szCs w:val="32"/>
          <w:lang w:val="en-US" w:eastAsia="zh-CN"/>
        </w:rPr>
        <w:t>5</w:t>
      </w:r>
      <w:r>
        <w:rPr>
          <w:rFonts w:hint="eastAsia" w:ascii="仿宋_GB2312" w:eastAsia="仿宋_GB2312"/>
          <w:sz w:val="32"/>
          <w:szCs w:val="32"/>
        </w:rPr>
        <w:t>万元，完成预算的100%。</w:t>
      </w:r>
      <w:r>
        <w:rPr>
          <w:rFonts w:hint="eastAsia" w:ascii="仿宋_GB2312" w:eastAsia="仿宋_GB2312"/>
          <w:sz w:val="32"/>
          <w:szCs w:val="32"/>
          <w:lang w:eastAsia="zh-CN"/>
        </w:rPr>
        <w:t>经费严格按照</w:t>
      </w:r>
      <w:r>
        <w:rPr>
          <w:rFonts w:hint="eastAsia" w:ascii="仿宋_GB2312" w:eastAsia="仿宋_GB2312"/>
          <w:sz w:val="32"/>
          <w:szCs w:val="32"/>
          <w:lang w:val="en-US" w:eastAsia="zh-CN"/>
        </w:rPr>
        <w:t>彩票基金少年宫</w:t>
      </w:r>
      <w:r>
        <w:rPr>
          <w:rFonts w:hint="eastAsia" w:ascii="仿宋_GB2312" w:eastAsia="仿宋_GB2312"/>
          <w:sz w:val="32"/>
          <w:szCs w:val="32"/>
          <w:lang w:eastAsia="zh-CN"/>
        </w:rPr>
        <w:t>项目资金文件执行，主要用于校活动外聘老师的工资、设备的添置、校外参加校内外活动等支出。校园足球项目开展的有声有色，学生参加各种校内外活动均已获奖。</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.校舍维修项目绩效目标完成情况综述。项目全年预算数1</w:t>
      </w:r>
      <w:r>
        <w:rPr>
          <w:rFonts w:hint="eastAsia" w:ascii="仿宋_GB2312" w:eastAsia="仿宋_GB2312"/>
          <w:sz w:val="32"/>
          <w:szCs w:val="32"/>
          <w:lang w:val="en-US" w:eastAsia="zh-CN"/>
        </w:rPr>
        <w:t>2</w:t>
      </w:r>
      <w:r>
        <w:rPr>
          <w:rFonts w:hint="eastAsia" w:ascii="仿宋_GB2312" w:eastAsia="仿宋_GB2312"/>
          <w:sz w:val="32"/>
          <w:szCs w:val="32"/>
        </w:rPr>
        <w:t>6万元，执行数为1</w:t>
      </w:r>
      <w:r>
        <w:rPr>
          <w:rFonts w:hint="eastAsia" w:ascii="仿宋_GB2312" w:eastAsia="仿宋_GB2312"/>
          <w:sz w:val="32"/>
          <w:szCs w:val="32"/>
          <w:lang w:val="en-US" w:eastAsia="zh-CN"/>
        </w:rPr>
        <w:t>2</w:t>
      </w:r>
      <w:r>
        <w:rPr>
          <w:rFonts w:hint="eastAsia" w:ascii="仿宋_GB2312" w:eastAsia="仿宋_GB2312"/>
          <w:sz w:val="32"/>
          <w:szCs w:val="32"/>
        </w:rPr>
        <w:t>6万元，完成预算的100%。通过项目实施，保障了园校舍安全，完善了校舍使用功能，校舍维修严格按照维修程序上报审批，接受财政监管。发现的主要问题：无。下一步改进措施：无</w:t>
      </w:r>
    </w:p>
    <w:p>
      <w:pPr>
        <w:tabs>
          <w:tab w:val="left" w:pos="312"/>
        </w:tabs>
        <w:spacing w:line="580" w:lineRule="exact"/>
        <w:ind w:left="640"/>
        <w:rPr>
          <w:rFonts w:ascii="仿宋_GB2312" w:hAnsi="仿宋_GB2312" w:eastAsia="仿宋_GB2312" w:cs="仿宋_GB2312"/>
          <w:sz w:val="32"/>
          <w:szCs w:val="32"/>
        </w:rPr>
      </w:pPr>
    </w:p>
    <w:tbl>
      <w:tblPr>
        <w:tblStyle w:val="13"/>
        <w:tblW w:w="9141" w:type="dxa"/>
        <w:tblInd w:w="0" w:type="dxa"/>
        <w:tblLayout w:type="fixed"/>
        <w:tblCellMar>
          <w:top w:w="0" w:type="dxa"/>
          <w:left w:w="0" w:type="dxa"/>
          <w:bottom w:w="0" w:type="dxa"/>
          <w:right w:w="0" w:type="dxa"/>
        </w:tblCellMar>
      </w:tblPr>
      <w:tblGrid>
        <w:gridCol w:w="357"/>
        <w:gridCol w:w="1255"/>
        <w:gridCol w:w="941"/>
        <w:gridCol w:w="2195"/>
        <w:gridCol w:w="2197"/>
        <w:gridCol w:w="2196"/>
      </w:tblGrid>
      <w:tr>
        <w:tblPrEx>
          <w:tblCellMar>
            <w:top w:w="0" w:type="dxa"/>
            <w:left w:w="0" w:type="dxa"/>
            <w:bottom w:w="0" w:type="dxa"/>
            <w:right w:w="0" w:type="dxa"/>
          </w:tblCellMar>
        </w:tblPrEx>
        <w:trPr>
          <w:trHeight w:val="1043" w:hRule="atLeast"/>
        </w:trPr>
        <w:tc>
          <w:tcPr>
            <w:tcW w:w="9141" w:type="dxa"/>
            <w:gridSpan w:val="6"/>
            <w:tcBorders>
              <w:top w:val="nil"/>
              <w:left w:val="nil"/>
              <w:bottom w:val="nil"/>
              <w:right w:val="nil"/>
            </w:tcBorders>
            <w:tcMar>
              <w:top w:w="15" w:type="dxa"/>
              <w:left w:w="15" w:type="dxa"/>
              <w:bottom w:w="0" w:type="dxa"/>
              <w:right w:w="15" w:type="dxa"/>
            </w:tcMar>
            <w:vAlign w:val="center"/>
          </w:tcPr>
          <w:p>
            <w:pPr>
              <w:pStyle w:val="30"/>
              <w:widowControl/>
              <w:spacing w:before="93"/>
              <w:ind w:left="4173" w:leftChars="1310" w:hanging="1422" w:hangingChars="395"/>
              <w:textAlignment w:val="center"/>
              <w:rPr>
                <w:rFonts w:ascii="宋体" w:hAnsi="宋体"/>
                <w:color w:val="000000"/>
                <w:sz w:val="36"/>
                <w:szCs w:val="36"/>
              </w:rPr>
            </w:pPr>
            <w:r>
              <w:rPr>
                <w:rFonts w:hint="eastAsia" w:ascii="黑体" w:hAnsi="黑体" w:eastAsia="黑体" w:cs="宋体"/>
                <w:color w:val="000000"/>
                <w:kern w:val="0"/>
                <w:sz w:val="36"/>
                <w:szCs w:val="36"/>
              </w:rPr>
              <w:t>项目支出绩效目标完成情况表</w:t>
            </w:r>
            <w:r>
              <w:rPr>
                <w:rFonts w:hint="eastAsia" w:ascii="宋体" w:hAnsi="宋体"/>
                <w:b/>
                <w:bCs/>
                <w:color w:val="000000"/>
                <w:kern w:val="0"/>
                <w:sz w:val="36"/>
                <w:szCs w:val="36"/>
              </w:rPr>
              <w:br w:type="textWrapping"/>
            </w:r>
            <w:r>
              <w:rPr>
                <w:rFonts w:hint="eastAsia" w:ascii="宋体" w:hAnsi="宋体"/>
                <w:color w:val="000000"/>
                <w:kern w:val="0"/>
                <w:sz w:val="36"/>
                <w:szCs w:val="36"/>
              </w:rPr>
              <w:t>(2018 年度)</w:t>
            </w:r>
          </w:p>
        </w:tc>
      </w:tr>
      <w:tr>
        <w:tblPrEx>
          <w:tblCellMar>
            <w:top w:w="0" w:type="dxa"/>
            <w:left w:w="0" w:type="dxa"/>
            <w:bottom w:w="0" w:type="dxa"/>
            <w:right w:w="0" w:type="dxa"/>
          </w:tblCellMar>
        </w:tblPrEx>
        <w:trPr>
          <w:trHeight w:val="278" w:hRule="atLeast"/>
        </w:trPr>
        <w:tc>
          <w:tcPr>
            <w:tcW w:w="255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kern w:val="0"/>
                <w:sz w:val="24"/>
              </w:rPr>
              <w:t>项目名称</w:t>
            </w:r>
          </w:p>
        </w:tc>
        <w:tc>
          <w:tcPr>
            <w:tcW w:w="6588"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olor w:val="000000"/>
                <w:sz w:val="24"/>
              </w:rPr>
            </w:pPr>
            <w:r>
              <w:rPr>
                <w:rFonts w:hint="eastAsia" w:ascii="仿宋_GB2312" w:eastAsia="仿宋_GB2312"/>
                <w:sz w:val="21"/>
                <w:szCs w:val="21"/>
              </w:rPr>
              <w:t>“幼儿保教费减免&lt;含建档立卡&gt;”“ 贫困寄宿生生活补助”“校舍维修专项资金”“ 校园足球项目”“ 少年宫彩票基金”</w:t>
            </w:r>
          </w:p>
        </w:tc>
      </w:tr>
      <w:tr>
        <w:tblPrEx>
          <w:tblCellMar>
            <w:top w:w="0" w:type="dxa"/>
            <w:left w:w="0" w:type="dxa"/>
            <w:bottom w:w="0" w:type="dxa"/>
            <w:right w:w="0" w:type="dxa"/>
          </w:tblCellMar>
        </w:tblPrEx>
        <w:trPr>
          <w:trHeight w:val="278" w:hRule="atLeast"/>
        </w:trPr>
        <w:tc>
          <w:tcPr>
            <w:tcW w:w="255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kern w:val="0"/>
                <w:sz w:val="24"/>
              </w:rPr>
              <w:t>预算单位</w:t>
            </w:r>
          </w:p>
        </w:tc>
        <w:tc>
          <w:tcPr>
            <w:tcW w:w="6588"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olor w:val="000000"/>
                <w:sz w:val="24"/>
                <w:lang w:eastAsia="zh-CN"/>
              </w:rPr>
            </w:pPr>
            <w:r>
              <w:rPr>
                <w:rFonts w:hint="eastAsia" w:ascii="宋体" w:hAnsi="宋体"/>
                <w:color w:val="000000"/>
                <w:sz w:val="24"/>
              </w:rPr>
              <w:t>宣汉县东乡镇</w:t>
            </w:r>
            <w:r>
              <w:rPr>
                <w:rFonts w:hint="eastAsia" w:ascii="宋体" w:hAnsi="宋体"/>
                <w:color w:val="000000"/>
                <w:sz w:val="24"/>
                <w:lang w:eastAsia="zh-CN"/>
              </w:rPr>
              <w:t>西北中心校</w:t>
            </w:r>
          </w:p>
        </w:tc>
      </w:tr>
      <w:tr>
        <w:tblPrEx>
          <w:tblCellMar>
            <w:top w:w="0" w:type="dxa"/>
            <w:left w:w="0" w:type="dxa"/>
            <w:bottom w:w="0" w:type="dxa"/>
            <w:right w:w="0" w:type="dxa"/>
          </w:tblCellMar>
        </w:tblPrEx>
        <w:trPr>
          <w:trHeight w:val="278" w:hRule="atLeast"/>
        </w:trPr>
        <w:tc>
          <w:tcPr>
            <w:tcW w:w="357"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kern w:val="0"/>
                <w:sz w:val="24"/>
              </w:rPr>
              <w:t>预算执行情况(万元)</w:t>
            </w:r>
          </w:p>
        </w:tc>
        <w:tc>
          <w:tcPr>
            <w:tcW w:w="219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kern w:val="0"/>
                <w:sz w:val="24"/>
              </w:rPr>
              <w:t>预算数:</w:t>
            </w:r>
          </w:p>
        </w:tc>
        <w:tc>
          <w:tcPr>
            <w:tcW w:w="21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olor w:val="000000"/>
                <w:sz w:val="24"/>
                <w:lang w:val="en-US" w:eastAsia="zh-CN"/>
              </w:rPr>
            </w:pPr>
            <w:r>
              <w:rPr>
                <w:rFonts w:hint="eastAsia" w:ascii="宋体" w:hAnsi="宋体"/>
                <w:color w:val="000000"/>
                <w:sz w:val="24"/>
                <w:lang w:val="en-US" w:eastAsia="zh-CN"/>
              </w:rPr>
              <w:t>515.83</w:t>
            </w:r>
          </w:p>
        </w:tc>
        <w:tc>
          <w:tcPr>
            <w:tcW w:w="219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kern w:val="0"/>
                <w:sz w:val="24"/>
              </w:rPr>
              <w:t>执行数:</w:t>
            </w:r>
          </w:p>
        </w:tc>
        <w:tc>
          <w:tcPr>
            <w:tcW w:w="21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olor w:val="000000"/>
                <w:sz w:val="24"/>
                <w:lang w:val="en-US" w:eastAsia="zh-CN"/>
              </w:rPr>
            </w:pPr>
            <w:r>
              <w:rPr>
                <w:rFonts w:hint="eastAsia" w:ascii="宋体" w:hAnsi="宋体"/>
                <w:color w:val="000000"/>
                <w:sz w:val="24"/>
                <w:lang w:val="en-US" w:eastAsia="zh-CN"/>
              </w:rPr>
              <w:t>515.83</w:t>
            </w:r>
          </w:p>
        </w:tc>
      </w:tr>
      <w:tr>
        <w:tblPrEx>
          <w:tblCellMar>
            <w:top w:w="0" w:type="dxa"/>
            <w:left w:w="0" w:type="dxa"/>
            <w:bottom w:w="0" w:type="dxa"/>
            <w:right w:w="0" w:type="dxa"/>
          </w:tblCellMar>
        </w:tblPrEx>
        <w:trPr>
          <w:trHeight w:val="278" w:hRule="atLeast"/>
        </w:trPr>
        <w:tc>
          <w:tcPr>
            <w:tcW w:w="3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rPr>
            </w:pPr>
          </w:p>
        </w:tc>
        <w:tc>
          <w:tcPr>
            <w:tcW w:w="219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kern w:val="0"/>
                <w:sz w:val="24"/>
              </w:rPr>
              <w:t>其中-财政拨款:</w:t>
            </w:r>
          </w:p>
        </w:tc>
        <w:tc>
          <w:tcPr>
            <w:tcW w:w="21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olor w:val="000000"/>
                <w:sz w:val="24"/>
                <w:lang w:val="en-US" w:eastAsia="zh-CN"/>
              </w:rPr>
            </w:pPr>
            <w:r>
              <w:rPr>
                <w:rFonts w:hint="eastAsia" w:ascii="宋体" w:hAnsi="宋体"/>
                <w:color w:val="000000"/>
                <w:sz w:val="24"/>
                <w:lang w:val="en-US" w:eastAsia="zh-CN"/>
              </w:rPr>
              <w:t>515.83</w:t>
            </w:r>
          </w:p>
        </w:tc>
        <w:tc>
          <w:tcPr>
            <w:tcW w:w="219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kern w:val="0"/>
                <w:sz w:val="24"/>
              </w:rPr>
              <w:t>其中-财政拨款:</w:t>
            </w:r>
          </w:p>
        </w:tc>
        <w:tc>
          <w:tcPr>
            <w:tcW w:w="21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olor w:val="000000"/>
                <w:sz w:val="24"/>
                <w:lang w:val="en-US" w:eastAsia="zh-CN"/>
              </w:rPr>
            </w:pPr>
            <w:r>
              <w:rPr>
                <w:rFonts w:hint="eastAsia" w:ascii="宋体" w:hAnsi="宋体"/>
                <w:color w:val="000000"/>
                <w:sz w:val="24"/>
                <w:lang w:val="en-US" w:eastAsia="zh-CN"/>
              </w:rPr>
              <w:t>515.83</w:t>
            </w:r>
          </w:p>
        </w:tc>
      </w:tr>
      <w:tr>
        <w:tblPrEx>
          <w:tblCellMar>
            <w:top w:w="0" w:type="dxa"/>
            <w:left w:w="0" w:type="dxa"/>
            <w:bottom w:w="0" w:type="dxa"/>
            <w:right w:w="0" w:type="dxa"/>
          </w:tblCellMar>
        </w:tblPrEx>
        <w:trPr>
          <w:trHeight w:val="1524" w:hRule="atLeast"/>
        </w:trPr>
        <w:tc>
          <w:tcPr>
            <w:tcW w:w="3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rPr>
            </w:pPr>
          </w:p>
        </w:tc>
        <w:tc>
          <w:tcPr>
            <w:tcW w:w="219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kern w:val="0"/>
                <w:sz w:val="24"/>
              </w:rPr>
              <w:t>其它资金:</w:t>
            </w:r>
          </w:p>
        </w:tc>
        <w:tc>
          <w:tcPr>
            <w:tcW w:w="21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kern w:val="0"/>
                <w:sz w:val="24"/>
              </w:rPr>
              <w:t>0</w:t>
            </w:r>
          </w:p>
        </w:tc>
        <w:tc>
          <w:tcPr>
            <w:tcW w:w="219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kern w:val="0"/>
                <w:sz w:val="24"/>
              </w:rPr>
              <w:t>其它资金:</w:t>
            </w:r>
          </w:p>
        </w:tc>
        <w:tc>
          <w:tcPr>
            <w:tcW w:w="21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24"/>
              </w:rPr>
            </w:pPr>
          </w:p>
        </w:tc>
      </w:tr>
      <w:tr>
        <w:tblPrEx>
          <w:tblCellMar>
            <w:top w:w="0" w:type="dxa"/>
            <w:left w:w="0" w:type="dxa"/>
            <w:bottom w:w="0" w:type="dxa"/>
            <w:right w:w="0" w:type="dxa"/>
          </w:tblCellMar>
        </w:tblPrEx>
        <w:trPr>
          <w:trHeight w:val="278" w:hRule="atLeast"/>
        </w:trPr>
        <w:tc>
          <w:tcPr>
            <w:tcW w:w="357"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kern w:val="0"/>
                <w:sz w:val="24"/>
              </w:rPr>
              <w:t>年度目标完成情况</w:t>
            </w:r>
          </w:p>
        </w:tc>
        <w:tc>
          <w:tcPr>
            <w:tcW w:w="4391"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kern w:val="0"/>
                <w:sz w:val="24"/>
              </w:rPr>
              <w:t>预期目标</w:t>
            </w:r>
          </w:p>
        </w:tc>
        <w:tc>
          <w:tcPr>
            <w:tcW w:w="4393"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kern w:val="0"/>
                <w:sz w:val="24"/>
              </w:rPr>
              <w:t>实际完成目标</w:t>
            </w:r>
          </w:p>
        </w:tc>
      </w:tr>
      <w:tr>
        <w:tblPrEx>
          <w:tblCellMar>
            <w:top w:w="0" w:type="dxa"/>
            <w:left w:w="0" w:type="dxa"/>
            <w:bottom w:w="0" w:type="dxa"/>
            <w:right w:w="0" w:type="dxa"/>
          </w:tblCellMar>
        </w:tblPrEx>
        <w:trPr>
          <w:trHeight w:val="1169" w:hRule="atLeast"/>
        </w:trPr>
        <w:tc>
          <w:tcPr>
            <w:tcW w:w="3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rPr>
            </w:pPr>
          </w:p>
        </w:tc>
        <w:tc>
          <w:tcPr>
            <w:tcW w:w="4391"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sz w:val="21"/>
                <w:szCs w:val="21"/>
                <w:lang w:val="en-US" w:eastAsia="zh-CN"/>
              </w:rPr>
              <w:t xml:space="preserve">   </w:t>
            </w:r>
            <w:r>
              <w:rPr>
                <w:rFonts w:hint="eastAsia" w:ascii="宋体" w:hAnsi="宋体"/>
                <w:color w:val="000000"/>
                <w:sz w:val="21"/>
                <w:szCs w:val="21"/>
              </w:rPr>
              <w:t>通过资金的投入，解决家庭贫困幼儿家庭生活压力，提高幼儿入学率</w:t>
            </w:r>
            <w:r>
              <w:rPr>
                <w:rFonts w:hint="eastAsia" w:ascii="宋体" w:hAnsi="宋体"/>
                <w:color w:val="000000"/>
                <w:sz w:val="21"/>
                <w:szCs w:val="21"/>
                <w:lang w:eastAsia="zh-CN"/>
              </w:rPr>
              <w:t>，减轻贫困寄宿生的家庭负担，确保义务阶段学生身心健康地完成相应的学业</w:t>
            </w:r>
            <w:r>
              <w:rPr>
                <w:rFonts w:hint="eastAsia" w:ascii="宋体" w:hAnsi="宋体"/>
                <w:color w:val="000000"/>
                <w:sz w:val="21"/>
                <w:szCs w:val="21"/>
              </w:rPr>
              <w:t>；</w:t>
            </w:r>
            <w:r>
              <w:rPr>
                <w:rFonts w:hint="eastAsia" w:ascii="宋体" w:hAnsi="宋体"/>
                <w:color w:val="000000"/>
                <w:sz w:val="21"/>
                <w:szCs w:val="21"/>
                <w:lang w:eastAsia="zh-CN"/>
              </w:rPr>
              <w:t>通过活动的开展促进学全面发展；</w:t>
            </w:r>
            <w:r>
              <w:rPr>
                <w:rFonts w:hint="eastAsia" w:ascii="宋体" w:hAnsi="宋体"/>
                <w:color w:val="000000"/>
                <w:sz w:val="21"/>
                <w:szCs w:val="21"/>
              </w:rPr>
              <w:t>完善校舍使用功能，保障</w:t>
            </w:r>
            <w:r>
              <w:rPr>
                <w:rFonts w:hint="eastAsia" w:ascii="宋体" w:hAnsi="宋体"/>
                <w:color w:val="000000"/>
                <w:sz w:val="21"/>
                <w:szCs w:val="21"/>
                <w:lang w:eastAsia="zh-CN"/>
              </w:rPr>
              <w:t>学生在生校期间</w:t>
            </w:r>
            <w:r>
              <w:rPr>
                <w:rFonts w:hint="eastAsia" w:ascii="宋体" w:hAnsi="宋体"/>
                <w:color w:val="000000"/>
                <w:sz w:val="21"/>
                <w:szCs w:val="21"/>
              </w:rPr>
              <w:t>活动安全</w:t>
            </w:r>
            <w:r>
              <w:rPr>
                <w:rFonts w:hint="eastAsia" w:ascii="宋体" w:hAnsi="宋体"/>
                <w:color w:val="000000"/>
                <w:sz w:val="21"/>
                <w:szCs w:val="21"/>
                <w:lang w:eastAsia="zh-CN"/>
              </w:rPr>
              <w:t>、提高活动质量</w:t>
            </w:r>
            <w:r>
              <w:rPr>
                <w:rFonts w:hint="eastAsia" w:ascii="宋体" w:hAnsi="宋体"/>
                <w:color w:val="000000"/>
                <w:sz w:val="24"/>
              </w:rPr>
              <w:t>。</w:t>
            </w:r>
          </w:p>
        </w:tc>
        <w:tc>
          <w:tcPr>
            <w:tcW w:w="4393"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sz w:val="24"/>
              </w:rPr>
              <w:t>严格按照预算管理使用资金，做到专款专用，切实</w:t>
            </w:r>
            <w:r>
              <w:rPr>
                <w:rFonts w:hint="eastAsia" w:ascii="宋体" w:hAnsi="宋体"/>
                <w:color w:val="000000"/>
                <w:sz w:val="24"/>
                <w:lang w:eastAsia="zh-CN"/>
              </w:rPr>
              <w:t>减轻</w:t>
            </w:r>
            <w:r>
              <w:rPr>
                <w:rFonts w:hint="eastAsia" w:ascii="宋体" w:hAnsi="宋体"/>
                <w:color w:val="000000"/>
                <w:sz w:val="24"/>
              </w:rPr>
              <w:t>幼儿家庭生活压力，提高了幼儿入学率；保障</w:t>
            </w:r>
            <w:r>
              <w:rPr>
                <w:rFonts w:hint="eastAsia" w:ascii="宋体" w:hAnsi="宋体"/>
                <w:color w:val="000000"/>
                <w:sz w:val="24"/>
                <w:lang w:eastAsia="zh-CN"/>
              </w:rPr>
              <w:t>学生</w:t>
            </w:r>
            <w:r>
              <w:rPr>
                <w:rFonts w:hint="eastAsia" w:ascii="宋体" w:hAnsi="宋体"/>
                <w:color w:val="000000"/>
                <w:sz w:val="24"/>
              </w:rPr>
              <w:t>在</w:t>
            </w:r>
            <w:r>
              <w:rPr>
                <w:rFonts w:hint="eastAsia" w:ascii="宋体" w:hAnsi="宋体"/>
                <w:color w:val="000000"/>
                <w:sz w:val="24"/>
                <w:lang w:eastAsia="zh-CN"/>
              </w:rPr>
              <w:t>校</w:t>
            </w:r>
            <w:r>
              <w:rPr>
                <w:rFonts w:hint="eastAsia" w:ascii="宋体" w:hAnsi="宋体"/>
                <w:color w:val="000000"/>
                <w:sz w:val="24"/>
              </w:rPr>
              <w:t>活动安全</w:t>
            </w:r>
            <w:r>
              <w:rPr>
                <w:rFonts w:hint="eastAsia" w:ascii="宋体" w:hAnsi="宋体"/>
                <w:color w:val="000000"/>
                <w:sz w:val="24"/>
                <w:lang w:eastAsia="zh-CN"/>
              </w:rPr>
              <w:t>，促进学生健康全面发展</w:t>
            </w:r>
            <w:r>
              <w:rPr>
                <w:rFonts w:hint="eastAsia" w:ascii="宋体" w:hAnsi="宋体"/>
                <w:color w:val="000000"/>
                <w:sz w:val="24"/>
              </w:rPr>
              <w:t>。完成率100%</w:t>
            </w:r>
          </w:p>
        </w:tc>
      </w:tr>
      <w:tr>
        <w:tblPrEx>
          <w:tblCellMar>
            <w:top w:w="0" w:type="dxa"/>
            <w:left w:w="0" w:type="dxa"/>
            <w:bottom w:w="0" w:type="dxa"/>
            <w:right w:w="0" w:type="dxa"/>
          </w:tblCellMar>
        </w:tblPrEx>
        <w:trPr>
          <w:trHeight w:val="1051" w:hRule="atLeast"/>
        </w:trPr>
        <w:tc>
          <w:tcPr>
            <w:tcW w:w="357"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sz w:val="24"/>
              </w:rPr>
              <w:t>绩效指标完成情况</w:t>
            </w: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kern w:val="0"/>
                <w:sz w:val="24"/>
              </w:rPr>
              <w:t>一级指标</w:t>
            </w:r>
          </w:p>
        </w:tc>
        <w:tc>
          <w:tcPr>
            <w:tcW w:w="94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kern w:val="0"/>
                <w:sz w:val="24"/>
              </w:rPr>
              <w:t>二级指标</w:t>
            </w:r>
          </w:p>
        </w:tc>
        <w:tc>
          <w:tcPr>
            <w:tcW w:w="21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kern w:val="0"/>
                <w:sz w:val="24"/>
              </w:rPr>
              <w:t>三级指标</w:t>
            </w:r>
          </w:p>
        </w:tc>
        <w:tc>
          <w:tcPr>
            <w:tcW w:w="219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kern w:val="0"/>
                <w:sz w:val="24"/>
              </w:rPr>
              <w:t>预期指标值(包含数字及文字描述)</w:t>
            </w:r>
          </w:p>
        </w:tc>
        <w:tc>
          <w:tcPr>
            <w:tcW w:w="21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kern w:val="0"/>
                <w:sz w:val="24"/>
              </w:rPr>
              <w:t>实际完成指标值(包含数字及文字描述)</w:t>
            </w:r>
          </w:p>
        </w:tc>
      </w:tr>
      <w:tr>
        <w:tblPrEx>
          <w:tblCellMar>
            <w:top w:w="0" w:type="dxa"/>
            <w:left w:w="0" w:type="dxa"/>
            <w:bottom w:w="0" w:type="dxa"/>
            <w:right w:w="0" w:type="dxa"/>
          </w:tblCellMar>
        </w:tblPrEx>
        <w:trPr>
          <w:trHeight w:val="961" w:hRule="atLeast"/>
        </w:trPr>
        <w:tc>
          <w:tcPr>
            <w:tcW w:w="3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rPr>
            </w:pP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kern w:val="0"/>
                <w:sz w:val="24"/>
              </w:rPr>
              <w:t>项目完成指标</w:t>
            </w:r>
          </w:p>
        </w:tc>
        <w:tc>
          <w:tcPr>
            <w:tcW w:w="94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sz w:val="24"/>
              </w:rPr>
              <w:t>科学决策</w:t>
            </w:r>
          </w:p>
        </w:tc>
        <w:tc>
          <w:tcPr>
            <w:tcW w:w="21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rPr>
                <w:rFonts w:ascii="宋体" w:hAnsi="宋体"/>
                <w:color w:val="000000"/>
                <w:sz w:val="24"/>
              </w:rPr>
            </w:pPr>
            <w:r>
              <w:rPr>
                <w:rFonts w:hint="eastAsia" w:ascii="宋体" w:hAnsi="宋体"/>
                <w:color w:val="000000"/>
                <w:sz w:val="24"/>
              </w:rPr>
              <w:t>政策依据</w:t>
            </w:r>
          </w:p>
        </w:tc>
        <w:tc>
          <w:tcPr>
            <w:tcW w:w="219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olor w:val="000000"/>
                <w:sz w:val="24"/>
              </w:rPr>
            </w:pPr>
            <w:r>
              <w:rPr>
                <w:rFonts w:hint="eastAsia" w:ascii="宋体" w:hAnsi="宋体"/>
                <w:color w:val="000000"/>
                <w:sz w:val="24"/>
              </w:rPr>
              <w:t>10分  按照文件分配资金，保障</w:t>
            </w:r>
            <w:r>
              <w:rPr>
                <w:rFonts w:hint="eastAsia" w:ascii="宋体" w:hAnsi="宋体"/>
                <w:color w:val="000000"/>
                <w:sz w:val="24"/>
                <w:lang w:eastAsia="zh-CN"/>
              </w:rPr>
              <w:t>学校的</w:t>
            </w:r>
            <w:r>
              <w:rPr>
                <w:rFonts w:hint="eastAsia" w:ascii="宋体" w:hAnsi="宋体"/>
                <w:color w:val="000000"/>
                <w:sz w:val="24"/>
              </w:rPr>
              <w:t>正常运转</w:t>
            </w:r>
          </w:p>
        </w:tc>
        <w:tc>
          <w:tcPr>
            <w:tcW w:w="21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sz w:val="24"/>
              </w:rPr>
              <w:t>10分  让幼儿享受了国家优惠政策，保障了校舍安全</w:t>
            </w:r>
          </w:p>
        </w:tc>
      </w:tr>
      <w:tr>
        <w:tblPrEx>
          <w:tblCellMar>
            <w:top w:w="0" w:type="dxa"/>
            <w:left w:w="0" w:type="dxa"/>
            <w:bottom w:w="0" w:type="dxa"/>
            <w:right w:w="0" w:type="dxa"/>
          </w:tblCellMar>
        </w:tblPrEx>
        <w:trPr>
          <w:trHeight w:val="1308" w:hRule="atLeast"/>
        </w:trPr>
        <w:tc>
          <w:tcPr>
            <w:tcW w:w="3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rPr>
            </w:pP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kern w:val="0"/>
                <w:sz w:val="24"/>
              </w:rPr>
              <w:t>项目完成指标</w:t>
            </w:r>
          </w:p>
        </w:tc>
        <w:tc>
          <w:tcPr>
            <w:tcW w:w="94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sz w:val="24"/>
              </w:rPr>
              <w:t>绩效目标</w:t>
            </w:r>
          </w:p>
        </w:tc>
        <w:tc>
          <w:tcPr>
            <w:tcW w:w="21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rPr>
                <w:rFonts w:ascii="宋体" w:hAnsi="宋体"/>
                <w:color w:val="000000"/>
                <w:sz w:val="24"/>
              </w:rPr>
            </w:pPr>
            <w:r>
              <w:rPr>
                <w:rFonts w:hint="eastAsia" w:ascii="宋体" w:hAnsi="宋体"/>
                <w:color w:val="000000"/>
                <w:sz w:val="24"/>
              </w:rPr>
              <w:t>明确性、合理性</w:t>
            </w:r>
          </w:p>
        </w:tc>
        <w:tc>
          <w:tcPr>
            <w:tcW w:w="219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sz w:val="24"/>
              </w:rPr>
              <w:t>10分</w:t>
            </w:r>
          </w:p>
          <w:p>
            <w:pPr>
              <w:widowControl/>
              <w:jc w:val="center"/>
              <w:textAlignment w:val="center"/>
              <w:rPr>
                <w:rFonts w:ascii="宋体" w:hAnsi="宋体"/>
                <w:color w:val="000000"/>
                <w:sz w:val="24"/>
              </w:rPr>
            </w:pPr>
            <w:r>
              <w:rPr>
                <w:rFonts w:hint="eastAsia" w:ascii="宋体" w:hAnsi="宋体"/>
                <w:color w:val="000000"/>
                <w:sz w:val="24"/>
              </w:rPr>
              <w:t>合理、合规</w:t>
            </w:r>
          </w:p>
        </w:tc>
        <w:tc>
          <w:tcPr>
            <w:tcW w:w="21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sz w:val="24"/>
              </w:rPr>
              <w:t>10分</w:t>
            </w:r>
          </w:p>
          <w:p>
            <w:pPr>
              <w:widowControl/>
              <w:jc w:val="center"/>
              <w:textAlignment w:val="center"/>
              <w:rPr>
                <w:rFonts w:ascii="宋体" w:hAnsi="宋体"/>
                <w:color w:val="000000"/>
                <w:sz w:val="24"/>
              </w:rPr>
            </w:pPr>
            <w:r>
              <w:rPr>
                <w:rFonts w:hint="eastAsia" w:ascii="宋体" w:hAnsi="宋体"/>
                <w:color w:val="000000"/>
                <w:sz w:val="24"/>
              </w:rPr>
              <w:t>按照程序进行，完成绩效目标</w:t>
            </w:r>
          </w:p>
        </w:tc>
      </w:tr>
      <w:tr>
        <w:tblPrEx>
          <w:tblCellMar>
            <w:top w:w="0" w:type="dxa"/>
            <w:left w:w="0" w:type="dxa"/>
            <w:bottom w:w="0" w:type="dxa"/>
            <w:right w:w="0" w:type="dxa"/>
          </w:tblCellMar>
        </w:tblPrEx>
        <w:trPr>
          <w:trHeight w:val="1051" w:hRule="atLeast"/>
        </w:trPr>
        <w:tc>
          <w:tcPr>
            <w:tcW w:w="3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rPr>
            </w:pP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kern w:val="0"/>
                <w:sz w:val="24"/>
              </w:rPr>
              <w:t>项目完成指标</w:t>
            </w:r>
          </w:p>
        </w:tc>
        <w:tc>
          <w:tcPr>
            <w:tcW w:w="94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sz w:val="24"/>
              </w:rPr>
              <w:t>资金管理</w:t>
            </w:r>
          </w:p>
        </w:tc>
        <w:tc>
          <w:tcPr>
            <w:tcW w:w="21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rPr>
                <w:rFonts w:ascii="宋体" w:hAnsi="宋体"/>
                <w:color w:val="000000"/>
                <w:sz w:val="24"/>
              </w:rPr>
            </w:pPr>
            <w:r>
              <w:rPr>
                <w:rFonts w:hint="eastAsia" w:ascii="宋体" w:hAnsi="宋体"/>
                <w:color w:val="000000"/>
                <w:sz w:val="24"/>
              </w:rPr>
              <w:t>资金分配、使用</w:t>
            </w:r>
          </w:p>
        </w:tc>
        <w:tc>
          <w:tcPr>
            <w:tcW w:w="219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sz w:val="24"/>
              </w:rPr>
              <w:t>7分</w:t>
            </w:r>
          </w:p>
          <w:p>
            <w:pPr>
              <w:widowControl/>
              <w:jc w:val="center"/>
              <w:textAlignment w:val="center"/>
              <w:rPr>
                <w:rFonts w:ascii="宋体" w:hAnsi="宋体"/>
                <w:color w:val="000000"/>
                <w:sz w:val="24"/>
              </w:rPr>
            </w:pPr>
            <w:r>
              <w:rPr>
                <w:rFonts w:hint="eastAsia" w:ascii="宋体" w:hAnsi="宋体"/>
                <w:color w:val="000000"/>
                <w:sz w:val="24"/>
              </w:rPr>
              <w:t>按预算性质分配，投入使用</w:t>
            </w:r>
          </w:p>
        </w:tc>
        <w:tc>
          <w:tcPr>
            <w:tcW w:w="21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sz w:val="24"/>
              </w:rPr>
              <w:t>7分</w:t>
            </w:r>
          </w:p>
          <w:p>
            <w:pPr>
              <w:widowControl/>
              <w:jc w:val="center"/>
              <w:textAlignment w:val="center"/>
              <w:rPr>
                <w:rFonts w:ascii="宋体" w:hAnsi="宋体"/>
                <w:color w:val="000000"/>
                <w:sz w:val="24"/>
              </w:rPr>
            </w:pPr>
            <w:r>
              <w:rPr>
                <w:rFonts w:hint="eastAsia" w:ascii="宋体" w:hAnsi="宋体"/>
                <w:color w:val="000000"/>
                <w:sz w:val="24"/>
              </w:rPr>
              <w:t>合理分配，合规使用</w:t>
            </w:r>
          </w:p>
        </w:tc>
      </w:tr>
      <w:tr>
        <w:tblPrEx>
          <w:tblCellMar>
            <w:top w:w="0" w:type="dxa"/>
            <w:left w:w="0" w:type="dxa"/>
            <w:bottom w:w="0" w:type="dxa"/>
            <w:right w:w="0" w:type="dxa"/>
          </w:tblCellMar>
        </w:tblPrEx>
        <w:trPr>
          <w:trHeight w:val="1051" w:hRule="atLeast"/>
        </w:trPr>
        <w:tc>
          <w:tcPr>
            <w:tcW w:w="3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rPr>
            </w:pP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rPr>
            </w:pPr>
            <w:r>
              <w:rPr>
                <w:rFonts w:hint="eastAsia" w:ascii="宋体" w:hAnsi="宋体"/>
                <w:color w:val="000000"/>
                <w:kern w:val="0"/>
                <w:sz w:val="24"/>
              </w:rPr>
              <w:t>项目完成指标</w:t>
            </w:r>
          </w:p>
        </w:tc>
        <w:tc>
          <w:tcPr>
            <w:tcW w:w="94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sz w:val="24"/>
              </w:rPr>
              <w:t>项目执行</w:t>
            </w:r>
          </w:p>
        </w:tc>
        <w:tc>
          <w:tcPr>
            <w:tcW w:w="21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rPr>
                <w:rFonts w:ascii="宋体" w:hAnsi="宋体"/>
                <w:color w:val="000000"/>
                <w:sz w:val="24"/>
              </w:rPr>
            </w:pPr>
            <w:r>
              <w:rPr>
                <w:rFonts w:hint="eastAsia" w:ascii="宋体" w:hAnsi="宋体"/>
                <w:color w:val="000000"/>
                <w:sz w:val="24"/>
              </w:rPr>
              <w:t>执行规范</w:t>
            </w:r>
          </w:p>
        </w:tc>
        <w:tc>
          <w:tcPr>
            <w:tcW w:w="219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sz w:val="24"/>
              </w:rPr>
              <w:t>3分</w:t>
            </w:r>
          </w:p>
          <w:p>
            <w:pPr>
              <w:widowControl/>
              <w:jc w:val="center"/>
              <w:textAlignment w:val="center"/>
              <w:rPr>
                <w:rFonts w:ascii="宋体" w:hAnsi="宋体"/>
                <w:color w:val="000000"/>
                <w:sz w:val="24"/>
              </w:rPr>
            </w:pPr>
            <w:r>
              <w:rPr>
                <w:rFonts w:hint="eastAsia" w:ascii="宋体" w:hAnsi="宋体"/>
                <w:color w:val="000000"/>
                <w:sz w:val="24"/>
              </w:rPr>
              <w:t>按照文件精神执行</w:t>
            </w:r>
          </w:p>
        </w:tc>
        <w:tc>
          <w:tcPr>
            <w:tcW w:w="21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sz w:val="24"/>
              </w:rPr>
              <w:t>3分</w:t>
            </w:r>
          </w:p>
          <w:p>
            <w:pPr>
              <w:widowControl/>
              <w:jc w:val="center"/>
              <w:textAlignment w:val="center"/>
              <w:rPr>
                <w:rFonts w:ascii="宋体" w:hAnsi="宋体"/>
                <w:color w:val="000000"/>
                <w:sz w:val="24"/>
              </w:rPr>
            </w:pPr>
            <w:r>
              <w:rPr>
                <w:rFonts w:hint="eastAsia" w:ascii="宋体" w:hAnsi="宋体"/>
                <w:color w:val="000000"/>
                <w:sz w:val="24"/>
              </w:rPr>
              <w:t>执行规范</w:t>
            </w:r>
          </w:p>
        </w:tc>
      </w:tr>
      <w:tr>
        <w:tblPrEx>
          <w:tblCellMar>
            <w:top w:w="0" w:type="dxa"/>
            <w:left w:w="0" w:type="dxa"/>
            <w:bottom w:w="0" w:type="dxa"/>
            <w:right w:w="0" w:type="dxa"/>
          </w:tblCellMar>
        </w:tblPrEx>
        <w:trPr>
          <w:trHeight w:val="1051" w:hRule="atLeast"/>
        </w:trPr>
        <w:tc>
          <w:tcPr>
            <w:tcW w:w="3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rPr>
            </w:pP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kern w:val="0"/>
                <w:sz w:val="24"/>
              </w:rPr>
              <w:t>项目完成指标</w:t>
            </w:r>
          </w:p>
        </w:tc>
        <w:tc>
          <w:tcPr>
            <w:tcW w:w="94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sz w:val="24"/>
              </w:rPr>
              <w:t>项目完成</w:t>
            </w:r>
          </w:p>
        </w:tc>
        <w:tc>
          <w:tcPr>
            <w:tcW w:w="21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sz w:val="24"/>
              </w:rPr>
              <w:t>完成数量、质量</w:t>
            </w:r>
          </w:p>
        </w:tc>
        <w:tc>
          <w:tcPr>
            <w:tcW w:w="219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sz w:val="24"/>
              </w:rPr>
              <w:t>20分</w:t>
            </w:r>
          </w:p>
          <w:p>
            <w:pPr>
              <w:widowControl/>
              <w:jc w:val="center"/>
              <w:textAlignment w:val="center"/>
              <w:rPr>
                <w:rFonts w:ascii="宋体" w:hAnsi="宋体"/>
                <w:color w:val="000000"/>
                <w:sz w:val="24"/>
              </w:rPr>
            </w:pPr>
            <w:r>
              <w:rPr>
                <w:rFonts w:hint="eastAsia" w:ascii="宋体" w:hAnsi="宋体"/>
                <w:color w:val="000000"/>
                <w:sz w:val="24"/>
              </w:rPr>
              <w:t>预算</w:t>
            </w:r>
            <w:r>
              <w:rPr>
                <w:rFonts w:hint="eastAsia" w:ascii="宋体" w:hAnsi="宋体"/>
                <w:color w:val="000000"/>
                <w:sz w:val="24"/>
                <w:lang w:val="en-US" w:eastAsia="zh-CN"/>
              </w:rPr>
              <w:t>5</w:t>
            </w:r>
            <w:r>
              <w:rPr>
                <w:rFonts w:hint="eastAsia" w:ascii="宋体" w:hAnsi="宋体"/>
                <w:color w:val="000000"/>
                <w:sz w:val="24"/>
              </w:rPr>
              <w:t>个项目，投入</w:t>
            </w:r>
            <w:r>
              <w:rPr>
                <w:rFonts w:hint="eastAsia" w:ascii="宋体" w:hAnsi="宋体"/>
                <w:color w:val="000000"/>
                <w:sz w:val="24"/>
                <w:lang w:val="en-US" w:eastAsia="zh-CN"/>
              </w:rPr>
              <w:t>515.83</w:t>
            </w:r>
            <w:r>
              <w:rPr>
                <w:rFonts w:hint="eastAsia" w:ascii="宋体" w:hAnsi="宋体"/>
                <w:color w:val="000000"/>
                <w:sz w:val="24"/>
              </w:rPr>
              <w:t>万元</w:t>
            </w:r>
          </w:p>
        </w:tc>
        <w:tc>
          <w:tcPr>
            <w:tcW w:w="21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sz w:val="24"/>
              </w:rPr>
              <w:t>20分</w:t>
            </w:r>
          </w:p>
          <w:p>
            <w:pPr>
              <w:widowControl/>
              <w:jc w:val="center"/>
              <w:textAlignment w:val="center"/>
              <w:rPr>
                <w:rFonts w:ascii="宋体" w:hAnsi="宋体"/>
                <w:color w:val="000000"/>
                <w:sz w:val="24"/>
              </w:rPr>
            </w:pPr>
            <w:r>
              <w:rPr>
                <w:rFonts w:hint="eastAsia" w:ascii="宋体" w:hAnsi="宋体"/>
                <w:color w:val="000000"/>
                <w:sz w:val="24"/>
              </w:rPr>
              <w:t>3个项目按时完成，质量合格</w:t>
            </w:r>
          </w:p>
        </w:tc>
      </w:tr>
      <w:tr>
        <w:tblPrEx>
          <w:tblCellMar>
            <w:top w:w="0" w:type="dxa"/>
            <w:left w:w="0" w:type="dxa"/>
            <w:bottom w:w="0" w:type="dxa"/>
            <w:right w:w="0" w:type="dxa"/>
          </w:tblCellMar>
        </w:tblPrEx>
        <w:trPr>
          <w:trHeight w:val="1051" w:hRule="atLeast"/>
        </w:trPr>
        <w:tc>
          <w:tcPr>
            <w:tcW w:w="3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rPr>
            </w:pP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kern w:val="0"/>
                <w:sz w:val="24"/>
              </w:rPr>
              <w:t>效益指标</w:t>
            </w:r>
          </w:p>
        </w:tc>
        <w:tc>
          <w:tcPr>
            <w:tcW w:w="94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sz w:val="24"/>
              </w:rPr>
              <w:t>项目效益</w:t>
            </w:r>
          </w:p>
        </w:tc>
        <w:tc>
          <w:tcPr>
            <w:tcW w:w="21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sz w:val="24"/>
              </w:rPr>
              <w:t>社会效益</w:t>
            </w:r>
          </w:p>
        </w:tc>
        <w:tc>
          <w:tcPr>
            <w:tcW w:w="219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sz w:val="24"/>
              </w:rPr>
              <w:t>20分</w:t>
            </w:r>
          </w:p>
          <w:p>
            <w:pPr>
              <w:widowControl/>
              <w:jc w:val="center"/>
              <w:textAlignment w:val="center"/>
              <w:rPr>
                <w:rFonts w:ascii="宋体" w:hAnsi="宋体"/>
                <w:color w:val="000000"/>
                <w:sz w:val="24"/>
              </w:rPr>
            </w:pPr>
            <w:r>
              <w:rPr>
                <w:rFonts w:hint="eastAsia" w:ascii="宋体" w:hAnsi="宋体"/>
                <w:color w:val="000000"/>
                <w:sz w:val="24"/>
              </w:rPr>
              <w:t>通过公示，预期取得良好社会效益</w:t>
            </w:r>
          </w:p>
        </w:tc>
        <w:tc>
          <w:tcPr>
            <w:tcW w:w="21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sz w:val="24"/>
              </w:rPr>
              <w:t>20分</w:t>
            </w:r>
          </w:p>
          <w:p>
            <w:pPr>
              <w:widowControl/>
              <w:jc w:val="center"/>
              <w:textAlignment w:val="center"/>
              <w:rPr>
                <w:rFonts w:ascii="宋体" w:hAnsi="宋体"/>
                <w:color w:val="000000"/>
                <w:sz w:val="24"/>
              </w:rPr>
            </w:pPr>
            <w:r>
              <w:rPr>
                <w:rFonts w:hint="eastAsia" w:ascii="宋体" w:hAnsi="宋体"/>
                <w:color w:val="000000"/>
                <w:sz w:val="24"/>
                <w:lang w:eastAsia="zh-CN"/>
              </w:rPr>
              <w:t>活动的开展</w:t>
            </w:r>
            <w:r>
              <w:rPr>
                <w:rFonts w:hint="eastAsia" w:ascii="宋体" w:hAnsi="宋体"/>
                <w:color w:val="000000"/>
                <w:sz w:val="24"/>
              </w:rPr>
              <w:t>宣传了</w:t>
            </w:r>
            <w:r>
              <w:rPr>
                <w:rFonts w:hint="eastAsia" w:ascii="宋体" w:hAnsi="宋体"/>
                <w:color w:val="000000"/>
                <w:sz w:val="24"/>
                <w:lang w:eastAsia="zh-CN"/>
              </w:rPr>
              <w:t>学校</w:t>
            </w:r>
            <w:r>
              <w:rPr>
                <w:rFonts w:hint="eastAsia" w:ascii="宋体" w:hAnsi="宋体"/>
                <w:color w:val="000000"/>
                <w:sz w:val="24"/>
              </w:rPr>
              <w:t>，</w:t>
            </w:r>
            <w:r>
              <w:rPr>
                <w:rFonts w:hint="eastAsia" w:ascii="宋体" w:hAnsi="宋体"/>
                <w:color w:val="000000"/>
                <w:sz w:val="24"/>
                <w:lang w:eastAsia="zh-CN"/>
              </w:rPr>
              <w:t>提升学校的形象，</w:t>
            </w:r>
            <w:r>
              <w:rPr>
                <w:rFonts w:hint="eastAsia" w:ascii="宋体" w:hAnsi="宋体"/>
                <w:color w:val="000000"/>
                <w:sz w:val="24"/>
              </w:rPr>
              <w:t>展示了</w:t>
            </w:r>
            <w:r>
              <w:rPr>
                <w:rFonts w:hint="eastAsia" w:ascii="宋体" w:hAnsi="宋体"/>
                <w:color w:val="000000"/>
                <w:sz w:val="24"/>
                <w:lang w:eastAsia="zh-CN"/>
              </w:rPr>
              <w:t>学校</w:t>
            </w:r>
            <w:r>
              <w:rPr>
                <w:rFonts w:hint="eastAsia" w:ascii="宋体" w:hAnsi="宋体"/>
                <w:color w:val="000000"/>
                <w:sz w:val="24"/>
              </w:rPr>
              <w:t>项目管理</w:t>
            </w:r>
          </w:p>
        </w:tc>
      </w:tr>
      <w:tr>
        <w:tblPrEx>
          <w:tblCellMar>
            <w:top w:w="0" w:type="dxa"/>
            <w:left w:w="0" w:type="dxa"/>
            <w:bottom w:w="0" w:type="dxa"/>
            <w:right w:w="0" w:type="dxa"/>
          </w:tblCellMar>
        </w:tblPrEx>
        <w:trPr>
          <w:trHeight w:val="1308" w:hRule="atLeast"/>
        </w:trPr>
        <w:tc>
          <w:tcPr>
            <w:tcW w:w="3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rPr>
            </w:pP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kern w:val="0"/>
                <w:sz w:val="24"/>
              </w:rPr>
              <w:t>效益指标</w:t>
            </w:r>
          </w:p>
        </w:tc>
        <w:tc>
          <w:tcPr>
            <w:tcW w:w="94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p>
        </w:tc>
        <w:tc>
          <w:tcPr>
            <w:tcW w:w="21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sz w:val="24"/>
              </w:rPr>
              <w:t>使用效益</w:t>
            </w:r>
          </w:p>
        </w:tc>
        <w:tc>
          <w:tcPr>
            <w:tcW w:w="219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sz w:val="24"/>
              </w:rPr>
              <w:t>20分</w:t>
            </w:r>
          </w:p>
          <w:p>
            <w:pPr>
              <w:widowControl/>
              <w:jc w:val="center"/>
              <w:textAlignment w:val="center"/>
              <w:rPr>
                <w:rFonts w:ascii="宋体" w:hAnsi="宋体"/>
                <w:color w:val="000000"/>
                <w:sz w:val="24"/>
              </w:rPr>
            </w:pPr>
            <w:r>
              <w:rPr>
                <w:rFonts w:hint="eastAsia" w:ascii="宋体" w:hAnsi="宋体"/>
                <w:color w:val="000000"/>
                <w:sz w:val="24"/>
              </w:rPr>
              <w:t>预期资助资金及时发放到位，</w:t>
            </w:r>
            <w:r>
              <w:rPr>
                <w:rFonts w:hint="eastAsia" w:ascii="宋体" w:hAnsi="宋体"/>
                <w:color w:val="000000"/>
                <w:sz w:val="24"/>
                <w:lang w:eastAsia="zh-CN"/>
              </w:rPr>
              <w:t>专项资金落实到位，</w:t>
            </w:r>
            <w:r>
              <w:rPr>
                <w:rFonts w:hint="eastAsia" w:ascii="宋体" w:hAnsi="宋体"/>
                <w:color w:val="000000"/>
                <w:sz w:val="24"/>
              </w:rPr>
              <w:t>校舍按时投入使用</w:t>
            </w:r>
          </w:p>
        </w:tc>
        <w:tc>
          <w:tcPr>
            <w:tcW w:w="21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sz w:val="24"/>
              </w:rPr>
              <w:t>20分</w:t>
            </w:r>
          </w:p>
          <w:p>
            <w:pPr>
              <w:widowControl/>
              <w:jc w:val="center"/>
              <w:textAlignment w:val="center"/>
              <w:rPr>
                <w:rFonts w:ascii="宋体" w:hAnsi="宋体"/>
                <w:color w:val="000000"/>
                <w:sz w:val="24"/>
              </w:rPr>
            </w:pPr>
            <w:r>
              <w:rPr>
                <w:rFonts w:hint="eastAsia" w:ascii="宋体" w:hAnsi="宋体"/>
                <w:color w:val="000000"/>
                <w:sz w:val="24"/>
              </w:rPr>
              <w:t>幼儿享受了国家优惠政策，校舍使用效益高</w:t>
            </w:r>
          </w:p>
        </w:tc>
      </w:tr>
      <w:tr>
        <w:tblPrEx>
          <w:tblCellMar>
            <w:top w:w="0" w:type="dxa"/>
            <w:left w:w="0" w:type="dxa"/>
            <w:bottom w:w="0" w:type="dxa"/>
            <w:right w:w="0" w:type="dxa"/>
          </w:tblCellMar>
        </w:tblPrEx>
        <w:trPr>
          <w:trHeight w:val="1059" w:hRule="atLeast"/>
        </w:trPr>
        <w:tc>
          <w:tcPr>
            <w:tcW w:w="3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sz w:val="24"/>
              </w:rPr>
            </w:pPr>
          </w:p>
        </w:tc>
        <w:tc>
          <w:tcPr>
            <w:tcW w:w="12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kern w:val="0"/>
                <w:sz w:val="24"/>
              </w:rPr>
              <w:t>满意度指标</w:t>
            </w:r>
          </w:p>
        </w:tc>
        <w:tc>
          <w:tcPr>
            <w:tcW w:w="94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p>
        </w:tc>
        <w:tc>
          <w:tcPr>
            <w:tcW w:w="219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sz w:val="24"/>
              </w:rPr>
              <w:t>服务对象满意度</w:t>
            </w:r>
          </w:p>
        </w:tc>
        <w:tc>
          <w:tcPr>
            <w:tcW w:w="219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sz w:val="24"/>
              </w:rPr>
              <w:t>10分</w:t>
            </w:r>
          </w:p>
          <w:p>
            <w:pPr>
              <w:widowControl/>
              <w:jc w:val="center"/>
              <w:textAlignment w:val="center"/>
              <w:rPr>
                <w:rFonts w:ascii="宋体" w:hAnsi="宋体"/>
                <w:color w:val="000000"/>
                <w:sz w:val="24"/>
              </w:rPr>
            </w:pPr>
            <w:r>
              <w:rPr>
                <w:rFonts w:hint="eastAsia" w:ascii="宋体" w:hAnsi="宋体"/>
                <w:color w:val="000000"/>
                <w:sz w:val="24"/>
              </w:rPr>
              <w:t>一定要取得社会和家长认可</w:t>
            </w:r>
          </w:p>
        </w:tc>
        <w:tc>
          <w:tcPr>
            <w:tcW w:w="219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rPr>
            </w:pPr>
            <w:r>
              <w:rPr>
                <w:rFonts w:hint="eastAsia" w:ascii="宋体" w:hAnsi="宋体"/>
                <w:color w:val="000000"/>
                <w:sz w:val="24"/>
              </w:rPr>
              <w:t>10分</w:t>
            </w:r>
          </w:p>
          <w:p>
            <w:pPr>
              <w:widowControl/>
              <w:jc w:val="center"/>
              <w:textAlignment w:val="center"/>
              <w:rPr>
                <w:rFonts w:ascii="宋体" w:hAnsi="宋体"/>
                <w:color w:val="000000"/>
                <w:sz w:val="24"/>
              </w:rPr>
            </w:pPr>
            <w:r>
              <w:rPr>
                <w:rFonts w:hint="eastAsia" w:ascii="宋体" w:hAnsi="宋体"/>
                <w:color w:val="000000"/>
                <w:sz w:val="24"/>
              </w:rPr>
              <w:t>获得社会与家长一致好评</w:t>
            </w:r>
          </w:p>
        </w:tc>
      </w:tr>
    </w:tbl>
    <w:p>
      <w:pPr>
        <w:tabs>
          <w:tab w:val="left" w:pos="312"/>
        </w:tabs>
        <w:spacing w:line="580" w:lineRule="exact"/>
        <w:rPr>
          <w:rFonts w:ascii="仿宋_GB2312" w:hAnsi="仿宋_GB2312" w:eastAsia="仿宋_GB2312"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宣汉县东乡镇西北中心校</w:t>
      </w:r>
      <w:r>
        <w:rPr>
          <w:rFonts w:hint="eastAsia" w:ascii="仿宋_GB2312" w:hAnsi="仿宋_GB2312" w:eastAsia="仿宋_GB2312" w:cs="仿宋_GB2312"/>
          <w:sz w:val="32"/>
          <w:szCs w:val="32"/>
        </w:rPr>
        <w:t>部门2018年部门整体支出绩效评价报告》见附件。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本部门自行组织对XXX项目、XXX项目开展了绩效评价，《XXX项目2018年绩效评价报告》见附件。（非涉密部门均需公开部门整体支出评价报告，部门自行组织的绩效评价情况根据部门实际公开）</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6"/>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hint="eastAsia" w:ascii="仿宋" w:hAnsi="仿宋" w:eastAsia="仿宋"/>
          <w:b/>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3" w:firstLineChars="200"/>
        <w:outlineLvl w:val="2"/>
        <w:rPr>
          <w:rFonts w:hint="eastAsia" w:ascii="仿宋" w:hAnsi="仿宋" w:eastAsia="仿宋"/>
          <w:b/>
          <w:color w:val="000000"/>
          <w:sz w:val="32"/>
          <w:szCs w:val="32"/>
          <w:lang w:eastAsia="zh-CN"/>
        </w:rPr>
      </w:pPr>
      <w:r>
        <w:rPr>
          <w:rFonts w:hint="eastAsia" w:ascii="仿宋" w:hAnsi="仿宋" w:eastAsia="仿宋"/>
          <w:b/>
          <w:color w:val="000000"/>
          <w:sz w:val="32"/>
          <w:szCs w:val="32"/>
          <w:lang w:eastAsia="zh-CN"/>
        </w:rPr>
        <w:t>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autoSpaceDE w:val="0"/>
        <w:autoSpaceDN w:val="0"/>
        <w:adjustRightInd w:val="0"/>
        <w:spacing w:line="600" w:lineRule="exact"/>
        <w:ind w:firstLine="640" w:firstLineChars="200"/>
        <w:jc w:val="left"/>
        <w:outlineLvl w:val="2"/>
        <w:rPr>
          <w:rFonts w:hint="eastAsia" w:ascii="仿宋_GB2312" w:eastAsia="仿宋_GB2312"/>
          <w:color w:val="000000"/>
          <w:sz w:val="32"/>
          <w:szCs w:val="32"/>
          <w:lang w:eastAsia="zh-CN"/>
        </w:rPr>
      </w:pPr>
      <w:bookmarkStart w:id="54" w:name="_Toc15377224"/>
      <w:r>
        <w:rPr>
          <w:rFonts w:hint="eastAsia" w:ascii="仿宋_GB2312" w:eastAsia="仿宋_GB2312"/>
          <w:color w:val="000000"/>
          <w:sz w:val="32"/>
          <w:szCs w:val="32"/>
          <w:lang w:eastAsia="zh-CN"/>
        </w:rPr>
        <w:t>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rPr>
        <w:t>其他用车主要是用于……单价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25"/>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3"/>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5"/>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spacing w:line="600" w:lineRule="exact"/>
        <w:jc w:val="center"/>
        <w:outlineLvl w:val="0"/>
        <w:rPr>
          <w:rStyle w:val="25"/>
        </w:rPr>
      </w:pPr>
    </w:p>
    <w:p>
      <w:pPr>
        <w:pStyle w:val="3"/>
        <w:rPr>
          <w:rStyle w:val="25"/>
          <w:rFonts w:ascii="仿宋" w:hAnsi="仿宋" w:eastAsia="仿宋"/>
          <w:b w:val="0"/>
          <w:bCs w:val="0"/>
          <w:sz w:val="32"/>
          <w:szCs w:val="32"/>
        </w:rPr>
      </w:pPr>
      <w:bookmarkStart w:id="59" w:name="_Toc15396615"/>
      <w:r>
        <w:rPr>
          <w:rStyle w:val="25"/>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lang w:eastAsia="zh-CN"/>
        </w:rPr>
        <w:t>宣汉县东乡镇西北中心校</w:t>
      </w:r>
      <w:r>
        <w:rPr>
          <w:rFonts w:hint="eastAsia" w:ascii="黑体" w:hAnsi="黑体" w:eastAsia="黑体" w:cs="方正小标宋简体"/>
          <w:sz w:val="36"/>
          <w:szCs w:val="36"/>
        </w:rPr>
        <w:t>部门2018年部门整体支出绩效评价报告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_GB2312"/>
          <w:sz w:val="32"/>
          <w:szCs w:val="32"/>
          <w:lang w:eastAsia="zh-CN"/>
        </w:rPr>
        <w:t>宣汉县东乡镇西北中心校机构数</w:t>
      </w:r>
      <w:r>
        <w:rPr>
          <w:rFonts w:hint="eastAsia" w:ascii="仿宋" w:hAnsi="仿宋" w:eastAsia="仿宋" w:cs="仿宋_GB2312"/>
          <w:sz w:val="32"/>
          <w:szCs w:val="32"/>
          <w:lang w:val="en-US" w:eastAsia="zh-CN"/>
        </w:rPr>
        <w:t>1个，属于全</w:t>
      </w:r>
      <w:r>
        <w:rPr>
          <w:rFonts w:hint="eastAsia" w:ascii="仿宋" w:hAnsi="仿宋" w:eastAsia="仿宋" w:cs="仿宋"/>
          <w:sz w:val="28"/>
          <w:szCs w:val="28"/>
        </w:rPr>
        <w:t>额拨款的事业单位</w:t>
      </w:r>
      <w:r>
        <w:rPr>
          <w:rFonts w:hint="eastAsia" w:ascii="仿宋" w:hAnsi="仿宋" w:eastAsia="仿宋" w:cs="仿宋"/>
          <w:sz w:val="28"/>
          <w:szCs w:val="28"/>
          <w:lang w:eastAsia="zh-CN"/>
        </w:rPr>
        <w:t>，核编人数</w:t>
      </w:r>
      <w:r>
        <w:rPr>
          <w:rFonts w:hint="eastAsia" w:ascii="仿宋" w:hAnsi="仿宋" w:eastAsia="仿宋" w:cs="仿宋"/>
          <w:sz w:val="28"/>
          <w:szCs w:val="28"/>
          <w:lang w:val="en-US" w:eastAsia="zh-CN"/>
        </w:rPr>
        <w:t>125人</w:t>
      </w:r>
      <w:r>
        <w:rPr>
          <w:rFonts w:hint="eastAsia" w:ascii="仿宋" w:hAnsi="仿宋" w:eastAsia="仿宋" w:cs="仿宋"/>
          <w:sz w:val="28"/>
          <w:szCs w:val="28"/>
          <w:lang w:eastAsia="zh-CN"/>
        </w:rPr>
        <w:t>，年末实有在职人数</w:t>
      </w:r>
      <w:r>
        <w:rPr>
          <w:rFonts w:hint="eastAsia" w:ascii="仿宋" w:hAnsi="仿宋" w:eastAsia="仿宋" w:cs="仿宋"/>
          <w:sz w:val="28"/>
          <w:szCs w:val="28"/>
          <w:lang w:val="en-US" w:eastAsia="zh-CN"/>
        </w:rPr>
        <w:t>106人，退休122人。</w:t>
      </w:r>
    </w:p>
    <w:p>
      <w:pPr>
        <w:numPr>
          <w:ilvl w:val="0"/>
          <w:numId w:val="7"/>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机构职能。</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1.认真贯彻执行党和国家的有关法律法规、方针、政策，坚持民主管理，依法办</w:t>
      </w:r>
      <w:r>
        <w:rPr>
          <w:rFonts w:hint="eastAsia" w:ascii="仿宋" w:hAnsi="仿宋" w:eastAsia="仿宋" w:cs="仿宋"/>
          <w:sz w:val="28"/>
          <w:szCs w:val="28"/>
          <w:lang w:eastAsia="zh-CN"/>
        </w:rPr>
        <w:t>学</w:t>
      </w:r>
      <w:r>
        <w:rPr>
          <w:rFonts w:hint="eastAsia" w:ascii="仿宋" w:hAnsi="仿宋" w:eastAsia="仿宋" w:cs="仿宋"/>
          <w:sz w:val="28"/>
          <w:szCs w:val="28"/>
        </w:rPr>
        <w:t>，执行上级主管部门的指示和决定。</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2.实行保育和教育相结合的原则，对</w:t>
      </w:r>
      <w:r>
        <w:rPr>
          <w:rFonts w:hint="eastAsia" w:ascii="仿宋" w:hAnsi="仿宋" w:eastAsia="仿宋" w:cs="仿宋"/>
          <w:sz w:val="28"/>
          <w:szCs w:val="28"/>
          <w:lang w:eastAsia="zh-CN"/>
        </w:rPr>
        <w:t>适龄儿童</w:t>
      </w:r>
      <w:r>
        <w:rPr>
          <w:rFonts w:hint="eastAsia" w:ascii="仿宋" w:hAnsi="仿宋" w:eastAsia="仿宋" w:cs="仿宋"/>
          <w:sz w:val="28"/>
          <w:szCs w:val="28"/>
        </w:rPr>
        <w:t>实施体、智、德、美诸方面全面发展的教育，促进其身心和谐发展。为家长解除后顾之忧，热忱为家长服务。</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尊重儿童的人格尊严和基本权利，尊重儿童身心发展的特点和规律，为儿童提供健康、丰富的生活和活动环境。合理组织幼儿一日生活活动和其它活动，促进幼儿和谐发展，全面实施素质教育。面向家长开展多种形式的早期教育宣传、指导等服务，促进家庭教育质量的不断提高。贯彻幼儿教育法规、传播科学教育理念、开展教育科学研究。</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560" w:firstLineChars="200"/>
        <w:rPr>
          <w:rFonts w:hint="default" w:ascii="仿宋" w:hAnsi="仿宋" w:eastAsia="仿宋" w:cs="仿宋_GB2312"/>
          <w:sz w:val="32"/>
          <w:szCs w:val="32"/>
          <w:lang w:val="en-US" w:eastAsia="zh-CN"/>
        </w:rPr>
      </w:pPr>
      <w:r>
        <w:rPr>
          <w:rFonts w:hint="eastAsia" w:ascii="仿宋" w:hAnsi="仿宋" w:eastAsia="仿宋" w:cs="仿宋"/>
          <w:sz w:val="28"/>
          <w:szCs w:val="28"/>
          <w:lang w:eastAsia="zh-CN"/>
        </w:rPr>
        <w:t>现有教职工</w:t>
      </w:r>
      <w:r>
        <w:rPr>
          <w:rFonts w:hint="eastAsia" w:ascii="仿宋" w:hAnsi="仿宋" w:eastAsia="仿宋" w:cs="仿宋"/>
          <w:sz w:val="28"/>
          <w:szCs w:val="28"/>
          <w:lang w:val="en-US" w:eastAsia="zh-CN"/>
        </w:rPr>
        <w:t>105人，退休126人。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2018年本年收入合计2190.35万元，其中：一般公共预算财政拨款收入2185.35万元，占99.8%；政府性基金预算财政拨款收入5万元，占0.2%。</w:t>
      </w:r>
    </w:p>
    <w:p>
      <w:pPr>
        <w:numPr>
          <w:ilvl w:val="0"/>
          <w:numId w:val="7"/>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部门财政资金支出情况。</w:t>
      </w:r>
    </w:p>
    <w:p>
      <w:pPr>
        <w:spacing w:line="600" w:lineRule="exact"/>
        <w:ind w:firstLine="640"/>
        <w:rPr>
          <w:rFonts w:ascii="仿宋" w:hAnsi="仿宋" w:eastAsia="仿宋"/>
          <w:color w:val="000000"/>
          <w:sz w:val="32"/>
          <w:szCs w:val="32"/>
          <w:shd w:val="pct10" w:color="auto" w:fill="FFFFFF"/>
        </w:rPr>
      </w:pPr>
      <w:r>
        <w:rPr>
          <w:rFonts w:hint="eastAsia" w:ascii="仿宋" w:hAnsi="仿宋" w:eastAsia="仿宋" w:cs="仿宋"/>
          <w:sz w:val="28"/>
          <w:szCs w:val="28"/>
        </w:rPr>
        <w:t>2018年本年支出合计2190.35万元，其中：基本支出1674.52万元，占76.4%；项目支出515.83万元，占23.6%</w:t>
      </w:r>
      <w:r>
        <w:rPr>
          <w:rFonts w:hint="eastAsia" w:ascii="仿宋" w:hAnsi="仿宋" w:eastAsia="仿宋"/>
          <w:color w:val="000000"/>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绩效目标填报及时准确，为项目的实施提供了科学的决策依据，发挥了极积的社会效益和经济效益</w:t>
      </w:r>
      <w:r>
        <w:rPr>
          <w:rFonts w:hint="eastAsia" w:ascii="仿宋" w:hAnsi="仿宋" w:eastAsia="仿宋" w:cs="仿宋"/>
          <w:sz w:val="28"/>
          <w:szCs w:val="28"/>
          <w:lang w:eastAsia="zh-CN"/>
        </w:rPr>
        <w:t>，</w:t>
      </w:r>
      <w:r>
        <w:rPr>
          <w:rFonts w:hint="eastAsia" w:ascii="仿宋" w:hAnsi="仿宋" w:eastAsia="仿宋" w:cs="仿宋"/>
          <w:sz w:val="28"/>
          <w:szCs w:val="28"/>
        </w:rPr>
        <w:t>预算执行情况良好，基本按序</w:t>
      </w:r>
      <w:r>
        <w:rPr>
          <w:rFonts w:hint="eastAsia" w:ascii="仿宋" w:hAnsi="仿宋" w:eastAsia="仿宋" w:cs="仿宋"/>
          <w:sz w:val="28"/>
          <w:szCs w:val="28"/>
          <w:lang w:eastAsia="zh-CN"/>
        </w:rPr>
        <w:t>按</w:t>
      </w:r>
      <w:r>
        <w:rPr>
          <w:rFonts w:hint="eastAsia" w:ascii="仿宋" w:hAnsi="仿宋" w:eastAsia="仿宋" w:cs="仿宋"/>
          <w:sz w:val="28"/>
          <w:szCs w:val="28"/>
        </w:rPr>
        <w:t>时进度合理</w:t>
      </w:r>
      <w:r>
        <w:rPr>
          <w:rFonts w:hint="eastAsia" w:ascii="仿宋" w:hAnsi="仿宋" w:eastAsia="仿宋" w:cs="仿宋"/>
          <w:sz w:val="28"/>
          <w:szCs w:val="28"/>
          <w:lang w:eastAsia="zh-CN"/>
        </w:rPr>
        <w:t>安</w:t>
      </w:r>
      <w:r>
        <w:rPr>
          <w:rFonts w:hint="eastAsia" w:ascii="仿宋" w:hAnsi="仿宋" w:eastAsia="仿宋" w:cs="仿宋"/>
          <w:sz w:val="28"/>
          <w:szCs w:val="28"/>
        </w:rPr>
        <w:t>排使用资金，全年预算执行进度合理，充分发挥了财政资金的社会效益。</w:t>
      </w:r>
      <w:r>
        <w:rPr>
          <w:rFonts w:hint="eastAsia" w:ascii="仿宋" w:hAnsi="仿宋" w:eastAsia="仿宋" w:cs="仿宋"/>
          <w:sz w:val="28"/>
          <w:szCs w:val="28"/>
          <w:lang w:eastAsia="zh-CN"/>
        </w:rPr>
        <w:t>本年收支无结余，全年预算完成无违规记录。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我校</w:t>
      </w:r>
      <w:r>
        <w:rPr>
          <w:rFonts w:hint="eastAsia" w:ascii="仿宋" w:hAnsi="仿宋" w:eastAsia="仿宋" w:cs="仿宋"/>
          <w:sz w:val="28"/>
          <w:szCs w:val="28"/>
        </w:rPr>
        <w:t>2018年学前教育幼儿学生免保教费按照幼儿人均300元的标准</w:t>
      </w:r>
      <w:r>
        <w:rPr>
          <w:rFonts w:hint="eastAsia" w:ascii="仿宋" w:hAnsi="仿宋" w:eastAsia="仿宋" w:cs="仿宋"/>
          <w:sz w:val="28"/>
          <w:szCs w:val="28"/>
          <w:lang w:eastAsia="zh-CN"/>
        </w:rPr>
        <w:t>，</w:t>
      </w:r>
      <w:r>
        <w:rPr>
          <w:rFonts w:hint="eastAsia" w:ascii="仿宋" w:hAnsi="仿宋" w:eastAsia="仿宋" w:cs="仿宋"/>
          <w:sz w:val="28"/>
          <w:szCs w:val="28"/>
        </w:rPr>
        <w:t>建档立卡贫困家庭幼儿免保教费</w:t>
      </w:r>
      <w:r>
        <w:rPr>
          <w:rFonts w:hint="eastAsia" w:ascii="仿宋" w:hAnsi="仿宋" w:eastAsia="仿宋" w:cs="仿宋"/>
          <w:sz w:val="28"/>
          <w:szCs w:val="28"/>
          <w:lang w:eastAsia="zh-CN"/>
        </w:rPr>
        <w:t>资金，按照宣教科计</w:t>
      </w:r>
      <w:r>
        <w:rPr>
          <w:rFonts w:hint="eastAsia" w:ascii="仿宋" w:hAnsi="仿宋" w:eastAsia="仿宋" w:cs="仿宋"/>
          <w:sz w:val="28"/>
          <w:szCs w:val="28"/>
          <w:lang w:val="en-US" w:eastAsia="zh-CN"/>
        </w:rPr>
        <w:t>[2018]2号文件要求人均200元，预算标准共计152.35万元。</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我校</w:t>
      </w:r>
      <w:r>
        <w:rPr>
          <w:rFonts w:hint="eastAsia" w:ascii="仿宋" w:hAnsi="仿宋" w:eastAsia="仿宋" w:cs="仿宋"/>
          <w:sz w:val="28"/>
          <w:szCs w:val="28"/>
          <w:lang w:val="en-US" w:eastAsia="zh-CN"/>
        </w:rPr>
        <w:t>2018年</w:t>
      </w:r>
      <w:r>
        <w:rPr>
          <w:rFonts w:hint="eastAsia" w:ascii="仿宋" w:hAnsi="仿宋" w:eastAsia="仿宋" w:cs="仿宋"/>
          <w:sz w:val="28"/>
          <w:szCs w:val="28"/>
        </w:rPr>
        <w:t>贫困寄宿生生活补助</w:t>
      </w:r>
      <w:r>
        <w:rPr>
          <w:rFonts w:hint="eastAsia" w:ascii="仿宋" w:hAnsi="仿宋" w:eastAsia="仿宋" w:cs="仿宋"/>
          <w:sz w:val="28"/>
          <w:szCs w:val="28"/>
          <w:lang w:eastAsia="zh-CN"/>
        </w:rPr>
        <w:t>按小学生人均</w:t>
      </w:r>
      <w:r>
        <w:rPr>
          <w:rFonts w:hint="eastAsia" w:ascii="仿宋" w:hAnsi="仿宋" w:eastAsia="仿宋" w:cs="仿宋"/>
          <w:sz w:val="28"/>
          <w:szCs w:val="28"/>
          <w:lang w:val="en-US" w:eastAsia="zh-CN"/>
        </w:rPr>
        <w:t>500元、初中生人均625元的标准预算，</w:t>
      </w:r>
      <w:r>
        <w:rPr>
          <w:rFonts w:hint="eastAsia" w:ascii="仿宋" w:hAnsi="仿宋" w:eastAsia="仿宋" w:cs="仿宋"/>
          <w:sz w:val="28"/>
          <w:szCs w:val="28"/>
          <w:lang w:eastAsia="zh-CN"/>
        </w:rPr>
        <w:t>营养餐资金按实际就午餐人数没人</w:t>
      </w:r>
      <w:r>
        <w:rPr>
          <w:rFonts w:hint="eastAsia" w:ascii="仿宋" w:hAnsi="仿宋" w:eastAsia="仿宋" w:cs="仿宋"/>
          <w:sz w:val="28"/>
          <w:szCs w:val="28"/>
          <w:lang w:val="en-US" w:eastAsia="zh-CN"/>
        </w:rPr>
        <w:t>4元的标准进行预算，全年</w:t>
      </w:r>
      <w:r>
        <w:rPr>
          <w:rFonts w:hint="eastAsia" w:ascii="仿宋" w:hAnsi="仿宋" w:eastAsia="仿宋" w:cs="仿宋"/>
          <w:sz w:val="28"/>
          <w:szCs w:val="28"/>
        </w:rPr>
        <w:t>预算</w:t>
      </w:r>
      <w:r>
        <w:rPr>
          <w:rFonts w:hint="eastAsia" w:ascii="仿宋" w:hAnsi="仿宋" w:eastAsia="仿宋" w:cs="仿宋"/>
          <w:sz w:val="28"/>
          <w:szCs w:val="28"/>
          <w:lang w:eastAsia="zh-CN"/>
        </w:rPr>
        <w:t>合计</w:t>
      </w:r>
      <w:r>
        <w:rPr>
          <w:rFonts w:hint="eastAsia" w:ascii="仿宋" w:hAnsi="仿宋" w:eastAsia="仿宋" w:cs="仿宋"/>
          <w:sz w:val="28"/>
          <w:szCs w:val="28"/>
        </w:rPr>
        <w:t>数</w:t>
      </w:r>
      <w:r>
        <w:rPr>
          <w:rFonts w:hint="eastAsia" w:ascii="仿宋" w:hAnsi="仿宋" w:eastAsia="仿宋" w:cs="仿宋"/>
          <w:sz w:val="28"/>
          <w:szCs w:val="28"/>
          <w:lang w:val="en-US" w:eastAsia="zh-CN"/>
        </w:rPr>
        <w:t>230.48</w:t>
      </w:r>
      <w:r>
        <w:rPr>
          <w:rFonts w:hint="eastAsia" w:ascii="仿宋" w:hAnsi="仿宋" w:eastAsia="仿宋" w:cs="仿宋"/>
          <w:sz w:val="28"/>
          <w:szCs w:val="28"/>
        </w:rPr>
        <w:t>万元</w:t>
      </w:r>
      <w:r>
        <w:rPr>
          <w:rFonts w:hint="eastAsia" w:ascii="仿宋" w:hAnsi="仿宋" w:eastAsia="仿宋" w:cs="仿宋"/>
          <w:sz w:val="28"/>
          <w:szCs w:val="28"/>
          <w:lang w:eastAsia="zh-CN"/>
        </w:rPr>
        <w:t>。</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我校2018年校园足球</w:t>
      </w:r>
      <w:r>
        <w:rPr>
          <w:rFonts w:hint="eastAsia" w:ascii="仿宋" w:hAnsi="仿宋" w:eastAsia="仿宋" w:cs="仿宋"/>
          <w:sz w:val="28"/>
          <w:szCs w:val="28"/>
        </w:rPr>
        <w:t>全年预算数</w:t>
      </w:r>
      <w:r>
        <w:rPr>
          <w:rFonts w:hint="eastAsia" w:ascii="仿宋" w:hAnsi="仿宋" w:eastAsia="仿宋" w:cs="仿宋"/>
          <w:sz w:val="28"/>
          <w:szCs w:val="28"/>
          <w:lang w:val="en-US" w:eastAsia="zh-CN"/>
        </w:rPr>
        <w:t>2</w:t>
      </w:r>
      <w:r>
        <w:rPr>
          <w:rFonts w:hint="eastAsia" w:ascii="仿宋" w:hAnsi="仿宋" w:eastAsia="仿宋" w:cs="仿宋"/>
          <w:sz w:val="28"/>
          <w:szCs w:val="28"/>
        </w:rPr>
        <w:t>万元</w:t>
      </w:r>
      <w:r>
        <w:rPr>
          <w:rFonts w:hint="eastAsia" w:ascii="仿宋" w:hAnsi="仿宋" w:eastAsia="仿宋" w:cs="仿宋"/>
          <w:sz w:val="28"/>
          <w:szCs w:val="28"/>
          <w:lang w:eastAsia="zh-CN"/>
        </w:rPr>
        <w:t>。</w:t>
      </w:r>
    </w:p>
    <w:p>
      <w:pPr>
        <w:spacing w:line="5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我校2018年彩票基金少年宫</w:t>
      </w:r>
      <w:r>
        <w:rPr>
          <w:rFonts w:hint="eastAsia" w:ascii="仿宋" w:hAnsi="仿宋" w:eastAsia="仿宋" w:cs="仿宋"/>
          <w:sz w:val="28"/>
          <w:szCs w:val="28"/>
        </w:rPr>
        <w:t>项目全年预算数</w:t>
      </w:r>
      <w:r>
        <w:rPr>
          <w:rFonts w:hint="eastAsia" w:ascii="仿宋" w:hAnsi="仿宋" w:eastAsia="仿宋" w:cs="仿宋"/>
          <w:sz w:val="28"/>
          <w:szCs w:val="28"/>
          <w:lang w:val="en-US" w:eastAsia="zh-CN"/>
        </w:rPr>
        <w:t>5</w:t>
      </w:r>
      <w:r>
        <w:rPr>
          <w:rFonts w:hint="eastAsia" w:ascii="仿宋" w:hAnsi="仿宋" w:eastAsia="仿宋" w:cs="仿宋"/>
          <w:sz w:val="28"/>
          <w:szCs w:val="28"/>
        </w:rPr>
        <w:t>万元</w:t>
      </w:r>
      <w:r>
        <w:rPr>
          <w:rFonts w:hint="eastAsia" w:ascii="仿宋" w:hAnsi="仿宋" w:eastAsia="仿宋" w:cs="仿宋"/>
          <w:sz w:val="28"/>
          <w:szCs w:val="28"/>
          <w:lang w:eastAsia="zh-CN"/>
        </w:rPr>
        <w:t>。</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我校2018年</w:t>
      </w:r>
      <w:r>
        <w:rPr>
          <w:rFonts w:hint="eastAsia" w:ascii="仿宋" w:hAnsi="仿宋" w:eastAsia="仿宋" w:cs="仿宋"/>
          <w:sz w:val="28"/>
          <w:szCs w:val="28"/>
        </w:rPr>
        <w:t>校舍维修项目全年</w:t>
      </w:r>
      <w:r>
        <w:rPr>
          <w:rFonts w:hint="eastAsia" w:ascii="仿宋" w:hAnsi="仿宋" w:eastAsia="仿宋" w:cs="仿宋"/>
          <w:sz w:val="28"/>
          <w:szCs w:val="28"/>
          <w:lang w:eastAsia="zh-CN"/>
        </w:rPr>
        <w:t>根据学校维修内容预算</w:t>
      </w:r>
      <w:r>
        <w:rPr>
          <w:rFonts w:hint="eastAsia" w:ascii="仿宋" w:hAnsi="仿宋" w:eastAsia="仿宋" w:cs="仿宋"/>
          <w:sz w:val="28"/>
          <w:szCs w:val="28"/>
        </w:rPr>
        <w:t>数1</w:t>
      </w:r>
      <w:r>
        <w:rPr>
          <w:rFonts w:hint="eastAsia" w:ascii="仿宋" w:hAnsi="仿宋" w:eastAsia="仿宋" w:cs="仿宋"/>
          <w:sz w:val="28"/>
          <w:szCs w:val="28"/>
          <w:lang w:val="en-US" w:eastAsia="zh-CN"/>
        </w:rPr>
        <w:t>2</w:t>
      </w:r>
      <w:r>
        <w:rPr>
          <w:rFonts w:hint="eastAsia" w:ascii="仿宋" w:hAnsi="仿宋" w:eastAsia="仿宋" w:cs="仿宋"/>
          <w:sz w:val="28"/>
          <w:szCs w:val="28"/>
        </w:rPr>
        <w:t>6万元</w:t>
      </w:r>
      <w:r>
        <w:rPr>
          <w:rFonts w:hint="eastAsia" w:ascii="仿宋" w:hAnsi="仿宋" w:eastAsia="仿宋" w:cs="仿宋"/>
          <w:sz w:val="28"/>
          <w:szCs w:val="28"/>
          <w:lang w:eastAsia="zh-CN"/>
        </w:rPr>
        <w:t>。</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我园</w:t>
      </w:r>
      <w:r>
        <w:rPr>
          <w:rFonts w:hint="eastAsia" w:ascii="仿宋" w:hAnsi="仿宋" w:eastAsia="仿宋" w:cs="仿宋"/>
          <w:sz w:val="28"/>
          <w:szCs w:val="28"/>
        </w:rPr>
        <w:t>专项资金制定了专门的管理办法，包括资金账户设置、拨款计划编制、资金发放的审核以及相关资料的归类存档等。</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560" w:firstLineChars="200"/>
        <w:rPr>
          <w:rFonts w:ascii="仿宋" w:hAnsi="仿宋" w:eastAsia="仿宋" w:cs="仿宋_GB2312"/>
          <w:sz w:val="32"/>
          <w:szCs w:val="32"/>
        </w:rPr>
      </w:pPr>
      <w:r>
        <w:rPr>
          <w:rFonts w:hint="eastAsia" w:ascii="仿宋" w:hAnsi="仿宋" w:eastAsia="仿宋" w:cs="仿宋"/>
          <w:sz w:val="28"/>
          <w:szCs w:val="28"/>
          <w:lang w:eastAsia="zh-CN"/>
        </w:rPr>
        <w:t>部门整体支出能保障学校教育教学工作的有序开展，专项资金通过编制、审批、分配等环节让国家优惠政策落到实处，得到社会一致好评。学校财务管理规范，</w:t>
      </w:r>
      <w:r>
        <w:rPr>
          <w:rFonts w:hint="eastAsia" w:ascii="仿宋" w:hAnsi="仿宋" w:eastAsia="仿宋" w:cs="仿宋"/>
          <w:sz w:val="28"/>
          <w:szCs w:val="28"/>
        </w:rPr>
        <w:t>严格执行</w:t>
      </w:r>
      <w:r>
        <w:rPr>
          <w:rFonts w:hint="eastAsia" w:ascii="仿宋" w:hAnsi="仿宋" w:eastAsia="仿宋" w:cs="仿宋"/>
          <w:sz w:val="28"/>
          <w:szCs w:val="28"/>
          <w:lang w:eastAsia="zh-CN"/>
        </w:rPr>
        <w:t>财经</w:t>
      </w:r>
      <w:r>
        <w:rPr>
          <w:rFonts w:hint="eastAsia" w:ascii="仿宋" w:hAnsi="仿宋" w:eastAsia="仿宋" w:cs="仿宋"/>
          <w:sz w:val="28"/>
          <w:szCs w:val="28"/>
        </w:rPr>
        <w:t>制度，进行事前申报，事中接受监督，事后进行绩效评价。</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部门整体支出绩效情况：自评优良。</w:t>
      </w:r>
      <w:r>
        <w:rPr>
          <w:rFonts w:hint="eastAsia" w:ascii="仿宋" w:hAnsi="仿宋" w:eastAsia="仿宋" w:cs="仿宋"/>
          <w:sz w:val="28"/>
          <w:szCs w:val="28"/>
        </w:rPr>
        <w:t>我</w:t>
      </w:r>
      <w:r>
        <w:rPr>
          <w:rFonts w:hint="eastAsia" w:ascii="仿宋" w:hAnsi="仿宋" w:eastAsia="仿宋" w:cs="仿宋"/>
          <w:sz w:val="28"/>
          <w:szCs w:val="28"/>
          <w:lang w:eastAsia="zh-CN"/>
        </w:rPr>
        <w:t>校</w:t>
      </w:r>
      <w:r>
        <w:rPr>
          <w:rFonts w:hint="eastAsia" w:ascii="仿宋" w:hAnsi="仿宋" w:eastAsia="仿宋" w:cs="仿宋"/>
          <w:sz w:val="28"/>
          <w:szCs w:val="28"/>
        </w:rPr>
        <w:t>重点岗位安全风险防范措施得当。预算执行情况良好，资金使用规范，最大限度地发挥了财政资金的经济效益和社会效益。</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评价指标体系有待分类细化，针对学校的评价指标具体化。我校制度还有待完善，特别是内控制度。项目资金管理人员有待进一步培训学习。</w:t>
      </w:r>
    </w:p>
    <w:p>
      <w:pPr>
        <w:numPr>
          <w:ilvl w:val="0"/>
          <w:numId w:val="7"/>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改进建议。</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希望加大学校财务人员专业知识的培训学习。</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5"/>
          <w:rFonts w:ascii="仿宋" w:hAnsi="仿宋" w:eastAsia="仿宋"/>
          <w:b w:val="0"/>
          <w:bCs w:val="0"/>
          <w:sz w:val="32"/>
          <w:szCs w:val="32"/>
        </w:rPr>
      </w:pPr>
      <w:bookmarkStart w:id="61" w:name="_Toc15396617"/>
      <w:r>
        <w:rPr>
          <w:rStyle w:val="25"/>
          <w:rFonts w:hint="eastAsia" w:ascii="仿宋" w:hAnsi="仿宋" w:eastAsia="仿宋"/>
          <w:b w:val="0"/>
          <w:bCs w:val="0"/>
          <w:sz w:val="32"/>
          <w:szCs w:val="32"/>
        </w:rPr>
        <w:t>附件2</w:t>
      </w:r>
      <w:bookmarkEnd w:id="61"/>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2018年XXX项目支出绩效评价报告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Style w:val="25"/>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600" w:lineRule="exact"/>
        <w:jc w:val="center"/>
        <w:outlineLvl w:val="0"/>
        <w:rPr>
          <w:rStyle w:val="25"/>
          <w:rFonts w:ascii="黑体" w:hAnsi="黑体" w:eastAsia="黑体"/>
          <w:b w:val="0"/>
        </w:rPr>
      </w:pPr>
      <w:bookmarkStart w:id="62"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rPr>
      </w:pPr>
      <w:bookmarkStart w:id="75"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18</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134503B"/>
    <w:multiLevelType w:val="singleLevel"/>
    <w:tmpl w:val="1134503B"/>
    <w:lvl w:ilvl="0" w:tentative="0">
      <w:start w:val="2"/>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738D305B"/>
    <w:multiLevelType w:val="multilevel"/>
    <w:tmpl w:val="738D305B"/>
    <w:lvl w:ilvl="0" w:tentative="0">
      <w:start w:val="1"/>
      <w:numFmt w:val="chineseCounting"/>
      <w:suff w:val="nothing"/>
      <w:lvlText w:val="（%1）"/>
      <w:lvlJc w:val="left"/>
      <w:pPr>
        <w:ind w:left="0" w:firstLine="0"/>
      </w:pPr>
      <w:rPr>
        <w:rFonts w:hint="eastAsia" w:ascii="楷体_GB2312" w:eastAsia="楷体_GB2312"/>
        <w:b/>
        <w:bCs/>
        <w:sz w:val="32"/>
        <w:szCs w:val="3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0"/>
  </w:num>
  <w:num w:numId="3">
    <w:abstractNumId w:val="5"/>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13BFF"/>
    <w:rsid w:val="00220536"/>
    <w:rsid w:val="00235629"/>
    <w:rsid w:val="00260C38"/>
    <w:rsid w:val="002616C0"/>
    <w:rsid w:val="002662AA"/>
    <w:rsid w:val="00280496"/>
    <w:rsid w:val="00295495"/>
    <w:rsid w:val="002B2613"/>
    <w:rsid w:val="002D240D"/>
    <w:rsid w:val="002F1818"/>
    <w:rsid w:val="002F567B"/>
    <w:rsid w:val="003216A9"/>
    <w:rsid w:val="0037013F"/>
    <w:rsid w:val="00380C92"/>
    <w:rsid w:val="00385747"/>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A1AD8"/>
    <w:rsid w:val="005B09DF"/>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2553D"/>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0CD9"/>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24198"/>
    <w:rsid w:val="00B310B9"/>
    <w:rsid w:val="00B35F3F"/>
    <w:rsid w:val="00B36CBB"/>
    <w:rsid w:val="00B425E0"/>
    <w:rsid w:val="00B440AA"/>
    <w:rsid w:val="00B44B70"/>
    <w:rsid w:val="00B53C56"/>
    <w:rsid w:val="00B67330"/>
    <w:rsid w:val="00B77EA6"/>
    <w:rsid w:val="00B81598"/>
    <w:rsid w:val="00B841F1"/>
    <w:rsid w:val="00B944D6"/>
    <w:rsid w:val="00BB4DF0"/>
    <w:rsid w:val="00BC289F"/>
    <w:rsid w:val="00BC5361"/>
    <w:rsid w:val="00BC5460"/>
    <w:rsid w:val="00BC6B50"/>
    <w:rsid w:val="00BD0E25"/>
    <w:rsid w:val="00BF5BD6"/>
    <w:rsid w:val="00C03E31"/>
    <w:rsid w:val="00C172F4"/>
    <w:rsid w:val="00C33E72"/>
    <w:rsid w:val="00C354B2"/>
    <w:rsid w:val="00C35554"/>
    <w:rsid w:val="00C42709"/>
    <w:rsid w:val="00C533CC"/>
    <w:rsid w:val="00C5751C"/>
    <w:rsid w:val="00C61BFC"/>
    <w:rsid w:val="00C62B85"/>
    <w:rsid w:val="00C65438"/>
    <w:rsid w:val="00C91CBB"/>
    <w:rsid w:val="00CC09B6"/>
    <w:rsid w:val="00CC36C5"/>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B1D4942"/>
    <w:rsid w:val="0C4529CA"/>
    <w:rsid w:val="10C055FF"/>
    <w:rsid w:val="163E088A"/>
    <w:rsid w:val="16BB723D"/>
    <w:rsid w:val="17495759"/>
    <w:rsid w:val="20152BC4"/>
    <w:rsid w:val="240371BF"/>
    <w:rsid w:val="29FD04D3"/>
    <w:rsid w:val="31650E11"/>
    <w:rsid w:val="319F7F4E"/>
    <w:rsid w:val="36DE2778"/>
    <w:rsid w:val="37D4516B"/>
    <w:rsid w:val="3DD5196D"/>
    <w:rsid w:val="3DF12CCA"/>
    <w:rsid w:val="41131B3D"/>
    <w:rsid w:val="41F56578"/>
    <w:rsid w:val="4728112A"/>
    <w:rsid w:val="493E6752"/>
    <w:rsid w:val="56995A1E"/>
    <w:rsid w:val="62942E5A"/>
    <w:rsid w:val="6FAA26E5"/>
    <w:rsid w:val="797267F5"/>
    <w:rsid w:val="7A3F6F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uiPriority w:val="99"/>
    <w:pPr>
      <w:jc w:val="left"/>
    </w:p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List Paragraph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2.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3.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1.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7603791216126"/>
          <c:y val="0.158407079646018"/>
          <c:w val="0.923027633159792"/>
          <c:h val="0.560294985250738"/>
        </c:manualLayout>
      </c:layout>
      <c:barChart>
        <c:barDir val="col"/>
        <c:grouping val="clustered"/>
        <c:varyColors val="0"/>
        <c:ser>
          <c:idx val="0"/>
          <c:order val="0"/>
          <c:tx>
            <c:strRef>
              <c:f>Sheet1!$B$1</c:f>
              <c:strCache>
                <c:ptCount val="1"/>
                <c:pt idx="0">
                  <c:v>2017年收入</c:v>
                </c:pt>
              </c:strCache>
            </c:strRef>
          </c:tx>
          <c:spPr>
            <a:gradFill>
              <a:gsLst>
                <a:gs pos="0">
                  <a:srgbClr val="FBFB11"/>
                </a:gs>
                <a:gs pos="100000">
                  <a:srgbClr val="838309"/>
                </a:gs>
              </a:gsLst>
              <a:path path="circle"/>
            </a:gradFill>
            <a:ln>
              <a:noFill/>
            </a:ln>
            <a:effectLst/>
          </c:spPr>
          <c:invertIfNegative val="0"/>
          <c:dLbls>
            <c:delete val="1"/>
          </c:dLbls>
          <c:cat>
            <c:strRef>
              <c:f>Sheet1!$A$2:$A$5</c:f>
              <c:strCache>
                <c:ptCount val="4"/>
                <c:pt idx="0">
                  <c:v>2017年收入</c:v>
                </c:pt>
                <c:pt idx="1">
                  <c:v>2018年收入</c:v>
                </c:pt>
                <c:pt idx="2">
                  <c:v>2017年支出</c:v>
                </c:pt>
                <c:pt idx="3">
                  <c:v>2018年支出</c:v>
                </c:pt>
              </c:strCache>
            </c:strRef>
          </c:cat>
          <c:val>
            <c:numRef>
              <c:f>Sheet1!$B$2:$B$5</c:f>
              <c:numCache>
                <c:formatCode>General</c:formatCode>
                <c:ptCount val="4"/>
                <c:pt idx="0">
                  <c:v>5.7</c:v>
                </c:pt>
              </c:numCache>
            </c:numRef>
          </c:val>
        </c:ser>
        <c:ser>
          <c:idx val="1"/>
          <c:order val="1"/>
          <c:tx>
            <c:strRef>
              <c:f>Sheet1!$C$1</c:f>
              <c:strCache>
                <c:ptCount val="1"/>
                <c:pt idx="0">
                  <c:v>2018年收入</c:v>
                </c:pt>
              </c:strCache>
            </c:strRef>
          </c:tx>
          <c:spPr>
            <a:gradFill>
              <a:gsLst>
                <a:gs pos="0">
                  <a:srgbClr val="14CD68"/>
                </a:gs>
                <a:gs pos="100000">
                  <a:srgbClr val="0B6E38"/>
                </a:gs>
              </a:gsLst>
              <a:path path="circle"/>
            </a:gradFill>
            <a:ln>
              <a:noFill/>
            </a:ln>
            <a:effectLst/>
          </c:spPr>
          <c:invertIfNegative val="0"/>
          <c:dLbls>
            <c:delete val="1"/>
          </c:dLbls>
          <c:cat>
            <c:strRef>
              <c:f>Sheet1!$A$2:$A$5</c:f>
              <c:strCache>
                <c:ptCount val="4"/>
                <c:pt idx="0">
                  <c:v>2017年收入</c:v>
                </c:pt>
                <c:pt idx="1">
                  <c:v>2018年收入</c:v>
                </c:pt>
                <c:pt idx="2">
                  <c:v>2017年支出</c:v>
                </c:pt>
                <c:pt idx="3">
                  <c:v>2018年支出</c:v>
                </c:pt>
              </c:strCache>
            </c:strRef>
          </c:cat>
          <c:val>
            <c:numRef>
              <c:f>Sheet1!$C$2:$C$5</c:f>
              <c:numCache>
                <c:formatCode>General</c:formatCode>
                <c:ptCount val="4"/>
                <c:pt idx="1">
                  <c:v>4.4</c:v>
                </c:pt>
              </c:numCache>
            </c:numRef>
          </c:val>
        </c:ser>
        <c:ser>
          <c:idx val="2"/>
          <c:order val="2"/>
          <c:tx>
            <c:strRef>
              <c:f>Sheet1!$D$1</c:f>
              <c:strCache>
                <c:ptCount val="1"/>
                <c:pt idx="0">
                  <c:v>2017年支出</c:v>
                </c:pt>
              </c:strCache>
            </c:strRef>
          </c:tx>
          <c:spPr>
            <a:gradFill>
              <a:gsLst>
                <a:gs pos="0">
                  <a:srgbClr val="FBFB11"/>
                </a:gs>
                <a:gs pos="100000">
                  <a:srgbClr val="838309"/>
                </a:gs>
              </a:gsLst>
              <a:path path="circle"/>
            </a:gradFill>
            <a:ln>
              <a:noFill/>
            </a:ln>
            <a:effectLst/>
          </c:spPr>
          <c:invertIfNegative val="0"/>
          <c:dLbls>
            <c:delete val="1"/>
          </c:dLbls>
          <c:cat>
            <c:strRef>
              <c:f>Sheet1!$A$2:$A$5</c:f>
              <c:strCache>
                <c:ptCount val="4"/>
                <c:pt idx="0">
                  <c:v>2017年收入</c:v>
                </c:pt>
                <c:pt idx="1">
                  <c:v>2018年收入</c:v>
                </c:pt>
                <c:pt idx="2">
                  <c:v>2017年支出</c:v>
                </c:pt>
                <c:pt idx="3">
                  <c:v>2018年支出</c:v>
                </c:pt>
              </c:strCache>
            </c:strRef>
          </c:cat>
          <c:val>
            <c:numRef>
              <c:f>Sheet1!$D$2:$D$5</c:f>
              <c:numCache>
                <c:formatCode>General</c:formatCode>
                <c:ptCount val="4"/>
                <c:pt idx="2">
                  <c:v>5.7</c:v>
                </c:pt>
              </c:numCache>
            </c:numRef>
          </c:val>
        </c:ser>
        <c:ser>
          <c:idx val="3"/>
          <c:order val="3"/>
          <c:tx>
            <c:strRef>
              <c:f>Sheet1!$E$1</c:f>
              <c:strCache>
                <c:ptCount val="1"/>
                <c:pt idx="0">
                  <c:v>2018年支出</c:v>
                </c:pt>
              </c:strCache>
            </c:strRef>
          </c:tx>
          <c:spPr>
            <a:gradFill>
              <a:gsLst>
                <a:gs pos="0">
                  <a:srgbClr val="14CD68"/>
                </a:gs>
                <a:gs pos="100000">
                  <a:srgbClr val="0B6E38"/>
                </a:gs>
              </a:gsLst>
              <a:path path="circle"/>
            </a:gradFill>
            <a:ln>
              <a:noFill/>
            </a:ln>
            <a:effectLst/>
          </c:spPr>
          <c:invertIfNegative val="0"/>
          <c:dLbls>
            <c:delete val="1"/>
          </c:dLbls>
          <c:cat>
            <c:strRef>
              <c:f>Sheet1!$A$2:$A$5</c:f>
              <c:strCache>
                <c:ptCount val="4"/>
                <c:pt idx="0">
                  <c:v>2017年收入</c:v>
                </c:pt>
                <c:pt idx="1">
                  <c:v>2018年收入</c:v>
                </c:pt>
                <c:pt idx="2">
                  <c:v>2017年支出</c:v>
                </c:pt>
                <c:pt idx="3">
                  <c:v>2018年支出</c:v>
                </c:pt>
              </c:strCache>
            </c:strRef>
          </c:cat>
          <c:val>
            <c:numRef>
              <c:f>Sheet1!$E$2:$E$5</c:f>
              <c:numCache>
                <c:formatCode>General</c:formatCode>
                <c:ptCount val="4"/>
                <c:pt idx="3">
                  <c:v>4.4</c:v>
                </c:pt>
              </c:numCache>
            </c:numRef>
          </c:val>
        </c:ser>
        <c:dLbls>
          <c:showLegendKey val="0"/>
          <c:showVal val="0"/>
          <c:showCatName val="0"/>
          <c:showSerName val="0"/>
          <c:showPercent val="0"/>
          <c:showBubbleSize val="0"/>
        </c:dLbls>
        <c:gapWidth val="219"/>
        <c:overlap val="-27"/>
        <c:axId val="862540896"/>
        <c:axId val="413374622"/>
      </c:barChart>
      <c:catAx>
        <c:axId val="862540896"/>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3374622"/>
        <c:crosses val="autoZero"/>
        <c:auto val="1"/>
        <c:lblAlgn val="ctr"/>
        <c:lblOffset val="100"/>
        <c:noMultiLvlLbl val="0"/>
      </c:catAx>
      <c:valAx>
        <c:axId val="41337462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25408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1" i="0" u="none" strike="noStrike" kern="1200" baseline="0">
                <a:solidFill>
                  <a:schemeClr val="dk1">
                    <a:lumMod val="75000"/>
                    <a:lumOff val="25000"/>
                  </a:schemeClr>
                </a:solidFill>
                <a:latin typeface="+mn-lt"/>
                <a:ea typeface="+mn-ea"/>
                <a:cs typeface="+mn-cs"/>
              </a:defRPr>
            </a:pPr>
            <a:r>
              <a:rPr altLang="en-US"/>
              <a:t>本年收入</a:t>
            </a:r>
            <a:endParaRPr altLang="en-US"/>
          </a:p>
        </c:rich>
      </c:tx>
      <c:layout/>
      <c:overlay val="0"/>
      <c:spPr>
        <a:noFill/>
        <a:ln>
          <a:noFill/>
        </a:ln>
        <a:effectLst/>
      </c:spPr>
    </c:title>
    <c:autoTitleDeleted val="0"/>
    <c:plotArea>
      <c:layout/>
      <c:pieChart>
        <c:varyColors val="1"/>
        <c:ser>
          <c:idx val="0"/>
          <c:order val="0"/>
          <c:tx>
            <c:strRef>
              <c:f>Sheet1!$B$1</c:f>
              <c:strCache>
                <c:ptCount val="1"/>
                <c:pt idx="0">
                  <c:v>本年支出</c:v>
                </c:pt>
              </c:strCache>
            </c:strRef>
          </c:tx>
          <c:spPr/>
          <c:explosion val="0"/>
          <c:dPt>
            <c:idx val="0"/>
            <c:bubble3D val="0"/>
            <c:spPr>
              <a:solidFill>
                <a:srgbClr val="1F497D">
                  <a:lumMod val="40000"/>
                  <a:lumOff val="60000"/>
                </a:srgbClr>
              </a:solidFill>
              <a:ln>
                <a:noFill/>
              </a:ln>
              <a:effectLst>
                <a:outerShdw blurRad="254000" sx="102000" sy="102000" algn="ctr" rotWithShape="0">
                  <a:prstClr val="black">
                    <a:alpha val="20000"/>
                  </a:prstClr>
                </a:outerShdw>
              </a:effectLst>
            </c:spPr>
          </c:dPt>
          <c:dPt>
            <c:idx val="1"/>
            <c:bubble3D val="0"/>
            <c:spPr>
              <a:gradFill>
                <a:gsLst>
                  <a:gs pos="0">
                    <a:srgbClr val="FBFB11"/>
                  </a:gs>
                  <a:gs pos="100000">
                    <a:srgbClr val="838309"/>
                  </a:gs>
                </a:gsLst>
                <a:lin ang="5400000" scaled="0"/>
              </a:gra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一般公共预算财政拨款收入</c:v>
                </c:pt>
                <c:pt idx="1">
                  <c:v>政府性基金预算财政拨款收入</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99.8</c:v>
                </c:pt>
                <c:pt idx="1">
                  <c:v>0.2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forceAA="0"/>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1" i="0" u="none" strike="noStrike" kern="1200" baseline="0">
                <a:solidFill>
                  <a:schemeClr val="dk1">
                    <a:lumMod val="75000"/>
                    <a:lumOff val="25000"/>
                  </a:schemeClr>
                </a:solidFill>
                <a:latin typeface="+mn-lt"/>
                <a:ea typeface="+mn-ea"/>
                <a:cs typeface="+mn-cs"/>
              </a:defRPr>
            </a:pPr>
            <a:r>
              <a:rPr altLang="en-US"/>
              <a:t>本年支出</a:t>
            </a:r>
            <a:endParaRPr altLang="en-US"/>
          </a:p>
        </c:rich>
      </c:tx>
      <c:layout/>
      <c:overlay val="0"/>
      <c:spPr>
        <a:noFill/>
        <a:ln>
          <a:noFill/>
        </a:ln>
        <a:effectLst/>
      </c:spPr>
    </c:title>
    <c:autoTitleDeleted val="0"/>
    <c:plotArea>
      <c:layout/>
      <c:pieChart>
        <c:varyColors val="1"/>
        <c:ser>
          <c:idx val="0"/>
          <c:order val="0"/>
          <c:tx>
            <c:strRef>
              <c:f>Sheet1!$B$1</c:f>
              <c:strCache>
                <c:ptCount val="1"/>
                <c:pt idx="0">
                  <c:v>本年支出</c:v>
                </c:pt>
              </c:strCache>
            </c:strRef>
          </c:tx>
          <c:spPr/>
          <c:explosion val="0"/>
          <c:dPt>
            <c:idx val="0"/>
            <c:bubble3D val="0"/>
            <c:explosion val="0"/>
            <c:spPr>
              <a:solidFill>
                <a:srgbClr val="1F497D">
                  <a:lumMod val="40000"/>
                  <a:lumOff val="60000"/>
                </a:srgbClr>
              </a:solidFill>
              <a:ln>
                <a:noFill/>
              </a:ln>
              <a:effectLst>
                <a:outerShdw blurRad="254000" sx="102000" sy="102000" algn="ctr" rotWithShape="0">
                  <a:prstClr val="black">
                    <a:alpha val="20000"/>
                  </a:prstClr>
                </a:outerShdw>
              </a:effectLst>
            </c:spPr>
          </c:dPt>
          <c:dPt>
            <c:idx val="1"/>
            <c:bubble3D val="0"/>
            <c:spPr>
              <a:gradFill>
                <a:gsLst>
                  <a:gs pos="0">
                    <a:srgbClr val="FBFB11"/>
                  </a:gs>
                  <a:gs pos="100000">
                    <a:srgbClr val="838309"/>
                  </a:gs>
                </a:gsLst>
                <a:lin ang="5400000" scaled="0"/>
              </a:gra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基本支出</c:v>
                </c:pt>
                <c:pt idx="1">
                  <c:v>项目支出</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76.4</c:v>
                </c:pt>
                <c:pt idx="1">
                  <c:v>23.6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forceAA="0"/>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29675610732879"/>
          <c:y val="0.111515959394142"/>
          <c:w val="0.923027633159792"/>
          <c:h val="0.539941002949853"/>
        </c:manualLayout>
      </c:layout>
      <c:barChart>
        <c:barDir val="col"/>
        <c:grouping val="clustered"/>
        <c:varyColors val="0"/>
        <c:ser>
          <c:idx val="0"/>
          <c:order val="0"/>
          <c:tx>
            <c:strRef>
              <c:f>Sheet1!$B$1</c:f>
              <c:strCache>
                <c:ptCount val="1"/>
                <c:pt idx="0">
                  <c:v>2017年财政拨款收入</c:v>
                </c:pt>
              </c:strCache>
            </c:strRef>
          </c:tx>
          <c:spPr>
            <a:gradFill>
              <a:gsLst>
                <a:gs pos="0">
                  <a:srgbClr val="FBFB11"/>
                </a:gs>
                <a:gs pos="100000">
                  <a:srgbClr val="838309"/>
                </a:gs>
              </a:gsLst>
              <a:path path="circle"/>
            </a:gradFill>
            <a:ln>
              <a:noFill/>
            </a:ln>
            <a:effectLst/>
          </c:spPr>
          <c:invertIfNegative val="0"/>
          <c:dLbls>
            <c:delete val="1"/>
          </c:dLbls>
          <c:cat>
            <c:strRef>
              <c:f>Sheet1!$A$2:$A$5</c:f>
              <c:strCache>
                <c:ptCount val="4"/>
                <c:pt idx="0">
                  <c:v>2017年财政拨款收入</c:v>
                </c:pt>
                <c:pt idx="1">
                  <c:v>2018年财政拨款收入</c:v>
                </c:pt>
                <c:pt idx="2">
                  <c:v>2017年财政拨款支出</c:v>
                </c:pt>
                <c:pt idx="3">
                  <c:v>2018年财政拨款支出</c:v>
                </c:pt>
              </c:strCache>
            </c:strRef>
          </c:cat>
          <c:val>
            <c:numRef>
              <c:f>Sheet1!$B$2:$B$5</c:f>
              <c:numCache>
                <c:formatCode>General</c:formatCode>
                <c:ptCount val="4"/>
                <c:pt idx="0">
                  <c:v>5.7</c:v>
                </c:pt>
              </c:numCache>
            </c:numRef>
          </c:val>
        </c:ser>
        <c:ser>
          <c:idx val="1"/>
          <c:order val="1"/>
          <c:tx>
            <c:strRef>
              <c:f>Sheet1!$C$1</c:f>
              <c:strCache>
                <c:ptCount val="1"/>
                <c:pt idx="0">
                  <c:v>2018年财政拨款收入</c:v>
                </c:pt>
              </c:strCache>
            </c:strRef>
          </c:tx>
          <c:spPr>
            <a:gradFill>
              <a:gsLst>
                <a:gs pos="0">
                  <a:srgbClr val="14CD68"/>
                </a:gs>
                <a:gs pos="100000">
                  <a:srgbClr val="0B6E38"/>
                </a:gs>
              </a:gsLst>
              <a:path path="circle"/>
            </a:gradFill>
            <a:ln>
              <a:noFill/>
            </a:ln>
            <a:effectLst/>
          </c:spPr>
          <c:invertIfNegative val="0"/>
          <c:dLbls>
            <c:delete val="1"/>
          </c:dLbls>
          <c:cat>
            <c:strRef>
              <c:f>Sheet1!$A$2:$A$5</c:f>
              <c:strCache>
                <c:ptCount val="4"/>
                <c:pt idx="0">
                  <c:v>2017年财政拨款收入</c:v>
                </c:pt>
                <c:pt idx="1">
                  <c:v>2018年财政拨款收入</c:v>
                </c:pt>
                <c:pt idx="2">
                  <c:v>2017年财政拨款支出</c:v>
                </c:pt>
                <c:pt idx="3">
                  <c:v>2018年财政拨款支出</c:v>
                </c:pt>
              </c:strCache>
            </c:strRef>
          </c:cat>
          <c:val>
            <c:numRef>
              <c:f>Sheet1!$C$2:$C$5</c:f>
              <c:numCache>
                <c:formatCode>General</c:formatCode>
                <c:ptCount val="4"/>
                <c:pt idx="1">
                  <c:v>4.4</c:v>
                </c:pt>
              </c:numCache>
            </c:numRef>
          </c:val>
        </c:ser>
        <c:ser>
          <c:idx val="2"/>
          <c:order val="2"/>
          <c:tx>
            <c:strRef>
              <c:f>Sheet1!$D$1</c:f>
              <c:strCache>
                <c:ptCount val="1"/>
                <c:pt idx="0">
                  <c:v>2017年财政拨款支出</c:v>
                </c:pt>
              </c:strCache>
            </c:strRef>
          </c:tx>
          <c:spPr>
            <a:gradFill>
              <a:gsLst>
                <a:gs pos="0">
                  <a:srgbClr val="FBFB11"/>
                </a:gs>
                <a:gs pos="100000">
                  <a:srgbClr val="838309"/>
                </a:gs>
              </a:gsLst>
              <a:path path="circle"/>
            </a:gradFill>
            <a:ln>
              <a:noFill/>
            </a:ln>
            <a:effectLst/>
          </c:spPr>
          <c:invertIfNegative val="0"/>
          <c:dLbls>
            <c:delete val="1"/>
          </c:dLbls>
          <c:cat>
            <c:strRef>
              <c:f>Sheet1!$A$2:$A$5</c:f>
              <c:strCache>
                <c:ptCount val="4"/>
                <c:pt idx="0">
                  <c:v>2017年财政拨款收入</c:v>
                </c:pt>
                <c:pt idx="1">
                  <c:v>2018年财政拨款收入</c:v>
                </c:pt>
                <c:pt idx="2">
                  <c:v>2017年财政拨款支出</c:v>
                </c:pt>
                <c:pt idx="3">
                  <c:v>2018年财政拨款支出</c:v>
                </c:pt>
              </c:strCache>
            </c:strRef>
          </c:cat>
          <c:val>
            <c:numRef>
              <c:f>Sheet1!$D$2:$D$5</c:f>
              <c:numCache>
                <c:formatCode>General</c:formatCode>
                <c:ptCount val="4"/>
                <c:pt idx="2">
                  <c:v>5.7</c:v>
                </c:pt>
              </c:numCache>
            </c:numRef>
          </c:val>
        </c:ser>
        <c:ser>
          <c:idx val="3"/>
          <c:order val="3"/>
          <c:tx>
            <c:strRef>
              <c:f>Sheet1!$E$1</c:f>
              <c:strCache>
                <c:ptCount val="1"/>
                <c:pt idx="0">
                  <c:v>2018年财政拨款支出</c:v>
                </c:pt>
              </c:strCache>
            </c:strRef>
          </c:tx>
          <c:spPr>
            <a:gradFill>
              <a:gsLst>
                <a:gs pos="0">
                  <a:srgbClr val="14CD68"/>
                </a:gs>
                <a:gs pos="100000">
                  <a:srgbClr val="0B6E38"/>
                </a:gs>
              </a:gsLst>
              <a:path path="circle"/>
            </a:gradFill>
            <a:ln>
              <a:noFill/>
            </a:ln>
            <a:effectLst/>
          </c:spPr>
          <c:invertIfNegative val="0"/>
          <c:dLbls>
            <c:delete val="1"/>
          </c:dLbls>
          <c:cat>
            <c:strRef>
              <c:f>Sheet1!$A$2:$A$5</c:f>
              <c:strCache>
                <c:ptCount val="4"/>
                <c:pt idx="0">
                  <c:v>2017年财政拨款收入</c:v>
                </c:pt>
                <c:pt idx="1">
                  <c:v>2018年财政拨款收入</c:v>
                </c:pt>
                <c:pt idx="2">
                  <c:v>2017年财政拨款支出</c:v>
                </c:pt>
                <c:pt idx="3">
                  <c:v>2018年财政拨款支出</c:v>
                </c:pt>
              </c:strCache>
            </c:strRef>
          </c:cat>
          <c:val>
            <c:numRef>
              <c:f>Sheet1!$E$2:$E$5</c:f>
              <c:numCache>
                <c:formatCode>General</c:formatCode>
                <c:ptCount val="4"/>
                <c:pt idx="3">
                  <c:v>4.4</c:v>
                </c:pt>
              </c:numCache>
            </c:numRef>
          </c:val>
        </c:ser>
        <c:dLbls>
          <c:showLegendKey val="0"/>
          <c:showVal val="0"/>
          <c:showCatName val="0"/>
          <c:showSerName val="0"/>
          <c:showPercent val="0"/>
          <c:showBubbleSize val="0"/>
        </c:dLbls>
        <c:gapWidth val="219"/>
        <c:overlap val="-27"/>
        <c:axId val="862540896"/>
        <c:axId val="413374622"/>
      </c:barChart>
      <c:catAx>
        <c:axId val="862540896"/>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3374622"/>
        <c:crosses val="autoZero"/>
        <c:auto val="1"/>
        <c:lblAlgn val="ctr"/>
        <c:lblOffset val="100"/>
        <c:noMultiLvlLbl val="0"/>
      </c:catAx>
      <c:valAx>
        <c:axId val="41337462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2540896"/>
        <c:crosses val="autoZero"/>
        <c:crossBetween val="between"/>
      </c:valAx>
      <c:spPr>
        <a:noFill/>
        <a:ln>
          <a:noFill/>
        </a:ln>
        <a:effectLst/>
      </c:spPr>
    </c:plotArea>
    <c:legend>
      <c:legendPos val="b"/>
      <c:layout>
        <c:manualLayout>
          <c:xMode val="edge"/>
          <c:yMode val="edge"/>
          <c:x val="0.0979842477639834"/>
          <c:y val="0.781706902414145"/>
          <c:w val="0.740889066880256"/>
          <c:h val="0.2080924855491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29675610732877"/>
          <c:y val="0.116616265412503"/>
          <c:w val="0.923027633159792"/>
          <c:h val="0.539941002949853"/>
        </c:manualLayout>
      </c:layout>
      <c:barChart>
        <c:barDir val="col"/>
        <c:grouping val="clustered"/>
        <c:varyColors val="0"/>
        <c:ser>
          <c:idx val="0"/>
          <c:order val="0"/>
          <c:tx>
            <c:strRef>
              <c:f>Sheet1!$B$1</c:f>
              <c:strCache>
                <c:ptCount val="1"/>
                <c:pt idx="0">
                  <c:v>2017年一般公共预算财政拨款支出</c:v>
                </c:pt>
              </c:strCache>
            </c:strRef>
          </c:tx>
          <c:spPr>
            <a:gradFill>
              <a:gsLst>
                <a:gs pos="0">
                  <a:srgbClr val="FBFB11"/>
                </a:gs>
                <a:gs pos="100000">
                  <a:srgbClr val="838309"/>
                </a:gs>
              </a:gsLst>
              <a:path path="circle"/>
            </a:gradFill>
            <a:ln>
              <a:noFill/>
            </a:ln>
            <a:effectLst/>
          </c:spPr>
          <c:invertIfNegative val="0"/>
          <c:dLbls>
            <c:delete val="1"/>
          </c:dLbls>
          <c:cat>
            <c:strRef>
              <c:f>Sheet1!$A$2:$A$5</c:f>
              <c:strCache>
                <c:ptCount val="4"/>
                <c:pt idx="0">
                  <c:v>2017年一般公共预算财政拨款支出</c:v>
                </c:pt>
                <c:pt idx="1">
                  <c:v>2018年一般公共预算财政拨款支出</c:v>
                </c:pt>
              </c:strCache>
            </c:strRef>
          </c:cat>
          <c:val>
            <c:numRef>
              <c:f>Sheet1!$B$2:$B$5</c:f>
              <c:numCache>
                <c:formatCode>General</c:formatCode>
                <c:ptCount val="4"/>
                <c:pt idx="0">
                  <c:v>5.7</c:v>
                </c:pt>
              </c:numCache>
            </c:numRef>
          </c:val>
        </c:ser>
        <c:ser>
          <c:idx val="1"/>
          <c:order val="1"/>
          <c:tx>
            <c:strRef>
              <c:f>Sheet1!$C$1</c:f>
              <c:strCache>
                <c:ptCount val="1"/>
                <c:pt idx="0">
                  <c:v>2018年一般公共预算财政拨款支出</c:v>
                </c:pt>
              </c:strCache>
            </c:strRef>
          </c:tx>
          <c:spPr>
            <a:gradFill>
              <a:gsLst>
                <a:gs pos="0">
                  <a:srgbClr val="14CD68"/>
                </a:gs>
                <a:gs pos="100000">
                  <a:srgbClr val="0B6E38"/>
                </a:gs>
              </a:gsLst>
              <a:path path="circle"/>
            </a:gradFill>
            <a:ln>
              <a:noFill/>
            </a:ln>
            <a:effectLst/>
          </c:spPr>
          <c:invertIfNegative val="0"/>
          <c:dLbls>
            <c:delete val="1"/>
          </c:dLbls>
          <c:cat>
            <c:strRef>
              <c:f>Sheet1!$A$2:$A$5</c:f>
              <c:strCache>
                <c:ptCount val="4"/>
                <c:pt idx="0">
                  <c:v>2017年一般公共预算财政拨款支出</c:v>
                </c:pt>
                <c:pt idx="1">
                  <c:v>2018年一般公共预算财政拨款支出</c:v>
                </c:pt>
              </c:strCache>
            </c:strRef>
          </c:cat>
          <c:val>
            <c:numRef>
              <c:f>Sheet1!$C$2:$C$5</c:f>
              <c:numCache>
                <c:formatCode>General</c:formatCode>
                <c:ptCount val="4"/>
                <c:pt idx="1">
                  <c:v>4.4</c:v>
                </c:pt>
              </c:numCache>
            </c:numRef>
          </c:val>
        </c:ser>
        <c:ser>
          <c:idx val="2"/>
          <c:order val="2"/>
          <c:tx>
            <c:strRef>
              <c:f>Sheet1!$D$1</c:f>
              <c:strCache>
                <c:ptCount val="1"/>
                <c:pt idx="0">
                  <c:v/>
                </c:pt>
              </c:strCache>
            </c:strRef>
          </c:tx>
          <c:spPr>
            <a:gradFill>
              <a:gsLst>
                <a:gs pos="0">
                  <a:srgbClr val="FBFB11"/>
                </a:gs>
                <a:gs pos="100000">
                  <a:srgbClr val="838309"/>
                </a:gs>
              </a:gsLst>
              <a:path path="circle"/>
            </a:gradFill>
            <a:ln>
              <a:noFill/>
            </a:ln>
            <a:effectLst/>
          </c:spPr>
          <c:invertIfNegative val="0"/>
          <c:dLbls>
            <c:delete val="1"/>
          </c:dLbls>
          <c:cat>
            <c:strRef>
              <c:f>Sheet1!$A$2:$A$5</c:f>
              <c:strCache>
                <c:ptCount val="4"/>
                <c:pt idx="0">
                  <c:v>2017年一般公共预算财政拨款支出</c:v>
                </c:pt>
                <c:pt idx="1">
                  <c:v>2018年一般公共预算财政拨款支出</c:v>
                </c:pt>
              </c:strCache>
            </c:strRef>
          </c:cat>
          <c:val>
            <c:numRef>
              <c:f>Sheet1!$D$2:$D$5</c:f>
              <c:numCache>
                <c:formatCode>General</c:formatCode>
                <c:ptCount val="4"/>
              </c:numCache>
            </c:numRef>
          </c:val>
        </c:ser>
        <c:ser>
          <c:idx val="3"/>
          <c:order val="3"/>
          <c:tx>
            <c:strRef>
              <c:f>Sheet1!$E$1</c:f>
              <c:strCache>
                <c:ptCount val="1"/>
                <c:pt idx="0">
                  <c:v>201</c:v>
                </c:pt>
              </c:strCache>
            </c:strRef>
          </c:tx>
          <c:spPr>
            <a:gradFill>
              <a:gsLst>
                <a:gs pos="0">
                  <a:srgbClr val="14CD68"/>
                </a:gs>
                <a:gs pos="100000">
                  <a:srgbClr val="0B6E38"/>
                </a:gs>
              </a:gsLst>
              <a:path path="circle"/>
            </a:gradFill>
            <a:ln>
              <a:noFill/>
            </a:ln>
            <a:effectLst/>
          </c:spPr>
          <c:invertIfNegative val="0"/>
          <c:dLbls>
            <c:delete val="1"/>
          </c:dLbls>
          <c:cat>
            <c:strRef>
              <c:f>Sheet1!$A$2:$A$5</c:f>
              <c:strCache>
                <c:ptCount val="4"/>
                <c:pt idx="0">
                  <c:v>2017年一般公共预算财政拨款支出</c:v>
                </c:pt>
                <c:pt idx="1">
                  <c:v>2018年一般公共预算财政拨款支出</c:v>
                </c:pt>
              </c:strCache>
            </c:strRef>
          </c:cat>
          <c:val>
            <c:numRef>
              <c:f>Sheet1!$E$2:$E$5</c:f>
              <c:numCache>
                <c:formatCode>General</c:formatCode>
                <c:ptCount val="4"/>
              </c:numCache>
            </c:numRef>
          </c:val>
        </c:ser>
        <c:dLbls>
          <c:showLegendKey val="0"/>
          <c:showVal val="0"/>
          <c:showCatName val="0"/>
          <c:showSerName val="0"/>
          <c:showPercent val="0"/>
          <c:showBubbleSize val="0"/>
        </c:dLbls>
        <c:gapWidth val="219"/>
        <c:overlap val="-27"/>
        <c:axId val="862540896"/>
        <c:axId val="413374622"/>
      </c:barChart>
      <c:catAx>
        <c:axId val="862540896"/>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3374622"/>
        <c:crosses val="autoZero"/>
        <c:auto val="1"/>
        <c:lblAlgn val="ctr"/>
        <c:lblOffset val="100"/>
        <c:noMultiLvlLbl val="0"/>
      </c:catAx>
      <c:valAx>
        <c:axId val="41337462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2540896"/>
        <c:crosses val="autoZero"/>
        <c:crossBetween val="between"/>
      </c:valAx>
      <c:spPr>
        <a:noFill/>
        <a:ln>
          <a:noFill/>
        </a:ln>
        <a:effectLst/>
      </c:spPr>
    </c:plotArea>
    <c:legend>
      <c:legendPos val="b"/>
      <c:legendEntry>
        <c:idx val="2"/>
        <c:delete val="1"/>
      </c:legendEntry>
      <c:legendEntry>
        <c:idx val="3"/>
        <c:delete val="1"/>
      </c:legendEntry>
      <c:layout>
        <c:manualLayout>
          <c:xMode val="edge"/>
          <c:yMode val="edge"/>
          <c:x val="0.0979842477639834"/>
          <c:y val="0.879972798367902"/>
          <c:w val="0.826992390869043"/>
          <c:h val="0.10982658959537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一般公共财政预算拨款支出</c:v>
                </c:pt>
              </c:strCache>
            </c:strRef>
          </c:tx>
          <c:spPr/>
          <c:explosion val="0"/>
          <c:dPt>
            <c:idx val="0"/>
            <c:bubble3D val="0"/>
            <c:explosion val="0"/>
            <c:spPr>
              <a:solidFill>
                <a:srgbClr val="1F497D">
                  <a:lumMod val="40000"/>
                  <a:lumOff val="60000"/>
                </a:srgbClr>
              </a:solidFill>
              <a:ln>
                <a:noFill/>
              </a:ln>
              <a:effectLst>
                <a:outerShdw blurRad="254000" sx="102000" sy="102000" algn="ctr" rotWithShape="0">
                  <a:prstClr val="black">
                    <a:alpha val="20000"/>
                  </a:prstClr>
                </a:outerShdw>
              </a:effectLst>
            </c:spPr>
          </c:dPt>
          <c:dPt>
            <c:idx val="1"/>
            <c:bubble3D val="0"/>
            <c:spPr>
              <a:gradFill>
                <a:gsLst>
                  <a:gs pos="0">
                    <a:srgbClr val="FBFB11"/>
                  </a:gs>
                  <a:gs pos="100000">
                    <a:srgbClr val="838309"/>
                  </a:gs>
                </a:gsLst>
                <a:lin ang="5400000" scaled="0"/>
              </a:gradFill>
              <a:ln>
                <a:noFill/>
              </a:ln>
              <a:effectLst>
                <a:outerShdw blurRad="254000" sx="102000" sy="102000" algn="ctr" rotWithShape="0">
                  <a:prstClr val="black">
                    <a:alpha val="20000"/>
                  </a:prstClr>
                </a:outerShdw>
              </a:effectLst>
            </c:spPr>
          </c:dPt>
          <c:dPt>
            <c:idx val="2"/>
            <c:bubble3D val="0"/>
            <c:spPr>
              <a:solidFill>
                <a:srgbClr val="F79646">
                  <a:lumMod val="75000"/>
                </a:srgbClr>
              </a:solidFill>
              <a:ln>
                <a:noFill/>
              </a:ln>
              <a:effectLst>
                <a:outerShdw blurRad="254000" sx="102000" sy="102000" algn="ctr" rotWithShape="0">
                  <a:prstClr val="black">
                    <a:alpha val="20000"/>
                  </a:prstClr>
                </a:outerShdw>
              </a:effectLst>
            </c:spPr>
          </c:dPt>
          <c:dPt>
            <c:idx val="3"/>
            <c:bubble3D val="0"/>
            <c:spPr>
              <a:gradFill>
                <a:gsLst>
                  <a:gs pos="0">
                    <a:srgbClr val="E30000"/>
                  </a:gs>
                  <a:gs pos="100000">
                    <a:srgbClr val="760303"/>
                  </a:gs>
                </a:gsLst>
                <a:path path="circle"/>
              </a:gra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教育支出</c:v>
                </c:pt>
                <c:pt idx="1">
                  <c:v>社会保障与就业支出</c:v>
                </c:pt>
                <c:pt idx="2">
                  <c:v>医疗卫生支出</c:v>
                </c:pt>
                <c:pt idx="3">
                  <c:v>住房保障支出</c:v>
                </c:pt>
              </c:strCache>
            </c:strRef>
          </c:cat>
          <c:val>
            <c:numRef>
              <c:f>Sheet1!$B$2:$B$5</c:f>
              <c:numCache>
                <c:formatCode>General</c:formatCode>
                <c:ptCount val="4"/>
                <c:pt idx="0">
                  <c:v>84.4</c:v>
                </c:pt>
                <c:pt idx="1">
                  <c:v>8.5</c:v>
                </c:pt>
                <c:pt idx="2">
                  <c:v>2.6</c:v>
                </c:pt>
                <c:pt idx="3">
                  <c:v>4.5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forceAA="0"/>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基本">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基本">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基本">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F5448D-2FD2-4FEE-B2DB-0DD8334D8A74}">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28</Pages>
  <Words>2225</Words>
  <Characters>12685</Characters>
  <Lines>105</Lines>
  <Paragraphs>29</Paragraphs>
  <TotalTime>6</TotalTime>
  <ScaleCrop>false</ScaleCrop>
  <LinksUpToDate>false</LinksUpToDate>
  <CharactersWithSpaces>14881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cp:lastModifiedBy>
  <cp:lastPrinted>2019-08-01T00:48:00Z</cp:lastPrinted>
  <dcterms:modified xsi:type="dcterms:W3CDTF">2021-11-30T08:30:37Z</dcterms:modified>
  <dc:title>四川省***</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EACD577F3A9F4D3983DB7CF3B626B5DF</vt:lpwstr>
  </property>
</Properties>
</file>