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黑体" w:hAnsi="黑体" w:eastAsia="黑体"/>
          <w:color w:val="000000"/>
          <w:sz w:val="72"/>
          <w:szCs w:val="72"/>
        </w:rPr>
      </w:pPr>
      <w:bookmarkStart w:id="0" w:name="_Toc15378441"/>
      <w:bookmarkStart w:id="1" w:name="_Toc15396597"/>
      <w:bookmarkStart w:id="2" w:name="_Toc15396475"/>
      <w:bookmarkStart w:id="3" w:name="_Toc15377425"/>
      <w:bookmarkStart w:id="4" w:name="_Toc15377193"/>
      <w:bookmarkStart w:id="5" w:name="_Toc15396599"/>
      <w:bookmarkStart w:id="6" w:name="_Toc15377196"/>
    </w:p>
    <w:p>
      <w:pPr>
        <w:adjustRightInd w:val="0"/>
        <w:snapToGrid w:val="0"/>
        <w:spacing w:line="360" w:lineRule="auto"/>
        <w:jc w:val="center"/>
        <w:outlineLvl w:val="0"/>
        <w:rPr>
          <w:rFonts w:ascii="黑体" w:hAnsi="黑体" w:eastAsia="黑体"/>
          <w:color w:val="000000"/>
          <w:sz w:val="72"/>
          <w:szCs w:val="72"/>
        </w:rPr>
      </w:pPr>
    </w:p>
    <w:p>
      <w:pPr>
        <w:adjustRightInd w:val="0"/>
        <w:snapToGrid w:val="0"/>
        <w:spacing w:line="360" w:lineRule="auto"/>
        <w:jc w:val="center"/>
        <w:outlineLvl w:val="0"/>
        <w:rPr>
          <w:rFonts w:ascii="黑体" w:hAnsi="黑体" w:eastAsia="黑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06268"/>
      <w:bookmarkStart w:id="8" w:name="_Toc15378442"/>
      <w:bookmarkStart w:id="9" w:name="_Toc15396476"/>
      <w:bookmarkStart w:id="10" w:name="_Toc15377426"/>
      <w:bookmarkStart w:id="11" w:name="_Toc15377194"/>
      <w:bookmarkStart w:id="12" w:name="_Toc15396598"/>
      <w:r>
        <w:rPr>
          <w:rFonts w:hint="eastAsia" w:ascii="方正小标宋简体" w:hAnsi="宋体" w:eastAsia="方正小标宋简体"/>
          <w:color w:val="000000"/>
          <w:sz w:val="72"/>
          <w:szCs w:val="72"/>
        </w:rPr>
        <w:t>宣汉县就业服务管理局部门决算</w:t>
      </w:r>
      <w:bookmarkEnd w:id="7"/>
      <w:bookmarkEnd w:id="8"/>
      <w:bookmarkEnd w:id="9"/>
      <w:bookmarkEnd w:id="10"/>
      <w:bookmarkEnd w:id="11"/>
      <w:bookmarkEnd w:id="12"/>
      <w:r>
        <w:rPr>
          <w:rFonts w:hint="eastAsia" w:ascii="方正小标宋简体" w:hAnsi="宋体" w:eastAsia="方正小标宋简体"/>
          <w:color w:val="000000"/>
          <w:sz w:val="72"/>
          <w:szCs w:val="72"/>
        </w:rPr>
        <w:t>公开编制说明</w:t>
      </w:r>
    </w:p>
    <w:p>
      <w:pPr>
        <w:widowControl/>
        <w:jc w:val="center"/>
        <w:rPr>
          <w:rFonts w:asciiTheme="minorEastAsia" w:hAnsiTheme="minorEastAsia" w:eastAsiaTheme="minorEastAsia" w:cstheme="minorEastAsia"/>
          <w:b/>
          <w:bCs/>
          <w:sz w:val="32"/>
          <w:szCs w:val="32"/>
        </w:rPr>
      </w:pPr>
    </w:p>
    <w:p>
      <w:pPr>
        <w:widowControl/>
        <w:jc w:val="center"/>
        <w:rPr>
          <w:rFonts w:asciiTheme="minorEastAsia" w:hAnsiTheme="minorEastAsia" w:eastAsiaTheme="minorEastAsia" w:cstheme="minorEastAsia"/>
          <w:b/>
          <w:bCs/>
          <w:sz w:val="32"/>
          <w:szCs w:val="32"/>
        </w:rPr>
      </w:pPr>
    </w:p>
    <w:p>
      <w:pPr>
        <w:widowControl/>
        <w:jc w:val="center"/>
        <w:rPr>
          <w:rFonts w:asciiTheme="minorEastAsia" w:hAnsiTheme="minorEastAsia" w:eastAsiaTheme="minorEastAsia" w:cstheme="minorEastAsia"/>
          <w:b/>
          <w:bCs/>
          <w:sz w:val="32"/>
          <w:szCs w:val="32"/>
        </w:rPr>
      </w:pPr>
    </w:p>
    <w:p>
      <w:pPr>
        <w:widowControl/>
        <w:jc w:val="center"/>
        <w:rPr>
          <w:rFonts w:asciiTheme="minorEastAsia" w:hAnsiTheme="minorEastAsia" w:eastAsiaTheme="minorEastAsia" w:cstheme="minorEastAsia"/>
          <w:b/>
          <w:bCs/>
          <w:sz w:val="32"/>
          <w:szCs w:val="32"/>
        </w:rPr>
      </w:pPr>
    </w:p>
    <w:p>
      <w:pPr>
        <w:widowControl/>
        <w:jc w:val="center"/>
        <w:rPr>
          <w:rFonts w:asciiTheme="minorEastAsia" w:hAnsiTheme="minorEastAsia" w:eastAsiaTheme="minorEastAsia" w:cstheme="minorEastAsia"/>
          <w:b/>
          <w:bCs/>
          <w:sz w:val="32"/>
          <w:szCs w:val="32"/>
        </w:rPr>
      </w:pPr>
    </w:p>
    <w:p>
      <w:pPr>
        <w:widowControl/>
        <w:jc w:val="center"/>
        <w:rPr>
          <w:rFonts w:asciiTheme="minorEastAsia" w:hAnsiTheme="minorEastAsia" w:eastAsiaTheme="minorEastAsia" w:cstheme="minorEastAsia"/>
          <w:b/>
          <w:bCs/>
          <w:sz w:val="32"/>
          <w:szCs w:val="32"/>
        </w:rPr>
      </w:pPr>
    </w:p>
    <w:p>
      <w:pPr>
        <w:widowControl/>
        <w:jc w:val="center"/>
        <w:rPr>
          <w:rFonts w:asciiTheme="minorEastAsia" w:hAnsiTheme="minorEastAsia" w:eastAsiaTheme="minorEastAsia" w:cstheme="minorEastAsia"/>
          <w:b/>
          <w:bCs/>
          <w:sz w:val="32"/>
          <w:szCs w:val="32"/>
        </w:rPr>
      </w:pPr>
    </w:p>
    <w:p>
      <w:pPr>
        <w:widowControl/>
        <w:jc w:val="center"/>
        <w:rPr>
          <w:rFonts w:asciiTheme="minorEastAsia" w:hAnsiTheme="minorEastAsia" w:eastAsiaTheme="minorEastAsia" w:cstheme="minorEastAsia"/>
          <w:b/>
          <w:bCs/>
          <w:sz w:val="32"/>
          <w:szCs w:val="32"/>
        </w:rPr>
      </w:pPr>
    </w:p>
    <w:p>
      <w:pPr>
        <w:widowControl/>
        <w:jc w:val="center"/>
        <w:rPr>
          <w:rFonts w:asciiTheme="minorEastAsia" w:hAnsiTheme="minorEastAsia" w:eastAsiaTheme="minorEastAsia" w:cstheme="minorEastAsia"/>
          <w:b/>
          <w:bCs/>
          <w:sz w:val="32"/>
          <w:szCs w:val="32"/>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公开时间：2021年11月30日</w:t>
      </w:r>
    </w:p>
    <w:p/>
    <w:p>
      <w:pPr>
        <w:pStyle w:val="10"/>
      </w:pPr>
      <w:r>
        <w:fldChar w:fldCharType="begin"/>
      </w:r>
      <w:r>
        <w:instrText xml:space="preserve"> HYPERLINK \l "_Toc15396599" </w:instrText>
      </w:r>
      <w:r>
        <w:fldChar w:fldCharType="separate"/>
      </w:r>
      <w:r>
        <w:rPr>
          <w:rStyle w:val="16"/>
          <w:rFonts w:hint="eastAsia"/>
        </w:rPr>
        <w:t>第一部分部门概况</w:t>
      </w:r>
      <w: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w:t>
      </w:r>
      <w:r>
        <w:rPr>
          <w:rStyle w:val="16"/>
          <w:rFonts w:hint="eastAsia"/>
        </w:rPr>
        <w:t>20年度部门决算情况说明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Style w:val="16"/>
          <w:rFonts w:hint="eastAsia" w:ascii="仿宋" w:hAnsi="仿宋" w:eastAsia="仿宋"/>
          <w:bCs/>
          <w:sz w:val="28"/>
          <w:szCs w:val="28"/>
        </w:rPr>
        <w:t>一、</w:t>
      </w:r>
      <w:r>
        <w:rPr>
          <w:rStyle w:val="16"/>
          <w:rFonts w:hint="eastAsia" w:ascii="仿宋" w:hAnsi="仿宋" w:eastAsia="仿宋"/>
          <w:sz w:val="28"/>
          <w:szCs w:val="28"/>
        </w:rPr>
        <w:t>收</w:t>
      </w:r>
      <w:r>
        <w:rPr>
          <w:rStyle w:val="16"/>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Style w:val="16"/>
          <w:rFonts w:hint="eastAsia" w:ascii="仿宋" w:hAnsi="仿宋" w:eastAsia="仿宋"/>
          <w:bCs/>
          <w:sz w:val="28"/>
          <w:szCs w:val="28"/>
        </w:rPr>
        <w:t>二、</w:t>
      </w:r>
      <w:r>
        <w:rPr>
          <w:rStyle w:val="16"/>
          <w:rFonts w:hint="eastAsia" w:ascii="仿宋" w:hAnsi="仿宋" w:eastAsia="仿宋"/>
          <w:sz w:val="28"/>
          <w:szCs w:val="28"/>
        </w:rPr>
        <w:t>收</w:t>
      </w:r>
      <w:r>
        <w:rPr>
          <w:rStyle w:val="16"/>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Style w:val="16"/>
          <w:rFonts w:hint="eastAsia" w:ascii="仿宋" w:hAnsi="仿宋" w:eastAsia="仿宋"/>
          <w:bCs/>
          <w:sz w:val="28"/>
          <w:szCs w:val="28"/>
        </w:rPr>
        <w:t>三、</w:t>
      </w:r>
      <w:r>
        <w:rPr>
          <w:rStyle w:val="16"/>
          <w:rFonts w:hint="eastAsia" w:ascii="仿宋" w:hAnsi="仿宋" w:eastAsia="仿宋"/>
          <w:sz w:val="28"/>
          <w:szCs w:val="28"/>
        </w:rPr>
        <w:t>支</w:t>
      </w:r>
      <w:r>
        <w:rPr>
          <w:rStyle w:val="16"/>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bCs/>
          <w:sz w:val="28"/>
          <w:szCs w:val="28"/>
        </w:rPr>
        <w:t>九、</w:t>
      </w:r>
      <w:r>
        <w:rPr>
          <w:rStyle w:val="16"/>
          <w:rFonts w:hint="eastAsia" w:ascii="仿宋" w:hAnsi="仿宋" w:eastAsia="仿宋"/>
          <w:sz w:val="28"/>
          <w:szCs w:val="28"/>
        </w:rPr>
        <w:t>国</w:t>
      </w:r>
      <w:r>
        <w:rPr>
          <w:rStyle w:val="16"/>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名</w:t>
      </w:r>
      <w:r>
        <w:rPr>
          <w:rStyle w:val="16"/>
          <w:rFonts w:hint="eastAsia"/>
          <w:bCs/>
          <w:kern w:val="44"/>
        </w:rPr>
        <w:t>词解释</w:t>
      </w:r>
      <w:r>
        <w:tab/>
      </w:r>
      <w:r>
        <w:fldChar w:fldCharType="begin"/>
      </w:r>
      <w:r>
        <w:instrText xml:space="preserve"> PAGEREF _Toc15396613 \h </w:instrText>
      </w:r>
      <w:r>
        <w:fldChar w:fldCharType="separate"/>
      </w:r>
      <w:r>
        <w:t>14</w:t>
      </w:r>
      <w:r>
        <w:fldChar w:fldCharType="end"/>
      </w:r>
      <w:r>
        <w:fldChar w:fldCharType="end"/>
      </w:r>
    </w:p>
    <w:p>
      <w:pPr>
        <w:pStyle w:val="10"/>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16</w:t>
      </w:r>
      <w:r>
        <w:fldChar w:fldCharType="end"/>
      </w:r>
      <w:r>
        <w:fldChar w:fldCharType="end"/>
      </w:r>
    </w:p>
    <w:p>
      <w:pPr>
        <w:pStyle w:val="11"/>
        <w:rPr>
          <w:rFonts w:ascii="仿宋" w:hAnsi="仿宋" w:eastAsia="仿宋"/>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center"/>
        <w:rPr>
          <w:rFonts w:asciiTheme="minorEastAsia" w:hAnsiTheme="minorEastAsia" w:eastAsiaTheme="minorEastAsia" w:cstheme="minorEastAsia"/>
          <w:b/>
          <w:bCs/>
          <w:sz w:val="32"/>
          <w:szCs w:val="32"/>
        </w:rPr>
      </w:pPr>
      <w:r>
        <w:rPr>
          <w:rFonts w:ascii="黑体" w:hAnsi="黑体" w:eastAsia="黑体"/>
          <w:color w:val="000000"/>
          <w:sz w:val="48"/>
          <w:szCs w:val="48"/>
        </w:rPr>
        <w:fldChar w:fldCharType="end"/>
      </w:r>
    </w:p>
    <w:p>
      <w:pPr>
        <w:widowControl/>
        <w:jc w:val="center"/>
        <w:rPr>
          <w:rFonts w:asciiTheme="minorEastAsia" w:hAnsiTheme="minorEastAsia" w:eastAsiaTheme="minorEastAsia" w:cstheme="minorEastAsia"/>
          <w:b/>
          <w:bCs/>
          <w:sz w:val="32"/>
          <w:szCs w:val="32"/>
        </w:rPr>
      </w:pPr>
    </w:p>
    <w:p>
      <w:pPr>
        <w:widowControl/>
        <w:jc w:val="center"/>
        <w:rPr>
          <w:rFonts w:asciiTheme="minorEastAsia" w:hAnsiTheme="minorEastAsia" w:eastAsiaTheme="minorEastAsia" w:cstheme="minorEastAsia"/>
          <w:b/>
          <w:bCs/>
          <w:sz w:val="32"/>
          <w:szCs w:val="32"/>
        </w:rPr>
      </w:pPr>
    </w:p>
    <w:p>
      <w:pPr>
        <w:widowControl/>
        <w:jc w:val="center"/>
        <w:rPr>
          <w:rFonts w:asciiTheme="minorEastAsia" w:hAnsiTheme="minorEastAsia" w:eastAsiaTheme="minorEastAsia" w:cstheme="minorEastAsia"/>
          <w:b/>
          <w:bCs/>
          <w:sz w:val="32"/>
          <w:szCs w:val="32"/>
        </w:rPr>
      </w:pPr>
    </w:p>
    <w:p>
      <w:pPr>
        <w:widowControl/>
        <w:jc w:val="center"/>
        <w:rPr>
          <w:rFonts w:asciiTheme="minorEastAsia" w:hAnsiTheme="minorEastAsia" w:eastAsiaTheme="minorEastAsia" w:cstheme="minorEastAsia"/>
          <w:b/>
          <w:bCs/>
          <w:sz w:val="32"/>
          <w:szCs w:val="32"/>
        </w:rPr>
      </w:pPr>
    </w:p>
    <w:p>
      <w:pPr>
        <w:widowControl/>
        <w:jc w:val="center"/>
        <w:rPr>
          <w:rFonts w:asciiTheme="minorEastAsia" w:hAnsiTheme="minorEastAsia" w:eastAsiaTheme="minorEastAsia" w:cstheme="minorEastAsia"/>
          <w:b/>
          <w:bCs/>
          <w:sz w:val="32"/>
          <w:szCs w:val="32"/>
        </w:rPr>
      </w:pPr>
    </w:p>
    <w:p>
      <w:pPr>
        <w:widowControl/>
        <w:jc w:val="center"/>
        <w:rPr>
          <w:rFonts w:asciiTheme="minorEastAsia" w:hAnsiTheme="minorEastAsia" w:eastAsiaTheme="minorEastAsia" w:cstheme="minorEastAsia"/>
          <w:b/>
          <w:bCs/>
          <w:sz w:val="32"/>
          <w:szCs w:val="32"/>
        </w:rPr>
      </w:pPr>
    </w:p>
    <w:p>
      <w:pPr>
        <w:widowControl/>
        <w:rPr>
          <w:rFonts w:asciiTheme="minorEastAsia" w:hAnsiTheme="minorEastAsia" w:eastAsiaTheme="minorEastAsia" w:cstheme="minorEastAsia"/>
          <w:b/>
          <w:bCs/>
          <w:sz w:val="32"/>
          <w:szCs w:val="32"/>
        </w:rPr>
      </w:pPr>
    </w:p>
    <w:p>
      <w:pPr>
        <w:widowControl/>
        <w:jc w:val="center"/>
        <w:rPr>
          <w:rStyle w:val="17"/>
          <w:rFonts w:asciiTheme="minorEastAsia" w:hAnsiTheme="minorEastAsia" w:eastAsiaTheme="minorEastAsia" w:cstheme="minorEastAsia"/>
          <w:b w:val="0"/>
          <w:sz w:val="32"/>
          <w:szCs w:val="32"/>
        </w:rPr>
      </w:pPr>
      <w:r>
        <w:rPr>
          <w:rFonts w:hint="eastAsia" w:asciiTheme="minorEastAsia" w:hAnsiTheme="minorEastAsia" w:eastAsiaTheme="minorEastAsia" w:cstheme="minorEastAsia"/>
          <w:b/>
          <w:bCs/>
          <w:sz w:val="32"/>
          <w:szCs w:val="32"/>
        </w:rPr>
        <w:t>第一部分</w:t>
      </w:r>
      <w:r>
        <w:rPr>
          <w:rStyle w:val="17"/>
          <w:rFonts w:hint="eastAsia" w:asciiTheme="minorEastAsia" w:hAnsiTheme="minorEastAsia" w:eastAsiaTheme="minorEastAsia" w:cstheme="minorEastAsia"/>
          <w:sz w:val="32"/>
          <w:szCs w:val="32"/>
        </w:rPr>
        <w:t>部门概况</w:t>
      </w:r>
      <w:bookmarkEnd w:id="5"/>
      <w:bookmarkEnd w:id="6"/>
    </w:p>
    <w:p>
      <w:pPr>
        <w:pStyle w:val="3"/>
        <w:ind w:firstLine="640" w:firstLineChars="200"/>
        <w:rPr>
          <w:rStyle w:val="18"/>
          <w:rFonts w:ascii="仿宋" w:hAnsi="仿宋" w:eastAsia="仿宋"/>
          <w:b w:val="0"/>
          <w:bCs w:val="0"/>
        </w:rPr>
      </w:pPr>
      <w:bookmarkStart w:id="13" w:name="_Toc15396600"/>
      <w:bookmarkStart w:id="14" w:name="_Toc15377197"/>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3"/>
      <w:bookmarkEnd w:id="14"/>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5" w:name="_Toc15378445"/>
      <w:bookmarkStart w:id="16" w:name="_Toc15377198"/>
      <w:r>
        <w:rPr>
          <w:rFonts w:hint="eastAsia" w:ascii="仿宋" w:hAnsi="仿宋" w:eastAsia="仿宋"/>
          <w:bCs/>
          <w:color w:val="000000"/>
          <w:sz w:val="32"/>
          <w:szCs w:val="32"/>
        </w:rPr>
        <w:t>（一）主要职能</w:t>
      </w:r>
      <w:bookmarkEnd w:id="15"/>
      <w:bookmarkEnd w:id="16"/>
      <w:bookmarkStart w:id="17" w:name="_Toc15377199"/>
      <w:bookmarkStart w:id="18" w:name="_Toc15378446"/>
    </w:p>
    <w:p>
      <w:pPr>
        <w:ind w:firstLine="640" w:firstLineChars="200"/>
        <w:rPr>
          <w:rFonts w:ascii="仿宋_GB2312" w:eastAsia="仿宋_GB2312"/>
          <w:sz w:val="32"/>
          <w:szCs w:val="32"/>
        </w:rPr>
      </w:pPr>
      <w:r>
        <w:rPr>
          <w:rFonts w:hint="eastAsia" w:ascii="仿宋_GB2312" w:eastAsia="仿宋_GB2312"/>
          <w:sz w:val="32"/>
          <w:szCs w:val="32"/>
        </w:rPr>
        <w:t>贯彻国家促进就业的法律法规，落实统筹城乡就业的政策措施；开展人力资源市场信息收集整理、分析预测和发布工作组织人力资源市场信息平台建设；承担区域间的劳务交流、协调农村富余劳动力有序流动；负责失业保险基金征缴、待遇审核发放及管理工作；负责失业人员的登记、调查、统计工作；开展创业担保贷款服务和创业培训工作；免费为失业人员提供就业咨询服务；管理流动人员档案；承办领导交办的其他工作</w:t>
      </w:r>
      <w:r>
        <w:rPr>
          <w:rFonts w:ascii="仿宋_GB2312" w:eastAsia="仿宋_GB2312"/>
          <w:sz w:val="32"/>
          <w:szCs w:val="32"/>
        </w:rPr>
        <w:t>;</w:t>
      </w:r>
      <w:r>
        <w:rPr>
          <w:rFonts w:hint="eastAsia" w:ascii="仿宋_GB2312" w:eastAsia="仿宋_GB2312"/>
          <w:sz w:val="32"/>
          <w:szCs w:val="32"/>
        </w:rPr>
        <w:t>办理县委、县政府和上级人力资源和社会保障部门交办的其他工作。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（二）2020年重点工作完成情况</w:t>
      </w:r>
      <w:bookmarkEnd w:id="17"/>
      <w:bookmarkEnd w:id="18"/>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2020年</w:t>
      </w:r>
      <w:bookmarkStart w:id="19" w:name="_Toc15377200"/>
      <w:bookmarkStart w:id="20" w:name="_Toc15396601"/>
      <w:r>
        <w:rPr>
          <w:rFonts w:eastAsia="仿宋_GB2312"/>
          <w:sz w:val="32"/>
          <w:szCs w:val="32"/>
        </w:rPr>
        <w:t>全县城镇新增就业</w:t>
      </w:r>
      <w:r>
        <w:rPr>
          <w:rFonts w:hint="eastAsia" w:eastAsia="仿宋_GB2312"/>
          <w:sz w:val="32"/>
          <w:szCs w:val="32"/>
        </w:rPr>
        <w:t>5526</w:t>
      </w:r>
      <w:r>
        <w:rPr>
          <w:rFonts w:eastAsia="仿宋_GB2312"/>
          <w:sz w:val="32"/>
          <w:szCs w:val="32"/>
        </w:rPr>
        <w:t>人，完成目标任务5300人的</w:t>
      </w:r>
      <w:r>
        <w:rPr>
          <w:rFonts w:hint="eastAsia" w:eastAsia="仿宋_GB2312"/>
          <w:sz w:val="32"/>
          <w:szCs w:val="32"/>
        </w:rPr>
        <w:t>104.26</w:t>
      </w:r>
      <w:r>
        <w:rPr>
          <w:rFonts w:eastAsia="仿宋_GB2312"/>
          <w:sz w:val="32"/>
          <w:szCs w:val="32"/>
        </w:rPr>
        <w:t>%；城镇失业人员再就业</w:t>
      </w:r>
      <w:r>
        <w:rPr>
          <w:rFonts w:hint="eastAsia" w:eastAsia="仿宋_GB2312"/>
          <w:sz w:val="32"/>
          <w:szCs w:val="32"/>
        </w:rPr>
        <w:t>1628</w:t>
      </w:r>
      <w:r>
        <w:rPr>
          <w:rFonts w:eastAsia="仿宋_GB2312"/>
          <w:sz w:val="32"/>
          <w:szCs w:val="32"/>
        </w:rPr>
        <w:t>人，完成目标任务1300人的</w:t>
      </w:r>
      <w:r>
        <w:rPr>
          <w:rFonts w:hint="eastAsia" w:eastAsia="仿宋_GB2312"/>
          <w:sz w:val="32"/>
          <w:szCs w:val="32"/>
        </w:rPr>
        <w:t>125.23</w:t>
      </w:r>
      <w:r>
        <w:rPr>
          <w:rFonts w:eastAsia="仿宋_GB2312"/>
          <w:sz w:val="32"/>
          <w:szCs w:val="32"/>
        </w:rPr>
        <w:t>%；就业困难人员再就业</w:t>
      </w:r>
      <w:r>
        <w:rPr>
          <w:rFonts w:hint="eastAsia" w:eastAsia="仿宋_GB2312"/>
          <w:sz w:val="32"/>
          <w:szCs w:val="32"/>
        </w:rPr>
        <w:t>455</w:t>
      </w:r>
      <w:r>
        <w:rPr>
          <w:rFonts w:eastAsia="仿宋_GB2312"/>
          <w:sz w:val="32"/>
          <w:szCs w:val="32"/>
        </w:rPr>
        <w:t>人，完成目标任务370人的1</w:t>
      </w:r>
      <w:r>
        <w:rPr>
          <w:rFonts w:hint="eastAsia" w:eastAsia="仿宋_GB2312"/>
          <w:sz w:val="32"/>
          <w:szCs w:val="32"/>
        </w:rPr>
        <w:t>22.97</w:t>
      </w:r>
      <w:r>
        <w:rPr>
          <w:rFonts w:eastAsia="仿宋_GB2312"/>
          <w:sz w:val="32"/>
          <w:szCs w:val="32"/>
        </w:rPr>
        <w:t>%；城镇登记失业率4.</w:t>
      </w:r>
      <w:r>
        <w:rPr>
          <w:rFonts w:hint="eastAsia" w:eastAsia="仿宋_GB2312"/>
          <w:sz w:val="32"/>
          <w:szCs w:val="32"/>
        </w:rPr>
        <w:t>1</w:t>
      </w:r>
      <w:r>
        <w:rPr>
          <w:rFonts w:eastAsia="仿宋_GB2312"/>
          <w:sz w:val="32"/>
          <w:szCs w:val="32"/>
        </w:rPr>
        <w:t>%；创业培训35</w:t>
      </w:r>
      <w:r>
        <w:rPr>
          <w:rFonts w:hint="eastAsia" w:eastAsia="仿宋_GB2312"/>
          <w:sz w:val="32"/>
          <w:szCs w:val="32"/>
        </w:rPr>
        <w:t>7</w:t>
      </w:r>
      <w:r>
        <w:rPr>
          <w:rFonts w:eastAsia="仿宋_GB2312"/>
          <w:sz w:val="32"/>
          <w:szCs w:val="32"/>
        </w:rPr>
        <w:t>人，完成目标任务350人的</w:t>
      </w:r>
      <w:r>
        <w:rPr>
          <w:rFonts w:hint="eastAsia" w:eastAsia="仿宋_GB2312"/>
          <w:sz w:val="32"/>
          <w:szCs w:val="32"/>
        </w:rPr>
        <w:t>102</w:t>
      </w:r>
      <w:r>
        <w:rPr>
          <w:rFonts w:eastAsia="仿宋_GB2312"/>
          <w:sz w:val="32"/>
          <w:szCs w:val="32"/>
        </w:rPr>
        <w:t>%；脱贫攻坚技能培训</w:t>
      </w:r>
      <w:r>
        <w:rPr>
          <w:rFonts w:hint="eastAsia" w:eastAsia="仿宋_GB2312"/>
          <w:sz w:val="32"/>
          <w:szCs w:val="32"/>
        </w:rPr>
        <w:t>32期，3668</w:t>
      </w:r>
      <w:r>
        <w:rPr>
          <w:rFonts w:eastAsia="仿宋_GB2312"/>
          <w:sz w:val="32"/>
          <w:szCs w:val="32"/>
        </w:rPr>
        <w:t>人（其中东西部扶贫劳务协作贫困家庭劳动力培训310人）</w:t>
      </w:r>
      <w:r>
        <w:rPr>
          <w:rFonts w:hint="eastAsia" w:eastAsia="仿宋_GB2312"/>
          <w:sz w:val="32"/>
          <w:szCs w:val="32"/>
        </w:rPr>
        <w:t>；</w:t>
      </w:r>
      <w:r>
        <w:rPr>
          <w:rFonts w:eastAsia="仿宋_GB2312"/>
          <w:sz w:val="32"/>
          <w:szCs w:val="32"/>
        </w:rPr>
        <w:t>高校毕业</w:t>
      </w:r>
      <w:r>
        <w:rPr>
          <w:rFonts w:eastAsia="仿宋_GB2312"/>
          <w:color w:val="000000" w:themeColor="text1"/>
          <w:sz w:val="32"/>
          <w:szCs w:val="32"/>
        </w:rPr>
        <w:t>生实现创业</w:t>
      </w:r>
      <w:r>
        <w:rPr>
          <w:rFonts w:hint="eastAsia" w:eastAsia="仿宋_GB2312"/>
          <w:color w:val="000000" w:themeColor="text1"/>
          <w:sz w:val="32"/>
          <w:szCs w:val="32"/>
        </w:rPr>
        <w:t>6</w:t>
      </w:r>
      <w:r>
        <w:rPr>
          <w:rFonts w:eastAsia="仿宋_GB2312"/>
          <w:color w:val="000000" w:themeColor="text1"/>
          <w:sz w:val="32"/>
          <w:szCs w:val="32"/>
        </w:rPr>
        <w:t>人；发放创业担保贷款</w:t>
      </w:r>
      <w:r>
        <w:rPr>
          <w:rFonts w:hint="eastAsia" w:eastAsia="仿宋_GB2312"/>
          <w:color w:val="000000" w:themeColor="text1"/>
          <w:sz w:val="32"/>
          <w:szCs w:val="32"/>
        </w:rPr>
        <w:t>2460</w:t>
      </w:r>
      <w:r>
        <w:rPr>
          <w:rFonts w:eastAsia="仿宋_GB2312"/>
          <w:color w:val="000000" w:themeColor="text1"/>
          <w:sz w:val="32"/>
          <w:szCs w:val="32"/>
        </w:rPr>
        <w:t>万元；发放失业保险各项</w:t>
      </w:r>
      <w:r>
        <w:rPr>
          <w:rFonts w:eastAsia="仿宋_GB2312"/>
          <w:sz w:val="32"/>
          <w:szCs w:val="32"/>
        </w:rPr>
        <w:t>待遇</w:t>
      </w:r>
      <w:r>
        <w:rPr>
          <w:rFonts w:eastAsia="仿宋_GB2312"/>
          <w:color w:val="FF0000"/>
          <w:sz w:val="32"/>
          <w:szCs w:val="32"/>
        </w:rPr>
        <w:t>152.9</w:t>
      </w:r>
      <w:r>
        <w:rPr>
          <w:rFonts w:eastAsia="仿宋_GB2312"/>
          <w:sz w:val="32"/>
          <w:szCs w:val="32"/>
        </w:rPr>
        <w:t>万元；举办就业扶贫专场招聘会</w:t>
      </w:r>
      <w:r>
        <w:rPr>
          <w:rFonts w:hint="eastAsia" w:eastAsia="仿宋_GB2312"/>
          <w:sz w:val="32"/>
          <w:szCs w:val="32"/>
        </w:rPr>
        <w:t>16</w:t>
      </w:r>
      <w:r>
        <w:rPr>
          <w:rFonts w:eastAsia="仿宋_GB2312"/>
          <w:sz w:val="32"/>
          <w:szCs w:val="32"/>
        </w:rPr>
        <w:t>场次（其中浙川东西部就业扶贫协作专场招聘会5场）；</w:t>
      </w:r>
      <w:r>
        <w:rPr>
          <w:rFonts w:hint="eastAsia" w:eastAsia="仿宋_GB2312"/>
          <w:sz w:val="32"/>
          <w:szCs w:val="32"/>
        </w:rPr>
        <w:t>认定</w:t>
      </w:r>
      <w:r>
        <w:rPr>
          <w:rFonts w:eastAsia="仿宋_GB2312"/>
          <w:sz w:val="32"/>
          <w:szCs w:val="32"/>
        </w:rPr>
        <w:t>就业扶贫基地6个、就业扶贫车间2个</w:t>
      </w:r>
      <w:r>
        <w:rPr>
          <w:rFonts w:hint="eastAsia" w:eastAsia="仿宋_GB2312"/>
          <w:sz w:val="32"/>
          <w:szCs w:val="32"/>
        </w:rPr>
        <w:t>；</w:t>
      </w:r>
      <w:r>
        <w:rPr>
          <w:rFonts w:eastAsia="仿宋_GB2312"/>
          <w:sz w:val="32"/>
          <w:szCs w:val="32"/>
        </w:rPr>
        <w:t>贫困家庭劳动力自主创业5</w:t>
      </w:r>
      <w:r>
        <w:rPr>
          <w:rFonts w:hint="eastAsia" w:eastAsia="仿宋_GB2312"/>
          <w:sz w:val="32"/>
          <w:szCs w:val="32"/>
        </w:rPr>
        <w:t>9</w:t>
      </w:r>
      <w:r>
        <w:rPr>
          <w:rFonts w:eastAsia="仿宋_GB2312"/>
          <w:sz w:val="32"/>
          <w:szCs w:val="32"/>
        </w:rPr>
        <w:t>人。</w:t>
      </w:r>
    </w:p>
    <w:p>
      <w:pPr>
        <w:spacing w:line="579" w:lineRule="exact"/>
        <w:ind w:firstLine="640" w:firstLineChars="200"/>
        <w:rPr>
          <w:rStyle w:val="18"/>
          <w:rFonts w:ascii="黑体" w:hAnsi="黑体" w:eastAsia="黑体"/>
        </w:rPr>
      </w:pPr>
      <w:r>
        <w:rPr>
          <w:rFonts w:hint="eastAsia" w:ascii="黑体" w:hAnsi="黑体" w:eastAsia="黑体"/>
          <w:color w:val="000000"/>
          <w:sz w:val="32"/>
          <w:szCs w:val="32"/>
        </w:rPr>
        <w:t>二、机</w:t>
      </w:r>
      <w:r>
        <w:rPr>
          <w:rStyle w:val="18"/>
          <w:rFonts w:hint="eastAsia" w:ascii="黑体" w:hAnsi="黑体" w:eastAsia="黑体"/>
        </w:rPr>
        <w:t>构设置</w:t>
      </w:r>
      <w:bookmarkEnd w:id="19"/>
      <w:bookmarkEnd w:id="20"/>
    </w:p>
    <w:p>
      <w:pPr>
        <w:ind w:firstLine="640" w:firstLineChars="200"/>
        <w:rPr>
          <w:rFonts w:ascii="仿宋_GB2312" w:eastAsia="仿宋_GB2312"/>
          <w:sz w:val="32"/>
          <w:szCs w:val="32"/>
        </w:rPr>
      </w:pPr>
      <w:r>
        <w:rPr>
          <w:rFonts w:hint="eastAsia" w:ascii="仿宋_GB2312" w:eastAsia="仿宋_GB2312"/>
          <w:sz w:val="32"/>
          <w:szCs w:val="32"/>
        </w:rPr>
        <w:t>宣汉县就业服务管理局属参照公务员管理的事业单位，设六股一室二中心（办公室、企指股、培训股、创业指导股、稽核股、失业保险股、财务股、人才交流中心、创业指导中心）。</w:t>
      </w:r>
    </w:p>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7"/>
          <w:rFonts w:ascii="黑体" w:hAnsi="黑体" w:eastAsia="黑体"/>
          <w:b w:val="0"/>
          <w:bCs w:val="0"/>
        </w:rPr>
      </w:pPr>
      <w:bookmarkStart w:id="21" w:name="_Toc15377204"/>
      <w:bookmarkStart w:id="22" w:name="_Toc15396602"/>
      <w:r>
        <w:rPr>
          <w:rFonts w:hint="eastAsia" w:ascii="黑体" w:hAnsi="黑体" w:eastAsia="黑体"/>
          <w:b w:val="0"/>
          <w:color w:val="000000"/>
        </w:rPr>
        <w:t>第二部分</w:t>
      </w:r>
      <w:r>
        <w:rPr>
          <w:rStyle w:val="17"/>
          <w:rFonts w:hint="eastAsia" w:ascii="黑体" w:hAnsi="黑体" w:eastAsia="黑体"/>
          <w:b w:val="0"/>
          <w:bCs w:val="0"/>
        </w:rPr>
        <w:t>2020年度部门决算情况说明</w:t>
      </w:r>
      <w:bookmarkEnd w:id="21"/>
      <w:bookmarkEnd w:id="22"/>
    </w:p>
    <w:p/>
    <w:p>
      <w:pPr>
        <w:pStyle w:val="28"/>
        <w:numPr>
          <w:ilvl w:val="0"/>
          <w:numId w:val="1"/>
        </w:numPr>
        <w:spacing w:line="600" w:lineRule="exact"/>
        <w:ind w:firstLineChars="0"/>
        <w:outlineLvl w:val="1"/>
        <w:rPr>
          <w:rStyle w:val="18"/>
          <w:rFonts w:ascii="黑体" w:hAnsi="黑体" w:eastAsia="黑体"/>
          <w:b w:val="0"/>
        </w:rPr>
      </w:pPr>
      <w:bookmarkStart w:id="23" w:name="_Toc15396603"/>
      <w:bookmarkStart w:id="24" w:name="_Toc15377205"/>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3"/>
      <w:bookmarkEnd w:id="24"/>
    </w:p>
    <w:p>
      <w:pPr>
        <w:ind w:firstLine="640" w:firstLineChars="200"/>
        <w:rPr>
          <w:rFonts w:ascii="仿宋_GB2312" w:eastAsia="仿宋_GB2312"/>
          <w:sz w:val="32"/>
          <w:szCs w:val="32"/>
        </w:rPr>
      </w:pPr>
      <w:r>
        <w:rPr>
          <w:rFonts w:hint="eastAsia" w:ascii="仿宋_GB2312" w:eastAsia="仿宋_GB2312"/>
          <w:sz w:val="32"/>
          <w:szCs w:val="32"/>
        </w:rPr>
        <w:t>2020年度收、支总计267.13万元。与2019年相比，收、支总计减少192.38万元，主要变动原因是</w:t>
      </w:r>
      <w:r>
        <w:rPr>
          <w:rFonts w:ascii="仿宋_GB2312" w:eastAsia="仿宋_GB2312"/>
          <w:sz w:val="32"/>
          <w:szCs w:val="32"/>
        </w:rPr>
        <w:t>20</w:t>
      </w:r>
      <w:r>
        <w:rPr>
          <w:rFonts w:hint="eastAsia" w:ascii="仿宋_GB2312" w:eastAsia="仿宋_GB2312"/>
          <w:sz w:val="32"/>
          <w:szCs w:val="32"/>
        </w:rPr>
        <w:t>20年减少了项目支出</w:t>
      </w:r>
    </w:p>
    <w:p>
      <w:pPr>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drawing>
          <wp:inline distT="0" distB="0" distL="0" distR="0">
            <wp:extent cx="4977765" cy="4241800"/>
            <wp:effectExtent l="19050" t="0" r="12847" b="5759"/>
            <wp:docPr id="22"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（图</w:t>
      </w:r>
      <w:r>
        <w:rPr>
          <w:rFonts w:ascii="仿宋_GB2312" w:eastAsia="仿宋_GB2312"/>
          <w:sz w:val="32"/>
          <w:szCs w:val="32"/>
        </w:rPr>
        <w:t>1</w:t>
      </w:r>
      <w:r>
        <w:rPr>
          <w:rFonts w:hint="eastAsia" w:ascii="仿宋_GB2312" w:eastAsia="仿宋_GB2312"/>
          <w:sz w:val="32"/>
          <w:szCs w:val="32"/>
        </w:rPr>
        <w:t>：收、支决算总计变动情况图）</w:t>
      </w:r>
    </w:p>
    <w:p>
      <w:pPr>
        <w:pStyle w:val="28"/>
        <w:numPr>
          <w:ilvl w:val="0"/>
          <w:numId w:val="1"/>
        </w:numPr>
        <w:spacing w:line="600" w:lineRule="exact"/>
        <w:ind w:firstLineChars="0"/>
        <w:outlineLvl w:val="1"/>
        <w:rPr>
          <w:rStyle w:val="18"/>
          <w:rFonts w:ascii="黑体" w:hAnsi="黑体" w:eastAsia="黑体"/>
          <w:b w:val="0"/>
        </w:rPr>
      </w:pPr>
      <w:bookmarkStart w:id="25" w:name="_Toc15396604"/>
      <w:bookmarkStart w:id="26" w:name="_Toc15377206"/>
      <w:r>
        <w:rPr>
          <w:rFonts w:hint="eastAsia" w:ascii="黑体" w:hAnsi="黑体" w:eastAsia="黑体"/>
          <w:color w:val="000000"/>
          <w:sz w:val="32"/>
          <w:szCs w:val="32"/>
        </w:rPr>
        <w:t>收</w:t>
      </w:r>
      <w:r>
        <w:rPr>
          <w:rStyle w:val="18"/>
          <w:rFonts w:hint="eastAsia" w:ascii="黑体" w:hAnsi="黑体" w:eastAsia="黑体"/>
          <w:b w:val="0"/>
        </w:rPr>
        <w:t>入决算情况说明</w:t>
      </w:r>
      <w:bookmarkEnd w:id="25"/>
      <w:bookmarkEnd w:id="26"/>
    </w:p>
    <w:p>
      <w:pPr>
        <w:ind w:firstLine="640" w:firstLineChars="200"/>
        <w:rPr>
          <w:rFonts w:ascii="仿宋_GB2312" w:eastAsia="仿宋_GB2312"/>
          <w:sz w:val="32"/>
          <w:szCs w:val="32"/>
        </w:rPr>
      </w:pPr>
      <w:r>
        <w:rPr>
          <w:rFonts w:hint="eastAsia" w:ascii="仿宋_GB2312" w:eastAsia="仿宋_GB2312"/>
          <w:sz w:val="32"/>
          <w:szCs w:val="32"/>
        </w:rPr>
        <w:t>单位本年度实际收到一般公共预算财政拨款收入267.13万元，财政部门拨款对账单267.13万元，无差额。</w:t>
      </w:r>
    </w:p>
    <w:p>
      <w:pPr>
        <w:ind w:firstLine="640" w:firstLineChars="200"/>
        <w:rPr>
          <w:rFonts w:ascii="仿宋_GB2312" w:eastAsia="仿宋_GB2312"/>
          <w:sz w:val="32"/>
          <w:szCs w:val="32"/>
        </w:rPr>
      </w:pPr>
      <w:r>
        <w:rPr>
          <w:rFonts w:hint="eastAsia" w:ascii="仿宋_GB2312" w:eastAsia="仿宋_GB2312"/>
          <w:sz w:val="32"/>
          <w:szCs w:val="32"/>
        </w:rPr>
        <w:drawing>
          <wp:inline distT="0" distB="0" distL="0" distR="0">
            <wp:extent cx="3495675" cy="3076575"/>
            <wp:effectExtent l="19050" t="0" r="9525"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pStyle w:val="28"/>
        <w:numPr>
          <w:ilvl w:val="0"/>
          <w:numId w:val="1"/>
        </w:numPr>
        <w:spacing w:line="600" w:lineRule="exact"/>
        <w:ind w:firstLineChars="0"/>
        <w:outlineLvl w:val="1"/>
        <w:rPr>
          <w:rStyle w:val="18"/>
          <w:rFonts w:ascii="黑体" w:hAnsi="黑体" w:eastAsia="黑体"/>
          <w:b w:val="0"/>
        </w:rPr>
      </w:pPr>
      <w:bookmarkStart w:id="27" w:name="_Toc15377207"/>
      <w:bookmarkStart w:id="28" w:name="_Toc15396605"/>
      <w:r>
        <w:rPr>
          <w:rFonts w:hint="eastAsia" w:ascii="黑体" w:hAnsi="黑体" w:eastAsia="黑体"/>
          <w:color w:val="000000"/>
          <w:sz w:val="32"/>
          <w:szCs w:val="32"/>
        </w:rPr>
        <w:t>支</w:t>
      </w:r>
      <w:r>
        <w:rPr>
          <w:rStyle w:val="18"/>
          <w:rFonts w:hint="eastAsia" w:ascii="黑体" w:hAnsi="黑体" w:eastAsia="黑体"/>
          <w:b w:val="0"/>
        </w:rPr>
        <w:t>出决算情况说明</w:t>
      </w:r>
      <w:bookmarkEnd w:id="27"/>
      <w:bookmarkEnd w:id="28"/>
    </w:p>
    <w:p>
      <w:pPr>
        <w:ind w:firstLine="640" w:firstLineChars="200"/>
        <w:rPr>
          <w:rFonts w:ascii="仿宋_GB2312" w:eastAsia="仿宋_GB2312"/>
          <w:sz w:val="32"/>
          <w:szCs w:val="32"/>
        </w:rPr>
      </w:pPr>
      <w:r>
        <w:rPr>
          <w:rFonts w:hint="eastAsia" w:ascii="仿宋_GB2312" w:eastAsia="仿宋_GB2312"/>
          <w:sz w:val="32"/>
          <w:szCs w:val="32"/>
        </w:rPr>
        <w:t>2020年支出合计267.13万元，其中：基本支出267.13万元，占100</w:t>
      </w:r>
      <w:r>
        <w:rPr>
          <w:rFonts w:ascii="仿宋_GB2312" w:eastAsia="仿宋_GB2312"/>
          <w:sz w:val="32"/>
          <w:szCs w:val="32"/>
        </w:rPr>
        <w:t>%</w:t>
      </w:r>
      <w:r>
        <w:rPr>
          <w:rFonts w:hint="eastAsia" w:ascii="仿宋_GB2312" w:eastAsia="仿宋_GB2312"/>
          <w:sz w:val="32"/>
          <w:szCs w:val="32"/>
        </w:rPr>
        <w:t>；项目支出0万元，占0</w:t>
      </w:r>
      <w:r>
        <w:rPr>
          <w:rFonts w:ascii="仿宋_GB2312" w:eastAsia="仿宋_GB2312"/>
          <w:sz w:val="32"/>
          <w:szCs w:val="32"/>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drawing>
          <wp:inline distT="0" distB="0" distL="0" distR="0">
            <wp:extent cx="3829685" cy="3519170"/>
            <wp:effectExtent l="19050" t="0" r="18163" b="4873"/>
            <wp:docPr id="26"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outlineLvl w:val="1"/>
        <w:rPr>
          <w:rStyle w:val="18"/>
          <w:rFonts w:ascii="黑体" w:hAnsi="黑体" w:eastAsia="黑体"/>
          <w:b w:val="0"/>
        </w:rPr>
      </w:pPr>
      <w:bookmarkStart w:id="29" w:name="_Toc15377208"/>
      <w:bookmarkStart w:id="30" w:name="_Toc15396606"/>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29"/>
      <w:bookmarkEnd w:id="30"/>
    </w:p>
    <w:p>
      <w:pPr>
        <w:ind w:firstLine="640" w:firstLineChars="200"/>
        <w:rPr>
          <w:rFonts w:ascii="仿宋_GB2312" w:eastAsia="仿宋_GB2312"/>
          <w:sz w:val="32"/>
          <w:szCs w:val="32"/>
        </w:rPr>
      </w:pPr>
      <w:r>
        <w:rPr>
          <w:rFonts w:hint="eastAsia" w:ascii="仿宋_GB2312" w:eastAsia="仿宋_GB2312"/>
          <w:sz w:val="32"/>
          <w:szCs w:val="32"/>
        </w:rPr>
        <w:t>2020年度收、支总计267.13万元。与</w:t>
      </w:r>
      <w:r>
        <w:rPr>
          <w:rFonts w:ascii="仿宋_GB2312" w:eastAsia="仿宋_GB2312"/>
          <w:sz w:val="32"/>
          <w:szCs w:val="32"/>
        </w:rPr>
        <w:t>201</w:t>
      </w:r>
      <w:r>
        <w:rPr>
          <w:rFonts w:hint="eastAsia" w:ascii="仿宋_GB2312" w:eastAsia="仿宋_GB2312"/>
          <w:sz w:val="32"/>
          <w:szCs w:val="32"/>
        </w:rPr>
        <w:t>9年相比，收、支总计减少192.38万元，主要变动原因是2020年减少了项目支出。</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drawing>
          <wp:inline distT="0" distB="0" distL="0" distR="0">
            <wp:extent cx="4438650" cy="4953000"/>
            <wp:effectExtent l="19050" t="0" r="19050" b="0"/>
            <wp:docPr id="27"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480" w:firstLineChars="150"/>
        <w:outlineLvl w:val="1"/>
        <w:rPr>
          <w:rStyle w:val="18"/>
          <w:rFonts w:ascii="黑体" w:hAnsi="黑体" w:eastAsia="黑体"/>
          <w:b w:val="0"/>
        </w:rPr>
      </w:pPr>
      <w:bookmarkStart w:id="31" w:name="_Toc15377209"/>
      <w:bookmarkStart w:id="32"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31"/>
      <w:bookmarkEnd w:id="32"/>
    </w:p>
    <w:p>
      <w:pPr>
        <w:spacing w:line="600" w:lineRule="exact"/>
        <w:ind w:firstLine="642" w:firstLineChars="200"/>
        <w:outlineLvl w:val="2"/>
        <w:rPr>
          <w:rFonts w:ascii="仿宋" w:hAnsi="仿宋" w:eastAsia="仿宋"/>
          <w:b/>
          <w:color w:val="000000"/>
          <w:sz w:val="32"/>
          <w:szCs w:val="32"/>
        </w:rPr>
      </w:pPr>
      <w:bookmarkStart w:id="33" w:name="_Toc15377210"/>
      <w:r>
        <w:rPr>
          <w:rFonts w:hint="eastAsia" w:ascii="仿宋" w:hAnsi="仿宋" w:eastAsia="仿宋"/>
          <w:b/>
          <w:color w:val="000000"/>
          <w:sz w:val="32"/>
          <w:szCs w:val="32"/>
        </w:rPr>
        <w:t>（一）一般公共预算财政拨款支出决算总体情况</w:t>
      </w:r>
      <w:bookmarkEnd w:id="33"/>
    </w:p>
    <w:p>
      <w:pPr>
        <w:ind w:firstLine="640" w:firstLineChars="200"/>
        <w:rPr>
          <w:rFonts w:ascii="仿宋_GB2312" w:eastAsia="仿宋_GB2312"/>
          <w:sz w:val="32"/>
          <w:szCs w:val="32"/>
        </w:rPr>
      </w:pPr>
      <w:r>
        <w:rPr>
          <w:rFonts w:hint="eastAsia" w:ascii="仿宋_GB2312" w:eastAsia="仿宋_GB2312"/>
          <w:sz w:val="32"/>
          <w:szCs w:val="32"/>
        </w:rPr>
        <w:t>2020年度收、支总计267.13万元。与</w:t>
      </w:r>
      <w:r>
        <w:rPr>
          <w:rFonts w:ascii="仿宋_GB2312" w:eastAsia="仿宋_GB2312"/>
          <w:sz w:val="32"/>
          <w:szCs w:val="32"/>
        </w:rPr>
        <w:t>201</w:t>
      </w:r>
      <w:r>
        <w:rPr>
          <w:rFonts w:hint="eastAsia" w:ascii="仿宋_GB2312" w:eastAsia="仿宋_GB2312"/>
          <w:sz w:val="32"/>
          <w:szCs w:val="32"/>
        </w:rPr>
        <w:t>9年相比，收、支总计减少192.38万元，主要变动原因是</w:t>
      </w:r>
      <w:r>
        <w:rPr>
          <w:rFonts w:ascii="仿宋_GB2312" w:eastAsia="仿宋_GB2312"/>
          <w:sz w:val="32"/>
          <w:szCs w:val="32"/>
        </w:rPr>
        <w:t>20</w:t>
      </w:r>
      <w:r>
        <w:rPr>
          <w:rFonts w:hint="eastAsia" w:ascii="仿宋_GB2312" w:eastAsia="仿宋_GB2312"/>
          <w:sz w:val="32"/>
          <w:szCs w:val="32"/>
        </w:rPr>
        <w:t>20年减少了项目支出。</w:t>
      </w:r>
    </w:p>
    <w:p>
      <w:pPr>
        <w:ind w:firstLine="640" w:firstLineChars="200"/>
        <w:rPr>
          <w:rFonts w:ascii="仿宋_GB2312" w:eastAsia="仿宋_GB2312"/>
          <w:sz w:val="32"/>
          <w:szCs w:val="32"/>
        </w:rPr>
      </w:pPr>
      <w:r>
        <w:rPr>
          <w:rFonts w:hint="eastAsia" w:ascii="仿宋_GB2312" w:eastAsia="仿宋_GB2312"/>
          <w:sz w:val="32"/>
          <w:szCs w:val="32"/>
        </w:rPr>
        <w:drawing>
          <wp:inline distT="0" distB="0" distL="0" distR="0">
            <wp:extent cx="4438650" cy="4886325"/>
            <wp:effectExtent l="19050" t="0" r="19050" b="0"/>
            <wp:docPr id="30"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2" w:firstLineChars="200"/>
        <w:outlineLvl w:val="2"/>
        <w:rPr>
          <w:rFonts w:ascii="仿宋" w:hAnsi="仿宋" w:eastAsia="仿宋"/>
          <w:b/>
          <w:color w:val="000000"/>
          <w:sz w:val="32"/>
          <w:szCs w:val="32"/>
        </w:rPr>
      </w:pPr>
      <w:bookmarkStart w:id="34" w:name="_Toc15377211"/>
      <w:r>
        <w:rPr>
          <w:rFonts w:hint="eastAsia" w:ascii="仿宋" w:hAnsi="仿宋" w:eastAsia="仿宋"/>
          <w:b/>
          <w:color w:val="000000"/>
          <w:sz w:val="32"/>
          <w:szCs w:val="32"/>
        </w:rPr>
        <w:t>（二）一般公共预算财政拨款支出决算结构情况</w:t>
      </w:r>
      <w:bookmarkEnd w:id="34"/>
    </w:p>
    <w:p>
      <w:pPr>
        <w:spacing w:line="600" w:lineRule="exact"/>
        <w:ind w:firstLine="640"/>
        <w:rPr>
          <w:rFonts w:ascii="仿宋_GB2312" w:eastAsia="仿宋_GB2312"/>
          <w:sz w:val="32"/>
          <w:szCs w:val="32"/>
        </w:rPr>
      </w:pPr>
      <w:r>
        <w:rPr>
          <w:rFonts w:hint="eastAsia" w:ascii="仿宋_GB2312" w:eastAsia="仿宋_GB2312"/>
          <w:sz w:val="32"/>
          <w:szCs w:val="32"/>
        </w:rPr>
        <w:t>2020年一般公共预算财政拨款支出267.13万元，主要用于以下方面</w:t>
      </w:r>
      <w:r>
        <w:rPr>
          <w:rFonts w:ascii="仿宋_GB2312" w:eastAsia="仿宋_GB2312"/>
          <w:sz w:val="32"/>
          <w:szCs w:val="32"/>
        </w:rPr>
        <w:t>:</w:t>
      </w:r>
      <w:r>
        <w:rPr>
          <w:rFonts w:hint="eastAsia" w:ascii="仿宋_GB2312" w:eastAsia="仿宋_GB2312"/>
          <w:sz w:val="32"/>
          <w:szCs w:val="32"/>
        </w:rPr>
        <w:t>社会保障和就业（类）支出243.64万元，占94.1</w:t>
      </w:r>
      <w:r>
        <w:rPr>
          <w:rFonts w:ascii="仿宋_GB2312" w:eastAsia="仿宋_GB2312"/>
          <w:sz w:val="32"/>
          <w:szCs w:val="32"/>
        </w:rPr>
        <w:t>%</w:t>
      </w:r>
      <w:r>
        <w:rPr>
          <w:rFonts w:hint="eastAsia" w:ascii="仿宋_GB2312" w:eastAsia="仿宋_GB2312"/>
          <w:sz w:val="32"/>
          <w:szCs w:val="32"/>
        </w:rPr>
        <w:t>；医疗卫生与计划生育支出（类）9.87万元，占</w:t>
      </w:r>
      <w:r>
        <w:rPr>
          <w:rFonts w:ascii="仿宋_GB2312" w:eastAsia="仿宋_GB2312"/>
          <w:sz w:val="32"/>
          <w:szCs w:val="32"/>
        </w:rPr>
        <w:t>2.</w:t>
      </w: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；住房保障支出（类）13.63万元</w:t>
      </w:r>
      <w:r>
        <w:rPr>
          <w:rFonts w:ascii="仿宋_GB2312" w:eastAsia="仿宋_GB2312"/>
          <w:sz w:val="32"/>
          <w:szCs w:val="32"/>
        </w:rPr>
        <w:t>,</w:t>
      </w:r>
      <w:r>
        <w:rPr>
          <w:rFonts w:hint="eastAsia" w:ascii="仿宋_GB2312" w:eastAsia="仿宋_GB2312"/>
          <w:sz w:val="32"/>
          <w:szCs w:val="32"/>
        </w:rPr>
        <w:t>占3.2</w:t>
      </w:r>
      <w:r>
        <w:rPr>
          <w:rFonts w:ascii="仿宋_GB2312" w:eastAsia="仿宋_GB2312"/>
          <w:sz w:val="32"/>
          <w:szCs w:val="32"/>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drawing>
          <wp:inline distT="0" distB="0" distL="0" distR="0">
            <wp:extent cx="4573905" cy="3295650"/>
            <wp:effectExtent l="19050" t="0" r="16834" b="0"/>
            <wp:docPr id="33"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2" w:firstLineChars="200"/>
        <w:outlineLvl w:val="2"/>
        <w:rPr>
          <w:rFonts w:ascii="仿宋" w:hAnsi="仿宋" w:eastAsia="仿宋"/>
          <w:b/>
          <w:color w:val="000000"/>
          <w:sz w:val="32"/>
          <w:szCs w:val="32"/>
        </w:rPr>
      </w:pPr>
      <w:bookmarkStart w:id="35" w:name="_Toc15377212"/>
      <w:r>
        <w:rPr>
          <w:rFonts w:hint="eastAsia" w:ascii="仿宋" w:hAnsi="仿宋" w:eastAsia="仿宋"/>
          <w:b/>
          <w:color w:val="000000"/>
          <w:sz w:val="32"/>
          <w:szCs w:val="32"/>
        </w:rPr>
        <w:t>（三）一般公共预算财政拨款支出决算具体情况</w:t>
      </w:r>
      <w:bookmarkEnd w:id="35"/>
    </w:p>
    <w:p>
      <w:pPr>
        <w:spacing w:line="600" w:lineRule="exact"/>
        <w:ind w:firstLine="642" w:firstLineChars="200"/>
        <w:outlineLvl w:val="2"/>
        <w:rPr>
          <w:rFonts w:ascii="仿宋" w:hAnsi="仿宋" w:eastAsia="仿宋"/>
          <w:color w:val="FF0000"/>
          <w:sz w:val="32"/>
          <w:szCs w:val="32"/>
        </w:rPr>
      </w:pPr>
      <w:bookmarkStart w:id="36" w:name="_Toc15378460"/>
      <w:bookmarkStart w:id="37" w:name="_Toc15377444"/>
      <w:bookmarkStart w:id="38" w:name="_Toc15377213"/>
      <w:r>
        <w:rPr>
          <w:rFonts w:hint="eastAsia" w:ascii="仿宋" w:hAnsi="仿宋" w:eastAsia="仿宋"/>
          <w:b/>
          <w:color w:val="000000"/>
          <w:sz w:val="32"/>
          <w:szCs w:val="32"/>
        </w:rPr>
        <w:t>2020年般公共预算支出决算数为267.13万元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完成预算267.13万元，完成预算</w:t>
      </w:r>
      <w:r>
        <w:rPr>
          <w:rStyle w:val="15"/>
          <w:rFonts w:ascii="仿宋" w:hAnsi="仿宋" w:eastAsia="仿宋"/>
          <w:bCs/>
          <w:color w:val="000000"/>
          <w:sz w:val="32"/>
          <w:szCs w:val="32"/>
        </w:rPr>
        <w:t>100%</w:t>
      </w:r>
      <w:r>
        <w:rPr>
          <w:rStyle w:val="15"/>
          <w:rFonts w:hint="eastAsia" w:ascii="仿宋" w:hAnsi="仿宋" w:eastAsia="仿宋"/>
          <w:bCs/>
          <w:color w:val="000000"/>
          <w:sz w:val="32"/>
          <w:szCs w:val="32"/>
        </w:rPr>
        <w:t>。其中：</w:t>
      </w:r>
      <w:bookmarkEnd w:id="36"/>
      <w:bookmarkEnd w:id="37"/>
      <w:bookmarkEnd w:id="38"/>
    </w:p>
    <w:p>
      <w:pPr>
        <w:spacing w:line="600" w:lineRule="exact"/>
        <w:ind w:firstLine="642"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社会保障和就业（类）人力资源和社会保障事务管理（款）就业事务管理（项）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支出决算为243.65万元，完成预算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2"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医疗卫生与计划生育（类）行政事业单位医疗（款）行政单位医疗（项）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支出决算为9.87万元，完成预算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bCs/>
          <w:color w:val="000000"/>
          <w:sz w:val="32"/>
          <w:szCs w:val="32"/>
        </w:rPr>
      </w:pPr>
      <w:r>
        <w:rPr>
          <w:rFonts w:hint="eastAsia" w:ascii="仿宋" w:hAnsi="仿宋" w:eastAsia="仿宋"/>
          <w:b/>
          <w:bCs/>
          <w:color w:val="000000"/>
          <w:sz w:val="32"/>
          <w:szCs w:val="32"/>
        </w:rPr>
        <w:t>3.住房保障支出（类）政府改革支出（款）住房公积金（项）13.63万元。</w:t>
      </w:r>
    </w:p>
    <w:p>
      <w:pPr>
        <w:tabs>
          <w:tab w:val="right" w:pos="8306"/>
        </w:tabs>
        <w:spacing w:line="600" w:lineRule="exact"/>
        <w:ind w:firstLine="640" w:firstLineChars="200"/>
        <w:outlineLvl w:val="1"/>
        <w:rPr>
          <w:rStyle w:val="18"/>
        </w:rPr>
      </w:pPr>
      <w:bookmarkStart w:id="39" w:name="_Toc15396608"/>
      <w:bookmarkStart w:id="40"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39"/>
      <w:bookmarkEnd w:id="40"/>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2020年一般公共预算财政拨款基本支出267.13万元，其中：人员经费184.4万元，主要包括：基本工资61.81万元、津贴补贴48.78万元、机关事业单位基本养老保险缴费18.16万元、其他社会工资福利支出27.13万元、医疗保障缴费9.87万元、奖励金5.02万元、住房公积金13.63万元。</w:t>
      </w:r>
    </w:p>
    <w:p>
      <w:pPr>
        <w:rPr>
          <w:rFonts w:ascii="宋体" w:hAnsi="宋体" w:cs="Arial"/>
          <w:color w:val="000000"/>
          <w:kern w:val="0"/>
          <w:sz w:val="30"/>
          <w:szCs w:val="30"/>
        </w:rPr>
      </w:pPr>
      <w:r>
        <w:rPr>
          <w:rFonts w:hint="eastAsia" w:ascii="仿宋" w:hAnsi="仿宋" w:eastAsia="仿宋"/>
          <w:color w:val="000000"/>
          <w:sz w:val="32"/>
          <w:szCs w:val="32"/>
        </w:rPr>
        <w:t>公用经费61.68万元，主要包括：办公费25万元、水费2万元、邮电费3万元、差旅费7万元、培训费1万元，公务接待费</w:t>
      </w:r>
      <w:r>
        <w:rPr>
          <w:rFonts w:ascii="仿宋" w:hAnsi="仿宋" w:eastAsia="仿宋"/>
          <w:color w:val="000000"/>
          <w:sz w:val="32"/>
          <w:szCs w:val="32"/>
        </w:rPr>
        <w:t>3</w:t>
      </w:r>
      <w:r>
        <w:rPr>
          <w:rFonts w:hint="eastAsia" w:ascii="仿宋" w:hAnsi="仿宋" w:eastAsia="仿宋"/>
          <w:color w:val="000000"/>
          <w:sz w:val="32"/>
          <w:szCs w:val="32"/>
        </w:rPr>
        <w:t>万元、工会经费1.6万元，其他交通费12.73万元</w:t>
      </w:r>
      <w:r>
        <w:rPr>
          <w:rFonts w:hint="eastAsia" w:ascii="宋体" w:hAnsi="宋体" w:cs="Arial"/>
          <w:color w:val="000000"/>
          <w:kern w:val="0"/>
          <w:sz w:val="30"/>
          <w:szCs w:val="30"/>
        </w:rPr>
        <w:t>其他商品和服务支出6.35万元，对个人和家庭补助21.06万元。</w:t>
      </w:r>
    </w:p>
    <w:p>
      <w:pPr>
        <w:spacing w:line="600" w:lineRule="exact"/>
        <w:ind w:firstLine="640"/>
        <w:rPr>
          <w:rStyle w:val="18"/>
          <w:rFonts w:ascii="黑体" w:hAnsi="黑体" w:eastAsia="黑体"/>
          <w:b w:val="0"/>
        </w:rPr>
      </w:pPr>
      <w:bookmarkStart w:id="41" w:name="_Toc15377215"/>
      <w:bookmarkStart w:id="42" w:name="_Toc15396609"/>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1"/>
      <w:bookmarkEnd w:id="42"/>
    </w:p>
    <w:p>
      <w:pPr>
        <w:spacing w:line="600" w:lineRule="exact"/>
        <w:ind w:firstLine="640"/>
        <w:outlineLvl w:val="2"/>
        <w:rPr>
          <w:rFonts w:ascii="仿宋" w:hAnsi="仿宋" w:eastAsia="仿宋"/>
          <w:b/>
          <w:color w:val="000000"/>
          <w:sz w:val="32"/>
          <w:szCs w:val="32"/>
        </w:rPr>
      </w:pPr>
      <w:bookmarkStart w:id="43" w:name="_Toc15377216"/>
      <w:r>
        <w:rPr>
          <w:rFonts w:hint="eastAsia" w:ascii="仿宋" w:hAnsi="仿宋" w:eastAsia="仿宋"/>
          <w:b/>
          <w:color w:val="000000"/>
          <w:sz w:val="32"/>
          <w:szCs w:val="32"/>
        </w:rPr>
        <w:t>（一）“三公”经费财政拨款支出决算总体情况说明</w:t>
      </w:r>
      <w:bookmarkEnd w:id="43"/>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2020年“三公”经费财政拨款支出决算为</w:t>
      </w:r>
      <w:r>
        <w:rPr>
          <w:rFonts w:ascii="仿宋" w:hAnsi="仿宋" w:eastAsia="仿宋"/>
          <w:color w:val="000000"/>
          <w:sz w:val="32"/>
          <w:szCs w:val="32"/>
        </w:rPr>
        <w:t>3</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4" w:name="_Toc15377217"/>
      <w:r>
        <w:rPr>
          <w:rFonts w:hint="eastAsia" w:ascii="仿宋" w:hAnsi="仿宋" w:eastAsia="仿宋"/>
          <w:b/>
          <w:color w:val="000000"/>
          <w:sz w:val="32"/>
          <w:szCs w:val="32"/>
        </w:rPr>
        <w:t>（二）“三公”经费财政拨款支出决算具体情况说明</w:t>
      </w:r>
      <w:bookmarkEnd w:id="44"/>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2020年“三公”经费财政拨款支出决算中，因公出国（境）费支出决算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万元；公务接待费支出决算</w:t>
      </w:r>
      <w:r>
        <w:rPr>
          <w:rFonts w:ascii="仿宋" w:hAnsi="仿宋" w:eastAsia="仿宋"/>
          <w:color w:val="000000"/>
          <w:sz w:val="32"/>
          <w:szCs w:val="32"/>
        </w:rPr>
        <w:t>3</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公务接待费支出</w:t>
      </w:r>
      <w:r>
        <w:rPr>
          <w:rFonts w:ascii="仿宋_GB2312" w:eastAsia="仿宋_GB2312"/>
          <w:color w:val="000000"/>
          <w:sz w:val="32"/>
          <w:szCs w:val="32"/>
        </w:rPr>
        <w:t>3</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9年无增减变化。</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主要用于执行公务、开展业务活动开支的餐费等。</w:t>
      </w:r>
    </w:p>
    <w:p>
      <w:pPr>
        <w:spacing w:line="600" w:lineRule="exact"/>
        <w:ind w:firstLine="640"/>
        <w:outlineLvl w:val="1"/>
        <w:rPr>
          <w:rStyle w:val="18"/>
          <w:rFonts w:ascii="黑体" w:hAnsi="黑体" w:eastAsia="黑体"/>
        </w:rPr>
      </w:pPr>
      <w:bookmarkStart w:id="45" w:name="_Toc15396610"/>
      <w:bookmarkStart w:id="46" w:name="_Toc15377218"/>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5"/>
      <w:bookmarkEnd w:id="4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20年无政府性基金预算拨款。</w:t>
      </w:r>
    </w:p>
    <w:p>
      <w:pPr>
        <w:spacing w:line="600" w:lineRule="exact"/>
        <w:ind w:firstLine="640" w:firstLineChars="200"/>
        <w:outlineLvl w:val="1"/>
        <w:rPr>
          <w:rStyle w:val="18"/>
          <w:rFonts w:ascii="黑体" w:hAnsi="黑体" w:eastAsia="黑体"/>
          <w:b w:val="0"/>
        </w:rPr>
      </w:pPr>
      <w:bookmarkStart w:id="47" w:name="_Toc15396611"/>
      <w:bookmarkStart w:id="48" w:name="_Toc15377219"/>
      <w:r>
        <w:rPr>
          <w:rStyle w:val="18"/>
          <w:rFonts w:hint="eastAsia" w:ascii="黑体" w:hAnsi="黑体" w:eastAsia="黑体"/>
          <w:b w:val="0"/>
        </w:rPr>
        <w:t>九、国有资本经营预算支出决算情况说明</w:t>
      </w:r>
      <w:bookmarkEnd w:id="47"/>
      <w:bookmarkEnd w:id="48"/>
    </w:p>
    <w:p>
      <w:pPr>
        <w:spacing w:line="600" w:lineRule="exact"/>
        <w:ind w:firstLine="640"/>
        <w:rPr>
          <w:rFonts w:ascii="仿宋_GB2312" w:eastAsia="仿宋_GB2312"/>
          <w:color w:val="000000"/>
          <w:sz w:val="32"/>
          <w:szCs w:val="32"/>
        </w:rPr>
      </w:pPr>
      <w:r>
        <w:rPr>
          <w:sz w:val="32"/>
          <w:szCs w:val="32"/>
        </w:rPr>
        <w:t>20</w:t>
      </w:r>
      <w:r>
        <w:rPr>
          <w:rFonts w:hint="eastAsia"/>
          <w:sz w:val="32"/>
          <w:szCs w:val="32"/>
        </w:rPr>
        <w:t>20年无国有资本经营预算拨款支出</w:t>
      </w:r>
    </w:p>
    <w:p>
      <w:pPr>
        <w:spacing w:line="600" w:lineRule="exact"/>
        <w:ind w:firstLine="640"/>
        <w:rPr>
          <w:rStyle w:val="18"/>
          <w:rFonts w:ascii="黑体" w:hAnsi="黑体" w:eastAsia="黑体"/>
          <w:b w:val="0"/>
        </w:rPr>
      </w:pPr>
      <w:r>
        <w:rPr>
          <w:rStyle w:val="18"/>
          <w:rFonts w:hint="eastAsia" w:ascii="黑体" w:hAnsi="黑体" w:eastAsia="黑体"/>
          <w:b w:val="0"/>
        </w:rPr>
        <w:t>十、预算绩效情况说明</w:t>
      </w:r>
    </w:p>
    <w:p>
      <w:pPr>
        <w:numPr>
          <w:ilvl w:val="0"/>
          <w:numId w:val="2"/>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widowControl/>
        <w:shd w:val="clear" w:color="auto" w:fill="FFFFFF"/>
        <w:spacing w:line="580" w:lineRule="atLeast"/>
        <w:ind w:firstLine="64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我单位在预算执行、预算管理及职责履行等方面执行情况较好，产生了较好的社会效益，也得到了上级部门的肯定。经认真对照《</w:t>
      </w:r>
      <w:r>
        <w:rPr>
          <w:rFonts w:ascii="仿宋_GB2312" w:hAnsi="宋体" w:eastAsia="仿宋_GB2312" w:cs="宋体"/>
          <w:color w:val="333333"/>
          <w:kern w:val="0"/>
          <w:sz w:val="32"/>
          <w:szCs w:val="32"/>
        </w:rPr>
        <w:t>20</w:t>
      </w:r>
      <w:r>
        <w:rPr>
          <w:rFonts w:hint="eastAsia" w:ascii="仿宋_GB2312" w:hAnsi="宋体" w:eastAsia="仿宋_GB2312" w:cs="宋体"/>
          <w:color w:val="333333"/>
          <w:kern w:val="0"/>
          <w:sz w:val="32"/>
          <w:szCs w:val="32"/>
        </w:rPr>
        <w:t>20年部门整体支出绩效评指标评分表》按照预算配置、预算执行、预算职责履行、履行效益四个方面进行评价，整体支出绩效综合评分为优。</w:t>
      </w:r>
      <w:r>
        <w:rPr>
          <w:rFonts w:ascii="宋体" w:hAnsi="宋体" w:eastAsia="仿宋_GB2312" w:cs="宋体"/>
          <w:color w:val="333333"/>
          <w:kern w:val="0"/>
          <w:sz w:val="32"/>
          <w:szCs w:val="32"/>
        </w:rPr>
        <w:t> </w:t>
      </w:r>
    </w:p>
    <w:p>
      <w:pPr>
        <w:numPr>
          <w:ilvl w:val="0"/>
          <w:numId w:val="2"/>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20年部门整体支出绩效评价情况开展自评，《宣汉县就业服务管理局</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20年部门整体支出绩效评价报告》见附件。</w:t>
      </w:r>
    </w:p>
    <w:p>
      <w:pPr>
        <w:spacing w:line="600" w:lineRule="exact"/>
        <w:ind w:firstLine="640" w:firstLineChars="200"/>
        <w:outlineLvl w:val="1"/>
        <w:rPr>
          <w:rStyle w:val="18"/>
          <w:rFonts w:ascii="黑体" w:hAnsi="黑体" w:eastAsia="黑体"/>
        </w:rPr>
      </w:pPr>
      <w:bookmarkStart w:id="49" w:name="_Toc15396612"/>
      <w:bookmarkStart w:id="50" w:name="_Toc15377221"/>
      <w:r>
        <w:rPr>
          <w:rFonts w:hint="eastAsia" w:ascii="黑体" w:hAnsi="黑体" w:eastAsia="黑体"/>
          <w:color w:val="000000"/>
          <w:sz w:val="32"/>
          <w:szCs w:val="32"/>
        </w:rPr>
        <w:t>十</w:t>
      </w:r>
      <w:r>
        <w:rPr>
          <w:rStyle w:val="18"/>
          <w:rFonts w:hint="eastAsia" w:ascii="黑体" w:hAnsi="黑体" w:eastAsia="黑体"/>
        </w:rPr>
        <w:t>一、</w:t>
      </w:r>
      <w:r>
        <w:rPr>
          <w:rStyle w:val="18"/>
          <w:rFonts w:hint="eastAsia" w:ascii="黑体" w:hAnsi="黑体" w:eastAsia="黑体"/>
          <w:b w:val="0"/>
        </w:rPr>
        <w:t>其他重要事项的情况说明</w:t>
      </w:r>
      <w:bookmarkEnd w:id="49"/>
      <w:bookmarkEnd w:id="50"/>
    </w:p>
    <w:p>
      <w:pPr>
        <w:spacing w:line="600" w:lineRule="exact"/>
        <w:ind w:firstLine="642" w:firstLineChars="200"/>
        <w:outlineLvl w:val="2"/>
        <w:rPr>
          <w:rFonts w:ascii="仿宋" w:hAnsi="仿宋" w:eastAsia="仿宋"/>
          <w:color w:val="000000"/>
          <w:sz w:val="32"/>
          <w:szCs w:val="32"/>
        </w:rPr>
      </w:pPr>
      <w:bookmarkStart w:id="51" w:name="_Toc15377222"/>
      <w:r>
        <w:rPr>
          <w:rFonts w:hint="eastAsia" w:ascii="仿宋" w:hAnsi="仿宋" w:eastAsia="仿宋"/>
          <w:b/>
          <w:color w:val="000000"/>
          <w:sz w:val="32"/>
          <w:szCs w:val="32"/>
        </w:rPr>
        <w:t>（一）机关运行经费支出情况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20年，宣汉县就业局机关运行经费支出61.68万元，</w:t>
      </w:r>
      <w:r>
        <w:rPr>
          <w:rFonts w:ascii="仿宋_GB2312" w:eastAsia="仿宋_GB2312"/>
          <w:color w:val="000000"/>
          <w:sz w:val="32"/>
          <w:szCs w:val="32"/>
        </w:rPr>
        <w:t xml:space="preserve"> </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2" w:name="_Toc15377223"/>
      <w:r>
        <w:rPr>
          <w:rFonts w:hint="eastAsia" w:ascii="仿宋" w:hAnsi="仿宋" w:eastAsia="仿宋"/>
          <w:b/>
          <w:color w:val="000000"/>
          <w:sz w:val="32"/>
          <w:szCs w:val="32"/>
        </w:rPr>
        <w:t>（二）政府采购支出情况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4"/>
      <w:r>
        <w:rPr>
          <w:rFonts w:hint="eastAsia" w:ascii="仿宋" w:hAnsi="仿宋" w:eastAsia="仿宋"/>
          <w:b/>
          <w:color w:val="000000"/>
          <w:sz w:val="32"/>
          <w:szCs w:val="32"/>
        </w:rPr>
        <w:t>（三）国有资产占有使用情况</w:t>
      </w:r>
      <w:bookmarkEnd w:id="53"/>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日，共有车辆0辆，其中：部级领导干部用车0辆、一般公务用车0辆、一般执法执勤用车0辆、特种专业技术用车0辆、其他用车0辆，单价</w:t>
      </w:r>
      <w:r>
        <w:rPr>
          <w:rFonts w:ascii="仿宋_GB2312" w:eastAsia="仿宋_GB2312"/>
          <w:color w:val="000000"/>
          <w:sz w:val="32"/>
          <w:szCs w:val="32"/>
        </w:rPr>
        <w:t>50</w:t>
      </w:r>
      <w:r>
        <w:rPr>
          <w:rFonts w:hint="eastAsia" w:ascii="仿宋_GB2312" w:eastAsia="仿宋_GB2312"/>
          <w:color w:val="000000"/>
          <w:sz w:val="32"/>
          <w:szCs w:val="32"/>
        </w:rPr>
        <w:t>万元以上通用设备0台，单价</w:t>
      </w:r>
      <w:r>
        <w:rPr>
          <w:rFonts w:ascii="仿宋_GB2312" w:eastAsia="仿宋_GB2312"/>
          <w:color w:val="000000"/>
          <w:sz w:val="32"/>
          <w:szCs w:val="32"/>
        </w:rPr>
        <w:t>100</w:t>
      </w:r>
      <w:r>
        <w:rPr>
          <w:rFonts w:hint="eastAsia" w:ascii="仿宋_GB2312" w:eastAsia="仿宋_GB2312"/>
          <w:color w:val="000000"/>
          <w:sz w:val="32"/>
          <w:szCs w:val="32"/>
        </w:rPr>
        <w:t>万元以上专用设备0台。</w:t>
      </w:r>
    </w:p>
    <w:p>
      <w:pPr>
        <w:pStyle w:val="27"/>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十二、重要说明：表间数据不平衡有差异是因为数据小数四舍五入的原因。</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2" w:firstLineChars="150"/>
        <w:jc w:val="center"/>
        <w:outlineLvl w:val="0"/>
        <w:rPr>
          <w:rStyle w:val="17"/>
          <w:rFonts w:ascii="黑体" w:hAnsi="黑体" w:eastAsia="黑体"/>
          <w:b w:val="0"/>
        </w:rPr>
      </w:pPr>
      <w:bookmarkStart w:id="54" w:name="_Toc15396613"/>
      <w:bookmarkStart w:id="55" w:name="_Toc15377225"/>
      <w:r>
        <w:rPr>
          <w:rFonts w:hint="eastAsia" w:ascii="黑体" w:hAnsi="黑体" w:eastAsia="黑体"/>
          <w:b/>
          <w:color w:val="000000"/>
          <w:sz w:val="44"/>
          <w:szCs w:val="44"/>
        </w:rPr>
        <w:t>名</w:t>
      </w:r>
      <w:r>
        <w:rPr>
          <w:rStyle w:val="17"/>
          <w:rFonts w:hint="eastAsia" w:ascii="黑体" w:hAnsi="黑体" w:eastAsia="黑体"/>
          <w:b w:val="0"/>
        </w:rPr>
        <w:t>词解释</w:t>
      </w:r>
      <w:bookmarkEnd w:id="54"/>
      <w:bookmarkEnd w:id="55"/>
    </w:p>
    <w:p>
      <w:pPr>
        <w:spacing w:line="600" w:lineRule="exact"/>
        <w:jc w:val="left"/>
        <w:rPr>
          <w:rFonts w:ascii="宋体"/>
          <w:b/>
          <w:color w:val="000000"/>
          <w:sz w:val="44"/>
          <w:szCs w:val="44"/>
        </w:rPr>
      </w:pP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7"/>
        <w:spacing w:line="560" w:lineRule="exact"/>
        <w:ind w:left="159" w:leftChars="76" w:firstLine="480" w:firstLineChars="15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7"/>
        <w:spacing w:line="560" w:lineRule="exact"/>
        <w:ind w:left="159" w:leftChars="76" w:firstLine="480" w:firstLineChars="15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7"/>
          <w:rFonts w:ascii="黑体" w:hAnsi="黑体" w:eastAsia="黑体"/>
          <w:b w:val="0"/>
        </w:rPr>
      </w:pPr>
      <w:bookmarkStart w:id="56" w:name="_Toc15377226"/>
      <w:r>
        <w:rPr>
          <w:rFonts w:ascii="宋体"/>
          <w:b/>
          <w:color w:val="000000"/>
          <w:sz w:val="44"/>
          <w:szCs w:val="44"/>
        </w:rPr>
        <w:br w:type="page"/>
      </w:r>
      <w:bookmarkStart w:id="57" w:name="_Toc15396614"/>
      <w:r>
        <w:rPr>
          <w:rFonts w:hint="eastAsia" w:ascii="黑体" w:hAnsi="黑体" w:eastAsia="黑体"/>
          <w:color w:val="000000"/>
          <w:sz w:val="44"/>
          <w:szCs w:val="44"/>
        </w:rPr>
        <w:t>第</w:t>
      </w:r>
      <w:r>
        <w:rPr>
          <w:rStyle w:val="17"/>
          <w:rFonts w:hint="eastAsia" w:ascii="黑体" w:hAnsi="黑体" w:eastAsia="黑体"/>
          <w:b w:val="0"/>
        </w:rPr>
        <w:t>四部分附件</w:t>
      </w:r>
      <w:bookmarkEnd w:id="57"/>
    </w:p>
    <w:p>
      <w:pPr>
        <w:spacing w:line="600" w:lineRule="exact"/>
        <w:jc w:val="center"/>
        <w:outlineLvl w:val="0"/>
        <w:rPr>
          <w:rStyle w:val="17"/>
        </w:rPr>
      </w:pPr>
    </w:p>
    <w:p>
      <w:pPr>
        <w:pStyle w:val="3"/>
        <w:rPr>
          <w:rStyle w:val="17"/>
          <w:rFonts w:ascii="仿宋" w:hAnsi="仿宋" w:eastAsia="仿宋"/>
          <w:b w:val="0"/>
          <w:bCs w:val="0"/>
          <w:sz w:val="32"/>
          <w:szCs w:val="32"/>
        </w:rPr>
      </w:pPr>
      <w:bookmarkStart w:id="58" w:name="_Toc15396615"/>
      <w:r>
        <w:rPr>
          <w:rStyle w:val="17"/>
          <w:rFonts w:hint="eastAsia" w:ascii="仿宋" w:hAnsi="仿宋" w:eastAsia="仿宋"/>
          <w:b w:val="0"/>
          <w:bCs w:val="0"/>
          <w:sz w:val="32"/>
          <w:szCs w:val="32"/>
        </w:rPr>
        <w:t>附件</w:t>
      </w:r>
      <w:r>
        <w:rPr>
          <w:rStyle w:val="17"/>
          <w:rFonts w:ascii="仿宋" w:hAnsi="仿宋" w:eastAsia="仿宋"/>
          <w:b w:val="0"/>
          <w:bCs w:val="0"/>
          <w:sz w:val="32"/>
          <w:szCs w:val="32"/>
        </w:rPr>
        <w:t>1</w:t>
      </w:r>
      <w:bookmarkEnd w:id="58"/>
    </w:p>
    <w:p>
      <w:pPr>
        <w:widowControl/>
        <w:spacing w:line="540" w:lineRule="exact"/>
        <w:jc w:val="center"/>
        <w:rPr>
          <w:b/>
          <w:sz w:val="44"/>
          <w:szCs w:val="44"/>
        </w:rPr>
      </w:pPr>
      <w:r>
        <w:rPr>
          <w:rFonts w:hint="eastAsia"/>
          <w:b/>
          <w:sz w:val="44"/>
          <w:szCs w:val="44"/>
        </w:rPr>
        <w:t>宣汉县就业服务管理局</w:t>
      </w:r>
    </w:p>
    <w:p>
      <w:pPr>
        <w:widowControl/>
        <w:spacing w:line="540" w:lineRule="exact"/>
        <w:jc w:val="center"/>
        <w:rPr>
          <w:rFonts w:ascii="宋体"/>
          <w:b/>
          <w:sz w:val="44"/>
          <w:szCs w:val="44"/>
          <w:shd w:val="clear" w:color="auto" w:fill="FFFFFF"/>
        </w:rPr>
      </w:pPr>
      <w:r>
        <w:rPr>
          <w:rFonts w:hint="eastAsia" w:ascii="宋体" w:hAnsi="宋体"/>
          <w:b/>
          <w:sz w:val="44"/>
          <w:szCs w:val="44"/>
          <w:shd w:val="clear" w:color="auto" w:fill="FFFFFF"/>
        </w:rPr>
        <w:t>部门整体支出绩效评价报告</w:t>
      </w:r>
    </w:p>
    <w:p>
      <w:pPr>
        <w:widowControl/>
        <w:adjustRightInd w:val="0"/>
        <w:snapToGrid w:val="0"/>
        <w:spacing w:line="579" w:lineRule="exact"/>
        <w:ind w:firstLine="720"/>
        <w:jc w:val="left"/>
        <w:rPr>
          <w:rFonts w:ascii="仿宋_GB2312" w:hAnsi="黑体" w:eastAsia="仿宋_GB2312"/>
          <w:color w:val="000000"/>
          <w:kern w:val="0"/>
          <w:sz w:val="32"/>
          <w:szCs w:val="32"/>
          <w:shd w:val="clear" w:color="auto" w:fill="FFFFFF"/>
          <w:lang w:val="zh-CN"/>
        </w:rPr>
      </w:pPr>
      <w:r>
        <w:rPr>
          <w:rFonts w:hint="eastAsia" w:ascii="仿宋_GB2312" w:hAnsi="黑体" w:eastAsia="仿宋_GB2312"/>
          <w:color w:val="000000"/>
          <w:kern w:val="0"/>
          <w:sz w:val="32"/>
          <w:szCs w:val="32"/>
          <w:shd w:val="clear" w:color="auto" w:fill="FFFFFF"/>
        </w:rPr>
        <w:t>一、</w:t>
      </w:r>
      <w:r>
        <w:rPr>
          <w:rFonts w:hint="eastAsia" w:ascii="仿宋_GB2312" w:hAnsi="黑体" w:eastAsia="仿宋_GB2312"/>
          <w:color w:val="000000"/>
          <w:kern w:val="0"/>
          <w:sz w:val="32"/>
          <w:szCs w:val="32"/>
          <w:shd w:val="clear" w:color="auto" w:fill="FFFFFF"/>
          <w:lang w:val="zh-CN"/>
        </w:rPr>
        <w:t>部门（单位）概况</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（一）机构组成。</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宣汉县就业服务管理局下设办公室、失业保险股、企业指导股、财会股、就业指导股、培训股、创业指导中心、人才交流中心五股一室两中心。</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（二）机构职能。</w:t>
      </w:r>
    </w:p>
    <w:p>
      <w:pPr>
        <w:ind w:firstLine="640" w:firstLineChars="200"/>
        <w:rPr>
          <w:rFonts w:ascii="仿宋_GB2312" w:eastAsia="仿宋_GB2312"/>
          <w:sz w:val="32"/>
          <w:szCs w:val="32"/>
        </w:rPr>
      </w:pPr>
      <w:r>
        <w:rPr>
          <w:rFonts w:hint="eastAsia" w:ascii="仿宋_GB2312" w:eastAsia="仿宋_GB2312"/>
          <w:sz w:val="32"/>
          <w:szCs w:val="32"/>
        </w:rPr>
        <w:t>贯彻国家促进就业的法律法规，落实统筹城乡就业的政策措施；开展人力资源市场信息收集整理、分析预测和发布工作组织人力资源市场信息平台建设；承担区域间的劳务交流、协调农村富余劳动力有序流动；负责失业保险基金征缴、待遇审核发放及管理工作；负责失业人员的登记、调查、统计工作；开展创业担保贷款服务和创业培训工作；免费为失业人员提供就业咨询服务；管理流动人员档案；承办领导交办的其他工作</w:t>
      </w:r>
      <w:r>
        <w:rPr>
          <w:rFonts w:ascii="仿宋_GB2312" w:eastAsia="仿宋_GB2312"/>
          <w:sz w:val="32"/>
          <w:szCs w:val="32"/>
        </w:rPr>
        <w:t>;</w:t>
      </w:r>
      <w:r>
        <w:rPr>
          <w:rFonts w:hint="eastAsia" w:ascii="仿宋_GB2312" w:eastAsia="仿宋_GB2312"/>
          <w:sz w:val="32"/>
          <w:szCs w:val="32"/>
        </w:rPr>
        <w:t>办理县委、县政府和上级人力资源和社会保障部门交办的其他工作。</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（三）人员概况。</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宣汉县就业局核定编制为</w:t>
      </w:r>
      <w:r>
        <w:rPr>
          <w:rFonts w:ascii="仿宋_GB2312" w:eastAsia="仿宋_GB2312"/>
          <w:color w:val="000000"/>
          <w:kern w:val="0"/>
          <w:sz w:val="32"/>
          <w:szCs w:val="32"/>
          <w:shd w:val="clear" w:color="auto" w:fill="FFFFFF"/>
          <w:lang w:val="zh-CN"/>
        </w:rPr>
        <w:t>19</w:t>
      </w:r>
      <w:r>
        <w:rPr>
          <w:rFonts w:hint="eastAsia" w:ascii="仿宋_GB2312" w:eastAsia="仿宋_GB2312"/>
          <w:color w:val="000000"/>
          <w:kern w:val="0"/>
          <w:sz w:val="32"/>
          <w:szCs w:val="32"/>
          <w:shd w:val="clear" w:color="auto" w:fill="FFFFFF"/>
          <w:lang w:val="zh-CN"/>
        </w:rPr>
        <w:t>人，</w:t>
      </w:r>
      <w:r>
        <w:rPr>
          <w:rFonts w:ascii="仿宋_GB2312" w:eastAsia="仿宋_GB2312"/>
          <w:color w:val="000000"/>
          <w:kern w:val="0"/>
          <w:sz w:val="32"/>
          <w:szCs w:val="32"/>
          <w:shd w:val="clear" w:color="auto" w:fill="FFFFFF"/>
          <w:lang w:val="zh-CN"/>
        </w:rPr>
        <w:t>20</w:t>
      </w:r>
      <w:r>
        <w:rPr>
          <w:rFonts w:hint="eastAsia" w:ascii="仿宋_GB2312" w:eastAsia="仿宋_GB2312"/>
          <w:color w:val="000000"/>
          <w:kern w:val="0"/>
          <w:sz w:val="32"/>
          <w:szCs w:val="32"/>
          <w:shd w:val="clear" w:color="auto" w:fill="FFFFFF"/>
          <w:lang w:val="zh-CN"/>
        </w:rPr>
        <w:t>20年底在岗职工17人，退休职工</w:t>
      </w:r>
      <w:r>
        <w:rPr>
          <w:rFonts w:ascii="仿宋_GB2312" w:eastAsia="仿宋_GB2312"/>
          <w:color w:val="000000"/>
          <w:kern w:val="0"/>
          <w:sz w:val="32"/>
          <w:szCs w:val="32"/>
          <w:shd w:val="clear" w:color="auto" w:fill="FFFFFF"/>
          <w:lang w:val="zh-CN"/>
        </w:rPr>
        <w:t>1</w:t>
      </w:r>
      <w:r>
        <w:rPr>
          <w:rFonts w:hint="eastAsia" w:ascii="仿宋_GB2312" w:eastAsia="仿宋_GB2312"/>
          <w:color w:val="000000"/>
          <w:kern w:val="0"/>
          <w:sz w:val="32"/>
          <w:szCs w:val="32"/>
          <w:shd w:val="clear" w:color="auto" w:fill="FFFFFF"/>
          <w:lang w:val="zh-CN"/>
        </w:rPr>
        <w:t>9人。</w:t>
      </w:r>
    </w:p>
    <w:p>
      <w:pPr>
        <w:widowControl/>
        <w:adjustRightInd w:val="0"/>
        <w:snapToGrid w:val="0"/>
        <w:spacing w:line="579" w:lineRule="exact"/>
        <w:ind w:firstLine="720"/>
        <w:jc w:val="left"/>
        <w:rPr>
          <w:rFonts w:ascii="仿宋_GB2312" w:hAnsi="黑体" w:eastAsia="仿宋_GB2312"/>
          <w:color w:val="000000"/>
          <w:kern w:val="0"/>
          <w:sz w:val="32"/>
          <w:szCs w:val="32"/>
          <w:shd w:val="clear" w:color="auto" w:fill="FFFFFF"/>
        </w:rPr>
      </w:pPr>
      <w:r>
        <w:rPr>
          <w:rFonts w:hint="eastAsia" w:ascii="仿宋_GB2312" w:hAnsi="黑体" w:eastAsia="仿宋_GB2312"/>
          <w:color w:val="000000"/>
          <w:kern w:val="0"/>
          <w:sz w:val="32"/>
          <w:szCs w:val="32"/>
          <w:shd w:val="clear" w:color="auto" w:fill="FFFFFF"/>
        </w:rPr>
        <w:t>二、部门财政资金收支情况</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（一）部门财政资金收入情况。</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ascii="仿宋_GB2312" w:eastAsia="仿宋_GB2312"/>
          <w:color w:val="000000"/>
          <w:kern w:val="0"/>
          <w:sz w:val="32"/>
          <w:szCs w:val="32"/>
          <w:shd w:val="clear" w:color="auto" w:fill="FFFFFF"/>
          <w:lang w:val="zh-CN"/>
        </w:rPr>
        <w:t>20</w:t>
      </w:r>
      <w:r>
        <w:rPr>
          <w:rFonts w:hint="eastAsia" w:ascii="仿宋_GB2312" w:eastAsia="仿宋_GB2312"/>
          <w:color w:val="000000"/>
          <w:kern w:val="0"/>
          <w:sz w:val="32"/>
          <w:szCs w:val="32"/>
          <w:shd w:val="clear" w:color="auto" w:fill="FFFFFF"/>
          <w:lang w:val="zh-CN"/>
        </w:rPr>
        <w:t>20年部门预算收入为</w:t>
      </w:r>
      <w:r>
        <w:rPr>
          <w:rFonts w:hint="eastAsia" w:ascii="仿宋" w:hAnsi="仿宋" w:eastAsia="仿宋"/>
          <w:color w:val="000000"/>
          <w:sz w:val="32"/>
          <w:szCs w:val="32"/>
        </w:rPr>
        <w:t>267.13</w:t>
      </w:r>
      <w:r>
        <w:rPr>
          <w:rFonts w:hint="eastAsia" w:ascii="仿宋_GB2312" w:eastAsia="仿宋_GB2312"/>
          <w:color w:val="000000"/>
          <w:kern w:val="0"/>
          <w:sz w:val="32"/>
          <w:szCs w:val="32"/>
          <w:shd w:val="clear" w:color="auto" w:fill="FFFFFF"/>
          <w:lang w:val="zh-CN"/>
        </w:rPr>
        <w:t>万元，一般公共预算财政拨款收入</w:t>
      </w:r>
      <w:r>
        <w:rPr>
          <w:rFonts w:hint="eastAsia" w:ascii="仿宋" w:hAnsi="仿宋" w:eastAsia="仿宋"/>
          <w:color w:val="000000"/>
          <w:sz w:val="32"/>
          <w:szCs w:val="32"/>
        </w:rPr>
        <w:t>267.13</w:t>
      </w:r>
      <w:r>
        <w:rPr>
          <w:rFonts w:hint="eastAsia" w:ascii="仿宋_GB2312" w:eastAsia="仿宋_GB2312"/>
          <w:color w:val="000000"/>
          <w:kern w:val="0"/>
          <w:sz w:val="32"/>
          <w:szCs w:val="32"/>
          <w:shd w:val="clear" w:color="auto" w:fill="FFFFFF"/>
          <w:lang w:val="zh-CN"/>
        </w:rPr>
        <w:t>万元。</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（二）部门财政资金支出情况</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ascii="仿宋_GB2312" w:eastAsia="仿宋_GB2312"/>
          <w:color w:val="000000"/>
          <w:kern w:val="0"/>
          <w:sz w:val="32"/>
          <w:szCs w:val="32"/>
          <w:shd w:val="clear" w:color="auto" w:fill="FFFFFF"/>
          <w:lang w:val="zh-CN"/>
        </w:rPr>
        <w:t>20</w:t>
      </w:r>
      <w:r>
        <w:rPr>
          <w:rFonts w:hint="eastAsia" w:ascii="仿宋_GB2312" w:eastAsia="仿宋_GB2312"/>
          <w:color w:val="000000"/>
          <w:kern w:val="0"/>
          <w:sz w:val="32"/>
          <w:szCs w:val="32"/>
          <w:shd w:val="clear" w:color="auto" w:fill="FFFFFF"/>
          <w:lang w:val="zh-CN"/>
        </w:rPr>
        <w:t>20年部门预算支出</w:t>
      </w:r>
      <w:r>
        <w:rPr>
          <w:rFonts w:hint="eastAsia" w:ascii="仿宋" w:hAnsi="仿宋" w:eastAsia="仿宋"/>
          <w:color w:val="000000"/>
          <w:sz w:val="32"/>
          <w:szCs w:val="32"/>
        </w:rPr>
        <w:t>267.13</w:t>
      </w:r>
      <w:r>
        <w:rPr>
          <w:rFonts w:hint="eastAsia" w:ascii="仿宋_GB2312" w:eastAsia="仿宋_GB2312"/>
          <w:color w:val="000000"/>
          <w:kern w:val="0"/>
          <w:sz w:val="32"/>
          <w:szCs w:val="32"/>
          <w:shd w:val="clear" w:color="auto" w:fill="FFFFFF"/>
          <w:lang w:val="zh-CN"/>
        </w:rPr>
        <w:t>万元，其中基本支出</w:t>
      </w:r>
      <w:r>
        <w:rPr>
          <w:rFonts w:hint="eastAsia" w:ascii="仿宋_GB2312" w:eastAsia="仿宋_GB2312"/>
          <w:color w:val="000000"/>
          <w:kern w:val="0"/>
          <w:sz w:val="32"/>
          <w:szCs w:val="32"/>
          <w:shd w:val="clear" w:color="auto" w:fill="FFFFFF"/>
        </w:rPr>
        <w:t>267.13</w:t>
      </w:r>
      <w:r>
        <w:rPr>
          <w:rFonts w:hint="eastAsia" w:ascii="仿宋_GB2312" w:eastAsia="仿宋_GB2312"/>
          <w:color w:val="000000"/>
          <w:kern w:val="0"/>
          <w:sz w:val="32"/>
          <w:szCs w:val="32"/>
          <w:shd w:val="clear" w:color="auto" w:fill="FFFFFF"/>
          <w:lang w:val="zh-CN"/>
        </w:rPr>
        <w:t>万元、项目支出</w:t>
      </w:r>
      <w:r>
        <w:rPr>
          <w:rFonts w:hint="eastAsia" w:ascii="仿宋_GB2312" w:eastAsia="仿宋_GB2312"/>
          <w:color w:val="000000"/>
          <w:kern w:val="0"/>
          <w:sz w:val="32"/>
          <w:szCs w:val="32"/>
          <w:shd w:val="clear" w:color="auto" w:fill="FFFFFF"/>
        </w:rPr>
        <w:t>0</w:t>
      </w:r>
      <w:r>
        <w:rPr>
          <w:rFonts w:hint="eastAsia" w:ascii="仿宋_GB2312" w:eastAsia="仿宋_GB2312"/>
          <w:color w:val="000000"/>
          <w:kern w:val="0"/>
          <w:sz w:val="32"/>
          <w:szCs w:val="32"/>
          <w:shd w:val="clear" w:color="auto" w:fill="FFFFFF"/>
          <w:lang w:val="zh-CN"/>
        </w:rPr>
        <w:t>万元。</w:t>
      </w:r>
    </w:p>
    <w:p>
      <w:pPr>
        <w:widowControl/>
        <w:adjustRightInd w:val="0"/>
        <w:snapToGrid w:val="0"/>
        <w:spacing w:line="579" w:lineRule="exact"/>
        <w:ind w:firstLine="720"/>
        <w:jc w:val="left"/>
        <w:rPr>
          <w:rFonts w:ascii="仿宋_GB2312" w:hAnsi="黑体" w:eastAsia="仿宋_GB2312"/>
          <w:color w:val="000000"/>
          <w:kern w:val="0"/>
          <w:sz w:val="32"/>
          <w:szCs w:val="32"/>
          <w:shd w:val="clear" w:color="auto" w:fill="FFFFFF"/>
        </w:rPr>
      </w:pPr>
      <w:r>
        <w:rPr>
          <w:rFonts w:hint="eastAsia" w:ascii="仿宋_GB2312" w:hAnsi="黑体" w:eastAsia="仿宋_GB2312"/>
          <w:color w:val="000000"/>
          <w:kern w:val="0"/>
          <w:sz w:val="32"/>
          <w:szCs w:val="32"/>
          <w:shd w:val="clear" w:color="auto" w:fill="FFFFFF"/>
        </w:rPr>
        <w:t>三、部门财政支出管理情况</w:t>
      </w:r>
    </w:p>
    <w:p>
      <w:pPr>
        <w:widowControl/>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我局</w:t>
      </w:r>
      <w:r>
        <w:rPr>
          <w:rFonts w:ascii="仿宋_GB2312" w:hAnsi="宋体" w:eastAsia="仿宋_GB2312" w:cs="宋体"/>
          <w:sz w:val="32"/>
          <w:szCs w:val="32"/>
        </w:rPr>
        <w:t>20</w:t>
      </w:r>
      <w:r>
        <w:rPr>
          <w:rFonts w:hint="eastAsia" w:ascii="仿宋_GB2312" w:hAnsi="宋体" w:eastAsia="仿宋_GB2312" w:cs="宋体"/>
          <w:sz w:val="32"/>
          <w:szCs w:val="32"/>
        </w:rPr>
        <w:t>20年度部门决算收入</w:t>
      </w:r>
      <w:r>
        <w:rPr>
          <w:rFonts w:hint="eastAsia" w:ascii="仿宋" w:hAnsi="仿宋" w:eastAsia="仿宋"/>
          <w:color w:val="000000"/>
          <w:sz w:val="32"/>
          <w:szCs w:val="32"/>
        </w:rPr>
        <w:t>267.13</w:t>
      </w:r>
      <w:r>
        <w:rPr>
          <w:rFonts w:hint="eastAsia" w:ascii="仿宋_GB2312" w:hAnsi="宋体" w:eastAsia="仿宋_GB2312" w:cs="宋体"/>
          <w:sz w:val="32"/>
          <w:szCs w:val="32"/>
        </w:rPr>
        <w:t>万元，其中财政拨款收入</w:t>
      </w:r>
      <w:r>
        <w:rPr>
          <w:rFonts w:hint="eastAsia" w:ascii="仿宋" w:hAnsi="仿宋" w:eastAsia="仿宋"/>
          <w:color w:val="000000"/>
          <w:sz w:val="32"/>
          <w:szCs w:val="32"/>
        </w:rPr>
        <w:t>267.13</w:t>
      </w:r>
      <w:r>
        <w:rPr>
          <w:rFonts w:hint="eastAsia" w:ascii="仿宋_GB2312" w:hAnsi="宋体" w:eastAsia="仿宋_GB2312" w:cs="宋体"/>
          <w:sz w:val="32"/>
          <w:szCs w:val="32"/>
        </w:rPr>
        <w:t>万元、年初结转结余</w:t>
      </w:r>
      <w:r>
        <w:rPr>
          <w:rFonts w:ascii="仿宋_GB2312" w:hAnsi="宋体" w:eastAsia="仿宋_GB2312" w:cs="宋体"/>
          <w:sz w:val="32"/>
          <w:szCs w:val="32"/>
        </w:rPr>
        <w:t>0</w:t>
      </w:r>
      <w:r>
        <w:rPr>
          <w:rFonts w:hint="eastAsia" w:ascii="仿宋_GB2312" w:hAnsi="宋体" w:eastAsia="仿宋_GB2312" w:cs="宋体"/>
          <w:sz w:val="32"/>
          <w:szCs w:val="32"/>
        </w:rPr>
        <w:t>万元。</w:t>
      </w:r>
      <w:r>
        <w:rPr>
          <w:rFonts w:ascii="仿宋_GB2312" w:hAnsi="宋体" w:eastAsia="仿宋_GB2312" w:cs="宋体"/>
          <w:sz w:val="32"/>
          <w:szCs w:val="32"/>
        </w:rPr>
        <w:t>20</w:t>
      </w:r>
      <w:r>
        <w:rPr>
          <w:rFonts w:hint="eastAsia" w:ascii="仿宋_GB2312" w:hAnsi="宋体" w:eastAsia="仿宋_GB2312" w:cs="宋体"/>
          <w:sz w:val="32"/>
          <w:szCs w:val="32"/>
        </w:rPr>
        <w:t>20年度部门决算支出</w:t>
      </w:r>
      <w:r>
        <w:rPr>
          <w:rFonts w:hint="eastAsia" w:ascii="仿宋" w:hAnsi="仿宋" w:eastAsia="仿宋"/>
          <w:color w:val="000000"/>
          <w:sz w:val="32"/>
          <w:szCs w:val="32"/>
        </w:rPr>
        <w:t>267.13</w:t>
      </w:r>
      <w:r>
        <w:rPr>
          <w:rFonts w:hint="eastAsia" w:ascii="仿宋_GB2312" w:hAnsi="宋体" w:eastAsia="仿宋_GB2312" w:cs="宋体"/>
          <w:sz w:val="32"/>
          <w:szCs w:val="32"/>
        </w:rPr>
        <w:t>万元，其中基本支出184.4万元，占比69</w:t>
      </w:r>
      <w:r>
        <w:rPr>
          <w:rFonts w:ascii="仿宋_GB2312" w:hAnsi="宋体" w:eastAsia="仿宋_GB2312" w:cs="宋体"/>
          <w:sz w:val="32"/>
          <w:szCs w:val="32"/>
        </w:rPr>
        <w:t>%</w:t>
      </w:r>
      <w:r>
        <w:rPr>
          <w:rFonts w:hint="eastAsia" w:ascii="仿宋_GB2312" w:hAnsi="宋体" w:eastAsia="仿宋_GB2312" w:cs="宋体"/>
          <w:sz w:val="32"/>
          <w:szCs w:val="32"/>
        </w:rPr>
        <w:t>商品和服务支出61.68万元，占比23</w:t>
      </w:r>
      <w:r>
        <w:rPr>
          <w:rFonts w:ascii="仿宋_GB2312" w:hAnsi="宋体" w:eastAsia="仿宋_GB2312" w:cs="宋体"/>
          <w:sz w:val="32"/>
          <w:szCs w:val="32"/>
        </w:rPr>
        <w:t>%</w:t>
      </w:r>
      <w:r>
        <w:rPr>
          <w:rFonts w:hint="eastAsia" w:ascii="仿宋_GB2312" w:hAnsi="宋体" w:eastAsia="仿宋_GB2312" w:cs="宋体"/>
          <w:sz w:val="32"/>
          <w:szCs w:val="32"/>
        </w:rPr>
        <w:t>，对个人和家庭的补助支出21.06万元，占比8</w:t>
      </w:r>
      <w:r>
        <w:rPr>
          <w:rFonts w:ascii="仿宋_GB2312" w:hAnsi="宋体" w:eastAsia="仿宋_GB2312" w:cs="宋体"/>
          <w:sz w:val="32"/>
          <w:szCs w:val="32"/>
        </w:rPr>
        <w:t>%，</w:t>
      </w:r>
      <w:r>
        <w:rPr>
          <w:rFonts w:hint="eastAsia" w:ascii="仿宋_GB2312" w:hAnsi="宋体" w:eastAsia="仿宋_GB2312" w:cs="宋体"/>
          <w:sz w:val="32"/>
          <w:szCs w:val="32"/>
        </w:rPr>
        <w:t>当年结余</w:t>
      </w:r>
      <w:r>
        <w:rPr>
          <w:rFonts w:ascii="仿宋_GB2312" w:hAnsi="宋体" w:eastAsia="仿宋_GB2312" w:cs="宋体"/>
          <w:sz w:val="32"/>
          <w:szCs w:val="32"/>
        </w:rPr>
        <w:t>0</w:t>
      </w:r>
      <w:r>
        <w:rPr>
          <w:rFonts w:hint="eastAsia" w:ascii="仿宋_GB2312" w:hAnsi="宋体" w:eastAsia="仿宋_GB2312" w:cs="宋体"/>
          <w:sz w:val="32"/>
          <w:szCs w:val="32"/>
        </w:rPr>
        <w:t>万元，</w:t>
      </w:r>
      <w:r>
        <w:rPr>
          <w:rFonts w:ascii="仿宋_GB2312" w:hAnsi="宋体" w:eastAsia="仿宋_GB2312" w:cs="宋体"/>
          <w:sz w:val="32"/>
          <w:szCs w:val="32"/>
        </w:rPr>
        <w:t>20</w:t>
      </w:r>
      <w:r>
        <w:rPr>
          <w:rFonts w:hint="eastAsia" w:ascii="仿宋_GB2312" w:hAnsi="宋体" w:eastAsia="仿宋_GB2312" w:cs="宋体"/>
          <w:sz w:val="32"/>
          <w:szCs w:val="32"/>
        </w:rPr>
        <w:t>20年度无结余。</w:t>
      </w:r>
    </w:p>
    <w:p>
      <w:pPr>
        <w:widowControl/>
        <w:spacing w:line="600" w:lineRule="exact"/>
        <w:ind w:firstLine="640" w:firstLineChars="200"/>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（一）预决算编制情况。</w:t>
      </w:r>
    </w:p>
    <w:p>
      <w:pPr>
        <w:widowControl/>
        <w:spacing w:before="150"/>
        <w:jc w:val="left"/>
        <w:textAlignment w:val="center"/>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 xml:space="preserve">      20</w:t>
      </w:r>
      <w:r>
        <w:rPr>
          <w:rFonts w:hint="eastAsia" w:ascii="仿宋_GB2312" w:hAnsi="宋体" w:eastAsia="仿宋_GB2312" w:cs="宋体"/>
          <w:color w:val="333333"/>
          <w:kern w:val="0"/>
          <w:sz w:val="32"/>
          <w:szCs w:val="32"/>
        </w:rPr>
        <w:t>20年依据我单位履职要求和单位各股室年度工作计划，认真征求统计各项经费需求，参考以前年度年初预算编审、预算执行中期评估、以前年度结转和结余情况和支出绩效评价成果、资产占有和使用情况等因素，按照综合预算和《</w:t>
      </w:r>
      <w:r>
        <w:rPr>
          <w:rFonts w:hint="eastAsia" w:ascii="仿宋_GB2312" w:hAnsi="华文中宋" w:eastAsia="仿宋_GB2312"/>
          <w:bCs/>
          <w:sz w:val="32"/>
          <w:szCs w:val="32"/>
        </w:rPr>
        <w:t>宣汉县财政局关于编制</w:t>
      </w:r>
      <w:r>
        <w:rPr>
          <w:rFonts w:ascii="仿宋_GB2312" w:hAnsi="华文中宋" w:eastAsia="仿宋_GB2312"/>
          <w:bCs/>
          <w:sz w:val="32"/>
          <w:szCs w:val="32"/>
        </w:rPr>
        <w:t>20</w:t>
      </w:r>
      <w:r>
        <w:rPr>
          <w:rFonts w:hint="eastAsia" w:ascii="仿宋_GB2312" w:hAnsi="华文中宋" w:eastAsia="仿宋_GB2312"/>
          <w:bCs/>
          <w:sz w:val="32"/>
          <w:szCs w:val="32"/>
        </w:rPr>
        <w:t>20年部门预算的通知》的要求，将</w:t>
      </w:r>
      <w:r>
        <w:rPr>
          <w:rFonts w:hint="eastAsia" w:ascii="仿宋_GB2312" w:hAnsi="宋体" w:eastAsia="仿宋_GB2312" w:cs="宋体"/>
          <w:color w:val="333333"/>
          <w:kern w:val="0"/>
          <w:sz w:val="32"/>
          <w:szCs w:val="32"/>
        </w:rPr>
        <w:t>全部非财政结余资金纳入部门预算，按时完成部门预算基础库项目库草案的编制工作，对县人大预工委预审意见及时修改说明，做到各项收入、支出预算的编制合理、完整、规范，确保不重不漏，无部门预算以外保留的其他收支项目。</w:t>
      </w:r>
    </w:p>
    <w:p>
      <w:pPr>
        <w:widowControl/>
        <w:spacing w:before="150"/>
        <w:jc w:val="left"/>
        <w:textAlignment w:val="cente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支出预算严格按照“零基预算”方法，人员经费按标准、日常公用经费按定额、专项支出按项目分别编制。</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（二）执行管理情况。</w:t>
      </w:r>
    </w:p>
    <w:p>
      <w:pPr>
        <w:spacing w:before="150"/>
        <w:ind w:firstLine="640" w:firstLineChars="200"/>
        <w:textAlignment w:val="center"/>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20</w:t>
      </w:r>
      <w:r>
        <w:rPr>
          <w:rFonts w:hint="eastAsia" w:ascii="仿宋_GB2312" w:hAnsi="宋体" w:eastAsia="仿宋_GB2312" w:cs="宋体"/>
          <w:color w:val="333333"/>
          <w:kern w:val="0"/>
          <w:sz w:val="32"/>
          <w:szCs w:val="32"/>
        </w:rPr>
        <w:t>20年我单位继续加强预算执行管理，严格执行批复预算，按照收支平衡的原则，合理安排各项资金，根据执行进度对基本支出按照月度均衡原则、项目支出按实际需要及时申请用款计划，确保足额支出安排，无超预算支出。保证了部门的正常运行和专项工作任务的顺利开展。</w:t>
      </w:r>
    </w:p>
    <w:p>
      <w:pPr>
        <w:widowControl/>
        <w:spacing w:before="150"/>
        <w:jc w:val="left"/>
        <w:textAlignment w:val="cente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一是加强支出绩效管理。对纳入部门预算批复管理的项目经费，在年度执行中，跟踪了解每一项目的进展情况，及时申请用款计划，保证各项款项及时支付。后面部分根据单位情况写：年中按照《</w:t>
      </w:r>
      <w:r>
        <w:rPr>
          <w:rFonts w:ascii="仿宋_GB2312" w:hAnsi="宋体" w:eastAsia="仿宋_GB2312" w:cs="宋体"/>
          <w:color w:val="333333"/>
          <w:kern w:val="0"/>
          <w:sz w:val="32"/>
          <w:szCs w:val="32"/>
        </w:rPr>
        <w:t>20</w:t>
      </w:r>
      <w:r>
        <w:rPr>
          <w:rFonts w:hint="eastAsia" w:ascii="仿宋_GB2312" w:hAnsi="宋体" w:eastAsia="仿宋_GB2312" w:cs="宋体"/>
          <w:color w:val="333333"/>
          <w:kern w:val="0"/>
          <w:sz w:val="32"/>
          <w:szCs w:val="32"/>
        </w:rPr>
        <w:t>20年省级预算执行中期评估工作方案》的要求，认真对上年结转和当年预算安排的项目开展了预算执行中期评估，对经确认暂时不支出、当年执行有结余的项目予以了合理统筹，按程序办理预算调整手续，用于安排解决其他急需的项目，做到了中期评估动态调整到位，提高了资金使用效率，全年预算执行率均达到目标要求。</w:t>
      </w:r>
    </w:p>
    <w:p>
      <w:pPr>
        <w:widowControl/>
        <w:spacing w:before="150"/>
        <w:ind w:firstLine="645"/>
        <w:jc w:val="left"/>
        <w:textAlignment w:val="cente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二是严格执行“三公经费”预算。</w:t>
      </w:r>
      <w:r>
        <w:rPr>
          <w:rFonts w:ascii="仿宋_GB2312" w:hAnsi="宋体" w:eastAsia="仿宋_GB2312" w:cs="宋体"/>
          <w:color w:val="333333"/>
          <w:kern w:val="0"/>
          <w:sz w:val="32"/>
          <w:szCs w:val="32"/>
        </w:rPr>
        <w:t>20</w:t>
      </w:r>
      <w:r>
        <w:rPr>
          <w:rFonts w:hint="eastAsia" w:ascii="仿宋_GB2312" w:hAnsi="宋体" w:eastAsia="仿宋_GB2312" w:cs="宋体"/>
          <w:color w:val="333333"/>
          <w:kern w:val="0"/>
          <w:sz w:val="32"/>
          <w:szCs w:val="32"/>
        </w:rPr>
        <w:t>20年我单位继续认真贯彻中央八项规定、省委省政府十项规定及《党政机关厉行节约反对浪费条例》，加强“三公”经费和会议费、培训费管理，使其支出得到有效控制。全年“三公”经费支出</w:t>
      </w:r>
      <w:r>
        <w:rPr>
          <w:rFonts w:ascii="仿宋_GB2312" w:hAnsi="宋体" w:eastAsia="仿宋_GB2312" w:cs="宋体"/>
          <w:color w:val="333333"/>
          <w:kern w:val="0"/>
          <w:sz w:val="32"/>
          <w:szCs w:val="32"/>
        </w:rPr>
        <w:t>3</w:t>
      </w:r>
      <w:r>
        <w:rPr>
          <w:rFonts w:hint="eastAsia" w:ascii="仿宋_GB2312" w:hAnsi="宋体" w:eastAsia="仿宋_GB2312" w:cs="宋体"/>
          <w:color w:val="333333"/>
          <w:kern w:val="0"/>
          <w:sz w:val="32"/>
          <w:szCs w:val="32"/>
        </w:rPr>
        <w:t>万元。其中：因公出国（境）费</w:t>
      </w:r>
      <w:r>
        <w:rPr>
          <w:rFonts w:ascii="仿宋_GB2312" w:hAnsi="宋体" w:eastAsia="仿宋_GB2312" w:cs="宋体"/>
          <w:color w:val="333333"/>
          <w:kern w:val="0"/>
          <w:sz w:val="32"/>
          <w:szCs w:val="32"/>
        </w:rPr>
        <w:t xml:space="preserve"> 0</w:t>
      </w:r>
      <w:r>
        <w:rPr>
          <w:rFonts w:hint="eastAsia" w:ascii="仿宋_GB2312" w:hAnsi="宋体" w:eastAsia="仿宋_GB2312" w:cs="宋体"/>
          <w:color w:val="333333"/>
          <w:kern w:val="0"/>
          <w:sz w:val="32"/>
          <w:szCs w:val="32"/>
        </w:rPr>
        <w:t>万元、公务用车运行维护费</w:t>
      </w:r>
      <w:r>
        <w:rPr>
          <w:rFonts w:ascii="仿宋_GB2312" w:hAnsi="宋体" w:eastAsia="仿宋_GB2312" w:cs="宋体"/>
          <w:color w:val="333333"/>
          <w:kern w:val="0"/>
          <w:sz w:val="32"/>
          <w:szCs w:val="32"/>
        </w:rPr>
        <w:t xml:space="preserve">0 </w:t>
      </w:r>
      <w:r>
        <w:rPr>
          <w:rFonts w:hint="eastAsia" w:ascii="仿宋_GB2312" w:hAnsi="宋体" w:eastAsia="仿宋_GB2312" w:cs="宋体"/>
          <w:color w:val="333333"/>
          <w:kern w:val="0"/>
          <w:sz w:val="32"/>
          <w:szCs w:val="32"/>
        </w:rPr>
        <w:t>万元、公务接待费</w:t>
      </w:r>
      <w:r>
        <w:rPr>
          <w:rFonts w:ascii="仿宋_GB2312" w:hAnsi="宋体" w:eastAsia="仿宋_GB2312" w:cs="宋体"/>
          <w:color w:val="333333"/>
          <w:kern w:val="0"/>
          <w:sz w:val="32"/>
          <w:szCs w:val="32"/>
        </w:rPr>
        <w:t xml:space="preserve"> 3</w:t>
      </w:r>
      <w:r>
        <w:rPr>
          <w:rFonts w:hint="eastAsia" w:ascii="仿宋_GB2312" w:hAnsi="宋体" w:eastAsia="仿宋_GB2312" w:cs="宋体"/>
          <w:color w:val="333333"/>
          <w:kern w:val="0"/>
          <w:sz w:val="32"/>
          <w:szCs w:val="32"/>
        </w:rPr>
        <w:t>万元。　　</w:t>
      </w:r>
    </w:p>
    <w:p>
      <w:pPr>
        <w:widowControl/>
        <w:spacing w:before="150"/>
        <w:ind w:firstLine="645"/>
        <w:jc w:val="left"/>
        <w:textAlignment w:val="cente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三是厉行节约，控制行政成本。</w:t>
      </w:r>
      <w:r>
        <w:rPr>
          <w:rFonts w:ascii="仿宋_GB2312" w:hAnsi="宋体" w:eastAsia="仿宋_GB2312" w:cs="宋体"/>
          <w:color w:val="333333"/>
          <w:kern w:val="0"/>
          <w:sz w:val="32"/>
          <w:szCs w:val="32"/>
        </w:rPr>
        <w:t>20</w:t>
      </w:r>
      <w:r>
        <w:rPr>
          <w:rFonts w:hint="eastAsia" w:ascii="仿宋_GB2312" w:hAnsi="宋体" w:eastAsia="仿宋_GB2312" w:cs="宋体"/>
          <w:color w:val="333333"/>
          <w:kern w:val="0"/>
          <w:sz w:val="32"/>
          <w:szCs w:val="32"/>
        </w:rPr>
        <w:t>20年，我单位进一步强化节能宣传、创新制度规范、完善管理手续，切实加强机关节能降耗工作力度，对机关能耗适时监控，完成省政府下达的当年度水、电、气、节能降耗绩效考核任务。</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（三）支出绩效情况</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ascii="仿宋_GB2312" w:eastAsia="仿宋_GB2312"/>
          <w:color w:val="000000"/>
          <w:kern w:val="0"/>
          <w:sz w:val="32"/>
          <w:szCs w:val="32"/>
          <w:shd w:val="clear" w:color="auto" w:fill="FFFFFF"/>
          <w:lang w:val="zh-CN"/>
        </w:rPr>
        <w:t>1</w:t>
      </w:r>
      <w:r>
        <w:rPr>
          <w:rFonts w:hint="eastAsia" w:ascii="仿宋_GB2312" w:eastAsia="仿宋_GB2312"/>
          <w:color w:val="000000"/>
          <w:kern w:val="0"/>
          <w:sz w:val="32"/>
          <w:szCs w:val="32"/>
          <w:shd w:val="clear" w:color="auto" w:fill="FFFFFF"/>
          <w:lang w:val="zh-CN"/>
        </w:rPr>
        <w:t>、部门支出绩效。</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2020年</w:t>
      </w:r>
      <w:r>
        <w:rPr>
          <w:rFonts w:eastAsia="仿宋_GB2312"/>
          <w:sz w:val="32"/>
          <w:szCs w:val="32"/>
        </w:rPr>
        <w:t>全县城镇新增就业</w:t>
      </w:r>
      <w:r>
        <w:rPr>
          <w:rFonts w:hint="eastAsia" w:eastAsia="仿宋_GB2312"/>
          <w:sz w:val="32"/>
          <w:szCs w:val="32"/>
        </w:rPr>
        <w:t>5526</w:t>
      </w:r>
      <w:r>
        <w:rPr>
          <w:rFonts w:eastAsia="仿宋_GB2312"/>
          <w:sz w:val="32"/>
          <w:szCs w:val="32"/>
        </w:rPr>
        <w:t>人，完成目标任务5300人的</w:t>
      </w:r>
      <w:r>
        <w:rPr>
          <w:rFonts w:hint="eastAsia" w:eastAsia="仿宋_GB2312"/>
          <w:sz w:val="32"/>
          <w:szCs w:val="32"/>
        </w:rPr>
        <w:t>104.26</w:t>
      </w:r>
      <w:r>
        <w:rPr>
          <w:rFonts w:eastAsia="仿宋_GB2312"/>
          <w:sz w:val="32"/>
          <w:szCs w:val="32"/>
        </w:rPr>
        <w:t>%；城镇失业人员再就业</w:t>
      </w:r>
      <w:r>
        <w:rPr>
          <w:rFonts w:hint="eastAsia" w:eastAsia="仿宋_GB2312"/>
          <w:sz w:val="32"/>
          <w:szCs w:val="32"/>
        </w:rPr>
        <w:t>1628</w:t>
      </w:r>
      <w:r>
        <w:rPr>
          <w:rFonts w:eastAsia="仿宋_GB2312"/>
          <w:sz w:val="32"/>
          <w:szCs w:val="32"/>
        </w:rPr>
        <w:t>人，完成目标任务1300人的</w:t>
      </w:r>
      <w:r>
        <w:rPr>
          <w:rFonts w:hint="eastAsia" w:eastAsia="仿宋_GB2312"/>
          <w:sz w:val="32"/>
          <w:szCs w:val="32"/>
        </w:rPr>
        <w:t>125.23</w:t>
      </w:r>
      <w:r>
        <w:rPr>
          <w:rFonts w:eastAsia="仿宋_GB2312"/>
          <w:sz w:val="32"/>
          <w:szCs w:val="32"/>
        </w:rPr>
        <w:t>%；就业困难人员再就业</w:t>
      </w:r>
      <w:r>
        <w:rPr>
          <w:rFonts w:hint="eastAsia" w:eastAsia="仿宋_GB2312"/>
          <w:sz w:val="32"/>
          <w:szCs w:val="32"/>
        </w:rPr>
        <w:t>455</w:t>
      </w:r>
      <w:r>
        <w:rPr>
          <w:rFonts w:eastAsia="仿宋_GB2312"/>
          <w:sz w:val="32"/>
          <w:szCs w:val="32"/>
        </w:rPr>
        <w:t>人，完成目标任务370人的1</w:t>
      </w:r>
      <w:r>
        <w:rPr>
          <w:rFonts w:hint="eastAsia" w:eastAsia="仿宋_GB2312"/>
          <w:sz w:val="32"/>
          <w:szCs w:val="32"/>
        </w:rPr>
        <w:t>22.97</w:t>
      </w:r>
      <w:r>
        <w:rPr>
          <w:rFonts w:eastAsia="仿宋_GB2312"/>
          <w:sz w:val="32"/>
          <w:szCs w:val="32"/>
        </w:rPr>
        <w:t>%；城镇登记失业率4.</w:t>
      </w:r>
      <w:r>
        <w:rPr>
          <w:rFonts w:hint="eastAsia" w:eastAsia="仿宋_GB2312"/>
          <w:sz w:val="32"/>
          <w:szCs w:val="32"/>
        </w:rPr>
        <w:t>1</w:t>
      </w:r>
      <w:r>
        <w:rPr>
          <w:rFonts w:eastAsia="仿宋_GB2312"/>
          <w:sz w:val="32"/>
          <w:szCs w:val="32"/>
        </w:rPr>
        <w:t>%；创业培训35</w:t>
      </w:r>
      <w:r>
        <w:rPr>
          <w:rFonts w:hint="eastAsia" w:eastAsia="仿宋_GB2312"/>
          <w:sz w:val="32"/>
          <w:szCs w:val="32"/>
        </w:rPr>
        <w:t>7</w:t>
      </w:r>
      <w:r>
        <w:rPr>
          <w:rFonts w:eastAsia="仿宋_GB2312"/>
          <w:sz w:val="32"/>
          <w:szCs w:val="32"/>
        </w:rPr>
        <w:t>人，完成目标任务350人的</w:t>
      </w:r>
      <w:r>
        <w:rPr>
          <w:rFonts w:hint="eastAsia" w:eastAsia="仿宋_GB2312"/>
          <w:sz w:val="32"/>
          <w:szCs w:val="32"/>
        </w:rPr>
        <w:t>102</w:t>
      </w:r>
      <w:r>
        <w:rPr>
          <w:rFonts w:eastAsia="仿宋_GB2312"/>
          <w:sz w:val="32"/>
          <w:szCs w:val="32"/>
        </w:rPr>
        <w:t>%；脱贫攻坚技能培训</w:t>
      </w:r>
      <w:r>
        <w:rPr>
          <w:rFonts w:hint="eastAsia" w:eastAsia="仿宋_GB2312"/>
          <w:sz w:val="32"/>
          <w:szCs w:val="32"/>
        </w:rPr>
        <w:t>32期，3668</w:t>
      </w:r>
      <w:r>
        <w:rPr>
          <w:rFonts w:eastAsia="仿宋_GB2312"/>
          <w:sz w:val="32"/>
          <w:szCs w:val="32"/>
        </w:rPr>
        <w:t>人（其中东西部扶贫劳务协作贫困家庭劳动力培训310人）</w:t>
      </w:r>
      <w:r>
        <w:rPr>
          <w:rFonts w:hint="eastAsia" w:eastAsia="仿宋_GB2312"/>
          <w:sz w:val="32"/>
          <w:szCs w:val="32"/>
        </w:rPr>
        <w:t>；</w:t>
      </w:r>
      <w:r>
        <w:rPr>
          <w:rFonts w:eastAsia="仿宋_GB2312"/>
          <w:sz w:val="32"/>
          <w:szCs w:val="32"/>
        </w:rPr>
        <w:t>高校毕业</w:t>
      </w:r>
      <w:r>
        <w:rPr>
          <w:rFonts w:eastAsia="仿宋_GB2312"/>
          <w:color w:val="000000" w:themeColor="text1"/>
          <w:sz w:val="32"/>
          <w:szCs w:val="32"/>
        </w:rPr>
        <w:t>生实现创业</w:t>
      </w:r>
      <w:r>
        <w:rPr>
          <w:rFonts w:hint="eastAsia" w:eastAsia="仿宋_GB2312"/>
          <w:color w:val="000000" w:themeColor="text1"/>
          <w:sz w:val="32"/>
          <w:szCs w:val="32"/>
        </w:rPr>
        <w:t>6</w:t>
      </w:r>
      <w:r>
        <w:rPr>
          <w:rFonts w:eastAsia="仿宋_GB2312"/>
          <w:color w:val="000000" w:themeColor="text1"/>
          <w:sz w:val="32"/>
          <w:szCs w:val="32"/>
        </w:rPr>
        <w:t>人；发放创业担保贷款</w:t>
      </w:r>
      <w:r>
        <w:rPr>
          <w:rFonts w:hint="eastAsia" w:eastAsia="仿宋_GB2312"/>
          <w:color w:val="000000" w:themeColor="text1"/>
          <w:sz w:val="32"/>
          <w:szCs w:val="32"/>
        </w:rPr>
        <w:t>2460</w:t>
      </w:r>
      <w:r>
        <w:rPr>
          <w:rFonts w:eastAsia="仿宋_GB2312"/>
          <w:color w:val="000000" w:themeColor="text1"/>
          <w:sz w:val="32"/>
          <w:szCs w:val="32"/>
        </w:rPr>
        <w:t>万元；发放失业保险各项</w:t>
      </w:r>
      <w:r>
        <w:rPr>
          <w:rFonts w:eastAsia="仿宋_GB2312"/>
          <w:sz w:val="32"/>
          <w:szCs w:val="32"/>
        </w:rPr>
        <w:t>待遇</w:t>
      </w:r>
      <w:bookmarkStart w:id="73" w:name="_GoBack"/>
      <w:r>
        <w:rPr>
          <w:rFonts w:eastAsia="仿宋_GB2312"/>
          <w:color w:val="000000" w:themeColor="text1"/>
          <w:sz w:val="32"/>
          <w:szCs w:val="32"/>
        </w:rPr>
        <w:t>152.9万元；</w:t>
      </w:r>
      <w:bookmarkEnd w:id="73"/>
      <w:r>
        <w:rPr>
          <w:rFonts w:eastAsia="仿宋_GB2312"/>
          <w:sz w:val="32"/>
          <w:szCs w:val="32"/>
        </w:rPr>
        <w:t>举办就业扶贫专场招聘会</w:t>
      </w:r>
      <w:r>
        <w:rPr>
          <w:rFonts w:hint="eastAsia" w:eastAsia="仿宋_GB2312"/>
          <w:sz w:val="32"/>
          <w:szCs w:val="32"/>
        </w:rPr>
        <w:t>16</w:t>
      </w:r>
      <w:r>
        <w:rPr>
          <w:rFonts w:eastAsia="仿宋_GB2312"/>
          <w:sz w:val="32"/>
          <w:szCs w:val="32"/>
        </w:rPr>
        <w:t>场次（其中浙川东西部就业扶贫协作专场招聘会5场）；</w:t>
      </w:r>
      <w:r>
        <w:rPr>
          <w:rFonts w:hint="eastAsia" w:eastAsia="仿宋_GB2312"/>
          <w:sz w:val="32"/>
          <w:szCs w:val="32"/>
        </w:rPr>
        <w:t>认定</w:t>
      </w:r>
      <w:r>
        <w:rPr>
          <w:rFonts w:eastAsia="仿宋_GB2312"/>
          <w:sz w:val="32"/>
          <w:szCs w:val="32"/>
        </w:rPr>
        <w:t>就业扶贫基地6个、就业扶贫车间2个</w:t>
      </w:r>
      <w:r>
        <w:rPr>
          <w:rFonts w:hint="eastAsia" w:eastAsia="仿宋_GB2312"/>
          <w:sz w:val="32"/>
          <w:szCs w:val="32"/>
        </w:rPr>
        <w:t>；</w:t>
      </w:r>
      <w:r>
        <w:rPr>
          <w:rFonts w:eastAsia="仿宋_GB2312"/>
          <w:sz w:val="32"/>
          <w:szCs w:val="32"/>
        </w:rPr>
        <w:t>贫困家庭劳动力自主创业5</w:t>
      </w:r>
      <w:r>
        <w:rPr>
          <w:rFonts w:hint="eastAsia" w:eastAsia="仿宋_GB2312"/>
          <w:sz w:val="32"/>
          <w:szCs w:val="32"/>
        </w:rPr>
        <w:t>9</w:t>
      </w:r>
      <w:r>
        <w:rPr>
          <w:rFonts w:eastAsia="仿宋_GB2312"/>
          <w:sz w:val="32"/>
          <w:szCs w:val="32"/>
        </w:rPr>
        <w:t>人。</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w:t>
      </w:r>
      <w:r>
        <w:rPr>
          <w:rFonts w:ascii="仿宋_GB2312" w:eastAsia="仿宋_GB2312"/>
          <w:color w:val="000000"/>
          <w:kern w:val="0"/>
          <w:sz w:val="32"/>
          <w:szCs w:val="32"/>
          <w:shd w:val="clear" w:color="auto" w:fill="FFFFFF"/>
          <w:lang w:val="zh-CN"/>
        </w:rPr>
        <w:t>2</w:t>
      </w:r>
      <w:r>
        <w:rPr>
          <w:rFonts w:hint="eastAsia" w:ascii="仿宋_GB2312" w:eastAsia="仿宋_GB2312"/>
          <w:color w:val="000000"/>
          <w:kern w:val="0"/>
          <w:sz w:val="32"/>
          <w:szCs w:val="32"/>
          <w:shd w:val="clear" w:color="auto" w:fill="FFFFFF"/>
          <w:lang w:val="zh-CN"/>
        </w:rPr>
        <w:t>）机关厉行节约。</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ascii="仿宋_GB2312" w:eastAsia="仿宋_GB2312"/>
          <w:color w:val="000000"/>
          <w:kern w:val="0"/>
          <w:sz w:val="32"/>
          <w:szCs w:val="32"/>
          <w:shd w:val="clear" w:color="auto" w:fill="FFFFFF"/>
          <w:lang w:val="zh-CN"/>
        </w:rPr>
        <w:t>20</w:t>
      </w:r>
      <w:r>
        <w:rPr>
          <w:rFonts w:hint="eastAsia" w:ascii="仿宋_GB2312" w:eastAsia="仿宋_GB2312"/>
          <w:color w:val="000000"/>
          <w:kern w:val="0"/>
          <w:sz w:val="32"/>
          <w:szCs w:val="32"/>
          <w:shd w:val="clear" w:color="auto" w:fill="FFFFFF"/>
          <w:lang w:val="zh-CN"/>
        </w:rPr>
        <w:t>20年我局机关共开支三公经费预算</w:t>
      </w:r>
      <w:r>
        <w:rPr>
          <w:rFonts w:ascii="仿宋_GB2312" w:eastAsia="仿宋_GB2312"/>
          <w:color w:val="000000"/>
          <w:kern w:val="0"/>
          <w:sz w:val="32"/>
          <w:szCs w:val="32"/>
          <w:shd w:val="clear" w:color="auto" w:fill="FFFFFF"/>
          <w:lang w:val="zh-CN"/>
        </w:rPr>
        <w:t>3</w:t>
      </w:r>
      <w:r>
        <w:rPr>
          <w:rFonts w:hint="eastAsia" w:ascii="仿宋_GB2312" w:eastAsia="仿宋_GB2312"/>
          <w:color w:val="000000"/>
          <w:kern w:val="0"/>
          <w:sz w:val="32"/>
          <w:szCs w:val="32"/>
          <w:shd w:val="clear" w:color="auto" w:fill="FFFFFF"/>
          <w:lang w:val="zh-CN"/>
        </w:rPr>
        <w:t>万元，实际支出</w:t>
      </w:r>
      <w:r>
        <w:rPr>
          <w:rFonts w:ascii="仿宋_GB2312" w:eastAsia="仿宋_GB2312"/>
          <w:color w:val="000000"/>
          <w:kern w:val="0"/>
          <w:sz w:val="32"/>
          <w:szCs w:val="32"/>
          <w:shd w:val="clear" w:color="auto" w:fill="FFFFFF"/>
          <w:lang w:val="zh-CN"/>
        </w:rPr>
        <w:t>3</w:t>
      </w:r>
      <w:r>
        <w:rPr>
          <w:rFonts w:hint="eastAsia" w:ascii="仿宋_GB2312" w:eastAsia="仿宋_GB2312"/>
          <w:color w:val="000000"/>
          <w:kern w:val="0"/>
          <w:sz w:val="32"/>
          <w:szCs w:val="32"/>
          <w:shd w:val="clear" w:color="auto" w:fill="FFFFFF"/>
          <w:lang w:val="zh-CN"/>
        </w:rPr>
        <w:t>万元全部为公务接待费。无因公出国（境）费用、会议费、车辆购置及运行费用</w:t>
      </w:r>
      <w:r>
        <w:rPr>
          <w:rFonts w:ascii="仿宋_GB2312" w:eastAsia="仿宋_GB2312"/>
          <w:color w:val="000000"/>
          <w:kern w:val="0"/>
          <w:sz w:val="32"/>
          <w:szCs w:val="32"/>
          <w:shd w:val="clear" w:color="auto" w:fill="FFFFFF"/>
          <w:lang w:val="zh-CN"/>
        </w:rPr>
        <w:t>.</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w:t>
      </w:r>
      <w:r>
        <w:rPr>
          <w:rFonts w:ascii="仿宋_GB2312" w:eastAsia="仿宋_GB2312"/>
          <w:color w:val="000000"/>
          <w:kern w:val="0"/>
          <w:sz w:val="32"/>
          <w:szCs w:val="32"/>
          <w:shd w:val="clear" w:color="auto" w:fill="FFFFFF"/>
          <w:lang w:val="zh-CN"/>
        </w:rPr>
        <w:t>3</w:t>
      </w:r>
      <w:r>
        <w:rPr>
          <w:rFonts w:hint="eastAsia" w:ascii="仿宋_GB2312" w:eastAsia="仿宋_GB2312"/>
          <w:color w:val="000000"/>
          <w:kern w:val="0"/>
          <w:sz w:val="32"/>
          <w:szCs w:val="32"/>
          <w:shd w:val="clear" w:color="auto" w:fill="FFFFFF"/>
          <w:lang w:val="zh-CN"/>
        </w:rPr>
        <w:t>）机关节能降耗。</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局办公楼水、电费由各局分月负担支付。燃油费由机关事务局统一支付。</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（四）财务管理情况。</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本单位建立了各项管理制定，包括财务管理制度、会计核算制定、专项资金管理制度、部门例行节约制定、政府采购制度等。相关制度合法、合规、完整，并得到有效执行。</w:t>
      </w:r>
    </w:p>
    <w:p>
      <w:pPr>
        <w:widowControl/>
        <w:adjustRightInd w:val="0"/>
        <w:snapToGrid w:val="0"/>
        <w:spacing w:line="579" w:lineRule="exact"/>
        <w:ind w:firstLine="720"/>
        <w:jc w:val="left"/>
        <w:rPr>
          <w:rFonts w:ascii="仿宋_GB2312" w:hAnsi="黑体" w:eastAsia="仿宋_GB2312"/>
          <w:color w:val="000000"/>
          <w:kern w:val="0"/>
          <w:sz w:val="32"/>
          <w:szCs w:val="32"/>
          <w:shd w:val="clear" w:color="auto" w:fill="FFFFFF"/>
        </w:rPr>
      </w:pPr>
      <w:r>
        <w:rPr>
          <w:rFonts w:hint="eastAsia" w:ascii="仿宋_GB2312" w:hAnsi="黑体" w:eastAsia="仿宋_GB2312"/>
          <w:color w:val="000000"/>
          <w:kern w:val="0"/>
          <w:sz w:val="32"/>
          <w:szCs w:val="32"/>
          <w:shd w:val="clear" w:color="auto" w:fill="FFFFFF"/>
        </w:rPr>
        <w:t>四、评价结论及建议</w:t>
      </w:r>
    </w:p>
    <w:p>
      <w:pPr>
        <w:widowControl/>
        <w:adjustRightInd w:val="0"/>
        <w:snapToGrid w:val="0"/>
        <w:spacing w:line="579" w:lineRule="exact"/>
        <w:ind w:firstLine="720"/>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（一）评价结论</w:t>
      </w:r>
    </w:p>
    <w:p>
      <w:pPr>
        <w:widowControl/>
        <w:shd w:val="clear" w:color="auto" w:fill="FFFFFF"/>
        <w:spacing w:line="580" w:lineRule="atLeast"/>
        <w:ind w:firstLine="64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我单位在预算执行、预算管理及职责履行等方面执行情况较好，产生了较好的社会效益，也得到了上级部门的肯定。经认真对照《</w:t>
      </w:r>
      <w:r>
        <w:rPr>
          <w:rFonts w:ascii="仿宋_GB2312" w:hAnsi="宋体" w:eastAsia="仿宋_GB2312" w:cs="宋体"/>
          <w:color w:val="333333"/>
          <w:kern w:val="0"/>
          <w:sz w:val="32"/>
          <w:szCs w:val="32"/>
        </w:rPr>
        <w:t>20</w:t>
      </w:r>
      <w:r>
        <w:rPr>
          <w:rFonts w:hint="eastAsia" w:ascii="仿宋_GB2312" w:hAnsi="宋体" w:eastAsia="仿宋_GB2312" w:cs="宋体"/>
          <w:color w:val="333333"/>
          <w:kern w:val="0"/>
          <w:sz w:val="32"/>
          <w:szCs w:val="32"/>
        </w:rPr>
        <w:t>20年部门整体支出绩效评指标评分表》按照预算配置、预算执行、预算职责履行、履行效益四个方面进行评价，整体支出绩效综合评分为优。</w:t>
      </w:r>
      <w:r>
        <w:rPr>
          <w:rFonts w:ascii="宋体" w:hAnsi="宋体" w:eastAsia="仿宋_GB2312" w:cs="宋体"/>
          <w:color w:val="333333"/>
          <w:kern w:val="0"/>
          <w:sz w:val="32"/>
          <w:szCs w:val="32"/>
        </w:rPr>
        <w:t> </w:t>
      </w:r>
    </w:p>
    <w:p>
      <w:pPr>
        <w:widowControl/>
        <w:numPr>
          <w:ilvl w:val="0"/>
          <w:numId w:val="4"/>
        </w:numPr>
        <w:adjustRightInd w:val="0"/>
        <w:snapToGrid w:val="0"/>
        <w:spacing w:line="579" w:lineRule="exact"/>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存在问题</w:t>
      </w:r>
    </w:p>
    <w:p>
      <w:pPr>
        <w:widowControl/>
        <w:adjustRightInd w:val="0"/>
        <w:snapToGrid w:val="0"/>
        <w:spacing w:line="579" w:lineRule="exact"/>
        <w:ind w:left="540"/>
        <w:jc w:val="left"/>
        <w:rPr>
          <w:rFonts w:ascii="仿宋_GB2312" w:eastAsia="仿宋_GB2312"/>
          <w:color w:val="000000"/>
          <w:kern w:val="0"/>
          <w:sz w:val="32"/>
          <w:szCs w:val="32"/>
          <w:shd w:val="clear" w:color="auto" w:fill="FFFFFF"/>
          <w:lang w:val="zh-CN"/>
        </w:rPr>
      </w:pPr>
      <w:r>
        <w:rPr>
          <w:rFonts w:hint="eastAsia" w:ascii="仿宋_GB2312" w:hAnsi="Helvetica" w:eastAsia="仿宋_GB2312"/>
          <w:sz w:val="32"/>
          <w:szCs w:val="32"/>
        </w:rPr>
        <w:t>预算管理方面，制度执行总体较为有效，仍需进一步强化；资金使用管理需进一步加强</w:t>
      </w:r>
    </w:p>
    <w:p>
      <w:pPr>
        <w:widowControl/>
        <w:numPr>
          <w:ilvl w:val="0"/>
          <w:numId w:val="4"/>
        </w:numPr>
        <w:adjustRightInd w:val="0"/>
        <w:snapToGrid w:val="0"/>
        <w:spacing w:line="579" w:lineRule="exact"/>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改进建议</w:t>
      </w:r>
    </w:p>
    <w:p>
      <w:pPr>
        <w:pStyle w:val="12"/>
        <w:shd w:val="clear" w:color="auto" w:fill="FFFFFF"/>
        <w:spacing w:line="360" w:lineRule="atLeast"/>
        <w:ind w:firstLine="1280" w:firstLineChars="400"/>
        <w:rPr>
          <w:rFonts w:ascii="仿宋_GB2312" w:hAnsi="Helvetica" w:eastAsia="仿宋_GB2312"/>
          <w:sz w:val="32"/>
          <w:szCs w:val="32"/>
        </w:rPr>
      </w:pPr>
      <w:r>
        <w:rPr>
          <w:rFonts w:ascii="仿宋_GB2312" w:hAnsi="Helvetica" w:eastAsia="仿宋_GB2312"/>
          <w:sz w:val="32"/>
          <w:szCs w:val="32"/>
        </w:rPr>
        <w:t>1</w:t>
      </w:r>
      <w:r>
        <w:rPr>
          <w:rFonts w:hint="eastAsia" w:ascii="仿宋_GB2312" w:hAnsi="Helvetica" w:eastAsia="仿宋_GB2312"/>
          <w:sz w:val="32"/>
          <w:szCs w:val="32"/>
        </w:rPr>
        <w:t>、科学合理编制预算，并严格执行预算</w:t>
      </w:r>
      <w:r>
        <w:rPr>
          <w:rFonts w:ascii="Helvetica" w:hAnsi="Helvetica" w:eastAsia="仿宋_GB2312"/>
          <w:sz w:val="32"/>
          <w:szCs w:val="32"/>
        </w:rPr>
        <w:t> </w:t>
      </w:r>
    </w:p>
    <w:p>
      <w:pPr>
        <w:pStyle w:val="12"/>
        <w:shd w:val="clear" w:color="auto" w:fill="FFFFFF"/>
        <w:spacing w:line="360" w:lineRule="atLeast"/>
        <w:ind w:firstLine="630"/>
        <w:rPr>
          <w:rFonts w:ascii="仿宋_GB2312" w:hAnsi="Helvetica" w:eastAsia="仿宋_GB2312"/>
          <w:sz w:val="32"/>
          <w:szCs w:val="32"/>
        </w:rPr>
      </w:pPr>
      <w:r>
        <w:rPr>
          <w:rFonts w:hint="eastAsia" w:ascii="仿宋_GB2312" w:hAnsi="Helvetica" w:eastAsia="仿宋_GB2312"/>
          <w:sz w:val="32"/>
          <w:szCs w:val="32"/>
        </w:rPr>
        <w:t>要加强预算编制的前瞻性，按照《预算法》及其实施条例的相关规定，综合上一年的预算执行情况和本年度收支预测科学、合理地编制本年度预算，以避免预算支出与实际执行出现较大偏差的情况。</w:t>
      </w:r>
      <w:r>
        <w:rPr>
          <w:rFonts w:ascii="Helvetica" w:hAnsi="Helvetica" w:eastAsia="仿宋_GB2312"/>
          <w:sz w:val="32"/>
          <w:szCs w:val="32"/>
        </w:rPr>
        <w:t> </w:t>
      </w:r>
    </w:p>
    <w:p>
      <w:pPr>
        <w:pStyle w:val="12"/>
        <w:shd w:val="clear" w:color="auto" w:fill="FFFFFF"/>
        <w:spacing w:line="360" w:lineRule="atLeast"/>
        <w:ind w:firstLine="630"/>
        <w:rPr>
          <w:rFonts w:ascii="仿宋_GB2312" w:hAnsi="Helvetica" w:eastAsia="仿宋_GB2312"/>
          <w:sz w:val="32"/>
          <w:szCs w:val="32"/>
        </w:rPr>
      </w:pPr>
      <w:r>
        <w:rPr>
          <w:rFonts w:ascii="仿宋_GB2312" w:hAnsi="Helvetica" w:eastAsia="仿宋_GB2312"/>
          <w:sz w:val="32"/>
          <w:szCs w:val="32"/>
        </w:rPr>
        <w:t>2</w:t>
      </w:r>
      <w:r>
        <w:rPr>
          <w:rFonts w:hint="eastAsia" w:ascii="仿宋_GB2312" w:hAnsi="Helvetica" w:eastAsia="仿宋_GB2312"/>
          <w:sz w:val="32"/>
          <w:szCs w:val="32"/>
        </w:rPr>
        <w:t>、完善制度，进一步加强资产管理</w:t>
      </w:r>
      <w:r>
        <w:rPr>
          <w:rFonts w:ascii="Helvetica" w:hAnsi="Helvetica" w:eastAsia="仿宋_GB2312"/>
          <w:sz w:val="32"/>
          <w:szCs w:val="32"/>
        </w:rPr>
        <w:t> </w:t>
      </w:r>
    </w:p>
    <w:p>
      <w:pPr>
        <w:pStyle w:val="12"/>
        <w:shd w:val="clear" w:color="auto" w:fill="FFFFFF"/>
        <w:spacing w:line="360" w:lineRule="atLeast"/>
        <w:ind w:firstLine="630"/>
        <w:rPr>
          <w:rFonts w:ascii="仿宋_GB2312" w:hAnsi="Helvetica" w:eastAsia="仿宋_GB2312"/>
          <w:sz w:val="32"/>
          <w:szCs w:val="32"/>
        </w:rPr>
      </w:pPr>
      <w:r>
        <w:rPr>
          <w:rFonts w:hint="eastAsia" w:ascii="仿宋_GB2312" w:hAnsi="Helvetica" w:eastAsia="仿宋_GB2312"/>
          <w:sz w:val="32"/>
          <w:szCs w:val="32"/>
        </w:rPr>
        <w:t>进一步贯彻落实中央八项规定，建立公务支出各项管理制度和厉行节约制度，加强经费审批和控制，规范支出标准与范围，并严格执行。严格按照《固定资产管理办法》相关规定加强固定资产管理，规范资产购置、保管、使用及处置等程序，定期进行盘点，确保账账相符、账实相符。</w:t>
      </w:r>
      <w:r>
        <w:rPr>
          <w:rFonts w:ascii="Helvetica" w:hAnsi="Helvetica" w:eastAsia="仿宋_GB2312"/>
          <w:sz w:val="32"/>
          <w:szCs w:val="32"/>
        </w:rPr>
        <w:t> </w:t>
      </w:r>
    </w:p>
    <w:p>
      <w:pPr>
        <w:pStyle w:val="12"/>
        <w:shd w:val="clear" w:color="auto" w:fill="FFFFFF"/>
        <w:spacing w:line="360" w:lineRule="atLeast"/>
        <w:rPr>
          <w:rFonts w:ascii="仿宋_GB2312" w:hAnsi="Helvetica" w:eastAsia="仿宋_GB2312"/>
          <w:sz w:val="32"/>
          <w:szCs w:val="32"/>
        </w:rPr>
      </w:pPr>
      <w:r>
        <w:rPr>
          <w:rFonts w:hint="eastAsia" w:ascii="仿宋_GB2312" w:hAnsi="Helvetica" w:eastAsia="仿宋_GB2312"/>
          <w:sz w:val="32"/>
          <w:szCs w:val="32"/>
        </w:rPr>
        <w:t>　　</w:t>
      </w:r>
      <w:r>
        <w:rPr>
          <w:rFonts w:ascii="仿宋_GB2312" w:hAnsi="Helvetica" w:eastAsia="仿宋_GB2312"/>
          <w:sz w:val="32"/>
          <w:szCs w:val="32"/>
        </w:rPr>
        <w:t>3</w:t>
      </w:r>
      <w:r>
        <w:rPr>
          <w:rFonts w:hint="eastAsia" w:ascii="仿宋_GB2312" w:hAnsi="Helvetica" w:eastAsia="仿宋_GB2312"/>
          <w:sz w:val="32"/>
          <w:szCs w:val="32"/>
        </w:rPr>
        <w:t>、加强新行政事业单位会计制度、新预算法及内控制度的学习培训。</w:t>
      </w:r>
      <w:r>
        <w:rPr>
          <w:rFonts w:ascii="Helvetica" w:hAnsi="Helvetica" w:eastAsia="仿宋_GB2312"/>
          <w:sz w:val="32"/>
          <w:szCs w:val="32"/>
        </w:rPr>
        <w:t> </w:t>
      </w:r>
    </w:p>
    <w:p>
      <w:pPr>
        <w:pStyle w:val="12"/>
        <w:shd w:val="clear" w:color="auto" w:fill="FFFFFF"/>
        <w:spacing w:line="360" w:lineRule="atLeast"/>
        <w:rPr>
          <w:rFonts w:ascii="仿宋_GB2312" w:hAnsi="Helvetica" w:eastAsia="仿宋_GB2312"/>
          <w:sz w:val="32"/>
          <w:szCs w:val="32"/>
        </w:rPr>
      </w:pPr>
      <w:r>
        <w:rPr>
          <w:rFonts w:hint="eastAsia" w:ascii="仿宋_GB2312" w:hAnsi="Helvetica" w:eastAsia="仿宋_GB2312"/>
          <w:sz w:val="32"/>
          <w:szCs w:val="32"/>
        </w:rPr>
        <w:t>　　加强新《预算法》、《事业单位会计制度》及内控制度的学习培训，规范部门预算收支核算，完善内部管理制度，切实提高部门预算收支管理水平和内控管理水平。</w:t>
      </w:r>
      <w:r>
        <w:rPr>
          <w:rFonts w:ascii="Helvetica" w:hAnsi="Helvetica" w:eastAsia="仿宋_GB2312"/>
          <w:sz w:val="32"/>
          <w:szCs w:val="32"/>
        </w:rPr>
        <w:t> </w:t>
      </w:r>
    </w:p>
    <w:p>
      <w:pPr>
        <w:pStyle w:val="12"/>
        <w:shd w:val="clear" w:color="auto" w:fill="FFFFFF"/>
        <w:spacing w:line="360" w:lineRule="atLeast"/>
        <w:jc w:val="center"/>
        <w:rPr>
          <w:rFonts w:ascii="黑体" w:hAnsi="黑体" w:eastAsia="黑体"/>
          <w:color w:val="000000"/>
          <w:sz w:val="44"/>
          <w:szCs w:val="44"/>
        </w:rPr>
      </w:pPr>
      <w:bookmarkStart w:id="59" w:name="_Toc15396618"/>
    </w:p>
    <w:p>
      <w:pPr>
        <w:pStyle w:val="12"/>
        <w:shd w:val="clear" w:color="auto" w:fill="FFFFFF"/>
        <w:spacing w:line="360" w:lineRule="atLeast"/>
        <w:jc w:val="center"/>
        <w:rPr>
          <w:rFonts w:ascii="黑体" w:hAnsi="黑体" w:eastAsia="黑体"/>
          <w:color w:val="000000"/>
          <w:sz w:val="44"/>
          <w:szCs w:val="44"/>
        </w:rPr>
      </w:pPr>
    </w:p>
    <w:p>
      <w:pPr>
        <w:pStyle w:val="12"/>
        <w:shd w:val="clear" w:color="auto" w:fill="FFFFFF"/>
        <w:spacing w:line="360" w:lineRule="atLeast"/>
        <w:jc w:val="center"/>
        <w:rPr>
          <w:rFonts w:ascii="黑体" w:hAnsi="黑体" w:eastAsia="黑体"/>
          <w:color w:val="000000"/>
          <w:sz w:val="44"/>
          <w:szCs w:val="44"/>
        </w:rPr>
      </w:pPr>
    </w:p>
    <w:p>
      <w:pPr>
        <w:pStyle w:val="12"/>
        <w:shd w:val="clear" w:color="auto" w:fill="FFFFFF"/>
        <w:spacing w:line="360" w:lineRule="atLeast"/>
        <w:jc w:val="center"/>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五部分附表</w:t>
      </w:r>
      <w:bookmarkEnd w:id="56"/>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18"/>
          <w:rFonts w:hint="eastAsia" w:ascii="仿宋" w:hAnsi="仿宋" w:eastAsia="仿宋"/>
          <w:b w:val="0"/>
          <w:bCs w:val="0"/>
        </w:rPr>
        <w:t>入总表</w:t>
      </w:r>
      <w:bookmarkEnd w:id="61"/>
    </w:p>
    <w:p>
      <w:pPr>
        <w:pStyle w:val="3"/>
        <w:rPr>
          <w:rFonts w:ascii="仿宋" w:hAnsi="仿宋" w:eastAsia="仿宋"/>
          <w:color w:val="000000"/>
        </w:rPr>
      </w:pPr>
      <w:bookmarkStart w:id="62"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出总表</w:t>
      </w:r>
      <w:bookmarkEnd w:id="62"/>
    </w:p>
    <w:p>
      <w:pPr>
        <w:pStyle w:val="3"/>
        <w:rPr>
          <w:rFonts w:ascii="仿宋" w:hAnsi="仿宋" w:eastAsia="仿宋"/>
          <w:b w:val="0"/>
          <w:color w:val="000000"/>
        </w:rPr>
      </w:pPr>
      <w:bookmarkStart w:id="63"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3"/>
    </w:p>
    <w:p>
      <w:pPr>
        <w:pStyle w:val="3"/>
        <w:rPr>
          <w:rFonts w:ascii="仿宋" w:hAnsi="仿宋" w:eastAsia="仿宋"/>
          <w:color w:val="000000"/>
        </w:rPr>
      </w:pPr>
      <w:bookmarkStart w:id="64"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政拨款支出决算明细表（政府经济分类科目）</w:t>
      </w:r>
      <w:bookmarkEnd w:id="64"/>
    </w:p>
    <w:p>
      <w:pPr>
        <w:pStyle w:val="3"/>
        <w:rPr>
          <w:rFonts w:ascii="仿宋" w:hAnsi="仿宋" w:eastAsia="仿宋"/>
          <w:color w:val="000000"/>
        </w:rPr>
      </w:pPr>
      <w:bookmarkStart w:id="65" w:name="_Toc15396624"/>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71"/>
    </w:p>
    <w:p>
      <w:pPr>
        <w:pStyle w:val="3"/>
        <w:rPr>
          <w:rFonts w:ascii="仿宋" w:hAnsi="仿宋" w:eastAsia="仿宋"/>
          <w:color w:val="000000"/>
        </w:rPr>
      </w:pPr>
      <w:bookmarkStart w:id="72"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10" w:usb3="00000000" w:csb0="0004009F" w:csb1="00000000"/>
  </w:font>
  <w:font w:name="Helvetica">
    <w:altName w:val="Noto Sans"/>
    <w:panose1 w:val="020B0504020202020204"/>
    <w:charset w:val="00"/>
    <w:family w:val="swiss"/>
    <w:pitch w:val="default"/>
    <w:sig w:usb0="00000000" w:usb1="00000000" w:usb2="00000000" w:usb3="00000000" w:csb0="0000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文泉驿微米黑">
    <w:panose1 w:val="020B0606030804020204"/>
    <w:charset w:val="86"/>
    <w:family w:val="auto"/>
    <w:pitch w:val="default"/>
    <w:sig w:usb0="E10002EF" w:usb1="6BDFFCFB" w:usb2="00800036" w:usb3="00000000" w:csb0="603E019F" w:csb1="DFD7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12</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0A576C82"/>
    <w:multiLevelType w:val="multilevel"/>
    <w:tmpl w:val="0A576C82"/>
    <w:lvl w:ilvl="0" w:tentative="0">
      <w:start w:val="1"/>
      <w:numFmt w:val="japaneseCounting"/>
      <w:lvlText w:val="（%1）"/>
      <w:lvlJc w:val="left"/>
      <w:pPr>
        <w:tabs>
          <w:tab w:val="left" w:pos="1500"/>
        </w:tabs>
        <w:ind w:left="1500" w:hanging="960"/>
      </w:pPr>
      <w:rPr>
        <w:rFonts w:hint="default"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0875"/>
    <w:rsid w:val="00001B36"/>
    <w:rsid w:val="00003F09"/>
    <w:rsid w:val="00004826"/>
    <w:rsid w:val="000222C6"/>
    <w:rsid w:val="0002549F"/>
    <w:rsid w:val="0003278A"/>
    <w:rsid w:val="0006487A"/>
    <w:rsid w:val="00065F8F"/>
    <w:rsid w:val="000768F2"/>
    <w:rsid w:val="000770D5"/>
    <w:rsid w:val="0009184B"/>
    <w:rsid w:val="0009593C"/>
    <w:rsid w:val="000A7D2F"/>
    <w:rsid w:val="000B047F"/>
    <w:rsid w:val="000B5923"/>
    <w:rsid w:val="000B5A48"/>
    <w:rsid w:val="000B6FF3"/>
    <w:rsid w:val="000C3467"/>
    <w:rsid w:val="000C3CA6"/>
    <w:rsid w:val="000C3E01"/>
    <w:rsid w:val="000D1267"/>
    <w:rsid w:val="000D1D50"/>
    <w:rsid w:val="000D5782"/>
    <w:rsid w:val="000E577D"/>
    <w:rsid w:val="000E6613"/>
    <w:rsid w:val="000E7119"/>
    <w:rsid w:val="00110D30"/>
    <w:rsid w:val="00112A7D"/>
    <w:rsid w:val="00114E9B"/>
    <w:rsid w:val="00142BC2"/>
    <w:rsid w:val="00143B5E"/>
    <w:rsid w:val="0014729F"/>
    <w:rsid w:val="00157BAB"/>
    <w:rsid w:val="001654D1"/>
    <w:rsid w:val="0018106D"/>
    <w:rsid w:val="001850CD"/>
    <w:rsid w:val="001877A7"/>
    <w:rsid w:val="00191536"/>
    <w:rsid w:val="00196687"/>
    <w:rsid w:val="001C0962"/>
    <w:rsid w:val="001D27B6"/>
    <w:rsid w:val="001D7531"/>
    <w:rsid w:val="001E737D"/>
    <w:rsid w:val="001F0592"/>
    <w:rsid w:val="001F7506"/>
    <w:rsid w:val="002006CD"/>
    <w:rsid w:val="00202B36"/>
    <w:rsid w:val="00204B7A"/>
    <w:rsid w:val="0020554D"/>
    <w:rsid w:val="0021101A"/>
    <w:rsid w:val="00220536"/>
    <w:rsid w:val="002332BC"/>
    <w:rsid w:val="00235629"/>
    <w:rsid w:val="00250B65"/>
    <w:rsid w:val="002527E9"/>
    <w:rsid w:val="002558DC"/>
    <w:rsid w:val="00260C38"/>
    <w:rsid w:val="00260C57"/>
    <w:rsid w:val="002616C0"/>
    <w:rsid w:val="002662AA"/>
    <w:rsid w:val="00280496"/>
    <w:rsid w:val="00295495"/>
    <w:rsid w:val="002B2613"/>
    <w:rsid w:val="002B3916"/>
    <w:rsid w:val="002D0C45"/>
    <w:rsid w:val="002F1818"/>
    <w:rsid w:val="002F567B"/>
    <w:rsid w:val="0031434A"/>
    <w:rsid w:val="003216A9"/>
    <w:rsid w:val="003311ED"/>
    <w:rsid w:val="00354A00"/>
    <w:rsid w:val="00355D5C"/>
    <w:rsid w:val="0037013F"/>
    <w:rsid w:val="00377531"/>
    <w:rsid w:val="00380C92"/>
    <w:rsid w:val="003A242E"/>
    <w:rsid w:val="003A42CC"/>
    <w:rsid w:val="003A484F"/>
    <w:rsid w:val="003B0BE0"/>
    <w:rsid w:val="003B0C1B"/>
    <w:rsid w:val="003B688C"/>
    <w:rsid w:val="003C0291"/>
    <w:rsid w:val="003C39AE"/>
    <w:rsid w:val="003C7B60"/>
    <w:rsid w:val="003D1FB2"/>
    <w:rsid w:val="003D66DA"/>
    <w:rsid w:val="003E1310"/>
    <w:rsid w:val="003E6F55"/>
    <w:rsid w:val="003F09F7"/>
    <w:rsid w:val="003F143A"/>
    <w:rsid w:val="00406254"/>
    <w:rsid w:val="0040701B"/>
    <w:rsid w:val="004223DE"/>
    <w:rsid w:val="00434489"/>
    <w:rsid w:val="00437085"/>
    <w:rsid w:val="00443880"/>
    <w:rsid w:val="004464F4"/>
    <w:rsid w:val="0047091C"/>
    <w:rsid w:val="00471401"/>
    <w:rsid w:val="00471EDF"/>
    <w:rsid w:val="00473F31"/>
    <w:rsid w:val="00480066"/>
    <w:rsid w:val="0048263A"/>
    <w:rsid w:val="0048512E"/>
    <w:rsid w:val="00487E5D"/>
    <w:rsid w:val="004A0BD3"/>
    <w:rsid w:val="004A711F"/>
    <w:rsid w:val="004B199D"/>
    <w:rsid w:val="004B4690"/>
    <w:rsid w:val="004E0A2D"/>
    <w:rsid w:val="004E206B"/>
    <w:rsid w:val="004E6DF7"/>
    <w:rsid w:val="004F0FBD"/>
    <w:rsid w:val="00501244"/>
    <w:rsid w:val="00505A47"/>
    <w:rsid w:val="00512FDA"/>
    <w:rsid w:val="00520DA0"/>
    <w:rsid w:val="00542A7B"/>
    <w:rsid w:val="005664BB"/>
    <w:rsid w:val="00566ADE"/>
    <w:rsid w:val="0057481D"/>
    <w:rsid w:val="00581EC9"/>
    <w:rsid w:val="0058486E"/>
    <w:rsid w:val="005A51FC"/>
    <w:rsid w:val="005D1C8B"/>
    <w:rsid w:val="005D5CED"/>
    <w:rsid w:val="005F1A4C"/>
    <w:rsid w:val="00605688"/>
    <w:rsid w:val="006070AF"/>
    <w:rsid w:val="00607E6C"/>
    <w:rsid w:val="006101B1"/>
    <w:rsid w:val="00614E44"/>
    <w:rsid w:val="00622830"/>
    <w:rsid w:val="00626908"/>
    <w:rsid w:val="00630AEF"/>
    <w:rsid w:val="00631BF3"/>
    <w:rsid w:val="006325F8"/>
    <w:rsid w:val="00634C9A"/>
    <w:rsid w:val="006440E4"/>
    <w:rsid w:val="0066343B"/>
    <w:rsid w:val="00664777"/>
    <w:rsid w:val="006744EE"/>
    <w:rsid w:val="006748A4"/>
    <w:rsid w:val="006819A0"/>
    <w:rsid w:val="00683E73"/>
    <w:rsid w:val="006A0A7A"/>
    <w:rsid w:val="006A3141"/>
    <w:rsid w:val="006A5E34"/>
    <w:rsid w:val="006B2422"/>
    <w:rsid w:val="006B2B9A"/>
    <w:rsid w:val="006C1937"/>
    <w:rsid w:val="006F020C"/>
    <w:rsid w:val="006F3BA8"/>
    <w:rsid w:val="007127B7"/>
    <w:rsid w:val="007416B6"/>
    <w:rsid w:val="0074656D"/>
    <w:rsid w:val="00746F48"/>
    <w:rsid w:val="0075359B"/>
    <w:rsid w:val="0075404D"/>
    <w:rsid w:val="0075575C"/>
    <w:rsid w:val="00755765"/>
    <w:rsid w:val="0076182A"/>
    <w:rsid w:val="00767B7E"/>
    <w:rsid w:val="007770C3"/>
    <w:rsid w:val="00784D24"/>
    <w:rsid w:val="00785FBA"/>
    <w:rsid w:val="00786E4A"/>
    <w:rsid w:val="007875EB"/>
    <w:rsid w:val="0079317F"/>
    <w:rsid w:val="0079426B"/>
    <w:rsid w:val="007A31CD"/>
    <w:rsid w:val="007B3D64"/>
    <w:rsid w:val="007D06C3"/>
    <w:rsid w:val="007D312A"/>
    <w:rsid w:val="007D3F19"/>
    <w:rsid w:val="007E23B0"/>
    <w:rsid w:val="007E5EEE"/>
    <w:rsid w:val="007E75E3"/>
    <w:rsid w:val="007F1991"/>
    <w:rsid w:val="007F2C2F"/>
    <w:rsid w:val="007F55FC"/>
    <w:rsid w:val="007F5665"/>
    <w:rsid w:val="00800112"/>
    <w:rsid w:val="00817EE0"/>
    <w:rsid w:val="008253BB"/>
    <w:rsid w:val="00835A2A"/>
    <w:rsid w:val="0083706E"/>
    <w:rsid w:val="008423A5"/>
    <w:rsid w:val="00850625"/>
    <w:rsid w:val="00850DC1"/>
    <w:rsid w:val="0085256E"/>
    <w:rsid w:val="00853718"/>
    <w:rsid w:val="00855221"/>
    <w:rsid w:val="00860645"/>
    <w:rsid w:val="00861BB1"/>
    <w:rsid w:val="00871F71"/>
    <w:rsid w:val="00880BA8"/>
    <w:rsid w:val="0088222F"/>
    <w:rsid w:val="00885AF4"/>
    <w:rsid w:val="008939CD"/>
    <w:rsid w:val="008A57CE"/>
    <w:rsid w:val="008B768C"/>
    <w:rsid w:val="008C4DB1"/>
    <w:rsid w:val="008C4EAF"/>
    <w:rsid w:val="008C5176"/>
    <w:rsid w:val="008C7FD0"/>
    <w:rsid w:val="008E1DE7"/>
    <w:rsid w:val="008E343D"/>
    <w:rsid w:val="008E707C"/>
    <w:rsid w:val="008F1592"/>
    <w:rsid w:val="008F5100"/>
    <w:rsid w:val="00900B08"/>
    <w:rsid w:val="00902155"/>
    <w:rsid w:val="00902FA3"/>
    <w:rsid w:val="00923564"/>
    <w:rsid w:val="0092392E"/>
    <w:rsid w:val="00924C28"/>
    <w:rsid w:val="00931042"/>
    <w:rsid w:val="009315F9"/>
    <w:rsid w:val="00946945"/>
    <w:rsid w:val="00951248"/>
    <w:rsid w:val="0095152F"/>
    <w:rsid w:val="00951687"/>
    <w:rsid w:val="00954C49"/>
    <w:rsid w:val="0097099F"/>
    <w:rsid w:val="00971997"/>
    <w:rsid w:val="00971FFC"/>
    <w:rsid w:val="0098660A"/>
    <w:rsid w:val="009931C3"/>
    <w:rsid w:val="009941C0"/>
    <w:rsid w:val="009B2C43"/>
    <w:rsid w:val="009B4EAE"/>
    <w:rsid w:val="009B7573"/>
    <w:rsid w:val="009C22F4"/>
    <w:rsid w:val="009C2E98"/>
    <w:rsid w:val="009C5A9E"/>
    <w:rsid w:val="009D3447"/>
    <w:rsid w:val="009D4711"/>
    <w:rsid w:val="009E0500"/>
    <w:rsid w:val="009F1185"/>
    <w:rsid w:val="009F18CD"/>
    <w:rsid w:val="009F2A13"/>
    <w:rsid w:val="00A04EB0"/>
    <w:rsid w:val="00A13CC1"/>
    <w:rsid w:val="00A16847"/>
    <w:rsid w:val="00A237D8"/>
    <w:rsid w:val="00A268C4"/>
    <w:rsid w:val="00A307CD"/>
    <w:rsid w:val="00A40A00"/>
    <w:rsid w:val="00A4142F"/>
    <w:rsid w:val="00A55705"/>
    <w:rsid w:val="00A56DF2"/>
    <w:rsid w:val="00A66829"/>
    <w:rsid w:val="00A66AFB"/>
    <w:rsid w:val="00A67AB5"/>
    <w:rsid w:val="00A73E1D"/>
    <w:rsid w:val="00A740FC"/>
    <w:rsid w:val="00A91760"/>
    <w:rsid w:val="00A93B00"/>
    <w:rsid w:val="00A93C21"/>
    <w:rsid w:val="00AC3C6A"/>
    <w:rsid w:val="00AD5620"/>
    <w:rsid w:val="00AD7C1B"/>
    <w:rsid w:val="00AE12CB"/>
    <w:rsid w:val="00AE16BA"/>
    <w:rsid w:val="00AE1EBE"/>
    <w:rsid w:val="00AE66DE"/>
    <w:rsid w:val="00B02CD9"/>
    <w:rsid w:val="00B03C9D"/>
    <w:rsid w:val="00B060AE"/>
    <w:rsid w:val="00B10517"/>
    <w:rsid w:val="00B14E76"/>
    <w:rsid w:val="00B161B8"/>
    <w:rsid w:val="00B2048C"/>
    <w:rsid w:val="00B2597C"/>
    <w:rsid w:val="00B310B9"/>
    <w:rsid w:val="00B35F3F"/>
    <w:rsid w:val="00B36CBB"/>
    <w:rsid w:val="00B41FCA"/>
    <w:rsid w:val="00B425E0"/>
    <w:rsid w:val="00B440AA"/>
    <w:rsid w:val="00B44B70"/>
    <w:rsid w:val="00B53C56"/>
    <w:rsid w:val="00B77EA6"/>
    <w:rsid w:val="00B81598"/>
    <w:rsid w:val="00B841F1"/>
    <w:rsid w:val="00B944D6"/>
    <w:rsid w:val="00BA429A"/>
    <w:rsid w:val="00BB2FD9"/>
    <w:rsid w:val="00BB4DF0"/>
    <w:rsid w:val="00BC289F"/>
    <w:rsid w:val="00BC44F6"/>
    <w:rsid w:val="00BC5361"/>
    <w:rsid w:val="00BC5460"/>
    <w:rsid w:val="00BC6B50"/>
    <w:rsid w:val="00BD0E25"/>
    <w:rsid w:val="00BD7688"/>
    <w:rsid w:val="00BE4AC3"/>
    <w:rsid w:val="00BF5BD6"/>
    <w:rsid w:val="00C03E31"/>
    <w:rsid w:val="00C104DE"/>
    <w:rsid w:val="00C16339"/>
    <w:rsid w:val="00C33E72"/>
    <w:rsid w:val="00C354B2"/>
    <w:rsid w:val="00C35554"/>
    <w:rsid w:val="00C42709"/>
    <w:rsid w:val="00C533CC"/>
    <w:rsid w:val="00C5751C"/>
    <w:rsid w:val="00C61BFC"/>
    <w:rsid w:val="00C62B85"/>
    <w:rsid w:val="00C65438"/>
    <w:rsid w:val="00C91420"/>
    <w:rsid w:val="00C91CBB"/>
    <w:rsid w:val="00C93DF7"/>
    <w:rsid w:val="00C969F0"/>
    <w:rsid w:val="00C97471"/>
    <w:rsid w:val="00CB4D32"/>
    <w:rsid w:val="00CC09B6"/>
    <w:rsid w:val="00CC666F"/>
    <w:rsid w:val="00CD1E3F"/>
    <w:rsid w:val="00CE44F6"/>
    <w:rsid w:val="00CE49DA"/>
    <w:rsid w:val="00CE7B61"/>
    <w:rsid w:val="00D00095"/>
    <w:rsid w:val="00D20620"/>
    <w:rsid w:val="00D26091"/>
    <w:rsid w:val="00D34E7C"/>
    <w:rsid w:val="00D35489"/>
    <w:rsid w:val="00D459AC"/>
    <w:rsid w:val="00D47AF0"/>
    <w:rsid w:val="00D51276"/>
    <w:rsid w:val="00D54DF9"/>
    <w:rsid w:val="00D55CDA"/>
    <w:rsid w:val="00D7035F"/>
    <w:rsid w:val="00D85054"/>
    <w:rsid w:val="00D934F6"/>
    <w:rsid w:val="00DA65AC"/>
    <w:rsid w:val="00DB1913"/>
    <w:rsid w:val="00DC410D"/>
    <w:rsid w:val="00DC4DC9"/>
    <w:rsid w:val="00DC68CA"/>
    <w:rsid w:val="00DC7CBA"/>
    <w:rsid w:val="00DD73B7"/>
    <w:rsid w:val="00DE2BBE"/>
    <w:rsid w:val="00DF28BC"/>
    <w:rsid w:val="00DF34B9"/>
    <w:rsid w:val="00E01053"/>
    <w:rsid w:val="00E07ACF"/>
    <w:rsid w:val="00E11D39"/>
    <w:rsid w:val="00E14314"/>
    <w:rsid w:val="00E331A1"/>
    <w:rsid w:val="00E33202"/>
    <w:rsid w:val="00E336A9"/>
    <w:rsid w:val="00E37D13"/>
    <w:rsid w:val="00E50624"/>
    <w:rsid w:val="00E568DF"/>
    <w:rsid w:val="00E64269"/>
    <w:rsid w:val="00E642E4"/>
    <w:rsid w:val="00E82267"/>
    <w:rsid w:val="00EA010F"/>
    <w:rsid w:val="00EA0A92"/>
    <w:rsid w:val="00ED1B63"/>
    <w:rsid w:val="00ED3C1F"/>
    <w:rsid w:val="00ED4085"/>
    <w:rsid w:val="00ED420E"/>
    <w:rsid w:val="00ED4A55"/>
    <w:rsid w:val="00EE2EE5"/>
    <w:rsid w:val="00EE2F57"/>
    <w:rsid w:val="00EF4C34"/>
    <w:rsid w:val="00EF77C6"/>
    <w:rsid w:val="00F05438"/>
    <w:rsid w:val="00F1361C"/>
    <w:rsid w:val="00F160C7"/>
    <w:rsid w:val="00F16ABC"/>
    <w:rsid w:val="00F17501"/>
    <w:rsid w:val="00F23597"/>
    <w:rsid w:val="00F25061"/>
    <w:rsid w:val="00F2554C"/>
    <w:rsid w:val="00F36D8F"/>
    <w:rsid w:val="00F405AF"/>
    <w:rsid w:val="00F417B1"/>
    <w:rsid w:val="00F602DF"/>
    <w:rsid w:val="00F603DC"/>
    <w:rsid w:val="00F81FD9"/>
    <w:rsid w:val="00F841AA"/>
    <w:rsid w:val="00F97F5B"/>
    <w:rsid w:val="00FA23E8"/>
    <w:rsid w:val="00FC311B"/>
    <w:rsid w:val="00FD3CC1"/>
    <w:rsid w:val="00FD7B39"/>
    <w:rsid w:val="00FE3308"/>
    <w:rsid w:val="00FF1E02"/>
    <w:rsid w:val="00FF30B4"/>
    <w:rsid w:val="10C055FF"/>
    <w:rsid w:val="16BB723D"/>
    <w:rsid w:val="187C2D7B"/>
    <w:rsid w:val="21026FF6"/>
    <w:rsid w:val="240371BF"/>
    <w:rsid w:val="246A7C11"/>
    <w:rsid w:val="29FD04D3"/>
    <w:rsid w:val="2A6C1CE4"/>
    <w:rsid w:val="31650E11"/>
    <w:rsid w:val="319F7F4E"/>
    <w:rsid w:val="32AA6592"/>
    <w:rsid w:val="39FE5CB7"/>
    <w:rsid w:val="428616CD"/>
    <w:rsid w:val="4CF058C9"/>
    <w:rsid w:val="5852302E"/>
    <w:rsid w:val="623134EA"/>
    <w:rsid w:val="64025F4E"/>
    <w:rsid w:val="6F4454C1"/>
    <w:rsid w:val="7F8EB5C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qFormat/>
    <w:locked/>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标题 1 Char"/>
    <w:basedOn w:val="14"/>
    <w:link w:val="2"/>
    <w:qFormat/>
    <w:locked/>
    <w:uiPriority w:val="99"/>
    <w:rPr>
      <w:rFonts w:ascii="Times New Roman" w:hAnsi="Times New Roman" w:cs="Times New Roman"/>
      <w:b/>
      <w:bCs/>
      <w:kern w:val="44"/>
      <w:sz w:val="44"/>
      <w:szCs w:val="44"/>
    </w:rPr>
  </w:style>
  <w:style w:type="character" w:customStyle="1" w:styleId="18">
    <w:name w:val="标题 2 Char"/>
    <w:basedOn w:val="14"/>
    <w:link w:val="3"/>
    <w:qFormat/>
    <w:locked/>
    <w:uiPriority w:val="99"/>
    <w:rPr>
      <w:rFonts w:ascii="Cambria" w:hAnsi="Cambria" w:eastAsia="宋体" w:cs="Times New Roman"/>
      <w:b/>
      <w:bCs/>
      <w:kern w:val="2"/>
      <w:sz w:val="32"/>
      <w:szCs w:val="32"/>
    </w:rPr>
  </w:style>
  <w:style w:type="character" w:customStyle="1" w:styleId="19">
    <w:name w:val="标题 3 Char"/>
    <w:basedOn w:val="14"/>
    <w:link w:val="4"/>
    <w:qFormat/>
    <w:locked/>
    <w:uiPriority w:val="99"/>
    <w:rPr>
      <w:rFonts w:ascii="Times New Roman" w:hAnsi="Times New Roman" w:cs="Times New Roman"/>
      <w:b/>
      <w:bCs/>
      <w:kern w:val="2"/>
      <w:sz w:val="32"/>
      <w:szCs w:val="32"/>
    </w:rPr>
  </w:style>
  <w:style w:type="character" w:customStyle="1" w:styleId="20">
    <w:name w:val="Body Text Char"/>
    <w:basedOn w:val="14"/>
    <w:link w:val="5"/>
    <w:semiHidden/>
    <w:qFormat/>
    <w:locked/>
    <w:uiPriority w:val="99"/>
    <w:rPr>
      <w:rFonts w:ascii="Times New Roman" w:hAnsi="Times New Roman" w:cs="Times New Roman"/>
      <w:sz w:val="24"/>
      <w:szCs w:val="24"/>
    </w:rPr>
  </w:style>
  <w:style w:type="character" w:customStyle="1" w:styleId="21">
    <w:name w:val="批注框文本 Char"/>
    <w:basedOn w:val="14"/>
    <w:link w:val="7"/>
    <w:semiHidden/>
    <w:qFormat/>
    <w:locked/>
    <w:uiPriority w:val="99"/>
    <w:rPr>
      <w:rFonts w:ascii="Times New Roman" w:hAnsi="Times New Roman" w:cs="Times New Roman"/>
      <w:kern w:val="2"/>
      <w:sz w:val="18"/>
      <w:szCs w:val="18"/>
    </w:rPr>
  </w:style>
  <w:style w:type="character" w:customStyle="1" w:styleId="22">
    <w:name w:val="Footer Char"/>
    <w:basedOn w:val="14"/>
    <w:link w:val="8"/>
    <w:semiHidden/>
    <w:qFormat/>
    <w:locked/>
    <w:uiPriority w:val="99"/>
    <w:rPr>
      <w:rFonts w:ascii="Times New Roman" w:hAnsi="Times New Roman" w:cs="Times New Roman"/>
      <w:sz w:val="18"/>
      <w:szCs w:val="18"/>
    </w:rPr>
  </w:style>
  <w:style w:type="character" w:customStyle="1" w:styleId="23">
    <w:name w:val="Header Char"/>
    <w:basedOn w:val="14"/>
    <w:link w:val="9"/>
    <w:semiHidden/>
    <w:qFormat/>
    <w:locked/>
    <w:uiPriority w:val="99"/>
    <w:rPr>
      <w:rFonts w:ascii="Times New Roman" w:hAnsi="Times New Roman" w:cs="Times New Roman"/>
      <w:sz w:val="18"/>
      <w:szCs w:val="18"/>
    </w:rPr>
  </w:style>
  <w:style w:type="character" w:customStyle="1" w:styleId="24">
    <w:name w:val="页眉 Char"/>
    <w:link w:val="9"/>
    <w:semiHidden/>
    <w:qFormat/>
    <w:locked/>
    <w:uiPriority w:val="99"/>
    <w:rPr>
      <w:sz w:val="18"/>
    </w:rPr>
  </w:style>
  <w:style w:type="character" w:customStyle="1" w:styleId="25">
    <w:name w:val="页脚 Char"/>
    <w:link w:val="8"/>
    <w:qFormat/>
    <w:locked/>
    <w:uiPriority w:val="99"/>
    <w:rPr>
      <w:sz w:val="18"/>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决算金额（万元）</c:v>
                </c:pt>
              </c:strCache>
            </c:strRef>
          </c:tx>
          <c:invertIfNegative val="false"/>
          <c:dLbls>
            <c:dLbl>
              <c:idx val="0"/>
              <c:layout>
                <c:manualLayout>
                  <c:x val="0.024330900243309"/>
                  <c:y val="-0.0199004975124378"/>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267639902676399"/>
                  <c:y val="-0.0398009950248757"/>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6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Sheet1!$B$2:$B$3</c:f>
              <c:numCache>
                <c:formatCode>General</c:formatCode>
                <c:ptCount val="2"/>
                <c:pt idx="0">
                  <c:v>459.51</c:v>
                </c:pt>
                <c:pt idx="1">
                  <c:v>267.13</c:v>
                </c:pt>
              </c:numCache>
            </c:numRef>
          </c:val>
        </c:ser>
        <c:dLbls>
          <c:showLegendKey val="false"/>
          <c:showVal val="true"/>
          <c:showCatName val="false"/>
          <c:showSerName val="false"/>
          <c:showPercent val="false"/>
          <c:showBubbleSize val="false"/>
        </c:dLbls>
        <c:gapWidth val="150"/>
        <c:axId val="198834816"/>
        <c:axId val="198963968"/>
      </c:barChart>
      <c:catAx>
        <c:axId val="19883481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8963968"/>
        <c:crosses val="autoZero"/>
        <c:auto val="true"/>
        <c:lblAlgn val="ctr"/>
        <c:lblOffset val="100"/>
        <c:noMultiLvlLbl val="false"/>
      </c:catAx>
      <c:valAx>
        <c:axId val="19896396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8834816"/>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决算金额（万元）</c:v>
                </c:pt>
              </c:strCache>
            </c:strRef>
          </c:tx>
          <c:explosion val="0"/>
          <c:dPt>
            <c:idx val="0"/>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c:f>
              <c:strCache>
                <c:ptCount val="1"/>
                <c:pt idx="0">
                  <c:v>2020年</c:v>
                </c:pt>
              </c:strCache>
            </c:strRef>
          </c:cat>
          <c:val>
            <c:numRef>
              <c:f>Sheet1!$B$2</c:f>
              <c:numCache>
                <c:formatCode>General</c:formatCode>
                <c:ptCount val="1"/>
                <c:pt idx="0">
                  <c:v>267.13</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决算支出情况（万元）</c:v>
                </c:pt>
              </c:strCache>
            </c:strRef>
          </c:tx>
          <c:explosion val="0"/>
          <c:dPt>
            <c:idx val="0"/>
            <c:bubble3D val="false"/>
          </c:dPt>
          <c:dPt>
            <c:idx val="1"/>
            <c:bubble3D val="false"/>
          </c:dPt>
          <c:dLbls>
            <c:dLbl>
              <c:idx val="0"/>
              <c:layout>
                <c:manualLayout>
                  <c:x val="-0.00956624972287183"/>
                  <c:y val="0.018562849922397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6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项目支出</c:v>
                </c:pt>
                <c:pt idx="1">
                  <c:v>基本支出</c:v>
                </c:pt>
              </c:strCache>
            </c:strRef>
          </c:cat>
          <c:val>
            <c:numRef>
              <c:f>Sheet1!$B$2:$B$3</c:f>
              <c:numCache>
                <c:formatCode>General</c:formatCode>
                <c:ptCount val="2"/>
                <c:pt idx="0">
                  <c:v>0</c:v>
                </c:pt>
                <c:pt idx="1">
                  <c:v>267.13</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财政拨款收、支决算金额（万元）</c:v>
                </c:pt>
              </c:strCache>
            </c:strRef>
          </c:tx>
          <c:invertIfNegative val="false"/>
          <c:dLbls>
            <c:dLbl>
              <c:idx val="0"/>
              <c:layout>
                <c:manualLayout>
                  <c:x val="0.024330900243309"/>
                  <c:y val="-0.0199004975124378"/>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267639902676399"/>
                  <c:y val="-0.0398009950248757"/>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6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Sheet1!$B$2:$B$3</c:f>
              <c:numCache>
                <c:formatCode>General</c:formatCode>
                <c:ptCount val="2"/>
                <c:pt idx="0">
                  <c:v>459.51</c:v>
                </c:pt>
                <c:pt idx="1">
                  <c:v>267.13</c:v>
                </c:pt>
              </c:numCache>
            </c:numRef>
          </c:val>
        </c:ser>
        <c:dLbls>
          <c:showLegendKey val="false"/>
          <c:showVal val="true"/>
          <c:showCatName val="false"/>
          <c:showSerName val="false"/>
          <c:showPercent val="false"/>
          <c:showBubbleSize val="false"/>
        </c:dLbls>
        <c:gapWidth val="150"/>
        <c:axId val="179334528"/>
        <c:axId val="179336320"/>
      </c:barChart>
      <c:catAx>
        <c:axId val="17933452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79336320"/>
        <c:crosses val="autoZero"/>
        <c:auto val="true"/>
        <c:lblAlgn val="ctr"/>
        <c:lblOffset val="100"/>
        <c:noMultiLvlLbl val="false"/>
      </c:catAx>
      <c:valAx>
        <c:axId val="17933632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79334528"/>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一般公共预算财政拨款支出决算金额（万元）</c:v>
                </c:pt>
              </c:strCache>
            </c:strRef>
          </c:tx>
          <c:invertIfNegative val="false"/>
          <c:dLbls>
            <c:dLbl>
              <c:idx val="0"/>
              <c:layout>
                <c:manualLayout>
                  <c:x val="0.024330900243309"/>
                  <c:y val="-0.0199004975124379"/>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267639902676399"/>
                  <c:y val="-0.0398009950248757"/>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6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Sheet1!$B$2:$B$3</c:f>
              <c:numCache>
                <c:formatCode>General</c:formatCode>
                <c:ptCount val="2"/>
                <c:pt idx="0">
                  <c:v>459.51</c:v>
                </c:pt>
                <c:pt idx="1">
                  <c:v>267.13</c:v>
                </c:pt>
              </c:numCache>
            </c:numRef>
          </c:val>
        </c:ser>
        <c:dLbls>
          <c:showLegendKey val="false"/>
          <c:showVal val="true"/>
          <c:showCatName val="false"/>
          <c:showSerName val="false"/>
          <c:showPercent val="false"/>
          <c:showBubbleSize val="false"/>
        </c:dLbls>
        <c:gapWidth val="150"/>
        <c:axId val="78480896"/>
        <c:axId val="78482432"/>
      </c:barChart>
      <c:catAx>
        <c:axId val="7848089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8482432"/>
        <c:crosses val="autoZero"/>
        <c:auto val="true"/>
        <c:lblAlgn val="ctr"/>
        <c:lblOffset val="100"/>
        <c:noMultiLvlLbl val="false"/>
      </c:catAx>
      <c:valAx>
        <c:axId val="7848243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8480896"/>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8119747974283"/>
          <c:y val="0.0247678018575851"/>
        </c:manualLayout>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849830147253392"/>
          <c:y val="0.319024889690647"/>
          <c:w val="0.499481788209717"/>
          <c:h val="0.567522650999895"/>
        </c:manualLayout>
      </c:layout>
      <c:pieChart>
        <c:varyColors val="true"/>
        <c:ser>
          <c:idx val="0"/>
          <c:order val="0"/>
          <c:tx>
            <c:strRef>
              <c:f>Sheet1!$B$1</c:f>
              <c:strCache>
                <c:ptCount val="1"/>
                <c:pt idx="0">
                  <c:v>公共预算财政拨款支出（万元）</c:v>
                </c:pt>
              </c:strCache>
            </c:strRef>
          </c:tx>
          <c:explosion val="0"/>
          <c:dPt>
            <c:idx val="0"/>
            <c:bubble3D val="false"/>
          </c:dPt>
          <c:dPt>
            <c:idx val="1"/>
            <c:bubble3D val="false"/>
          </c:dPt>
          <c:dPt>
            <c:idx val="2"/>
            <c:bubble3D val="false"/>
          </c:dPt>
          <c:dLbls>
            <c:dLbl>
              <c:idx val="1"/>
              <c:layout/>
              <c:tx>
                <c:rich>
                  <a:bodyPr rot="0" spcFirstLastPara="0" vertOverflow="ellipsis" vert="horz" wrap="square" lIns="38100" tIns="19050" rIns="38100" bIns="19050" anchor="ctr" anchorCtr="true"/>
                  <a:lstStyle/>
                  <a:p>
                    <a:pPr>
                      <a:defRPr lang="zh-CN" sz="1600" b="0" i="0" u="none" strike="noStrike" kern="1200" baseline="0">
                        <a:solidFill>
                          <a:schemeClr val="tx1"/>
                        </a:solidFill>
                        <a:latin typeface="+mn-lt"/>
                        <a:ea typeface="+mn-ea"/>
                        <a:cs typeface="+mn-cs"/>
                      </a:defRPr>
                    </a:pPr>
                    <a:r>
                      <a:rPr lang="en-US" altLang="en-US"/>
                      <a:t>9.87</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2"/>
              <c:layout>
                <c:manualLayout>
                  <c:x val="0.0527363098686234"/>
                  <c:y val="-0.0036764909030334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false"/>
            <c:spPr>
              <a:noFill/>
              <a:ln>
                <a:noFill/>
              </a:ln>
              <a:effectLst/>
            </c:spPr>
            <c:txPr>
              <a:bodyPr rot="0" spcFirstLastPara="0" vertOverflow="ellipsis" vert="horz" wrap="square" lIns="38100" tIns="19050" rIns="38100" bIns="19050" anchor="ctr" anchorCtr="true"/>
              <a:lstStyle/>
              <a:p>
                <a:pPr>
                  <a:defRPr lang="zh-CN" sz="16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社会保障和就业类</c:v>
                </c:pt>
                <c:pt idx="1">
                  <c:v>医疗卫生与计划生育支出</c:v>
                </c:pt>
                <c:pt idx="2">
                  <c:v>住房保障支出</c:v>
                </c:pt>
              </c:strCache>
            </c:strRef>
          </c:cat>
          <c:val>
            <c:numRef>
              <c:f>Sheet1!$B$2:$B$4</c:f>
              <c:numCache>
                <c:formatCode>General</c:formatCode>
                <c:ptCount val="3"/>
                <c:pt idx="0">
                  <c:v>243.64</c:v>
                </c:pt>
                <c:pt idx="1">
                  <c:v>9.87</c:v>
                </c:pt>
                <c:pt idx="2">
                  <c:v>13.63</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1344</Words>
  <Characters>7667</Characters>
  <Lines>63</Lines>
  <Paragraphs>17</Paragraphs>
  <TotalTime>312</TotalTime>
  <ScaleCrop>false</ScaleCrop>
  <LinksUpToDate>false</LinksUpToDate>
  <CharactersWithSpaces>8994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2021-11-29T15:17:00Z</dcterms:created>
  <dc:creator>张彬茜</dc:creator>
  <cp:lastModifiedBy>仁可女青</cp:lastModifiedBy>
  <cp:lastPrinted>2021-12-02T08:56:00Z</cp:lastPrinted>
  <dcterms:modified xsi:type="dcterms:W3CDTF">2022-02-22T14:57:25Z</dcterms:modified>
  <dc:title>四川省***</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