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 w:name="_Toc15378441"/>
      <w:bookmarkStart w:id="2" w:name="_Toc15377425"/>
      <w:bookmarkStart w:id="3" w:name="_Toc15377193"/>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rPr>
        <w:t>四川省</w:t>
      </w:r>
      <w:r>
        <w:rPr>
          <w:rFonts w:hint="eastAsia" w:ascii="方正小标宋简体" w:hAnsi="宋体" w:eastAsia="方正小标宋简体"/>
          <w:color w:val="000000"/>
          <w:sz w:val="72"/>
          <w:szCs w:val="72"/>
          <w:lang w:eastAsia="zh-CN"/>
        </w:rPr>
        <w:t>宣汉县青少年校外活动中心</w:t>
      </w:r>
      <w:bookmarkStart w:id="6" w:name="_Toc15378442"/>
      <w:bookmarkStart w:id="7" w:name="_Toc15377426"/>
      <w:bookmarkStart w:id="8" w:name="_Toc15377194"/>
      <w:bookmarkStart w:id="9" w:name="_Toc15396476"/>
      <w:bookmarkStart w:id="10" w:name="_Toc15306268"/>
      <w:bookmarkStart w:id="11" w:name="_Toc15396598"/>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w:t>
      </w:r>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 xml:space="preserve"> 11 </w:t>
      </w:r>
      <w:r>
        <w:rPr>
          <w:rFonts w:hint="eastAsia"/>
        </w:rPr>
        <w:t>月</w:t>
      </w:r>
      <w:r>
        <w:rPr>
          <w:rFonts w:hint="eastAsia"/>
          <w:lang w:val="en-US" w:eastAsia="zh-CN"/>
        </w:rPr>
        <w:t xml:space="preserve">12   </w:t>
      </w:r>
      <w:r>
        <w:rPr>
          <w:rFonts w:hint="eastAsia"/>
        </w:rPr>
        <w:t>日</w:t>
      </w:r>
    </w:p>
    <w:p>
      <w:pPr>
        <w:pStyle w:val="11"/>
      </w:pPr>
    </w:p>
    <w:p>
      <w:pPr>
        <w:pStyle w:val="10"/>
        <w:jc w:val="both"/>
        <w:rPr>
          <w:rFonts w:hint="default" w:eastAsia="仿宋"/>
          <w:lang w:val="en-US" w:eastAsia="zh-CN"/>
        </w:rPr>
      </w:pPr>
      <w:r>
        <w:rPr>
          <w:rFonts w:hint="eastAsia"/>
        </w:rPr>
        <w:t>第一部分</w:t>
      </w:r>
      <w:r>
        <w:t xml:space="preserve"> </w:t>
      </w:r>
      <w:r>
        <w:rPr>
          <w:rFonts w:hint="eastAsia"/>
        </w:rPr>
        <w:t>部门概况</w:t>
      </w:r>
      <w:r>
        <w:rPr>
          <w:rFonts w:hint="eastAsia"/>
          <w:lang w:val="en-US" w:eastAsia="zh-CN"/>
        </w:rPr>
        <w:t>.........................................4</w:t>
      </w:r>
    </w:p>
    <w:p>
      <w:pPr>
        <w:pStyle w:val="10"/>
        <w:jc w:val="both"/>
        <w:rPr>
          <w:rFonts w:hint="default" w:eastAsia="仿宋"/>
          <w:lang w:val="en-US" w:eastAsia="zh-CN"/>
        </w:rPr>
      </w:pPr>
      <w:r>
        <w:rPr>
          <w:rFonts w:hint="eastAsia"/>
        </w:rPr>
        <w:t>一、基本职能及主要工作</w:t>
      </w:r>
      <w:r>
        <w:rPr>
          <w:rFonts w:hint="eastAsia"/>
          <w:lang w:val="en-US" w:eastAsia="zh-CN"/>
        </w:rPr>
        <w:t>....................................4</w:t>
      </w:r>
    </w:p>
    <w:p>
      <w:pPr>
        <w:pStyle w:val="10"/>
        <w:jc w:val="both"/>
        <w:rPr>
          <w:rFonts w:hint="default" w:eastAsia="仿宋"/>
          <w:lang w:val="en-US" w:eastAsia="zh-CN"/>
        </w:rPr>
      </w:pPr>
      <w:r>
        <w:rPr>
          <w:rFonts w:hint="eastAsia"/>
        </w:rPr>
        <w:t>二、机构设置</w:t>
      </w:r>
      <w:r>
        <w:rPr>
          <w:rFonts w:hint="eastAsia"/>
          <w:lang w:val="en-US" w:eastAsia="zh-CN"/>
        </w:rPr>
        <w:t>..............................................6</w:t>
      </w:r>
    </w:p>
    <w:p>
      <w:pPr>
        <w:pStyle w:val="10"/>
        <w:jc w:val="both"/>
        <w:rPr>
          <w:rFonts w:hint="default" w:eastAsia="仿宋"/>
          <w:lang w:val="en-US" w:eastAsia="zh-CN"/>
        </w:rPr>
      </w:pPr>
      <w:r>
        <w:rPr>
          <w:rFonts w:hint="eastAsia"/>
        </w:rPr>
        <w:t>第二部分度部门决算情况说明</w:t>
      </w:r>
      <w:r>
        <w:rPr>
          <w:rFonts w:hint="eastAsia"/>
          <w:lang w:val="en-US" w:eastAsia="zh-CN"/>
        </w:rPr>
        <w:t>................................6</w:t>
      </w:r>
    </w:p>
    <w:p>
      <w:pPr>
        <w:pStyle w:val="10"/>
        <w:jc w:val="both"/>
        <w:rPr>
          <w:rFonts w:hint="default" w:eastAsia="仿宋"/>
          <w:lang w:val="en-US" w:eastAsia="zh-CN"/>
        </w:rPr>
      </w:pPr>
      <w:r>
        <w:rPr>
          <w:rFonts w:hint="eastAsia"/>
        </w:rPr>
        <w:t>一、收入支出决算总体情况说明</w:t>
      </w:r>
      <w:r>
        <w:rPr>
          <w:rFonts w:hint="eastAsia"/>
          <w:lang w:val="en-US" w:eastAsia="zh-CN"/>
        </w:rPr>
        <w:t>..............................6</w:t>
      </w:r>
    </w:p>
    <w:p>
      <w:pPr>
        <w:pStyle w:val="10"/>
        <w:jc w:val="both"/>
        <w:rPr>
          <w:rFonts w:hint="default" w:eastAsia="仿宋"/>
          <w:lang w:val="en-US" w:eastAsia="zh-CN"/>
        </w:rPr>
      </w:pPr>
      <w:r>
        <w:rPr>
          <w:rFonts w:hint="eastAsia"/>
        </w:rPr>
        <w:t>二、收入决算情况说明</w:t>
      </w:r>
      <w:r>
        <w:rPr>
          <w:rFonts w:hint="eastAsia"/>
          <w:lang w:val="en-US" w:eastAsia="zh-CN"/>
        </w:rPr>
        <w:t>......................................6</w:t>
      </w:r>
    </w:p>
    <w:p>
      <w:pPr>
        <w:pStyle w:val="10"/>
        <w:jc w:val="both"/>
        <w:rPr>
          <w:rFonts w:hint="default" w:eastAsia="仿宋"/>
          <w:lang w:val="en-US" w:eastAsia="zh-CN"/>
        </w:rPr>
      </w:pPr>
      <w:r>
        <w:rPr>
          <w:rFonts w:hint="eastAsia"/>
        </w:rPr>
        <w:t>三、支出决算情况说明</w:t>
      </w:r>
      <w:r>
        <w:rPr>
          <w:rFonts w:hint="eastAsia"/>
          <w:lang w:val="en-US" w:eastAsia="zh-CN"/>
        </w:rPr>
        <w:t>......................................6</w:t>
      </w:r>
    </w:p>
    <w:p>
      <w:pPr>
        <w:pStyle w:val="10"/>
        <w:jc w:val="both"/>
        <w:rPr>
          <w:rFonts w:hint="default" w:eastAsia="仿宋"/>
          <w:lang w:val="en-US" w:eastAsia="zh-CN"/>
        </w:rPr>
      </w:pPr>
      <w:r>
        <w:rPr>
          <w:rFonts w:hint="eastAsia"/>
        </w:rPr>
        <w:t>四、财政拨款收入支出决算总体情况说明</w:t>
      </w:r>
      <w:r>
        <w:rPr>
          <w:rFonts w:hint="eastAsia"/>
          <w:lang w:val="en-US" w:eastAsia="zh-CN"/>
        </w:rPr>
        <w:t>......................7</w:t>
      </w:r>
    </w:p>
    <w:p>
      <w:pPr>
        <w:pStyle w:val="10"/>
        <w:jc w:val="both"/>
        <w:rPr>
          <w:rFonts w:hint="default" w:eastAsia="仿宋"/>
          <w:lang w:val="en-US" w:eastAsia="zh-CN"/>
        </w:rPr>
      </w:pPr>
      <w:r>
        <w:rPr>
          <w:rFonts w:hint="eastAsia"/>
        </w:rPr>
        <w:t>五、一般公共预算财政拨款支出决算情况说明</w:t>
      </w:r>
      <w:r>
        <w:rPr>
          <w:rFonts w:hint="eastAsia"/>
          <w:lang w:val="en-US" w:eastAsia="zh-CN"/>
        </w:rPr>
        <w:t>..................7</w:t>
      </w:r>
    </w:p>
    <w:p>
      <w:pPr>
        <w:pStyle w:val="10"/>
        <w:jc w:val="both"/>
        <w:rPr>
          <w:rFonts w:hint="default" w:eastAsia="仿宋"/>
          <w:lang w:val="en-US" w:eastAsia="zh-CN"/>
        </w:rPr>
      </w:pPr>
      <w:r>
        <w:rPr>
          <w:rFonts w:hint="eastAsia"/>
        </w:rPr>
        <w:t>六、一般公共预算财政拨款基本支出决算情况说明</w:t>
      </w:r>
      <w:r>
        <w:rPr>
          <w:rFonts w:hint="eastAsia"/>
          <w:lang w:val="en-US" w:eastAsia="zh-CN"/>
        </w:rPr>
        <w:t>..............8</w:t>
      </w:r>
    </w:p>
    <w:p>
      <w:pPr>
        <w:pStyle w:val="10"/>
        <w:jc w:val="both"/>
        <w:rPr>
          <w:rFonts w:hint="default" w:eastAsia="仿宋"/>
          <w:lang w:val="en-US" w:eastAsia="zh-CN"/>
        </w:rPr>
      </w:pPr>
      <w:r>
        <w:rPr>
          <w:rFonts w:hint="eastAsia"/>
        </w:rPr>
        <w:t>七、</w:t>
      </w:r>
      <w:r>
        <w:t>“</w:t>
      </w:r>
      <w:r>
        <w:rPr>
          <w:rFonts w:hint="eastAsia"/>
        </w:rPr>
        <w:t>三公”经费财政拨款支出决算情况说明</w:t>
      </w:r>
      <w:r>
        <w:rPr>
          <w:rFonts w:hint="eastAsia"/>
          <w:lang w:val="en-US" w:eastAsia="zh-CN"/>
        </w:rPr>
        <w:t>..................8</w:t>
      </w:r>
    </w:p>
    <w:p>
      <w:pPr>
        <w:pStyle w:val="10"/>
        <w:jc w:val="both"/>
        <w:rPr>
          <w:rFonts w:hint="default" w:eastAsia="仿宋"/>
          <w:lang w:val="en-US" w:eastAsia="zh-CN"/>
        </w:rPr>
      </w:pPr>
      <w:r>
        <w:rPr>
          <w:rFonts w:hint="eastAsia"/>
        </w:rPr>
        <w:t>八、政府性基金预算支出决算情况说明</w:t>
      </w:r>
      <w:r>
        <w:rPr>
          <w:rFonts w:hint="eastAsia"/>
          <w:lang w:val="en-US" w:eastAsia="zh-CN"/>
        </w:rPr>
        <w:t>........................9</w:t>
      </w:r>
    </w:p>
    <w:p>
      <w:pPr>
        <w:pStyle w:val="10"/>
        <w:jc w:val="both"/>
        <w:rPr>
          <w:rFonts w:hint="default" w:eastAsia="仿宋"/>
          <w:lang w:val="en-US" w:eastAsia="zh-CN"/>
        </w:rPr>
      </w:pPr>
      <w:r>
        <w:rPr>
          <w:rFonts w:hint="eastAsia"/>
        </w:rPr>
        <w:t>九、</w:t>
      </w:r>
      <w:r>
        <w:t xml:space="preserve"> 国</w:t>
      </w:r>
      <w:r>
        <w:rPr>
          <w:rFonts w:hint="eastAsia"/>
        </w:rPr>
        <w:t>有资本经营预算支出决算情况说明</w:t>
      </w:r>
      <w:r>
        <w:rPr>
          <w:rFonts w:hint="eastAsia"/>
          <w:lang w:val="en-US" w:eastAsia="zh-CN"/>
        </w:rPr>
        <w:t>.....................9</w:t>
      </w:r>
    </w:p>
    <w:p>
      <w:pPr>
        <w:pStyle w:val="10"/>
        <w:rPr>
          <w:rFonts w:hint="default" w:eastAsia="仿宋"/>
          <w:lang w:val="en-US" w:eastAsia="zh-CN"/>
        </w:rPr>
      </w:pPr>
      <w:r>
        <w:rPr>
          <w:rFonts w:hint="eastAsia"/>
        </w:rPr>
        <w:t>十、其他重要事项的情况说明</w:t>
      </w:r>
      <w:r>
        <w:rPr>
          <w:rFonts w:hint="eastAsia"/>
          <w:lang w:val="en-US" w:eastAsia="zh-CN"/>
        </w:rPr>
        <w:t>.................................9</w:t>
      </w:r>
    </w:p>
    <w:p>
      <w:pPr>
        <w:pStyle w:val="10"/>
        <w:jc w:val="both"/>
        <w:rPr>
          <w:rFonts w:hint="default" w:eastAsia="仿宋"/>
          <w:lang w:val="en-US" w:eastAsia="zh-CN"/>
        </w:rPr>
      </w:pPr>
      <w:r>
        <w:rPr>
          <w:rFonts w:hint="eastAsia"/>
        </w:rPr>
        <w:t>第三部分</w:t>
      </w:r>
      <w:r>
        <w:t xml:space="preserve"> </w:t>
      </w:r>
      <w:r>
        <w:rPr>
          <w:rFonts w:hint="eastAsia"/>
        </w:rPr>
        <w:t>名词解释</w:t>
      </w:r>
      <w:r>
        <w:rPr>
          <w:rFonts w:hint="eastAsia"/>
          <w:lang w:val="en-US" w:eastAsia="zh-CN"/>
        </w:rPr>
        <w:t>........................................11</w:t>
      </w:r>
    </w:p>
    <w:p>
      <w:pPr>
        <w:pStyle w:val="10"/>
        <w:jc w:val="both"/>
        <w:rPr>
          <w:rFonts w:hint="default" w:eastAsia="仿宋"/>
          <w:lang w:val="en-US" w:eastAsia="zh-CN"/>
        </w:rPr>
      </w:pPr>
      <w:r>
        <w:rPr>
          <w:rFonts w:hint="eastAsia"/>
        </w:rPr>
        <w:t>第四部分</w:t>
      </w:r>
      <w:r>
        <w:t xml:space="preserve"> </w:t>
      </w:r>
      <w:r>
        <w:rPr>
          <w:rFonts w:hint="eastAsia"/>
        </w:rPr>
        <w:t>附件</w:t>
      </w:r>
      <w:r>
        <w:rPr>
          <w:rFonts w:hint="eastAsia"/>
          <w:lang w:val="en-US" w:eastAsia="zh-CN"/>
        </w:rPr>
        <w:t>...........................................14</w:t>
      </w:r>
    </w:p>
    <w:p>
      <w:pPr>
        <w:pStyle w:val="10"/>
        <w:jc w:val="both"/>
        <w:rPr>
          <w:rFonts w:hint="default" w:eastAsia="仿宋"/>
          <w:lang w:val="en-US" w:eastAsia="zh-CN"/>
        </w:rPr>
      </w:pPr>
      <w:r>
        <w:rPr>
          <w:rFonts w:hint="eastAsia"/>
        </w:rPr>
        <w:t>附件</w:t>
      </w:r>
      <w:r>
        <w:t>1</w:t>
      </w:r>
      <w:r>
        <w:rPr>
          <w:rFonts w:hint="eastAsia"/>
          <w:lang w:val="en-US" w:eastAsia="zh-CN"/>
        </w:rPr>
        <w:t>.................................................14</w:t>
      </w:r>
    </w:p>
    <w:p>
      <w:pPr>
        <w:pStyle w:val="10"/>
        <w:jc w:val="both"/>
        <w:rPr>
          <w:rFonts w:hint="default" w:eastAsia="仿宋"/>
          <w:lang w:val="en-US" w:eastAsia="zh-CN"/>
        </w:rPr>
      </w:pPr>
      <w:r>
        <w:rPr>
          <w:rFonts w:hint="eastAsia"/>
        </w:rPr>
        <w:t>附件</w:t>
      </w:r>
      <w:r>
        <w:t>2</w:t>
      </w:r>
      <w:r>
        <w:rPr>
          <w:rFonts w:hint="eastAsia"/>
          <w:lang w:val="en-US" w:eastAsia="zh-CN"/>
        </w:rPr>
        <w:t>.................................................15</w:t>
      </w:r>
    </w:p>
    <w:p>
      <w:pPr>
        <w:pStyle w:val="10"/>
        <w:jc w:val="both"/>
        <w:rPr>
          <w:rFonts w:hint="default" w:eastAsia="仿宋"/>
          <w:lang w:val="en-US" w:eastAsia="zh-CN"/>
        </w:rPr>
      </w:pPr>
      <w:r>
        <w:rPr>
          <w:rFonts w:hint="eastAsia"/>
        </w:rPr>
        <w:t>第五部分</w:t>
      </w:r>
      <w:r>
        <w:t xml:space="preserve"> </w:t>
      </w:r>
      <w:r>
        <w:rPr>
          <w:rFonts w:hint="eastAsia"/>
        </w:rPr>
        <w:t>附表</w:t>
      </w:r>
      <w:r>
        <w:rPr>
          <w:rFonts w:hint="eastAsia"/>
          <w:lang w:val="en-US" w:eastAsia="zh-CN"/>
        </w:rPr>
        <w:t>.........................................19</w:t>
      </w:r>
    </w:p>
    <w:p>
      <w:pPr>
        <w:pStyle w:val="10"/>
        <w:jc w:val="both"/>
        <w:rPr>
          <w:rFonts w:hint="default" w:eastAsia="仿宋"/>
          <w:lang w:val="en-US" w:eastAsia="zh-CN"/>
        </w:rPr>
      </w:pPr>
      <w:r>
        <w:rPr>
          <w:rFonts w:hint="eastAsia"/>
        </w:rPr>
        <w:t>一、收入支出决算总表</w:t>
      </w:r>
      <w:r>
        <w:rPr>
          <w:rFonts w:hint="eastAsia"/>
          <w:lang w:val="en-US" w:eastAsia="zh-CN"/>
        </w:rPr>
        <w:t>..................................20</w:t>
      </w:r>
    </w:p>
    <w:p>
      <w:pPr>
        <w:pStyle w:val="10"/>
        <w:jc w:val="both"/>
        <w:rPr>
          <w:rFonts w:hint="default" w:eastAsia="仿宋"/>
          <w:lang w:val="en-US" w:eastAsia="zh-CN"/>
        </w:rPr>
      </w:pPr>
      <w:r>
        <w:rPr>
          <w:rFonts w:hint="eastAsia"/>
        </w:rPr>
        <w:t>二、收入决算表</w:t>
      </w:r>
      <w:r>
        <w:rPr>
          <w:rFonts w:hint="eastAsia"/>
          <w:lang w:val="en-US" w:eastAsia="zh-CN"/>
        </w:rPr>
        <w:t>...........................................21</w:t>
      </w:r>
    </w:p>
    <w:p>
      <w:pPr>
        <w:pStyle w:val="10"/>
        <w:jc w:val="both"/>
        <w:rPr>
          <w:rFonts w:hint="default" w:eastAsia="仿宋"/>
          <w:lang w:val="en-US" w:eastAsia="zh-CN"/>
        </w:rPr>
      </w:pPr>
      <w:r>
        <w:rPr>
          <w:rFonts w:hint="eastAsia"/>
        </w:rPr>
        <w:t>三、支出决算表</w:t>
      </w:r>
      <w:r>
        <w:rPr>
          <w:rFonts w:hint="eastAsia"/>
          <w:lang w:val="en-US" w:eastAsia="zh-CN"/>
        </w:rPr>
        <w:t>..........................................22</w:t>
      </w:r>
    </w:p>
    <w:p>
      <w:pPr>
        <w:pStyle w:val="10"/>
        <w:jc w:val="both"/>
        <w:rPr>
          <w:rFonts w:hint="default" w:eastAsia="仿宋"/>
          <w:lang w:val="en-US" w:eastAsia="zh-CN"/>
        </w:rPr>
      </w:pPr>
      <w:r>
        <w:rPr>
          <w:rFonts w:hint="eastAsia"/>
        </w:rPr>
        <w:t>四、财政拨款收入支出决算总表</w:t>
      </w:r>
      <w:r>
        <w:rPr>
          <w:rFonts w:hint="eastAsia"/>
          <w:lang w:val="en-US" w:eastAsia="zh-CN"/>
        </w:rPr>
        <w:t>..............................23</w:t>
      </w:r>
    </w:p>
    <w:p>
      <w:pPr>
        <w:pStyle w:val="10"/>
        <w:jc w:val="both"/>
        <w:rPr>
          <w:rFonts w:hint="default" w:eastAsia="仿宋"/>
          <w:lang w:val="en-US" w:eastAsia="zh-CN"/>
        </w:rPr>
      </w:pPr>
      <w:r>
        <w:rPr>
          <w:rFonts w:hint="eastAsia"/>
        </w:rPr>
        <w:t>五、财政拨款支出决算明细表</w:t>
      </w:r>
      <w:r>
        <w:rPr>
          <w:rFonts w:hint="eastAsia"/>
          <w:lang w:val="en-US" w:eastAsia="zh-CN"/>
        </w:rPr>
        <w:t>...............................24</w:t>
      </w:r>
    </w:p>
    <w:p>
      <w:pPr>
        <w:pStyle w:val="10"/>
        <w:jc w:val="both"/>
        <w:rPr>
          <w:rFonts w:hint="default" w:eastAsia="仿宋"/>
          <w:lang w:val="en-US" w:eastAsia="zh-CN"/>
        </w:rPr>
      </w:pPr>
      <w:r>
        <w:rPr>
          <w:rFonts w:hint="eastAsia"/>
        </w:rPr>
        <w:t>六、一般公共预算财政拨款支出决算表</w:t>
      </w:r>
      <w:r>
        <w:rPr>
          <w:rFonts w:hint="eastAsia"/>
          <w:lang w:val="en-US" w:eastAsia="zh-CN"/>
        </w:rPr>
        <w:t>......................25</w:t>
      </w:r>
    </w:p>
    <w:p>
      <w:pPr>
        <w:pStyle w:val="10"/>
        <w:jc w:val="both"/>
        <w:rPr>
          <w:rFonts w:hint="default" w:eastAsia="仿宋"/>
          <w:lang w:val="en-US" w:eastAsia="zh-CN"/>
        </w:rPr>
      </w:pPr>
      <w:r>
        <w:rPr>
          <w:rFonts w:hint="eastAsia"/>
        </w:rPr>
        <w:t>七、一般公共预算财政拨款支出决算明细表</w:t>
      </w:r>
      <w:r>
        <w:rPr>
          <w:rFonts w:hint="eastAsia"/>
          <w:lang w:val="en-US" w:eastAsia="zh-CN"/>
        </w:rPr>
        <w:t>..................26</w:t>
      </w:r>
    </w:p>
    <w:p>
      <w:pPr>
        <w:pStyle w:val="10"/>
        <w:jc w:val="both"/>
        <w:rPr>
          <w:rFonts w:hint="default" w:eastAsia="仿宋"/>
          <w:lang w:val="en-US" w:eastAsia="zh-CN"/>
        </w:rPr>
      </w:pPr>
      <w:r>
        <w:rPr>
          <w:rFonts w:hint="eastAsia"/>
        </w:rPr>
        <w:t>八、一般公共预算财政拨款基本支出决算表</w:t>
      </w:r>
      <w:r>
        <w:rPr>
          <w:rFonts w:hint="eastAsia"/>
          <w:lang w:val="en-US" w:eastAsia="zh-CN"/>
        </w:rPr>
        <w:t>...................27</w:t>
      </w:r>
    </w:p>
    <w:p>
      <w:pPr>
        <w:pStyle w:val="10"/>
        <w:jc w:val="both"/>
        <w:rPr>
          <w:rFonts w:hint="default" w:eastAsia="仿宋"/>
          <w:lang w:val="en-US" w:eastAsia="zh-CN"/>
        </w:rPr>
      </w:pPr>
      <w:r>
        <w:rPr>
          <w:rFonts w:hint="eastAsia"/>
        </w:rPr>
        <w:t>九、一般公共预算财政拨款项目支出决算表</w:t>
      </w:r>
      <w:r>
        <w:rPr>
          <w:rFonts w:hint="eastAsia"/>
          <w:lang w:val="en-US" w:eastAsia="zh-CN"/>
        </w:rPr>
        <w:t>...................28</w:t>
      </w:r>
    </w:p>
    <w:p>
      <w:pPr>
        <w:pStyle w:val="10"/>
        <w:jc w:val="both"/>
        <w:rPr>
          <w:rFonts w:hint="default" w:eastAsia="仿宋"/>
          <w:lang w:val="en-US" w:eastAsia="zh-CN"/>
        </w:rPr>
      </w:pPr>
      <w:r>
        <w:rPr>
          <w:rFonts w:hint="eastAsia"/>
        </w:rPr>
        <w:t>十、一般公共预算财政拨款“三公”经费支出决算表</w:t>
      </w:r>
      <w:r>
        <w:rPr>
          <w:rFonts w:hint="eastAsia"/>
          <w:lang w:val="en-US" w:eastAsia="zh-CN"/>
        </w:rPr>
        <w:t>.............29</w:t>
      </w:r>
    </w:p>
    <w:p>
      <w:pPr>
        <w:pStyle w:val="10"/>
        <w:jc w:val="both"/>
        <w:rPr>
          <w:rFonts w:hint="default" w:eastAsia="仿宋"/>
          <w:lang w:val="en-US" w:eastAsia="zh-CN"/>
        </w:rPr>
      </w:pPr>
      <w:r>
        <w:rPr>
          <w:rFonts w:hint="eastAsia"/>
        </w:rPr>
        <w:t>十一、政府性基金预算财政拨款收入支出决算表</w:t>
      </w:r>
      <w:r>
        <w:rPr>
          <w:rFonts w:hint="eastAsia"/>
          <w:lang w:val="en-US" w:eastAsia="zh-CN"/>
        </w:rPr>
        <w:t>...............30</w:t>
      </w:r>
    </w:p>
    <w:p>
      <w:pPr>
        <w:pStyle w:val="10"/>
        <w:jc w:val="both"/>
        <w:rPr>
          <w:rFonts w:hint="default" w:eastAsia="仿宋"/>
          <w:lang w:val="en-US" w:eastAsia="zh-CN"/>
        </w:rPr>
      </w:pPr>
      <w:r>
        <w:rPr>
          <w:rFonts w:hint="eastAsia"/>
        </w:rPr>
        <w:t>十二、政府性基金预算财政拨款“三公”经费支出决算表</w:t>
      </w:r>
      <w:r>
        <w:rPr>
          <w:rFonts w:hint="eastAsia"/>
          <w:lang w:val="en-US" w:eastAsia="zh-CN"/>
        </w:rPr>
        <w:t>.......31</w:t>
      </w:r>
    </w:p>
    <w:p>
      <w:pPr>
        <w:pStyle w:val="10"/>
        <w:jc w:val="both"/>
        <w:rPr>
          <w:rFonts w:hint="default" w:eastAsia="仿宋"/>
          <w:lang w:val="en-US" w:eastAsia="zh-CN"/>
        </w:rPr>
      </w:pPr>
      <w:r>
        <w:rPr>
          <w:rFonts w:hint="eastAsia"/>
        </w:rPr>
        <w:t>十三、国有资本经营预算支出决算表</w:t>
      </w:r>
      <w:r>
        <w:rPr>
          <w:rFonts w:hint="eastAsia"/>
          <w:lang w:val="en-US" w:eastAsia="zh-CN"/>
        </w:rPr>
        <w:t>.........................32</w:t>
      </w:r>
    </w:p>
    <w:p>
      <w:pPr>
        <w:pStyle w:val="10"/>
        <w:jc w:val="both"/>
      </w:pPr>
      <w:r>
        <w:t>(注：</w:t>
      </w:r>
      <w:r>
        <w:rPr>
          <w:rFonts w:hint="eastAsia"/>
        </w:rPr>
        <w:t>请部门根据实际注明页码</w:t>
      </w:r>
      <w:r>
        <w:t>)</w:t>
      </w:r>
    </w:p>
    <w:p>
      <w:pPr>
        <w:pStyle w:val="10"/>
      </w:pPr>
      <w:bookmarkStart w:id="12" w:name="_Toc15396599"/>
      <w:bookmarkStart w:id="13" w:name="_Toc15377196"/>
      <w:r>
        <w:br w:type="page"/>
      </w:r>
    </w:p>
    <w:p>
      <w:pPr>
        <w:pStyle w:val="10"/>
        <w:rPr>
          <w:rStyle w:val="25"/>
          <w:rFonts w:hint="eastAsia" w:ascii="黑体" w:hAnsi="黑体" w:eastAsia="黑体"/>
          <w:b w:val="0"/>
          <w:bCs w:val="0"/>
        </w:rPr>
      </w:pPr>
      <w:r>
        <w:rPr>
          <w:rStyle w:val="25"/>
          <w:rFonts w:hint="eastAsia" w:ascii="黑体" w:hAnsi="黑体" w:eastAsia="黑体"/>
          <w:b w:val="0"/>
          <w:bCs w:val="0"/>
        </w:rPr>
        <w:t>第一部分 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（一）主要职能。</w:t>
      </w:r>
      <w:r>
        <w:rPr>
          <w:rFonts w:hint="eastAsia" w:ascii="仿宋" w:hAnsi="仿宋" w:eastAsia="仿宋"/>
          <w:bCs/>
          <w:color w:val="000000"/>
          <w:sz w:val="32"/>
          <w:szCs w:val="32"/>
          <w:lang w:eastAsia="zh-CN"/>
        </w:rPr>
        <w:t>全面贯彻党的教育方针，落实相关法律、法规和政策，实施素质教育；组织未成年人校外教育活动，培养兴趣，发展个性，促进未成年人的全面发展；为学校的课外活动提供咨询和指导，促进校外教育和学校教育有机结合；承担教育行政部门委托的其他工作。</w:t>
      </w:r>
    </w:p>
    <w:p>
      <w:pPr>
        <w:pStyle w:val="12"/>
        <w:shd w:val="clear" w:color="auto" w:fill="FFFFFF"/>
        <w:spacing w:before="0" w:beforeAutospacing="0" w:after="0" w:afterAutospacing="0" w:line="579"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（二）2019年重点工作完成情况。活动中心充分发挥公益职能，始终坚持公益活动常态化。</w:t>
      </w:r>
    </w:p>
    <w:p>
      <w:pPr>
        <w:pStyle w:val="12"/>
        <w:shd w:val="clear" w:color="auto" w:fill="FFFFFF"/>
        <w:spacing w:before="0" w:beforeAutospacing="0" w:after="0" w:afterAutospacing="0" w:line="579"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1是我们以学生特长培训为主轴，共开设自主实训的周末特长训练班五个，包括（钢琴、美术、书法、乒乓球、舞蹈班基础班各一个，增设了美术、舞蹈提高班各一个），深受家长欢迎。一年来，共举办特长培训28期，接纳学生活动16000多人次。</w:t>
      </w:r>
    </w:p>
    <w:p>
      <w:pPr>
        <w:pStyle w:val="12"/>
        <w:shd w:val="clear" w:color="auto" w:fill="FFFFFF"/>
        <w:spacing w:before="0" w:beforeAutospacing="0" w:after="0" w:afterAutospacing="0" w:line="579"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2是中心还与基层学校共同拓展校外活动，构建教育乐园。</w:t>
      </w:r>
    </w:p>
    <w:p>
      <w:pPr>
        <w:pStyle w:val="12"/>
        <w:shd w:val="clear" w:color="auto" w:fill="FFFFFF"/>
        <w:spacing w:before="0" w:beforeAutospacing="0" w:after="0" w:afterAutospacing="0" w:line="579"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 xml:space="preserve"> （1）开展书香童趣齐开花主题读书活动</w:t>
      </w:r>
      <w:bookmarkStart w:id="66" w:name="_GoBack"/>
      <w:bookmarkEnd w:id="66"/>
    </w:p>
    <w:p>
      <w:pPr>
        <w:pStyle w:val="12"/>
        <w:shd w:val="clear" w:color="auto" w:fill="FFFFFF"/>
        <w:spacing w:before="0" w:beforeAutospacing="0" w:after="0" w:afterAutospacing="0" w:line="579"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 xml:space="preserve">2019年6月15日，为迎接中华人民共和国70华诞之际，举办了“我与祖国共成长”读书活动。激发了学生的阅读兴趣，增长了课外知识，更让同学们了解祖国，热爱祖国，珍视祖国，也让我们看到了当代学生的创造力和勃勃生机，见证了同学们不同凡响的书香气。为同学们的课余生活增添了色彩，提高了文化底蕴，认识了中华人民共和国的成长历程，为日后的学习打下了基础，积累了素材。 </w:t>
      </w:r>
    </w:p>
    <w:p>
      <w:pPr>
        <w:pStyle w:val="12"/>
        <w:shd w:val="clear" w:color="auto" w:fill="FFFFFF"/>
        <w:spacing w:before="0" w:beforeAutospacing="0" w:after="0" w:afterAutospacing="0" w:line="579"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（2）举办课堂内外共飞扬主题活动</w:t>
      </w:r>
    </w:p>
    <w:p>
      <w:pPr>
        <w:pStyle w:val="12"/>
        <w:shd w:val="clear" w:color="auto" w:fill="FFFFFF"/>
        <w:spacing w:before="0" w:beforeAutospacing="0" w:after="0" w:afterAutospacing="0" w:line="579"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2019年5月23日、29日，活动中心分别在宣汉县红岭学校、宣汉县江口学校举办了“课后时光，幸福成长”和“课堂内外，激情飞扬”学生特长汇报演出。青少年校外活动中心本着助推基层薄弱学校，推动学校特长教育发展的目的开展工作，与红岭学校和江口学校的全体师生一起构建了艺术上的饕鬄盛宴。推进了学校特长教育发展，宣扬了青少年校外活动中心的办学宗旨，弘扬素质教育，促进了学生全面发展。</w:t>
      </w:r>
    </w:p>
    <w:p>
      <w:pPr>
        <w:pStyle w:val="12"/>
        <w:shd w:val="clear" w:color="auto" w:fill="FFFFFF"/>
        <w:spacing w:before="0" w:beforeAutospacing="0" w:after="0" w:afterAutospacing="0" w:line="579"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（3）举办跋山涉水聚天伦亲子教育活动</w:t>
      </w:r>
    </w:p>
    <w:p>
      <w:pPr>
        <w:pStyle w:val="12"/>
        <w:shd w:val="clear" w:color="auto" w:fill="FFFFFF"/>
        <w:spacing w:before="0" w:beforeAutospacing="0" w:after="0" w:afterAutospacing="0" w:line="579"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2019年6月27日、28日，宣汉县青少年校外活动中心奔赴宣汉县桃花中心校、宣汉县龙泉学校开展“暑期，让我们幸福相守”活动启动仪式，帮扶两所学校的30名留守儿童与父母团聚。青少年校外活动中心以儿童健康成长、身心均衡发展为宗旨，深入基层，提供经济支持，让留守儿童跨越距离，摆脱地域限制，和父母共聚暑期时光。拉近了学生与家长的距离；丰富了学生的人生经历，增长了见识；加深了留守儿童与父母的感情。</w:t>
      </w:r>
    </w:p>
    <w:p>
      <w:pPr>
        <w:pStyle w:val="12"/>
        <w:shd w:val="clear" w:color="auto" w:fill="FFFFFF"/>
        <w:spacing w:before="0" w:beforeAutospacing="0" w:after="0" w:afterAutospacing="0" w:line="579"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（4）举办瞻先烈观科技同举创活动</w:t>
      </w:r>
    </w:p>
    <w:p>
      <w:pPr>
        <w:pStyle w:val="12"/>
        <w:shd w:val="clear" w:color="auto" w:fill="FFFFFF"/>
        <w:spacing w:before="0" w:beforeAutospacing="0" w:after="0" w:afterAutospacing="0" w:line="579" w:lineRule="exact"/>
        <w:ind w:firstLine="640" w:firstLineChars="20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 xml:space="preserve">  2019年12月15日，活动中心全体学员奔赴张爱萍故居、达州市科技馆，开展了“弘扬革命精神，感受科技奥秘”研学之旅，带领学员莅临革命现场，进行传统教育，继承革命先辈的英勇献身精神；激发同学们热爱科学的激情，提高科技素质。活动从精神、知识等各个层面丰富了学员的见识，升华了价值观念，为青少年儿童注入爱国之情，培养其科技创新精神，为中华之崛起而读书。</w:t>
      </w:r>
    </w:p>
    <w:p>
      <w:pPr>
        <w:pStyle w:val="3"/>
        <w:rPr>
          <w:rStyle w:val="26"/>
          <w:b w:val="0"/>
          <w:bCs w:val="0"/>
        </w:rPr>
      </w:pPr>
      <w:bookmarkStart w:id="16" w:name="_Toc15377200"/>
      <w:bookmarkStart w:id="17"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6"/>
      <w:bookmarkEnd w:id="17"/>
    </w:p>
    <w:p>
      <w:pPr>
        <w:pStyle w:val="3"/>
        <w:ind w:firstLine="640" w:firstLineChars="200"/>
        <w:rPr>
          <w:rFonts w:hint="eastAsia" w:ascii="仿宋" w:hAnsi="仿宋" w:eastAsia="仿宋" w:cs="Times New Roman"/>
          <w:b w:val="0"/>
          <w:bCs/>
          <w:color w:val="000000"/>
          <w:kern w:val="0"/>
          <w:sz w:val="32"/>
          <w:szCs w:val="32"/>
          <w:lang w:val="en-US" w:eastAsia="zh-CN" w:bidi="ar-SA"/>
        </w:rPr>
      </w:pPr>
      <w:bookmarkStart w:id="18" w:name="_Toc15377204"/>
      <w:bookmarkStart w:id="19" w:name="_Toc15396602"/>
      <w:r>
        <w:rPr>
          <w:rFonts w:hint="eastAsia" w:ascii="仿宋" w:hAnsi="仿宋" w:eastAsia="仿宋" w:cs="Times New Roman"/>
          <w:b w:val="0"/>
          <w:bCs/>
          <w:color w:val="000000"/>
          <w:kern w:val="0"/>
          <w:sz w:val="32"/>
          <w:szCs w:val="32"/>
          <w:lang w:val="en-US" w:eastAsia="zh-CN" w:bidi="ar-SA"/>
        </w:rPr>
        <w:t>宣汉县青少年校外活动中心下属二级单位0个，其中行政单位0个，参照公务员法管理的事业单位0个，其他事业单位0个。</w:t>
      </w:r>
    </w:p>
    <w:p>
      <w:pPr>
        <w:pStyle w:val="3"/>
        <w:ind w:firstLine="640" w:firstLineChars="200"/>
        <w:rPr>
          <w:rFonts w:hint="eastAsia" w:ascii="黑体" w:hAnsi="黑体" w:eastAsia="黑体"/>
          <w:b w:val="0"/>
          <w:color w:val="000000"/>
        </w:rPr>
      </w:pPr>
      <w:r>
        <w:rPr>
          <w:rFonts w:hint="eastAsia" w:ascii="仿宋" w:hAnsi="仿宋" w:eastAsia="仿宋" w:cs="Times New Roman"/>
          <w:b w:val="0"/>
          <w:bCs/>
          <w:color w:val="000000"/>
          <w:kern w:val="0"/>
          <w:sz w:val="32"/>
          <w:szCs w:val="32"/>
          <w:lang w:val="en-US" w:eastAsia="zh-CN" w:bidi="ar-SA"/>
        </w:rPr>
        <w:t>纳入宣汉县青少年校外活动中心2019年度部门决算编制范围的二级预算单位0个。</w:t>
      </w:r>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18"/>
      <w:bookmarkEnd w:id="19"/>
    </w:p>
    <w:p/>
    <w:p>
      <w:pPr>
        <w:pStyle w:val="24"/>
        <w:numPr>
          <w:ilvl w:val="0"/>
          <w:numId w:val="1"/>
        </w:numPr>
        <w:spacing w:line="600" w:lineRule="exact"/>
        <w:ind w:firstLineChars="0"/>
        <w:outlineLvl w:val="1"/>
        <w:rPr>
          <w:rStyle w:val="26"/>
          <w:rFonts w:ascii="黑体" w:hAnsi="黑体" w:eastAsia="黑体"/>
          <w:b w:val="0"/>
        </w:rPr>
      </w:pPr>
      <w:bookmarkStart w:id="20" w:name="_Toc15377205"/>
      <w:bookmarkStart w:id="21"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0"/>
      <w:bookmarkEnd w:id="21"/>
    </w:p>
    <w:p>
      <w:pPr>
        <w:numPr>
          <w:ilvl w:val="0"/>
          <w:numId w:val="0"/>
        </w:num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55.88</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29.18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34.3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政府减少投入校外活动专项经费。</w:t>
      </w:r>
    </w:p>
    <w:p>
      <w:pPr>
        <w:pStyle w:val="24"/>
        <w:numPr>
          <w:ilvl w:val="0"/>
          <w:numId w:val="1"/>
        </w:numPr>
        <w:spacing w:line="600" w:lineRule="exact"/>
        <w:ind w:firstLineChars="0"/>
        <w:outlineLvl w:val="1"/>
        <w:rPr>
          <w:rStyle w:val="26"/>
          <w:rFonts w:ascii="黑体" w:hAnsi="黑体" w:eastAsia="黑体"/>
          <w:b w:val="0"/>
        </w:rPr>
      </w:pPr>
      <w:bookmarkStart w:id="22" w:name="_Toc15377206"/>
      <w:bookmarkStart w:id="23"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2"/>
      <w:bookmarkEnd w:id="23"/>
    </w:p>
    <w:p>
      <w:pPr>
        <w:numPr>
          <w:ilvl w:val="0"/>
          <w:numId w:val="0"/>
        </w:numPr>
        <w:spacing w:line="600" w:lineRule="exact"/>
        <w:ind w:firstLine="640" w:firstLineChars="200"/>
        <w:rPr>
          <w:rFonts w:ascii="仿宋_GB2312" w:eastAsia="仿宋_GB2312"/>
          <w:color w:val="FF0000"/>
          <w:sz w:val="32"/>
          <w:szCs w:val="32"/>
        </w:rPr>
      </w:pPr>
      <w:r>
        <w:rPr>
          <w:rFonts w:hint="eastAsia" w:ascii="仿宋" w:hAnsi="仿宋" w:eastAsia="仿宋"/>
          <w:color w:val="000000"/>
          <w:sz w:val="32"/>
          <w:szCs w:val="32"/>
          <w:lang w:eastAsia="zh-CN"/>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lang w:eastAsia="zh-CN"/>
        </w:rPr>
        <w:t>年本年收入合计</w:t>
      </w:r>
      <w:r>
        <w:rPr>
          <w:rFonts w:hint="eastAsia" w:ascii="仿宋" w:hAnsi="仿宋" w:eastAsia="仿宋"/>
          <w:color w:val="000000"/>
          <w:sz w:val="32"/>
          <w:szCs w:val="32"/>
          <w:lang w:val="en-US" w:eastAsia="zh-CN"/>
        </w:rPr>
        <w:t>55.88</w:t>
      </w:r>
      <w:r>
        <w:rPr>
          <w:rFonts w:hint="eastAsia" w:ascii="仿宋" w:hAnsi="仿宋" w:eastAsia="仿宋"/>
          <w:color w:val="000000"/>
          <w:sz w:val="32"/>
          <w:szCs w:val="32"/>
          <w:lang w:eastAsia="zh-CN"/>
        </w:rPr>
        <w:t>万元，其中：一般公共预算财政拨款收入</w:t>
      </w:r>
      <w:r>
        <w:rPr>
          <w:rFonts w:hint="eastAsia" w:ascii="仿宋" w:hAnsi="仿宋" w:eastAsia="仿宋"/>
          <w:color w:val="000000"/>
          <w:sz w:val="32"/>
          <w:szCs w:val="32"/>
          <w:lang w:val="en-US" w:eastAsia="zh-CN"/>
        </w:rPr>
        <w:t>55.88</w:t>
      </w:r>
      <w:r>
        <w:rPr>
          <w:rFonts w:hint="eastAsia" w:ascii="仿宋" w:hAnsi="仿宋" w:eastAsia="仿宋"/>
          <w:color w:val="000000"/>
          <w:sz w:val="32"/>
          <w:szCs w:val="32"/>
          <w:lang w:eastAsia="zh-CN"/>
        </w:rPr>
        <w:t>万元，占</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w:t>
      </w:r>
    </w:p>
    <w:p>
      <w:pPr>
        <w:pStyle w:val="24"/>
        <w:numPr>
          <w:ilvl w:val="0"/>
          <w:numId w:val="1"/>
        </w:numPr>
        <w:spacing w:line="600" w:lineRule="exact"/>
        <w:ind w:firstLineChars="0"/>
        <w:outlineLvl w:val="1"/>
        <w:rPr>
          <w:rStyle w:val="26"/>
          <w:rFonts w:ascii="黑体" w:hAnsi="黑体" w:eastAsia="黑体"/>
          <w:b w:val="0"/>
        </w:rPr>
      </w:pPr>
      <w:bookmarkStart w:id="24" w:name="_Toc15377207"/>
      <w:bookmarkStart w:id="25"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4"/>
      <w:bookmarkEnd w:id="25"/>
    </w:p>
    <w:p>
      <w:pPr>
        <w:numPr>
          <w:ilvl w:val="0"/>
          <w:numId w:val="0"/>
        </w:numPr>
        <w:spacing w:line="600" w:lineRule="exact"/>
        <w:ind w:firstLine="320" w:firstLineChars="100"/>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55.88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55.88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firstLineChars="200"/>
        <w:outlineLvl w:val="1"/>
        <w:rPr>
          <w:rStyle w:val="26"/>
          <w:rFonts w:ascii="黑体" w:hAnsi="黑体" w:eastAsia="黑体"/>
          <w:b w:val="0"/>
        </w:rPr>
      </w:pPr>
      <w:bookmarkStart w:id="26" w:name="_Toc15377208"/>
      <w:bookmarkStart w:id="27"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6"/>
      <w:bookmarkEnd w:id="27"/>
    </w:p>
    <w:p>
      <w:pPr>
        <w:numPr>
          <w:ilvl w:val="0"/>
          <w:numId w:val="0"/>
        </w:numPr>
        <w:spacing w:line="600" w:lineRule="exact"/>
        <w:ind w:firstLine="320" w:firstLineChars="1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55.88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29.18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34.3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政府减少投入校外活动专项经费。</w:t>
      </w:r>
    </w:p>
    <w:p>
      <w:pPr>
        <w:spacing w:line="600" w:lineRule="exact"/>
        <w:ind w:firstLine="640" w:firstLineChars="200"/>
        <w:outlineLvl w:val="1"/>
        <w:rPr>
          <w:rStyle w:val="26"/>
          <w:rFonts w:ascii="黑体" w:hAnsi="黑体" w:eastAsia="黑体"/>
          <w:b w:val="0"/>
        </w:rPr>
      </w:pPr>
      <w:bookmarkStart w:id="28" w:name="_Toc15396607"/>
      <w:bookmarkStart w:id="29"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28"/>
      <w:bookmarkEnd w:id="29"/>
    </w:p>
    <w:p>
      <w:pPr>
        <w:spacing w:line="600" w:lineRule="exact"/>
        <w:ind w:firstLine="642"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55.88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29.18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34.3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政府减少投入校外活动专项经费</w:t>
      </w:r>
      <w:r>
        <w:rPr>
          <w:rFonts w:hint="eastAsia" w:ascii="仿宋" w:hAnsi="仿宋" w:eastAsia="仿宋"/>
          <w:color w:val="000000"/>
          <w:sz w:val="32"/>
          <w:szCs w:val="32"/>
          <w:lang w:val="en-US" w:eastAsia="zh-CN"/>
        </w:rPr>
        <w:t>.</w:t>
      </w:r>
    </w:p>
    <w:p>
      <w:pPr>
        <w:spacing w:line="600" w:lineRule="exact"/>
        <w:ind w:firstLine="642"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55.88</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lang w:val="en-US" w:eastAsia="zh-CN"/>
        </w:rPr>
        <w:t>43.51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77.86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6.6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11.8</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w:t>
      </w:r>
      <w:r>
        <w:rPr>
          <w:rFonts w:hint="eastAsia" w:ascii="仿宋" w:hAnsi="仿宋" w:eastAsia="仿宋"/>
          <w:color w:val="000000" w:themeColor="text1"/>
          <w:sz w:val="32"/>
          <w:szCs w:val="32"/>
          <w:lang w:val="en-US" w:eastAsia="zh-CN"/>
        </w:rPr>
        <w:t>1.96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3.5</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3.81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6.84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2" w:firstLineChars="200"/>
        <w:outlineLvl w:val="2"/>
        <w:rPr>
          <w:rFonts w:ascii="仿宋" w:hAnsi="仿宋" w:eastAsia="仿宋"/>
          <w:b/>
          <w:color w:val="000000"/>
          <w:sz w:val="32"/>
          <w:szCs w:val="32"/>
        </w:rPr>
      </w:pPr>
      <w:bookmarkStart w:id="32" w:name="_Toc15377212"/>
      <w:r>
        <w:rPr>
          <w:rFonts w:hint="eastAsia" w:ascii="仿宋" w:hAnsi="仿宋" w:eastAsia="仿宋"/>
          <w:b/>
          <w:color w:val="000000"/>
          <w:sz w:val="32"/>
          <w:szCs w:val="32"/>
        </w:rPr>
        <w:t>（三）一般公共预算财政拨款支出决算具体情况</w:t>
      </w:r>
      <w:bookmarkEnd w:id="32"/>
    </w:p>
    <w:p>
      <w:pPr>
        <w:spacing w:line="600" w:lineRule="exact"/>
        <w:ind w:firstLine="642" w:firstLineChars="200"/>
        <w:outlineLvl w:val="2"/>
        <w:rPr>
          <w:rFonts w:ascii="仿宋" w:hAnsi="仿宋" w:eastAsia="仿宋"/>
          <w:color w:val="FF0000"/>
          <w:sz w:val="32"/>
          <w:szCs w:val="32"/>
        </w:rPr>
      </w:pPr>
      <w:r>
        <w:rPr>
          <w:rFonts w:hint="eastAsia" w:ascii="仿宋" w:hAnsi="仿宋" w:eastAsia="仿宋"/>
          <w:b/>
          <w:color w:val="000000" w:themeColor="text1"/>
          <w:sz w:val="32"/>
          <w:szCs w:val="32"/>
        </w:rPr>
        <w:t>201</w:t>
      </w:r>
      <w:r>
        <w:rPr>
          <w:rFonts w:hint="eastAsia" w:ascii="仿宋" w:hAnsi="仿宋" w:eastAsia="仿宋"/>
          <w:b/>
          <w:color w:val="000000" w:themeColor="text1"/>
          <w:sz w:val="32"/>
          <w:szCs w:val="32"/>
          <w:lang w:val="en-US" w:eastAsia="zh-CN"/>
        </w:rPr>
        <w:t>9</w:t>
      </w:r>
      <w:r>
        <w:rPr>
          <w:rFonts w:hint="eastAsia" w:ascii="仿宋" w:hAnsi="仿宋" w:eastAsia="仿宋"/>
          <w:b/>
          <w:color w:val="000000" w:themeColor="text1"/>
          <w:sz w:val="32"/>
          <w:szCs w:val="32"/>
        </w:rPr>
        <w:t>年般公共预算支出决算数为</w:t>
      </w:r>
      <w:r>
        <w:rPr>
          <w:rFonts w:hint="eastAsia" w:ascii="仿宋" w:hAnsi="仿宋" w:eastAsia="仿宋"/>
          <w:b/>
          <w:color w:val="000000" w:themeColor="text1"/>
          <w:sz w:val="32"/>
          <w:szCs w:val="32"/>
          <w:lang w:val="en-US" w:eastAsia="zh-CN"/>
        </w:rPr>
        <w:t>55.88万元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p>
    <w:p>
      <w:pPr>
        <w:numPr>
          <w:ilvl w:val="0"/>
          <w:numId w:val="2"/>
        </w:num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rPr>
        <w:t>教育</w:t>
      </w:r>
      <w:r>
        <w:rPr>
          <w:rStyle w:val="15"/>
          <w:rFonts w:hint="eastAsia" w:ascii="仿宋" w:hAnsi="仿宋" w:eastAsia="仿宋"/>
          <w:bCs/>
          <w:color w:val="000000"/>
          <w:sz w:val="32"/>
          <w:szCs w:val="32"/>
          <w:lang w:eastAsia="zh-CN"/>
        </w:rPr>
        <w:t>类</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lang w:val="en-US" w:eastAsia="zh-CN"/>
        </w:rPr>
        <w:t>（1）</w:t>
      </w:r>
      <w:r>
        <w:rPr>
          <w:rStyle w:val="15"/>
          <w:rFonts w:hint="eastAsia" w:ascii="仿宋" w:hAnsi="仿宋" w:eastAsia="仿宋"/>
          <w:b w:val="0"/>
          <w:bCs/>
          <w:color w:val="000000"/>
          <w:sz w:val="32"/>
          <w:szCs w:val="32"/>
          <w:lang w:eastAsia="zh-CN"/>
        </w:rPr>
        <w:t>教育管理事务</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43.51</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其中：其他教育管理事务</w:t>
      </w:r>
      <w:r>
        <w:rPr>
          <w:rStyle w:val="15"/>
          <w:rFonts w:hint="eastAsia" w:ascii="仿宋" w:hAnsi="仿宋" w:eastAsia="仿宋"/>
          <w:b w:val="0"/>
          <w:bCs/>
          <w:color w:val="000000"/>
          <w:sz w:val="32"/>
          <w:szCs w:val="32"/>
          <w:lang w:val="en-US" w:eastAsia="zh-CN"/>
        </w:rPr>
        <w:t>43.51万元；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hint="eastAsia" w:ascii="仿宋" w:hAnsi="仿宋" w:eastAsia="仿宋"/>
          <w:bCs/>
          <w:color w:val="000000"/>
          <w:sz w:val="32"/>
          <w:szCs w:val="32"/>
          <w:lang w:eastAsia="zh-CN"/>
        </w:rPr>
        <w:t>类</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lang w:eastAsia="zh-CN"/>
        </w:rPr>
        <w:t>机关事业单位基本养老保险缴费</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w:t>
      </w:r>
      <w:r>
        <w:rPr>
          <w:rStyle w:val="15"/>
          <w:rFonts w:hint="eastAsia" w:ascii="仿宋" w:hAnsi="仿宋" w:eastAsia="仿宋"/>
          <w:bCs/>
          <w:color w:val="000000"/>
          <w:sz w:val="32"/>
          <w:szCs w:val="32"/>
          <w:lang w:val="en-US" w:eastAsia="zh-CN"/>
        </w:rPr>
        <w:t>类</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事业单位医疗</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1.96</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firstLineChars="200"/>
        <w:rPr>
          <w:rFonts w:hint="eastAsia" w:ascii="黑体" w:hAnsi="黑体" w:eastAsia="黑体" w:cs="Times New Roman"/>
          <w:color w:val="000000"/>
          <w:kern w:val="2"/>
          <w:sz w:val="32"/>
          <w:szCs w:val="32"/>
          <w:lang w:val="en-US" w:eastAsia="zh-CN" w:bidi="ar-SA"/>
        </w:rPr>
      </w:pPr>
      <w:r>
        <w:rPr>
          <w:rStyle w:val="15"/>
          <w:rFonts w:hint="eastAsia" w:ascii="仿宋" w:hAnsi="仿宋" w:eastAsia="仿宋"/>
          <w:b w:val="0"/>
          <w:bCs/>
          <w:color w:val="000000"/>
          <w:sz w:val="32"/>
          <w:szCs w:val="32"/>
          <w:lang w:val="en-US" w:eastAsia="zh-CN"/>
        </w:rPr>
        <w:t>4.</w:t>
      </w:r>
      <w:r>
        <w:rPr>
          <w:rFonts w:hint="eastAsia" w:ascii="仿宋" w:hAnsi="仿宋" w:eastAsia="仿宋"/>
          <w:color w:val="000000" w:themeColor="text1"/>
          <w:sz w:val="32"/>
          <w:szCs w:val="32"/>
        </w:rPr>
        <w:t>住房保障</w:t>
      </w:r>
      <w:r>
        <w:rPr>
          <w:rFonts w:hint="eastAsia" w:ascii="仿宋" w:hAnsi="仿宋" w:eastAsia="仿宋"/>
          <w:color w:val="000000" w:themeColor="text1"/>
          <w:sz w:val="32"/>
          <w:szCs w:val="32"/>
          <w:lang w:eastAsia="zh-CN"/>
        </w:rPr>
        <w:t>类：住房公积金支出决算为</w:t>
      </w:r>
      <w:r>
        <w:rPr>
          <w:rFonts w:hint="eastAsia" w:ascii="仿宋" w:hAnsi="仿宋" w:eastAsia="仿宋"/>
          <w:color w:val="000000" w:themeColor="text1"/>
          <w:sz w:val="32"/>
          <w:szCs w:val="32"/>
          <w:lang w:val="en-US" w:eastAsia="zh-CN"/>
        </w:rPr>
        <w:t>3.81万元，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6"/>
        </w:rPr>
      </w:pPr>
      <w:bookmarkStart w:id="33" w:name="_Toc15396608"/>
      <w:bookmarkStart w:id="34"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3"/>
      <w:bookmarkEnd w:id="34"/>
      <w:r>
        <w:rPr>
          <w:rStyle w:val="26"/>
          <w:rFonts w:ascii="黑体" w:hAnsi="黑体" w:eastAsia="黑体"/>
          <w:b w:val="0"/>
        </w:rPr>
        <w:tab/>
      </w:r>
    </w:p>
    <w:p>
      <w:pPr>
        <w:spacing w:line="600" w:lineRule="exact"/>
        <w:ind w:firstLine="645"/>
        <w:rPr>
          <w:rFonts w:ascii="仿宋" w:hAnsi="仿宋" w:eastAsia="仿宋"/>
          <w:color w:val="000000"/>
          <w:sz w:val="32"/>
          <w:szCs w:val="32"/>
        </w:rPr>
      </w:pPr>
      <w:bookmarkStart w:id="35" w:name="_Toc15396609"/>
      <w:bookmarkStart w:id="36" w:name="_Toc15377215"/>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55.88</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53.29</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18.77万元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2.82万元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11.56万元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其他工资福利支出</w:t>
      </w:r>
      <w:r>
        <w:rPr>
          <w:rFonts w:hint="eastAsia" w:ascii="仿宋" w:hAnsi="仿宋" w:eastAsia="仿宋"/>
          <w:color w:val="000000"/>
          <w:sz w:val="32"/>
          <w:szCs w:val="32"/>
          <w:lang w:val="en-US" w:eastAsia="zh-CN"/>
        </w:rPr>
        <w:t>6.99万元、</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val="en-US" w:eastAsia="zh-CN"/>
        </w:rPr>
        <w:t>6.6万元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2.74万元</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3.81万元</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2.59</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0.19万元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0.1万元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0.1万元</w:t>
      </w:r>
      <w:r>
        <w:rPr>
          <w:rFonts w:hint="eastAsia" w:ascii="仿宋" w:hAnsi="仿宋" w:eastAsia="仿宋"/>
          <w:color w:val="000000"/>
          <w:sz w:val="32"/>
          <w:szCs w:val="32"/>
        </w:rPr>
        <w:t>、物业管理费</w:t>
      </w:r>
      <w:r>
        <w:rPr>
          <w:rFonts w:hint="eastAsia" w:ascii="仿宋" w:hAnsi="仿宋" w:eastAsia="仿宋"/>
          <w:color w:val="000000"/>
          <w:sz w:val="32"/>
          <w:szCs w:val="32"/>
          <w:lang w:val="en-US" w:eastAsia="zh-CN"/>
        </w:rPr>
        <w:t>0.1万元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0.53万元</w:t>
      </w:r>
      <w:r>
        <w:rPr>
          <w:rFonts w:hint="eastAsia" w:ascii="仿宋" w:hAnsi="仿宋" w:eastAsia="仿宋"/>
          <w:color w:val="000000"/>
          <w:sz w:val="32"/>
          <w:szCs w:val="32"/>
        </w:rPr>
        <w:t>、维修（护）费</w:t>
      </w:r>
      <w:r>
        <w:rPr>
          <w:rFonts w:hint="eastAsia" w:ascii="仿宋" w:hAnsi="仿宋" w:eastAsia="仿宋"/>
          <w:color w:val="000000"/>
          <w:sz w:val="32"/>
          <w:szCs w:val="32"/>
          <w:lang w:val="en-US" w:eastAsia="zh-CN"/>
        </w:rPr>
        <w:t>0.1万元</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0.11万元</w:t>
      </w:r>
      <w:r>
        <w:rPr>
          <w:rFonts w:hint="eastAsia" w:ascii="仿宋" w:hAnsi="仿宋" w:eastAsia="仿宋"/>
          <w:color w:val="000000"/>
          <w:sz w:val="32"/>
          <w:szCs w:val="32"/>
        </w:rPr>
        <w:t>、公务接待费</w:t>
      </w:r>
      <w:r>
        <w:rPr>
          <w:rFonts w:hint="eastAsia" w:ascii="仿宋" w:hAnsi="仿宋" w:eastAsia="仿宋"/>
          <w:color w:val="000000"/>
          <w:sz w:val="32"/>
          <w:szCs w:val="32"/>
          <w:lang w:val="en-US" w:eastAsia="zh-CN"/>
        </w:rPr>
        <w:t>0.1万元</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0.19万元、设备购置1.07万元</w:t>
      </w:r>
      <w:r>
        <w:rPr>
          <w:rFonts w:hint="eastAsia" w:ascii="仿宋" w:hAnsi="仿宋" w:eastAsia="仿宋"/>
          <w:color w:val="000000"/>
          <w:sz w:val="32"/>
          <w:szCs w:val="32"/>
        </w:rPr>
        <w:t>。</w:t>
      </w:r>
    </w:p>
    <w:p>
      <w:pPr>
        <w:spacing w:line="600" w:lineRule="exact"/>
        <w:ind w:firstLine="640"/>
        <w:outlineLvl w:val="1"/>
        <w:rPr>
          <w:rStyle w:val="26"/>
          <w:rFonts w:ascii="黑体" w:hAnsi="黑体" w:eastAsia="黑体"/>
          <w:b w:val="0"/>
        </w:rPr>
      </w:pPr>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5"/>
      <w:bookmarkEnd w:id="36"/>
    </w:p>
    <w:p>
      <w:pPr>
        <w:spacing w:line="600" w:lineRule="exact"/>
        <w:ind w:firstLine="640"/>
        <w:outlineLvl w:val="2"/>
        <w:rPr>
          <w:rFonts w:ascii="仿宋" w:hAnsi="仿宋" w:eastAsia="仿宋"/>
          <w:b/>
          <w:color w:val="000000"/>
          <w:sz w:val="32"/>
          <w:szCs w:val="32"/>
        </w:rPr>
      </w:pPr>
      <w:bookmarkStart w:id="37" w:name="_Toc15377216"/>
      <w:r>
        <w:rPr>
          <w:rFonts w:hint="eastAsia" w:ascii="仿宋" w:hAnsi="仿宋" w:eastAsia="仿宋"/>
          <w:b/>
          <w:color w:val="000000"/>
          <w:sz w:val="32"/>
          <w:szCs w:val="32"/>
        </w:rPr>
        <w:t>（一）“三公”经费财政拨款支出决算总体情况说明</w:t>
      </w:r>
      <w:bookmarkEnd w:id="37"/>
    </w:p>
    <w:p>
      <w:pPr>
        <w:spacing w:line="600" w:lineRule="exact"/>
        <w:ind w:firstLine="640"/>
        <w:rPr>
          <w:rFonts w:ascii="仿宋" w:hAnsi="仿宋" w:eastAsia="仿宋"/>
          <w:color w:val="000000"/>
          <w:sz w:val="32"/>
          <w:szCs w:val="32"/>
        </w:rPr>
      </w:pPr>
      <w:bookmarkStart w:id="38" w:name="_Toc15377217"/>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bookmarkEnd w:id="38"/>
    </w:p>
    <w:p>
      <w:pPr>
        <w:spacing w:line="600" w:lineRule="exact"/>
        <w:ind w:firstLine="640"/>
        <w:rPr>
          <w:rFonts w:ascii="仿宋" w:hAnsi="仿宋" w:eastAsia="仿宋"/>
          <w:color w:val="000000"/>
          <w:sz w:val="32"/>
          <w:szCs w:val="32"/>
        </w:rPr>
      </w:pPr>
      <w:bookmarkStart w:id="39" w:name="_Toc15377218"/>
      <w:bookmarkStart w:id="40" w:name="_Toc15396610"/>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numPr>
          <w:ilvl w:val="0"/>
          <w:numId w:val="3"/>
        </w:numPr>
        <w:spacing w:line="600" w:lineRule="exact"/>
        <w:ind w:firstLine="640"/>
        <w:rPr>
          <w:rStyle w:val="15"/>
          <w:rFonts w:hint="eastAsia" w:ascii="仿宋" w:hAnsi="仿宋" w:eastAsia="仿宋"/>
          <w:b w:val="0"/>
          <w:bCs/>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numPr>
          <w:ilvl w:val="0"/>
          <w:numId w:val="0"/>
        </w:numPr>
        <w:spacing w:line="600" w:lineRule="exact"/>
        <w:ind w:firstLine="642"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0.98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90.7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本年度安排基层少年宫学校学习交流次数较多</w:t>
      </w:r>
      <w:r>
        <w:rPr>
          <w:rFonts w:hint="eastAsia" w:ascii="仿宋_GB2312" w:eastAsia="仿宋_GB2312"/>
          <w:color w:val="000000"/>
          <w:sz w:val="32"/>
          <w:szCs w:val="32"/>
        </w:rPr>
        <w:t>。</w:t>
      </w:r>
    </w:p>
    <w:p>
      <w:pPr>
        <w:spacing w:line="600" w:lineRule="exact"/>
        <w:ind w:firstLine="640" w:firstLineChars="200"/>
        <w:rPr>
          <w:rFonts w:ascii="黑体" w:eastAsia="黑体"/>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万元，具体内容包括：…（接待具体项目、金额）。</w:t>
      </w:r>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39"/>
      <w:bookmarkEnd w:id="4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4"/>
        </w:numPr>
        <w:spacing w:line="600" w:lineRule="exact"/>
        <w:ind w:firstLine="640"/>
        <w:outlineLvl w:val="1"/>
        <w:rPr>
          <w:rStyle w:val="26"/>
          <w:rFonts w:ascii="黑体" w:hAnsi="黑体" w:eastAsia="黑体"/>
          <w:b w:val="0"/>
        </w:rPr>
      </w:pPr>
      <w:bookmarkStart w:id="41" w:name="_Toc15377219"/>
      <w:bookmarkStart w:id="42" w:name="_Toc15396611"/>
      <w:r>
        <w:rPr>
          <w:rStyle w:val="26"/>
          <w:rFonts w:hint="eastAsia" w:ascii="黑体" w:hAnsi="黑体" w:eastAsia="黑体"/>
          <w:b w:val="0"/>
        </w:rPr>
        <w:t>国有资本经营预算支出决算情况说明</w:t>
      </w:r>
      <w:bookmarkEnd w:id="41"/>
      <w:bookmarkEnd w:id="42"/>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6"/>
          <w:rFonts w:ascii="黑体" w:hAnsi="黑体" w:eastAsia="黑体"/>
        </w:rPr>
      </w:pPr>
      <w:bookmarkStart w:id="43" w:name="_Toc15377221"/>
      <w:bookmarkStart w:id="44"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43"/>
      <w:bookmarkEnd w:id="44"/>
    </w:p>
    <w:p>
      <w:pPr>
        <w:spacing w:line="600" w:lineRule="exact"/>
        <w:ind w:firstLine="642" w:firstLineChars="200"/>
        <w:outlineLvl w:val="2"/>
        <w:rPr>
          <w:rFonts w:ascii="仿宋" w:hAnsi="仿宋" w:eastAsia="仿宋"/>
          <w:color w:val="000000"/>
          <w:sz w:val="32"/>
          <w:szCs w:val="32"/>
        </w:rPr>
      </w:pPr>
      <w:bookmarkStart w:id="45" w:name="_Toc15377222"/>
      <w:r>
        <w:rPr>
          <w:rFonts w:hint="eastAsia" w:ascii="仿宋" w:hAnsi="仿宋" w:eastAsia="仿宋"/>
          <w:b/>
          <w:color w:val="000000"/>
          <w:sz w:val="32"/>
          <w:szCs w:val="32"/>
        </w:rPr>
        <w:t>（一）机关运行经费支出情况</w:t>
      </w:r>
      <w:bookmarkEnd w:id="45"/>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_GB2312" w:eastAsia="仿宋_GB2312"/>
          <w:color w:val="000000"/>
          <w:sz w:val="32"/>
          <w:szCs w:val="32"/>
          <w:lang w:val="en-US" w:eastAsia="zh-CN"/>
        </w:rPr>
        <w:t>2.59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7.9</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6" w:name="_Toc15377223"/>
      <w:r>
        <w:rPr>
          <w:rFonts w:hint="eastAsia" w:ascii="仿宋" w:hAnsi="仿宋" w:eastAsia="仿宋"/>
          <w:b/>
          <w:color w:val="000000"/>
          <w:sz w:val="32"/>
          <w:szCs w:val="32"/>
        </w:rPr>
        <w:t>（二）政府采购支出情况</w:t>
      </w:r>
      <w:bookmarkEnd w:id="46"/>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1.07</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1.07</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购置办公设备</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1.07</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47" w:name="_Toc15377224"/>
      <w:r>
        <w:rPr>
          <w:rFonts w:hint="eastAsia" w:ascii="仿宋" w:hAnsi="仿宋" w:eastAsia="仿宋"/>
          <w:b/>
          <w:color w:val="000000"/>
          <w:sz w:val="32"/>
          <w:szCs w:val="32"/>
        </w:rPr>
        <w:t>（三）国有资产占有使用情况</w:t>
      </w:r>
      <w:bookmarkEnd w:id="47"/>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项目（项目名称）开展了预算事前绩效评估，对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，本单位基本能够按照预算收支执行</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w:t>
      </w:r>
      <w:r>
        <w:rPr>
          <w:rFonts w:hint="eastAsia" w:ascii="仿宋_GB2312" w:hAnsi="仿宋_GB2312" w:eastAsia="仿宋_GB2312" w:cs="仿宋_GB2312"/>
          <w:sz w:val="32"/>
          <w:szCs w:val="32"/>
          <w:lang w:eastAsia="zh-CN"/>
        </w:rPr>
        <w:t>无项目实施。</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宣汉县青少年校外活动中心</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hint="eastAsia" w:ascii="仿宋_GB2312" w:hAnsi="仿宋_GB2312" w:eastAsia="仿宋_GB2312" w:cs="仿宋_GB2312"/>
          <w:sz w:val="32"/>
          <w:szCs w:val="32"/>
        </w:rPr>
      </w:pPr>
    </w:p>
    <w:p>
      <w:pPr>
        <w:numPr>
          <w:ilvl w:val="0"/>
          <w:numId w:val="5"/>
        </w:numPr>
        <w:spacing w:line="600" w:lineRule="exact"/>
        <w:ind w:firstLine="660" w:firstLineChars="150"/>
        <w:jc w:val="center"/>
        <w:outlineLvl w:val="0"/>
        <w:rPr>
          <w:rStyle w:val="25"/>
          <w:rFonts w:ascii="黑体" w:hAnsi="黑体" w:eastAsia="黑体"/>
          <w:b w:val="0"/>
        </w:rPr>
      </w:pPr>
      <w:bookmarkStart w:id="48" w:name="_Toc15377225"/>
      <w:bookmarkStart w:id="49"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48"/>
      <w:bookmarkEnd w:id="49"/>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spacing w:line="600" w:lineRule="exact"/>
        <w:jc w:val="center"/>
        <w:outlineLvl w:val="0"/>
        <w:rPr>
          <w:rStyle w:val="25"/>
          <w:rFonts w:ascii="黑体" w:hAnsi="黑体" w:eastAsia="黑体"/>
          <w:b w:val="0"/>
        </w:rPr>
      </w:pPr>
      <w:bookmarkStart w:id="50" w:name="_Toc15377226"/>
      <w:r>
        <w:rPr>
          <w:rFonts w:ascii="宋体"/>
          <w:b/>
          <w:color w:val="000000"/>
          <w:sz w:val="44"/>
          <w:szCs w:val="44"/>
        </w:rPr>
        <w:br w:type="page"/>
      </w:r>
      <w:bookmarkStart w:id="51"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1"/>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XX</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包括绩效自评公开、评价结果整改和应用结果反馈等情况。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2"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0"/>
      <w:bookmarkEnd w:id="5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3"/>
    </w:p>
    <w:p>
      <w:pPr>
        <w:pStyle w:val="3"/>
        <w:rPr>
          <w:rFonts w:ascii="仿宋" w:hAnsi="仿宋" w:eastAsia="仿宋"/>
          <w:color w:val="000000"/>
        </w:rPr>
      </w:pPr>
      <w:bookmarkStart w:id="54"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54"/>
    </w:p>
    <w:p>
      <w:pPr>
        <w:pStyle w:val="3"/>
        <w:rPr>
          <w:rFonts w:ascii="仿宋" w:hAnsi="仿宋" w:eastAsia="仿宋"/>
          <w:color w:val="000000"/>
        </w:rPr>
      </w:pPr>
      <w:bookmarkStart w:id="5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55"/>
    </w:p>
    <w:p>
      <w:pPr>
        <w:pStyle w:val="3"/>
        <w:rPr>
          <w:rFonts w:ascii="仿宋" w:hAnsi="仿宋" w:eastAsia="仿宋"/>
          <w:b w:val="0"/>
          <w:color w:val="000000"/>
        </w:rPr>
      </w:pPr>
      <w:bookmarkStart w:id="5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56"/>
    </w:p>
    <w:p>
      <w:pPr>
        <w:pStyle w:val="3"/>
        <w:rPr>
          <w:rStyle w:val="26"/>
          <w:rFonts w:ascii="仿宋" w:hAnsi="仿宋" w:eastAsia="仿宋"/>
          <w:b w:val="0"/>
          <w:bCs w:val="0"/>
        </w:rPr>
      </w:pPr>
      <w:bookmarkStart w:id="5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57"/>
      <w:bookmarkStart w:id="58"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58"/>
    </w:p>
    <w:p>
      <w:pPr>
        <w:pStyle w:val="3"/>
        <w:rPr>
          <w:rFonts w:ascii="仿宋" w:hAnsi="仿宋" w:eastAsia="仿宋"/>
          <w:color w:val="000000"/>
        </w:rPr>
      </w:pPr>
      <w:bookmarkStart w:id="5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59"/>
    </w:p>
    <w:p>
      <w:pPr>
        <w:pStyle w:val="3"/>
        <w:rPr>
          <w:rFonts w:ascii="仿宋" w:hAnsi="仿宋" w:eastAsia="仿宋"/>
          <w:color w:val="000000"/>
        </w:rPr>
      </w:pPr>
      <w:bookmarkStart w:id="6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0"/>
    </w:p>
    <w:p>
      <w:pPr>
        <w:pStyle w:val="3"/>
        <w:rPr>
          <w:rFonts w:ascii="仿宋" w:hAnsi="仿宋" w:eastAsia="仿宋"/>
          <w:color w:val="000000"/>
        </w:rPr>
      </w:pPr>
      <w:bookmarkStart w:id="6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1"/>
    </w:p>
    <w:p>
      <w:pPr>
        <w:pStyle w:val="3"/>
        <w:rPr>
          <w:rFonts w:ascii="仿宋" w:hAnsi="仿宋" w:eastAsia="仿宋"/>
          <w:color w:val="000000"/>
        </w:rPr>
      </w:pPr>
      <w:bookmarkStart w:id="6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2"/>
    </w:p>
    <w:p>
      <w:pPr>
        <w:pStyle w:val="3"/>
        <w:rPr>
          <w:rFonts w:ascii="仿宋" w:hAnsi="仿宋" w:eastAsia="仿宋"/>
          <w:color w:val="000000"/>
        </w:rPr>
      </w:pPr>
      <w:bookmarkStart w:id="6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3"/>
    </w:p>
    <w:p>
      <w:pPr>
        <w:pStyle w:val="3"/>
        <w:rPr>
          <w:rFonts w:ascii="仿宋" w:hAnsi="仿宋" w:eastAsia="仿宋"/>
          <w:color w:val="000000"/>
        </w:rPr>
      </w:pPr>
      <w:bookmarkStart w:id="6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4"/>
    </w:p>
    <w:p>
      <w:pPr>
        <w:pStyle w:val="3"/>
        <w:rPr>
          <w:rFonts w:ascii="仿宋" w:hAnsi="仿宋" w:eastAsia="仿宋"/>
          <w:color w:val="000000" w:themeColor="text1"/>
        </w:rPr>
      </w:pPr>
      <w:bookmarkStart w:id="6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6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B4DD9"/>
    <w:multiLevelType w:val="singleLevel"/>
    <w:tmpl w:val="A19B4DD9"/>
    <w:lvl w:ilvl="0" w:tentative="0">
      <w:start w:val="1"/>
      <w:numFmt w:val="decimal"/>
      <w:lvlText w:val="%1."/>
      <w:lvlJc w:val="left"/>
      <w:pPr>
        <w:tabs>
          <w:tab w:val="left" w:pos="312"/>
        </w:tabs>
      </w:pPr>
    </w:lvl>
  </w:abstractNum>
  <w:abstractNum w:abstractNumId="1">
    <w:nsid w:val="B520510A"/>
    <w:multiLevelType w:val="singleLevel"/>
    <w:tmpl w:val="B520510A"/>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0048EF"/>
    <w:rsid w:val="04D90FB0"/>
    <w:rsid w:val="10C055FF"/>
    <w:rsid w:val="16BB723D"/>
    <w:rsid w:val="1DD24AC7"/>
    <w:rsid w:val="240371BF"/>
    <w:rsid w:val="24AC1AF4"/>
    <w:rsid w:val="29BD1F7C"/>
    <w:rsid w:val="29FD04D3"/>
    <w:rsid w:val="319F7F4E"/>
    <w:rsid w:val="3BFEB729"/>
    <w:rsid w:val="4C54648F"/>
    <w:rsid w:val="4ECE2238"/>
    <w:rsid w:val="5AA345F9"/>
    <w:rsid w:val="5DE303FA"/>
    <w:rsid w:val="631A06FC"/>
    <w:rsid w:val="678D5562"/>
    <w:rsid w:val="72734D90"/>
    <w:rsid w:val="748C39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22</TotalTime>
  <ScaleCrop>false</ScaleCrop>
  <LinksUpToDate>false</LinksUpToDate>
  <CharactersWithSpaces>8536</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仁可女青</cp:lastModifiedBy>
  <cp:lastPrinted>2020-11-12T09:52:00Z</cp:lastPrinted>
  <dcterms:modified xsi:type="dcterms:W3CDTF">2021-11-30T19:30:05Z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