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5377193"/>
      <w:bookmarkStart w:id="4" w:name="_Toc15377425"/>
      <w:bookmarkStart w:id="5" w:name="_Toc15396475"/>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spacing w:line="360" w:lineRule="auto"/>
        <w:jc w:val="center"/>
        <w:rPr>
          <w:rFonts w:ascii="方正小标宋简体" w:hAnsi="宋体" w:eastAsia="方正小标宋简体"/>
          <w:color w:val="000000"/>
          <w:sz w:val="72"/>
          <w:szCs w:val="72"/>
        </w:rPr>
      </w:pPr>
      <w:bookmarkStart w:id="6" w:name="_Toc15396476"/>
      <w:bookmarkStart w:id="7" w:name="_Toc15377426"/>
      <w:bookmarkStart w:id="8" w:name="_Toc15378442"/>
      <w:bookmarkStart w:id="9" w:name="_Toc15377194"/>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达州市</w:t>
      </w:r>
      <w:r>
        <w:rPr>
          <w:rFonts w:hint="eastAsia" w:ascii="方正小标宋简体" w:hAnsi="宋体" w:eastAsia="方正小标宋简体"/>
          <w:color w:val="000000"/>
          <w:sz w:val="72"/>
          <w:szCs w:val="72"/>
        </w:rPr>
        <w:t>宣汉县医疗保障局部门决算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公开编制说明</w:t>
      </w:r>
    </w:p>
    <w:p>
      <w:pPr>
        <w:adjustRightInd w:val="0"/>
        <w:snapToGrid w:val="0"/>
        <w:spacing w:line="360" w:lineRule="auto"/>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  录</w:t>
      </w:r>
    </w:p>
    <w:p>
      <w:pPr>
        <w:widowControl/>
        <w:jc w:val="center"/>
        <w:rPr>
          <w:rFonts w:ascii="黑体" w:hAnsi="黑体" w:eastAsia="黑体" w:cstheme="minorBidi"/>
          <w:sz w:val="28"/>
          <w:szCs w:val="28"/>
        </w:rPr>
      </w:pPr>
    </w:p>
    <w:p>
      <w:pPr>
        <w:pStyle w:val="2"/>
        <w:rPr>
          <w:rFonts w:asciiTheme="minorEastAsia" w:hAnsiTheme="minorEastAsia" w:eastAsiaTheme="minorEastAsia"/>
        </w:rPr>
      </w:pPr>
      <w:r>
        <w:rPr>
          <w:rFonts w:hint="eastAsia" w:asciiTheme="minorEastAsia" w:hAnsiTheme="minorEastAsia" w:eastAsiaTheme="minorEastAsia"/>
        </w:rPr>
        <w:t>公开时间：202</w:t>
      </w:r>
      <w:r>
        <w:rPr>
          <w:rFonts w:hint="eastAsia" w:asciiTheme="minorEastAsia" w:hAnsiTheme="minorEastAsia" w:eastAsiaTheme="minorEastAsia"/>
          <w:lang w:val="en-US" w:eastAsia="zh-CN"/>
        </w:rPr>
        <w:t>1</w:t>
      </w:r>
      <w:r>
        <w:rPr>
          <w:rFonts w:hint="eastAsia" w:asciiTheme="minorEastAsia" w:hAnsiTheme="minorEastAsia" w:eastAsiaTheme="minorEastAsia"/>
        </w:rPr>
        <w:t>年11月</w:t>
      </w:r>
      <w:r>
        <w:rPr>
          <w:rFonts w:hint="eastAsia" w:asciiTheme="minorEastAsia" w:hAnsiTheme="minorEastAsia" w:eastAsiaTheme="minorEastAsia"/>
          <w:lang w:val="en-US" w:eastAsia="zh-CN"/>
        </w:rPr>
        <w:t>30</w:t>
      </w:r>
      <w:r>
        <w:rPr>
          <w:rFonts w:hint="eastAsia" w:asciiTheme="minorEastAsia" w:hAnsiTheme="minorEastAsia" w:eastAsiaTheme="minorEastAsia"/>
        </w:rPr>
        <w:t>日</w:t>
      </w:r>
    </w:p>
    <w:p>
      <w:pPr>
        <w:rPr>
          <w:sz w:val="28"/>
          <w:szCs w:val="28"/>
        </w:rPr>
      </w:pPr>
    </w:p>
    <w:p>
      <w:pPr>
        <w:pStyle w:val="2"/>
        <w:adjustRightInd w:val="0"/>
        <w:snapToGrid w:val="0"/>
        <w:spacing w:before="0" w:line="520" w:lineRule="exact"/>
        <w:jc w:val="left"/>
        <w:rPr>
          <w:rFonts w:ascii="黑体" w:hAnsi="黑体" w:eastAsia="黑体" w:cstheme="minorBidi"/>
        </w:rPr>
      </w:pPr>
      <w:r>
        <w:rPr>
          <w:rFonts w:hint="eastAsia" w:ascii="黑体" w:hAnsi="黑体" w:eastAsia="黑体"/>
        </w:rPr>
        <w:t>第一部分部门概况</w:t>
      </w:r>
    </w:p>
    <w:p>
      <w:pPr>
        <w:pStyle w:val="11"/>
        <w:adjustRightInd w:val="0"/>
        <w:snapToGrid w:val="0"/>
        <w:spacing w:line="520" w:lineRule="exact"/>
        <w:jc w:val="left"/>
        <w:rPr>
          <w:sz w:val="28"/>
          <w:szCs w:val="28"/>
        </w:rPr>
      </w:pPr>
      <w:r>
        <w:rPr>
          <w:rFonts w:hint="eastAsia"/>
          <w:sz w:val="28"/>
          <w:szCs w:val="28"/>
        </w:rPr>
        <w:t>一、基本职能及主要工作</w:t>
      </w:r>
      <w:r>
        <w:rPr>
          <w:rFonts w:ascii="Arial" w:hAnsi="Arial" w:cs="Arial"/>
          <w:sz w:val="28"/>
          <w:szCs w:val="28"/>
        </w:rPr>
        <w:t>………………………………………</w:t>
      </w:r>
      <w:r>
        <w:rPr>
          <w:rFonts w:hint="eastAsia" w:ascii="Arial" w:hAnsi="Arial" w:cs="Arial"/>
          <w:sz w:val="28"/>
          <w:szCs w:val="28"/>
        </w:rPr>
        <w:t>4</w:t>
      </w:r>
    </w:p>
    <w:p>
      <w:pPr>
        <w:pStyle w:val="11"/>
        <w:numPr>
          <w:ilvl w:val="0"/>
          <w:numId w:val="1"/>
        </w:numPr>
        <w:adjustRightInd w:val="0"/>
        <w:snapToGrid w:val="0"/>
        <w:spacing w:line="520" w:lineRule="exact"/>
        <w:jc w:val="left"/>
      </w:pPr>
      <w:r>
        <w:rPr>
          <w:rFonts w:hint="eastAsia"/>
          <w:sz w:val="28"/>
          <w:szCs w:val="28"/>
        </w:rPr>
        <w:t>机构设置</w:t>
      </w:r>
      <w:r>
        <w:rPr>
          <w:rFonts w:ascii="Arial" w:hAnsi="Arial" w:cs="Arial"/>
          <w:sz w:val="28"/>
          <w:szCs w:val="28"/>
        </w:rPr>
        <w:t>……………………………………………………</w:t>
      </w:r>
      <w:r>
        <w:rPr>
          <w:rFonts w:hint="eastAsia" w:ascii="Arial" w:hAnsi="Arial" w:cs="Arial"/>
          <w:sz w:val="28"/>
          <w:szCs w:val="28"/>
        </w:rPr>
        <w:t>7</w:t>
      </w:r>
    </w:p>
    <w:p>
      <w:pPr>
        <w:pStyle w:val="2"/>
        <w:numPr>
          <w:ilvl w:val="0"/>
          <w:numId w:val="2"/>
        </w:numPr>
        <w:adjustRightInd w:val="0"/>
        <w:snapToGrid w:val="0"/>
        <w:spacing w:before="0" w:line="520" w:lineRule="exact"/>
        <w:jc w:val="left"/>
        <w:rPr>
          <w:rFonts w:ascii="黑体" w:hAnsi="黑体" w:eastAsia="黑体"/>
        </w:rPr>
      </w:pPr>
      <w:r>
        <w:rPr>
          <w:rFonts w:hint="eastAsia" w:ascii="黑体" w:hAnsi="黑体" w:eastAsia="黑体"/>
        </w:rPr>
        <w:t>部门决算情况说明</w:t>
      </w:r>
    </w:p>
    <w:p>
      <w:pPr>
        <w:ind w:firstLine="420" w:firstLineChars="150"/>
        <w:rPr>
          <w:rFonts w:ascii="仿宋" w:hAnsi="仿宋" w:cstheme="minorBidi"/>
          <w:sz w:val="28"/>
          <w:szCs w:val="28"/>
        </w:rPr>
      </w:pPr>
      <w:r>
        <w:rPr>
          <w:rFonts w:hint="eastAsia"/>
          <w:sz w:val="28"/>
          <w:szCs w:val="28"/>
        </w:rPr>
        <w:t>一、收入支出决算总体情况说明</w:t>
      </w:r>
      <w:r>
        <w:rPr>
          <w:rFonts w:ascii="Arial" w:hAnsi="Arial" w:cs="Arial"/>
          <w:sz w:val="28"/>
          <w:szCs w:val="28"/>
        </w:rPr>
        <w:t>………………………………</w:t>
      </w:r>
      <w:r>
        <w:rPr>
          <w:rFonts w:hint="eastAsia" w:ascii="Arial" w:hAnsi="Arial" w:cs="Arial"/>
          <w:sz w:val="28"/>
          <w:szCs w:val="28"/>
        </w:rPr>
        <w:t>8</w:t>
      </w:r>
    </w:p>
    <w:p>
      <w:pPr>
        <w:pStyle w:val="11"/>
        <w:adjustRightInd w:val="0"/>
        <w:snapToGrid w:val="0"/>
        <w:spacing w:line="520" w:lineRule="exact"/>
        <w:jc w:val="left"/>
        <w:rPr>
          <w:rFonts w:ascii="仿宋" w:hAnsi="仿宋" w:cstheme="minorBidi"/>
          <w:sz w:val="28"/>
          <w:szCs w:val="28"/>
        </w:rPr>
      </w:pPr>
      <w:r>
        <w:rPr>
          <w:rFonts w:hint="eastAsia"/>
          <w:sz w:val="28"/>
          <w:szCs w:val="28"/>
        </w:rPr>
        <w:t>二、收入决算情况说明</w:t>
      </w:r>
      <w:r>
        <w:rPr>
          <w:rFonts w:ascii="Arial" w:hAnsi="Arial" w:cs="Arial"/>
          <w:sz w:val="28"/>
          <w:szCs w:val="28"/>
        </w:rPr>
        <w:t>…………………………………………</w:t>
      </w:r>
      <w:r>
        <w:rPr>
          <w:rFonts w:hint="eastAsia" w:ascii="Arial" w:hAnsi="Arial" w:cs="Arial"/>
          <w:sz w:val="28"/>
          <w:szCs w:val="28"/>
        </w:rPr>
        <w:t>8</w:t>
      </w:r>
    </w:p>
    <w:p>
      <w:pPr>
        <w:pStyle w:val="11"/>
        <w:adjustRightInd w:val="0"/>
        <w:snapToGrid w:val="0"/>
        <w:spacing w:line="520" w:lineRule="exact"/>
        <w:jc w:val="left"/>
        <w:rPr>
          <w:rFonts w:ascii="仿宋" w:hAnsi="仿宋" w:cstheme="minorBidi"/>
          <w:sz w:val="28"/>
          <w:szCs w:val="28"/>
        </w:rPr>
      </w:pPr>
      <w:r>
        <w:rPr>
          <w:rFonts w:hint="eastAsia"/>
          <w:sz w:val="28"/>
          <w:szCs w:val="28"/>
        </w:rPr>
        <w:t>三、支出决算情况说明</w:t>
      </w:r>
      <w:r>
        <w:rPr>
          <w:rFonts w:ascii="Arial" w:hAnsi="Arial" w:cs="Arial"/>
          <w:sz w:val="28"/>
          <w:szCs w:val="28"/>
        </w:rPr>
        <w:t>…………………………………………</w:t>
      </w:r>
      <w:r>
        <w:rPr>
          <w:rFonts w:hint="eastAsia" w:ascii="Arial" w:hAnsi="Arial" w:cs="Arial"/>
          <w:sz w:val="28"/>
          <w:szCs w:val="28"/>
        </w:rPr>
        <w:t>9</w:t>
      </w:r>
    </w:p>
    <w:p>
      <w:pPr>
        <w:pStyle w:val="11"/>
        <w:adjustRightInd w:val="0"/>
        <w:snapToGrid w:val="0"/>
        <w:spacing w:line="520" w:lineRule="exact"/>
        <w:jc w:val="left"/>
        <w:rPr>
          <w:rFonts w:ascii="仿宋" w:hAnsi="仿宋" w:cstheme="minorBidi"/>
          <w:sz w:val="28"/>
          <w:szCs w:val="28"/>
        </w:rPr>
      </w:pPr>
      <w:r>
        <w:rPr>
          <w:rFonts w:hint="eastAsia"/>
          <w:sz w:val="28"/>
          <w:szCs w:val="28"/>
        </w:rPr>
        <w:t>四、财政拨款收入支出决算总体情况说明</w:t>
      </w:r>
      <w:r>
        <w:rPr>
          <w:rFonts w:ascii="Arial" w:hAnsi="Arial" w:cs="Arial"/>
          <w:sz w:val="28"/>
          <w:szCs w:val="28"/>
        </w:rPr>
        <w:t>……………………</w:t>
      </w:r>
      <w:r>
        <w:rPr>
          <w:rFonts w:hint="eastAsia" w:ascii="Arial" w:hAnsi="Arial" w:cs="Arial"/>
          <w:sz w:val="28"/>
          <w:szCs w:val="28"/>
        </w:rPr>
        <w:t>9</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五、一般公共预算财政拨款支出决算情况说明</w:t>
      </w:r>
      <w:r>
        <w:rPr>
          <w:rFonts w:ascii="Arial" w:hAnsi="Arial" w:cs="Arial"/>
          <w:sz w:val="28"/>
          <w:szCs w:val="28"/>
        </w:rPr>
        <w:t>………………</w:t>
      </w:r>
      <w:r>
        <w:rPr>
          <w:rFonts w:hint="eastAsia" w:ascii="Arial" w:hAnsi="Arial" w:cs="Arial"/>
          <w:sz w:val="28"/>
          <w:szCs w:val="28"/>
        </w:rPr>
        <w:t>10</w:t>
      </w:r>
    </w:p>
    <w:p>
      <w:pPr>
        <w:pStyle w:val="11"/>
        <w:adjustRightInd w:val="0"/>
        <w:snapToGrid w:val="0"/>
        <w:spacing w:line="520" w:lineRule="exact"/>
        <w:jc w:val="left"/>
        <w:rPr>
          <w:rFonts w:ascii="仿宋" w:hAnsi="仿宋" w:cstheme="minorBidi"/>
          <w:sz w:val="28"/>
          <w:szCs w:val="28"/>
        </w:rPr>
      </w:pPr>
      <w:r>
        <w:rPr>
          <w:rFonts w:hint="eastAsia"/>
          <w:sz w:val="28"/>
          <w:szCs w:val="28"/>
        </w:rPr>
        <w:t>六、一般公共预算财政拨款基本支出决算情况说明</w:t>
      </w:r>
      <w:r>
        <w:rPr>
          <w:rFonts w:ascii="Arial" w:hAnsi="Arial" w:cs="Arial"/>
          <w:sz w:val="28"/>
          <w:szCs w:val="28"/>
        </w:rPr>
        <w:t>…………</w:t>
      </w:r>
      <w:r>
        <w:rPr>
          <w:rFonts w:hint="eastAsia" w:ascii="Arial" w:hAnsi="Arial" w:cs="Arial"/>
          <w:sz w:val="28"/>
          <w:szCs w:val="28"/>
        </w:rPr>
        <w:t>12</w:t>
      </w:r>
    </w:p>
    <w:p>
      <w:pPr>
        <w:pStyle w:val="11"/>
        <w:adjustRightInd w:val="0"/>
        <w:snapToGrid w:val="0"/>
        <w:spacing w:line="520" w:lineRule="exact"/>
        <w:jc w:val="left"/>
        <w:rPr>
          <w:rFonts w:ascii="仿宋" w:hAnsi="仿宋" w:cstheme="minorBidi"/>
          <w:sz w:val="28"/>
          <w:szCs w:val="28"/>
        </w:rPr>
      </w:pPr>
      <w:r>
        <w:rPr>
          <w:rFonts w:hint="eastAsia"/>
          <w:sz w:val="28"/>
          <w:szCs w:val="28"/>
        </w:rPr>
        <w:t>七、</w:t>
      </w:r>
      <w:r>
        <w:rPr>
          <w:sz w:val="28"/>
          <w:szCs w:val="28"/>
        </w:rPr>
        <w:t>“</w:t>
      </w:r>
      <w:r>
        <w:rPr>
          <w:rFonts w:hint="eastAsia"/>
          <w:sz w:val="28"/>
          <w:szCs w:val="28"/>
        </w:rPr>
        <w:t>三公”经费财政拨款支出决算情况说明</w:t>
      </w:r>
      <w:r>
        <w:rPr>
          <w:rFonts w:ascii="Arial" w:hAnsi="Arial" w:cs="Arial"/>
          <w:sz w:val="28"/>
          <w:szCs w:val="28"/>
        </w:rPr>
        <w:t>…………………</w:t>
      </w:r>
      <w:r>
        <w:rPr>
          <w:rFonts w:hint="eastAsia" w:ascii="Arial" w:hAnsi="Arial" w:cs="Arial"/>
          <w:sz w:val="28"/>
          <w:szCs w:val="28"/>
        </w:rPr>
        <w:t>13</w:t>
      </w:r>
    </w:p>
    <w:p>
      <w:pPr>
        <w:pStyle w:val="11"/>
        <w:adjustRightInd w:val="0"/>
        <w:snapToGrid w:val="0"/>
        <w:spacing w:line="520" w:lineRule="exact"/>
        <w:jc w:val="left"/>
        <w:rPr>
          <w:rFonts w:ascii="仿宋" w:hAnsi="仿宋" w:cstheme="minorBidi"/>
          <w:sz w:val="28"/>
          <w:szCs w:val="28"/>
        </w:rPr>
      </w:pPr>
      <w:r>
        <w:rPr>
          <w:rFonts w:hint="eastAsia"/>
          <w:sz w:val="28"/>
          <w:szCs w:val="28"/>
        </w:rPr>
        <w:t>八、政府性基金预算支出决算情况说明</w:t>
      </w:r>
      <w:r>
        <w:rPr>
          <w:rFonts w:ascii="Arial" w:hAnsi="Arial" w:cs="Arial"/>
          <w:sz w:val="28"/>
          <w:szCs w:val="28"/>
        </w:rPr>
        <w:t>………………………</w:t>
      </w:r>
      <w:r>
        <w:rPr>
          <w:rFonts w:hint="eastAsia" w:ascii="Arial" w:hAnsi="Arial" w:cs="Arial"/>
          <w:sz w:val="28"/>
          <w:szCs w:val="28"/>
        </w:rPr>
        <w:t>15</w:t>
      </w:r>
    </w:p>
    <w:p>
      <w:pPr>
        <w:pStyle w:val="11"/>
        <w:adjustRightInd w:val="0"/>
        <w:snapToGrid w:val="0"/>
        <w:spacing w:line="520" w:lineRule="exact"/>
        <w:ind w:leftChars="0"/>
        <w:jc w:val="left"/>
        <w:rPr>
          <w:rFonts w:ascii="仿宋" w:hAnsi="仿宋"/>
          <w:sz w:val="28"/>
          <w:szCs w:val="28"/>
        </w:rPr>
      </w:pPr>
      <w:r>
        <w:rPr>
          <w:rFonts w:hint="eastAsia" w:ascii="仿宋" w:hAnsi="仿宋" w:eastAsia="仿宋"/>
          <w:sz w:val="28"/>
          <w:szCs w:val="28"/>
        </w:rPr>
        <w:t>九、</w:t>
      </w:r>
      <w:r>
        <w:rPr>
          <w:sz w:val="28"/>
          <w:szCs w:val="28"/>
        </w:rPr>
        <w:t xml:space="preserve"> 国</w:t>
      </w:r>
      <w:r>
        <w:rPr>
          <w:rFonts w:hint="eastAsia"/>
          <w:sz w:val="28"/>
          <w:szCs w:val="28"/>
        </w:rPr>
        <w:t>有资本经营预算支出决算情况说明</w:t>
      </w:r>
      <w:r>
        <w:rPr>
          <w:rFonts w:ascii="Arial" w:hAnsi="Arial" w:cs="Arial"/>
          <w:sz w:val="28"/>
          <w:szCs w:val="28"/>
        </w:rPr>
        <w:t>……………………</w:t>
      </w:r>
      <w:r>
        <w:rPr>
          <w:rFonts w:hint="eastAsia" w:ascii="Arial" w:hAnsi="Arial" w:cs="Arial"/>
          <w:sz w:val="28"/>
          <w:szCs w:val="28"/>
        </w:rPr>
        <w:t>15</w:t>
      </w:r>
    </w:p>
    <w:p>
      <w:pPr>
        <w:adjustRightInd w:val="0"/>
        <w:snapToGrid w:val="0"/>
        <w:spacing w:line="520" w:lineRule="exact"/>
        <w:ind w:firstLine="420" w:firstLineChars="150"/>
        <w:jc w:val="left"/>
        <w:rPr>
          <w:rFonts w:ascii="仿宋" w:hAnsi="仿宋" w:eastAsia="仿宋" w:cstheme="minorBidi"/>
          <w:sz w:val="28"/>
          <w:szCs w:val="28"/>
        </w:rPr>
      </w:pPr>
      <w:r>
        <w:rPr>
          <w:rStyle w:val="14"/>
          <w:rFonts w:hint="eastAsia" w:ascii="仿宋" w:hAnsi="仿宋" w:eastAsia="仿宋"/>
          <w:color w:val="000000" w:themeColor="text1"/>
          <w:sz w:val="28"/>
          <w:szCs w:val="28"/>
          <w:u w:val="none"/>
        </w:rPr>
        <w:t>十、</w:t>
      </w:r>
      <w:r>
        <w:rPr>
          <w:rFonts w:hint="eastAsia"/>
          <w:sz w:val="28"/>
          <w:szCs w:val="28"/>
        </w:rPr>
        <w:t>其他重要事项的情况说明</w:t>
      </w:r>
      <w:r>
        <w:rPr>
          <w:rFonts w:ascii="Arial" w:hAnsi="Arial" w:cs="Arial"/>
          <w:sz w:val="28"/>
          <w:szCs w:val="28"/>
        </w:rPr>
        <w:t>…………………………………</w:t>
      </w:r>
      <w:r>
        <w:rPr>
          <w:rFonts w:hint="eastAsia" w:ascii="Arial" w:hAnsi="Arial" w:cs="Arial"/>
          <w:sz w:val="28"/>
          <w:szCs w:val="28"/>
        </w:rPr>
        <w:t>15</w:t>
      </w:r>
    </w:p>
    <w:p>
      <w:pPr>
        <w:pStyle w:val="2"/>
        <w:adjustRightInd w:val="0"/>
        <w:snapToGrid w:val="0"/>
        <w:spacing w:before="0" w:line="520" w:lineRule="exact"/>
        <w:jc w:val="left"/>
        <w:rPr>
          <w:rFonts w:hint="eastAsia" w:ascii="Arial" w:hAnsi="Arial" w:cs="Arial"/>
        </w:rPr>
      </w:pPr>
      <w:r>
        <w:rPr>
          <w:rFonts w:hint="eastAsia" w:ascii="黑体" w:hAnsi="黑体" w:eastAsia="黑体"/>
        </w:rPr>
        <w:t>第三部分名词解释</w:t>
      </w:r>
      <w:r>
        <w:rPr>
          <w:rFonts w:ascii="Arial" w:hAnsi="Arial" w:cs="Arial"/>
        </w:rPr>
        <w:t>…………………………………………………</w:t>
      </w:r>
      <w:r>
        <w:rPr>
          <w:rFonts w:hint="eastAsia" w:ascii="Arial" w:hAnsi="Arial" w:cs="Arial"/>
        </w:rPr>
        <w:t>16</w:t>
      </w:r>
    </w:p>
    <w:p>
      <w:pPr>
        <w:pStyle w:val="2"/>
        <w:adjustRightInd w:val="0"/>
        <w:snapToGrid w:val="0"/>
        <w:spacing w:before="0" w:line="520" w:lineRule="exact"/>
        <w:jc w:val="left"/>
        <w:rPr>
          <w:rFonts w:ascii="黑体" w:hAnsi="黑体"/>
        </w:rPr>
      </w:pPr>
      <w:r>
        <w:rPr>
          <w:rFonts w:hint="eastAsia" w:ascii="黑体" w:hAnsi="黑体" w:eastAsia="黑体"/>
        </w:rPr>
        <w:t>第四部分附件</w:t>
      </w:r>
      <w:r>
        <w:rPr>
          <w:rFonts w:ascii="Arial" w:hAnsi="Arial" w:cs="Arial"/>
        </w:rPr>
        <w:t>………………………………………………………</w:t>
      </w:r>
      <w:r>
        <w:rPr>
          <w:rFonts w:hint="eastAsia" w:ascii="Arial" w:hAnsi="Arial" w:cs="Arial"/>
        </w:rPr>
        <w:t>18</w:t>
      </w:r>
    </w:p>
    <w:p>
      <w:pPr>
        <w:pStyle w:val="2"/>
        <w:adjustRightInd w:val="0"/>
        <w:snapToGrid w:val="0"/>
        <w:spacing w:before="0" w:line="520" w:lineRule="exact"/>
        <w:jc w:val="left"/>
        <w:rPr>
          <w:rFonts w:ascii="黑体" w:hAnsi="黑体"/>
        </w:rPr>
      </w:pPr>
      <w:r>
        <w:rPr>
          <w:rFonts w:hint="eastAsia" w:ascii="黑体" w:hAnsi="黑体" w:eastAsia="黑体"/>
        </w:rPr>
        <w:t>第五部分附表</w:t>
      </w:r>
      <w:r>
        <w:rPr>
          <w:rFonts w:ascii="Arial" w:hAnsi="Arial" w:cs="Arial"/>
        </w:rPr>
        <w:t>………………………………………………………</w:t>
      </w:r>
      <w:r>
        <w:rPr>
          <w:rFonts w:hint="eastAsia" w:ascii="Arial" w:hAnsi="Arial" w:cs="Arial"/>
        </w:rPr>
        <w:t>22</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一、</w:t>
      </w:r>
      <w:r>
        <w:rPr>
          <w:rFonts w:hint="eastAsia"/>
          <w:sz w:val="28"/>
          <w:szCs w:val="28"/>
        </w:rPr>
        <w:t>收入支出决算总表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二、</w:t>
      </w:r>
      <w:r>
        <w:rPr>
          <w:rFonts w:hint="eastAsia"/>
          <w:sz w:val="28"/>
          <w:szCs w:val="28"/>
        </w:rPr>
        <w:t>收入</w:t>
      </w:r>
      <w:r>
        <w:rPr>
          <w:rFonts w:hint="eastAsia" w:ascii="仿宋" w:hAnsi="仿宋" w:eastAsia="仿宋"/>
          <w:sz w:val="28"/>
          <w:szCs w:val="28"/>
        </w:rPr>
        <w:t>决算</w:t>
      </w:r>
      <w:r>
        <w:rPr>
          <w:rFonts w:hint="eastAsia"/>
          <w:sz w:val="28"/>
          <w:szCs w:val="28"/>
        </w:rPr>
        <w:t>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三、</w:t>
      </w:r>
      <w:r>
        <w:rPr>
          <w:rFonts w:hint="eastAsia"/>
          <w:sz w:val="28"/>
          <w:szCs w:val="28"/>
        </w:rPr>
        <w:t>支出</w:t>
      </w:r>
      <w:r>
        <w:rPr>
          <w:rFonts w:hint="eastAsia" w:ascii="仿宋" w:hAnsi="仿宋" w:eastAsia="仿宋"/>
          <w:sz w:val="28"/>
          <w:szCs w:val="28"/>
        </w:rPr>
        <w:t>决算</w:t>
      </w:r>
      <w:r>
        <w:rPr>
          <w:rFonts w:hint="eastAsia"/>
          <w:sz w:val="28"/>
          <w:szCs w:val="28"/>
        </w:rPr>
        <w:t>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四、</w:t>
      </w:r>
      <w:r>
        <w:rPr>
          <w:rFonts w:hint="eastAsia"/>
          <w:sz w:val="28"/>
          <w:szCs w:val="28"/>
        </w:rPr>
        <w:t>财政拨款收入支出决算总表</w:t>
      </w:r>
    </w:p>
    <w:p>
      <w:pPr>
        <w:pStyle w:val="11"/>
        <w:adjustRightInd w:val="0"/>
        <w:snapToGrid w:val="0"/>
        <w:spacing w:line="520" w:lineRule="exact"/>
        <w:jc w:val="left"/>
        <w:rPr>
          <w:sz w:val="28"/>
          <w:szCs w:val="28"/>
        </w:rPr>
      </w:pPr>
      <w:r>
        <w:rPr>
          <w:rFonts w:hint="eastAsia" w:ascii="仿宋" w:hAnsi="仿宋" w:eastAsia="仿宋"/>
          <w:sz w:val="28"/>
          <w:szCs w:val="28"/>
        </w:rPr>
        <w:t>五、</w:t>
      </w:r>
      <w:r>
        <w:rPr>
          <w:rFonts w:hint="eastAsia"/>
          <w:sz w:val="28"/>
          <w:szCs w:val="28"/>
        </w:rPr>
        <w:t>财政拨款支出决算明细表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六、</w:t>
      </w:r>
      <w:r>
        <w:rPr>
          <w:rFonts w:hint="eastAsia"/>
          <w:sz w:val="28"/>
          <w:szCs w:val="28"/>
        </w:rPr>
        <w:t>一般公共预算财政拨款支出决算表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七、</w:t>
      </w:r>
      <w:r>
        <w:rPr>
          <w:rFonts w:hint="eastAsia"/>
          <w:sz w:val="28"/>
          <w:szCs w:val="28"/>
        </w:rPr>
        <w:t>一般公共预算财政拨款支出决算明细表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八、</w:t>
      </w:r>
      <w:r>
        <w:rPr>
          <w:rFonts w:hint="eastAsia"/>
          <w:sz w:val="28"/>
          <w:szCs w:val="28"/>
        </w:rPr>
        <w:t>一般公共预算财政拨款基本支出决算表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九、</w:t>
      </w:r>
      <w:r>
        <w:rPr>
          <w:rFonts w:hint="eastAsia"/>
          <w:sz w:val="28"/>
          <w:szCs w:val="28"/>
        </w:rPr>
        <w:t>一般公共预算财政拨款项目支出决算表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十、</w:t>
      </w:r>
      <w:r>
        <w:rPr>
          <w:rFonts w:hint="eastAsia"/>
          <w:sz w:val="28"/>
          <w:szCs w:val="28"/>
        </w:rPr>
        <w:t>一般公共预算财政拨款“三公”经费支出决算表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十一、</w:t>
      </w:r>
      <w:r>
        <w:rPr>
          <w:rFonts w:hint="eastAsia"/>
          <w:sz w:val="28"/>
          <w:szCs w:val="28"/>
        </w:rPr>
        <w:t>政府性基金预算财政拨款收入支出决算表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十二、</w:t>
      </w:r>
      <w:r>
        <w:rPr>
          <w:rFonts w:hint="eastAsia"/>
          <w:sz w:val="28"/>
          <w:szCs w:val="28"/>
        </w:rPr>
        <w:t>政府性基金预算财政拨款“三公”经费支出决算表</w:t>
      </w:r>
    </w:p>
    <w:p>
      <w:pPr>
        <w:pStyle w:val="11"/>
        <w:adjustRightInd w:val="0"/>
        <w:snapToGrid w:val="0"/>
        <w:spacing w:line="520" w:lineRule="exact"/>
        <w:jc w:val="left"/>
        <w:rPr>
          <w:rFonts w:hint="eastAsia"/>
          <w:sz w:val="28"/>
          <w:szCs w:val="28"/>
        </w:rPr>
      </w:pPr>
      <w:r>
        <w:rPr>
          <w:rFonts w:hint="eastAsia" w:ascii="仿宋" w:hAnsi="仿宋" w:eastAsia="仿宋"/>
          <w:sz w:val="28"/>
          <w:szCs w:val="28"/>
        </w:rPr>
        <w:t>十三、</w:t>
      </w:r>
      <w:r>
        <w:rPr>
          <w:rFonts w:hint="eastAsia"/>
          <w:sz w:val="28"/>
          <w:szCs w:val="28"/>
        </w:rPr>
        <w:t>国有资本经营预算</w:t>
      </w:r>
      <w:r>
        <w:rPr>
          <w:rFonts w:hint="eastAsia"/>
          <w:sz w:val="28"/>
          <w:szCs w:val="28"/>
          <w:lang w:eastAsia="zh-CN"/>
        </w:rPr>
        <w:t>财政拨款收入</w:t>
      </w:r>
      <w:r>
        <w:rPr>
          <w:rFonts w:hint="eastAsia"/>
          <w:sz w:val="28"/>
          <w:szCs w:val="28"/>
        </w:rPr>
        <w:t>支出决算表</w:t>
      </w:r>
    </w:p>
    <w:p>
      <w:pPr>
        <w:pStyle w:val="11"/>
        <w:adjustRightInd w:val="0"/>
        <w:snapToGrid w:val="0"/>
        <w:spacing w:line="520" w:lineRule="exact"/>
        <w:ind w:left="0" w:leftChars="0" w:firstLine="0" w:firstLineChars="0"/>
        <w:jc w:val="left"/>
        <w:rPr>
          <w:rFonts w:ascii="仿宋" w:hAnsi="仿宋" w:eastAsia="仿宋"/>
          <w:bCs/>
          <w:kern w:val="44"/>
          <w:sz w:val="28"/>
          <w:szCs w:val="28"/>
        </w:rPr>
      </w:pPr>
      <w:bookmarkStart w:id="12" w:name="_Toc15377196"/>
      <w:bookmarkStart w:id="13" w:name="_Toc15396599"/>
      <w:r>
        <w:rPr>
          <w:rFonts w:hint="eastAsia" w:ascii="仿宋" w:hAnsi="仿宋" w:eastAsia="仿宋"/>
          <w:sz w:val="28"/>
          <w:szCs w:val="28"/>
          <w:lang w:val="en-US" w:eastAsia="zh-CN"/>
        </w:rPr>
        <w:t xml:space="preserve">   </w:t>
      </w:r>
      <w:r>
        <w:rPr>
          <w:rFonts w:hint="eastAsia" w:ascii="仿宋" w:hAnsi="仿宋" w:eastAsia="仿宋"/>
          <w:sz w:val="28"/>
          <w:szCs w:val="28"/>
        </w:rPr>
        <w:t>十</w:t>
      </w:r>
      <w:r>
        <w:rPr>
          <w:rFonts w:hint="eastAsia" w:ascii="仿宋" w:hAnsi="仿宋" w:eastAsia="仿宋"/>
          <w:sz w:val="28"/>
          <w:szCs w:val="28"/>
          <w:lang w:eastAsia="zh-CN"/>
        </w:rPr>
        <w:t>四</w:t>
      </w:r>
      <w:r>
        <w:rPr>
          <w:rFonts w:hint="eastAsia" w:ascii="仿宋" w:hAnsi="仿宋" w:eastAsia="仿宋"/>
          <w:sz w:val="28"/>
          <w:szCs w:val="28"/>
        </w:rPr>
        <w:t>、</w:t>
      </w:r>
      <w:r>
        <w:rPr>
          <w:rFonts w:hint="eastAsia"/>
          <w:sz w:val="28"/>
          <w:szCs w:val="28"/>
        </w:rPr>
        <w:t>国有资本经营预算支出决算表</w:t>
      </w:r>
      <w:r>
        <w:rPr>
          <w:rFonts w:ascii="仿宋" w:hAnsi="仿宋" w:eastAsia="仿宋"/>
          <w:b/>
          <w:sz w:val="28"/>
          <w:szCs w:val="28"/>
        </w:rPr>
        <w:br w:type="page"/>
      </w: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bookmarkEnd w:id="16"/>
    <w:bookmarkEnd w:id="17"/>
    <w:p>
      <w:pPr>
        <w:adjustRightInd w:val="0"/>
        <w:snapToGrid w:val="0"/>
        <w:spacing w:line="579" w:lineRule="exact"/>
        <w:ind w:firstLine="640" w:firstLineChars="200"/>
        <w:rPr>
          <w:rFonts w:ascii="仿宋" w:hAnsi="仿宋" w:eastAsia="仿宋"/>
          <w:bCs/>
          <w:snapToGrid w:val="0"/>
          <w:color w:val="000000"/>
          <w:kern w:val="0"/>
          <w:sz w:val="32"/>
          <w:szCs w:val="32"/>
        </w:rPr>
      </w:pPr>
      <w:bookmarkStart w:id="18" w:name="_Toc15377199"/>
      <w:bookmarkStart w:id="19" w:name="_Toc15378446"/>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1</w:t>
      </w:r>
      <w:r>
        <w:rPr>
          <w:rFonts w:ascii="仿宋" w:hAnsi="仿宋" w:eastAsia="仿宋"/>
          <w:bCs/>
          <w:snapToGrid w:val="0"/>
          <w:color w:val="000000"/>
          <w:kern w:val="0"/>
          <w:sz w:val="32"/>
          <w:szCs w:val="32"/>
        </w:rPr>
        <w:t>）组织起草医疗保险、生育保险、医疗救助等医疗保障的地方性法规、规章草案，拟订本县医疗保障事业发展规划、政策和标准，并组织实施和监督检查。</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2</w:t>
      </w:r>
      <w:r>
        <w:rPr>
          <w:rFonts w:ascii="仿宋" w:hAnsi="仿宋" w:eastAsia="仿宋"/>
          <w:bCs/>
          <w:snapToGrid w:val="0"/>
          <w:color w:val="000000"/>
          <w:kern w:val="0"/>
          <w:sz w:val="32"/>
          <w:szCs w:val="32"/>
        </w:rPr>
        <w:t>）组织拟订并实施医疗保障基金监督管理制度</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实施医疗保障基金审批管理</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建立健全医疗保障基金安全防控机制，监督强化全县医疗保障基金运行管理。</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3</w:t>
      </w:r>
      <w:r>
        <w:rPr>
          <w:rFonts w:ascii="仿宋" w:hAnsi="仿宋" w:eastAsia="仿宋"/>
          <w:bCs/>
          <w:snapToGrid w:val="0"/>
          <w:color w:val="000000"/>
          <w:kern w:val="0"/>
          <w:sz w:val="32"/>
          <w:szCs w:val="32"/>
        </w:rPr>
        <w:t>）组织拟订并实施医疗保障筹资和待遇政策，统筹城乡医疗保障待遇标准，建立健全并完善与筹资水平相适应的待遇动态调整机制</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负责全县离休干部等特殊人群医疗保障</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组织拟订并实施长期护理保险制度改革方案。</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4</w:t>
      </w:r>
      <w:r>
        <w:rPr>
          <w:rFonts w:ascii="仿宋" w:hAnsi="仿宋" w:eastAsia="仿宋"/>
          <w:bCs/>
          <w:snapToGrid w:val="0"/>
          <w:color w:val="000000"/>
          <w:kern w:val="0"/>
          <w:sz w:val="32"/>
          <w:szCs w:val="32"/>
        </w:rPr>
        <w:t>）按照全省、全市医疗保障目录，对城乡统一的医疗服务项目、医疗服务设施等组织拟订全县支付标准，建立动态调整机制并组织实施。</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5</w:t>
      </w:r>
      <w:r>
        <w:rPr>
          <w:rFonts w:ascii="仿宋" w:hAnsi="仿宋" w:eastAsia="仿宋"/>
          <w:bCs/>
          <w:snapToGrid w:val="0"/>
          <w:color w:val="000000"/>
          <w:kern w:val="0"/>
          <w:sz w:val="32"/>
          <w:szCs w:val="32"/>
        </w:rPr>
        <w:t>）组织拟订医疗服务项目、</w:t>
      </w:r>
      <w:r>
        <w:rPr>
          <w:rFonts w:hint="eastAsia" w:ascii="仿宋" w:hAnsi="仿宋" w:eastAsia="仿宋"/>
          <w:bCs/>
          <w:snapToGrid w:val="0"/>
          <w:color w:val="000000"/>
          <w:kern w:val="0"/>
          <w:sz w:val="32"/>
          <w:szCs w:val="32"/>
        </w:rPr>
        <w:t>医药</w:t>
      </w:r>
      <w:r>
        <w:rPr>
          <w:rFonts w:ascii="仿宋" w:hAnsi="仿宋" w:eastAsia="仿宋"/>
          <w:bCs/>
          <w:snapToGrid w:val="0"/>
          <w:color w:val="000000"/>
          <w:kern w:val="0"/>
          <w:sz w:val="32"/>
          <w:szCs w:val="32"/>
        </w:rPr>
        <w:t>服务设施收费等政策，建立医保支付医疗服务价格合理确定和动态调整机制，推动建立市场主导的社会医疗服务价格形成机制，建立价格信息监测和信息发布制度。</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6</w:t>
      </w:r>
      <w:r>
        <w:rPr>
          <w:rFonts w:ascii="仿宋" w:hAnsi="仿宋" w:eastAsia="仿宋"/>
          <w:bCs/>
          <w:snapToGrid w:val="0"/>
          <w:color w:val="000000"/>
          <w:kern w:val="0"/>
          <w:sz w:val="32"/>
          <w:szCs w:val="32"/>
        </w:rPr>
        <w:t>）负责国家和省、市药品、医用耗材招标采购政策的监督实施工作。</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7</w:t>
      </w:r>
      <w:r>
        <w:rPr>
          <w:rFonts w:ascii="仿宋" w:hAnsi="仿宋" w:eastAsia="仿宋"/>
          <w:bCs/>
          <w:snapToGrid w:val="0"/>
          <w:color w:val="000000"/>
          <w:kern w:val="0"/>
          <w:sz w:val="32"/>
          <w:szCs w:val="32"/>
        </w:rPr>
        <w:t>）推进医疗保障基金支付方式改革，拟订全县定点医药机构协议和支付管理办法并组织实施，</w:t>
      </w:r>
      <w:r>
        <w:rPr>
          <w:rFonts w:hint="eastAsia" w:ascii="仿宋" w:hAnsi="仿宋" w:eastAsia="仿宋"/>
          <w:bCs/>
          <w:snapToGrid w:val="0"/>
          <w:color w:val="000000"/>
          <w:kern w:val="0"/>
          <w:sz w:val="32"/>
          <w:szCs w:val="32"/>
        </w:rPr>
        <w:t>负责</w:t>
      </w:r>
      <w:r>
        <w:rPr>
          <w:rFonts w:ascii="仿宋" w:hAnsi="仿宋" w:eastAsia="仿宋"/>
          <w:bCs/>
          <w:snapToGrid w:val="0"/>
          <w:color w:val="000000"/>
          <w:kern w:val="0"/>
          <w:sz w:val="32"/>
          <w:szCs w:val="32"/>
        </w:rPr>
        <w:t>全县医疗保障定点机构管理</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建立健全医疗保障信用评价体系和信息披露制度，监督管理纳入医疗保障范围内的医疗服务行为和医疗费用，依法查处医疗保障领域违法违规行为。</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8</w:t>
      </w:r>
      <w:r>
        <w:rPr>
          <w:rFonts w:ascii="仿宋" w:hAnsi="仿宋" w:eastAsia="仿宋"/>
          <w:bCs/>
          <w:snapToGrid w:val="0"/>
          <w:color w:val="000000"/>
          <w:kern w:val="0"/>
          <w:sz w:val="32"/>
          <w:szCs w:val="32"/>
        </w:rPr>
        <w:t>）负责全县医疗保障经办管理和公共服务体系建设</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组织拟订和完善异地就医管理等政策</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建立健全医疗保障关系转移接续制度</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监督管理全县医保经办服务工作</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开展医疗保障领域对外合作交流。</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9</w:t>
      </w:r>
      <w:r>
        <w:rPr>
          <w:rFonts w:ascii="仿宋" w:hAnsi="仿宋" w:eastAsia="仿宋"/>
          <w:bCs/>
          <w:snapToGrid w:val="0"/>
          <w:color w:val="000000"/>
          <w:kern w:val="0"/>
          <w:sz w:val="32"/>
          <w:szCs w:val="32"/>
        </w:rPr>
        <w:t>）负责规划实施全县医疗保障信息化系统建设</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组织开展医疗保障大数据管理和应用。</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10</w:t>
      </w:r>
      <w:r>
        <w:rPr>
          <w:rFonts w:ascii="仿宋" w:hAnsi="仿宋" w:eastAsia="仿宋"/>
          <w:bCs/>
          <w:snapToGrid w:val="0"/>
          <w:color w:val="000000"/>
          <w:kern w:val="0"/>
          <w:sz w:val="32"/>
          <w:szCs w:val="32"/>
        </w:rPr>
        <w:t>）负责职责范围内的安全生产和职业健康、生态环境保护、便民化服务等工作。</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11</w:t>
      </w:r>
      <w:r>
        <w:rPr>
          <w:rFonts w:ascii="仿宋" w:hAnsi="仿宋" w:eastAsia="仿宋"/>
          <w:bCs/>
          <w:snapToGrid w:val="0"/>
          <w:color w:val="000000"/>
          <w:kern w:val="0"/>
          <w:sz w:val="32"/>
          <w:szCs w:val="32"/>
        </w:rPr>
        <w:t>）完成县委、县政府交办的其他任务。</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12</w:t>
      </w:r>
      <w:r>
        <w:rPr>
          <w:rFonts w:ascii="仿宋" w:hAnsi="仿宋" w:eastAsia="仿宋"/>
          <w:bCs/>
          <w:snapToGrid w:val="0"/>
          <w:color w:val="000000"/>
          <w:kern w:val="0"/>
          <w:sz w:val="32"/>
          <w:szCs w:val="32"/>
        </w:rPr>
        <w:t>）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w:t>
      </w:r>
    </w:p>
    <w:p>
      <w:pPr>
        <w:adjustRightInd w:val="0"/>
        <w:snapToGrid w:val="0"/>
        <w:spacing w:line="579" w:lineRule="exact"/>
        <w:ind w:firstLine="640" w:firstLineChars="20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13</w:t>
      </w:r>
      <w:r>
        <w:rPr>
          <w:rFonts w:ascii="仿宋" w:hAnsi="仿宋" w:eastAsia="仿宋"/>
          <w:bCs/>
          <w:snapToGrid w:val="0"/>
          <w:color w:val="000000"/>
          <w:kern w:val="0"/>
          <w:sz w:val="32"/>
          <w:szCs w:val="32"/>
        </w:rPr>
        <w:t>）有关职责分工。县卫生健康局、县医疗保障局等部门在医疗、医保、医药等方面加强制度、政策衔接，建立沟通协商机制，协同推进改革，提高医疗资源使用效率和医疗保障水平。</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年重点工作完成情况。</w:t>
      </w:r>
      <w:bookmarkEnd w:id="18"/>
      <w:bookmarkEnd w:id="19"/>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val="0"/>
          <w:snapToGrid w:val="0"/>
          <w:color w:val="000000"/>
          <w:spacing w:val="0"/>
          <w:kern w:val="0"/>
          <w:sz w:val="32"/>
          <w:szCs w:val="32"/>
          <w:lang w:val="en-US" w:eastAsia="zh-CN"/>
        </w:rPr>
      </w:pPr>
      <w:r>
        <w:rPr>
          <w:rFonts w:hint="eastAsia" w:ascii="仿宋_GB2312" w:hAnsi="仿宋_GB2312" w:eastAsia="仿宋_GB2312" w:cs="仿宋_GB2312"/>
          <w:b w:val="0"/>
          <w:bCs w:val="0"/>
          <w:snapToGrid w:val="0"/>
          <w:color w:val="000000"/>
          <w:spacing w:val="0"/>
          <w:kern w:val="0"/>
          <w:sz w:val="32"/>
          <w:szCs w:val="32"/>
          <w:lang w:val="en-US" w:eastAsia="zh-CN"/>
        </w:rPr>
        <w:t>（1）医疗保障助力抗疫斗争。一是充分发挥医保救治作用。向县人民医院、县中医院等5家县级医疗机构分别预拨基金50万元，确保其不因医保总额预算管理规定影响救治。及时联网结算支付县内17人次确诊和疑似患者住院费报销金32818.83元，确保患者不因费用问题得不到及时救治。二是创新方式优化管理与服务。分散走访定点药店200余家，现场与尚营业的95家药店签订“相关商品不会在医保局进销存备案售价上加价”承诺书，稳定疫情期医药价格。开通“电话办”“邮箱办”“网上办”等非接触式业务办理方式，实行分段分位式上班，为1400余人次群众办理了医保业务。三是减税降费助力企业复工复产。对我县201家中小微企业2-6月职工医疗保险缴费实行减半征收，对缴费的188家企业减征483.23万元（预测2-6月全县减征医保费580万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val="0"/>
          <w:snapToGrid w:val="0"/>
          <w:color w:val="000000"/>
          <w:spacing w:val="0"/>
          <w:kern w:val="0"/>
          <w:sz w:val="32"/>
          <w:szCs w:val="32"/>
          <w:lang w:val="en-US" w:eastAsia="zh-CN"/>
        </w:rPr>
      </w:pPr>
      <w:r>
        <w:rPr>
          <w:rFonts w:hint="eastAsia" w:ascii="仿宋_GB2312" w:hAnsi="仿宋_GB2312" w:eastAsia="仿宋_GB2312" w:cs="仿宋_GB2312"/>
          <w:b w:val="0"/>
          <w:bCs w:val="0"/>
          <w:snapToGrid w:val="0"/>
          <w:color w:val="000000"/>
          <w:spacing w:val="0"/>
          <w:kern w:val="0"/>
          <w:sz w:val="32"/>
          <w:szCs w:val="32"/>
          <w:lang w:val="en-US" w:eastAsia="zh-CN"/>
        </w:rPr>
        <w:t>（2）反复动员推动全民参保。一是两次延长2020年居民参保时间。因医保系统升级、新冠疫情影响等原因，先将2020年参保时间延长至3月底，又将其延长至5月底，实现104.1万人参加居民医保，参保率达101.7%。二是稽核督导机关事业单位按月足额缴纳职工医保。采取全覆盖自查与抽查稽核相结合的方式，督导全县700余家参保机关事业单位按规缴费，保障全县4.5万人职工医保待遇享受。三是提前推动2021年城乡居民医保参保工作。9月1日正式启动2021年城乡居民参保工作，采取制作电视专栏1期、张贴通告717份、发放宣传资料18万余份、悬挂标语222幅、“宣汉医保”微信公众号适时推送专题资讯等方式，截止12月底，动员引导102.8万余群众自主成功缴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val="0"/>
          <w:snapToGrid w:val="0"/>
          <w:color w:val="000000"/>
          <w:spacing w:val="0"/>
          <w:kern w:val="0"/>
          <w:sz w:val="32"/>
          <w:szCs w:val="32"/>
          <w:lang w:val="en-US" w:eastAsia="zh-CN"/>
        </w:rPr>
      </w:pPr>
      <w:r>
        <w:rPr>
          <w:rFonts w:hint="eastAsia" w:ascii="仿宋_GB2312" w:hAnsi="仿宋_GB2312" w:eastAsia="仿宋_GB2312" w:cs="仿宋_GB2312"/>
          <w:b w:val="0"/>
          <w:bCs w:val="0"/>
          <w:snapToGrid w:val="0"/>
          <w:color w:val="000000"/>
          <w:spacing w:val="0"/>
          <w:kern w:val="0"/>
          <w:sz w:val="32"/>
          <w:szCs w:val="32"/>
          <w:lang w:val="en-US" w:eastAsia="zh-CN"/>
        </w:rPr>
        <w:t>（三）管服并重保障基金安全。一是守好收支“两条线”，确保“略有结余”。通过职工医保缴费、居民医保征收、申请划拨居民医保政府补助资金等渠道，保证基金收入。对有住院资质的86家医疗机构实行总额控制，与450家医药机构签订“医保服务协议”，有效控制医疗费用过快增长势头，管好基金支出。二是管好行业“关键点”，确保“安全运行”。强化全局21名执法资格人员管理，规范日常执法行为，实现了450家定点医药机构全覆盖检查。采取实地走访与逻辑分析相结合、针对性检查与信访举报相结合的方式，调查外伤医疗费用1769例，经核实不属医保基金支付范围161例。强力实施医保系统“一查二纠”专项治理、重点行业领域突出问题医保系统治理、打击医疗机构“内外勾结”欺诈骗保专项治理等行动，借助宣汉融媒体、“宣汉医保”微信公众号、广场显示屏等载体实时推送打击欺诈骗保相关新闻，利用医保经办窗口、定点医药机构电子显示屏及电视新闻频道滚动播放打击欺诈骗保标语，营造了浓厚的社会共治氛围，有效维护了基金安全，被达州市医保局表彰为2020年度医保基金管理工作先进单位。三是当好医保“服务员”，确保“应享尽享”。指导全县59家公立医疗机构落实3个批次113个药品品种国家集中带量采购和使用工作，有效控制药价虚高。设置“综合柜员”窗口，清除“无谓证明”，简化报销流程，将原交件到报销费用上卡60个工作日缩短为15个工作日限时办结，办理外地就医报销13455人次。大力推广“四川医保”APP，主动开通“宣汉医保”微信公众号，用“互联网+医保”实现宣汉县参保群众异地就医备案“掌上办”，保障群众无论在哪里都能享受到政策福利。</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val="0"/>
          <w:snapToGrid w:val="0"/>
          <w:color w:val="000000"/>
          <w:spacing w:val="0"/>
          <w:kern w:val="0"/>
          <w:sz w:val="32"/>
          <w:szCs w:val="32"/>
          <w:lang w:val="en-US" w:eastAsia="zh-CN"/>
        </w:rPr>
      </w:pPr>
      <w:r>
        <w:rPr>
          <w:rFonts w:hint="eastAsia" w:ascii="仿宋_GB2312" w:hAnsi="仿宋_GB2312" w:eastAsia="仿宋_GB2312" w:cs="仿宋_GB2312"/>
          <w:b w:val="0"/>
          <w:bCs w:val="0"/>
          <w:snapToGrid w:val="0"/>
          <w:color w:val="000000"/>
          <w:spacing w:val="0"/>
          <w:kern w:val="0"/>
          <w:sz w:val="32"/>
          <w:szCs w:val="32"/>
          <w:lang w:val="en-US" w:eastAsia="zh-CN"/>
        </w:rPr>
        <w:t>（四）精准到人落实医保扶贫。高质落实贫困人口100%参保、建档立卡贫困人口县域内住院和慢性病门诊维持治疗政策范围内费用个人支出占比控制在10%以内和大病保险、医疗救助等医疗保障扶贫政策。一是全员参保无误。每周与县扶贫开发局对比扶贫子系统数据库信息，动态完善系统中贫困人口标识，落实贫困人口参保信息动态调整，20.6万余名贫困人口100%参保，财政全额代缴20.6万余人居民医保个人缴费5150万余元。对342名2020年动态新增贫困人口进行了退费并重新参保代缴处理。二是“绿色通道”畅通。通过大数据比对2018年以来贫困户住院信息，简化流程，为10237位符合条件的贫困户办理“特殊门诊卡”，借由乡镇直接送卡到贫困患者手中。为38917名不符合办理高血压、糖尿病“特殊门诊卡”的贫困患者办理“两病”门诊用药保障。主动从医保系统中导出贫困人口县域外住院数据，直接通过“一卡通”为符合救助的5000余人次贫困户发放到救助金400万余元。三是待遇保障到位。督促县域内定点医疗机构落实贫困患者住院费用出院“一单式”结算（基本医疗保险、大病保险、医疗救助、倾斜支付）。2020年贫困人口县域内住院61752人次，政策范围内费用26393万元，报账24654万元，报账比例93%，个人负担比例７%；门诊特殊疾病就诊16611人次，政策范围内费用809万元，报账741万元，报账比例91%，个人负担比例9%。</w:t>
      </w: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p>
    <w:p>
      <w:pPr>
        <w:spacing w:line="560" w:lineRule="exact"/>
        <w:ind w:firstLine="640" w:firstLineChars="200"/>
        <w:rPr>
          <w:rFonts w:hint="eastAsia" w:ascii="仿宋_GB2312" w:hAnsi="仿宋_GB2312" w:eastAsia="仿宋_GB2312" w:cs="仿宋_GB2312"/>
          <w:sz w:val="32"/>
        </w:rPr>
      </w:pPr>
    </w:p>
    <w:p>
      <w:pPr>
        <w:pStyle w:val="4"/>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adjustRightInd w:val="0"/>
        <w:snapToGrid w:val="0"/>
        <w:spacing w:line="560" w:lineRule="exact"/>
        <w:ind w:firstLine="640" w:firstLineChars="200"/>
        <w:rPr>
          <w:rFonts w:ascii="仿宋" w:hAnsi="仿宋" w:eastAsia="仿宋"/>
          <w:sz w:val="32"/>
        </w:rPr>
      </w:pPr>
      <w:r>
        <w:rPr>
          <w:rFonts w:hint="eastAsia" w:ascii="仿宋" w:hAnsi="仿宋" w:eastAsia="仿宋"/>
          <w:sz w:val="32"/>
        </w:rPr>
        <w:t>我局单位性质属行政单位，下属事业单位1个，全年预算编制及执行均在行政单位一起。局行政编制9名，在职人员</w:t>
      </w:r>
      <w:r>
        <w:rPr>
          <w:rFonts w:hint="eastAsia" w:ascii="仿宋" w:hAnsi="仿宋" w:eastAsia="仿宋"/>
          <w:sz w:val="32"/>
          <w:lang w:val="en-US" w:eastAsia="zh-CN"/>
        </w:rPr>
        <w:t>8</w:t>
      </w:r>
      <w:r>
        <w:rPr>
          <w:rFonts w:hint="eastAsia" w:ascii="仿宋" w:hAnsi="仿宋" w:eastAsia="仿宋"/>
          <w:sz w:val="32"/>
        </w:rPr>
        <w:t>人；参照公务员法管理的事业单位1个（宣汉医疗保障服务中心），编制24名，在职人员</w:t>
      </w:r>
      <w:r>
        <w:rPr>
          <w:rFonts w:hint="eastAsia" w:ascii="仿宋" w:hAnsi="仿宋" w:eastAsia="仿宋"/>
          <w:sz w:val="32"/>
          <w:lang w:val="en-US" w:eastAsia="zh-CN"/>
        </w:rPr>
        <w:t>25</w:t>
      </w:r>
      <w:r>
        <w:rPr>
          <w:rFonts w:hint="eastAsia" w:ascii="仿宋" w:hAnsi="仿宋" w:eastAsia="仿宋"/>
          <w:sz w:val="32"/>
        </w:rPr>
        <w:t>人；我局现有退休人员3名。</w:t>
      </w:r>
    </w:p>
    <w:p>
      <w:pPr>
        <w:pStyle w:val="6"/>
        <w:adjustRightInd w:val="0"/>
        <w:snapToGrid w:val="0"/>
        <w:spacing w:before="93" w:line="600" w:lineRule="exact"/>
        <w:ind w:left="672"/>
        <w:outlineLvl w:val="2"/>
        <w:rPr>
          <w:rFonts w:hAnsi="仿宋_GB2312"/>
          <w:sz w:val="32"/>
        </w:rPr>
      </w:pPr>
    </w:p>
    <w:p>
      <w:pPr>
        <w:pStyle w:val="6"/>
        <w:adjustRightInd w:val="0"/>
        <w:snapToGrid w:val="0"/>
        <w:spacing w:before="93" w:line="600" w:lineRule="exact"/>
        <w:ind w:left="672"/>
        <w:outlineLvl w:val="2"/>
        <w:rPr>
          <w:rFonts w:hAnsi="仿宋_GB2312"/>
          <w:sz w:val="32"/>
        </w:rPr>
      </w:pPr>
    </w:p>
    <w:p>
      <w:pPr>
        <w:pStyle w:val="6"/>
        <w:adjustRightInd w:val="0"/>
        <w:snapToGrid w:val="0"/>
        <w:spacing w:before="93" w:line="600" w:lineRule="exact"/>
        <w:ind w:left="672"/>
        <w:outlineLvl w:val="2"/>
        <w:rPr>
          <w:rFonts w:hAnsi="仿宋_GB2312"/>
          <w:sz w:val="32"/>
        </w:rPr>
      </w:pPr>
    </w:p>
    <w:p>
      <w:pPr>
        <w:pStyle w:val="3"/>
        <w:ind w:right="440"/>
        <w:jc w:val="right"/>
        <w:rPr>
          <w:rFonts w:ascii="黑体" w:hAnsi="黑体" w:eastAsia="黑体"/>
          <w:b w:val="0"/>
          <w:color w:val="000000"/>
        </w:rPr>
      </w:pPr>
      <w:bookmarkStart w:id="22" w:name="_Toc15396602"/>
      <w:bookmarkStart w:id="23" w:name="_Toc15377204"/>
    </w:p>
    <w:p>
      <w:pPr>
        <w:pStyle w:val="3"/>
        <w:ind w:right="1320"/>
        <w:rPr>
          <w:rFonts w:ascii="黑体" w:hAnsi="黑体" w:eastAsia="黑体"/>
          <w:b w:val="0"/>
          <w:color w:val="000000"/>
        </w:rPr>
      </w:pPr>
    </w:p>
    <w:p/>
    <w:p>
      <w:pPr>
        <w:pStyle w:val="3"/>
        <w:ind w:right="440"/>
        <w:jc w:val="right"/>
        <w:rPr>
          <w:b w:val="0"/>
          <w:bCs w:val="0"/>
          <w:kern w:val="2"/>
          <w:sz w:val="21"/>
          <w:szCs w:val="24"/>
        </w:rPr>
      </w:pPr>
    </w:p>
    <w:p/>
    <w:p>
      <w:pPr>
        <w:pStyle w:val="3"/>
        <w:ind w:right="440"/>
        <w:jc w:val="right"/>
        <w:rPr>
          <w:rFonts w:hint="eastAsia" w:ascii="黑体" w:hAnsi="黑体" w:eastAsia="黑体"/>
          <w:b w:val="0"/>
          <w:color w:val="000000"/>
        </w:rPr>
      </w:pPr>
    </w:p>
    <w:p>
      <w:pPr>
        <w:pStyle w:val="3"/>
        <w:ind w:right="440"/>
        <w:jc w:val="right"/>
        <w:rPr>
          <w:rFonts w:ascii="黑体" w:hAnsi="黑体" w:eastAsia="黑体"/>
          <w:b w:val="0"/>
          <w:bCs w:val="0"/>
        </w:rPr>
      </w:pPr>
      <w:r>
        <w:rPr>
          <w:rFonts w:hint="eastAsia" w:ascii="黑体" w:hAnsi="黑体" w:eastAsia="黑体"/>
          <w:b w:val="0"/>
          <w:color w:val="000000"/>
        </w:rPr>
        <w:t>第二部分</w:t>
      </w:r>
      <w:r>
        <w:rPr>
          <w:rStyle w:val="24"/>
          <w:rFonts w:hint="eastAsia" w:ascii="黑体" w:hAnsi="黑体" w:eastAsia="黑体"/>
          <w:b w:val="0"/>
          <w:bCs w:val="0"/>
        </w:rPr>
        <w:t>20</w:t>
      </w:r>
      <w:r>
        <w:rPr>
          <w:rStyle w:val="24"/>
          <w:rFonts w:hint="eastAsia" w:ascii="黑体" w:hAnsi="黑体" w:eastAsia="黑体"/>
          <w:b w:val="0"/>
          <w:bCs w:val="0"/>
          <w:lang w:val="en-US" w:eastAsia="zh-CN"/>
        </w:rPr>
        <w:t>20</w:t>
      </w:r>
      <w:r>
        <w:rPr>
          <w:rStyle w:val="24"/>
          <w:rFonts w:hint="eastAsia" w:ascii="黑体" w:hAnsi="黑体" w:eastAsia="黑体"/>
          <w:b w:val="0"/>
          <w:bCs w:val="0"/>
        </w:rPr>
        <w:t>年度部门决算情况说明</w:t>
      </w:r>
      <w:bookmarkEnd w:id="22"/>
      <w:bookmarkEnd w:id="23"/>
    </w:p>
    <w:p>
      <w:pPr>
        <w:pStyle w:val="23"/>
        <w:numPr>
          <w:ilvl w:val="0"/>
          <w:numId w:val="3"/>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520" w:lineRule="exact"/>
        <w:ind w:firstLine="640" w:firstLineChars="200"/>
        <w:rPr>
          <w:rFonts w:ascii="仿宋" w:hAnsi="仿宋" w:eastAsia="仿宋"/>
          <w:b/>
          <w:sz w:val="28"/>
          <w:szCs w:val="28"/>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848.74万元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848.75</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入减少</w:t>
      </w:r>
      <w:r>
        <w:rPr>
          <w:rFonts w:hint="eastAsia" w:ascii="仿宋" w:hAnsi="仿宋" w:eastAsia="仿宋"/>
          <w:color w:val="000000"/>
          <w:sz w:val="32"/>
          <w:szCs w:val="32"/>
          <w:lang w:val="en-US" w:eastAsia="zh-CN"/>
        </w:rPr>
        <w:t>4848.68万元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出减少</w:t>
      </w:r>
      <w:r>
        <w:rPr>
          <w:rFonts w:hint="eastAsia" w:ascii="仿宋" w:hAnsi="仿宋" w:eastAsia="仿宋"/>
          <w:color w:val="000000"/>
          <w:sz w:val="32"/>
          <w:szCs w:val="32"/>
          <w:lang w:val="en-US" w:eastAsia="zh-CN"/>
        </w:rPr>
        <w:t>4848.67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85.1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lang w:eastAsia="zh-CN"/>
        </w:rPr>
        <w:t>减少</w:t>
      </w:r>
      <w:r>
        <w:rPr>
          <w:rFonts w:hint="eastAsia" w:ascii="仿宋" w:hAnsi="仿宋" w:eastAsia="仿宋"/>
          <w:b/>
          <w:color w:val="000000"/>
          <w:sz w:val="32"/>
          <w:szCs w:val="32"/>
        </w:rPr>
        <w:t>原因</w:t>
      </w:r>
      <w:r>
        <w:rPr>
          <w:rFonts w:hint="eastAsia" w:ascii="仿宋" w:hAnsi="仿宋" w:eastAsia="仿宋"/>
          <w:b/>
          <w:color w:val="000000"/>
          <w:sz w:val="32"/>
          <w:szCs w:val="32"/>
          <w:lang w:eastAsia="zh-CN"/>
        </w:rPr>
        <w:t>是</w:t>
      </w:r>
      <w:r>
        <w:rPr>
          <w:rFonts w:hint="eastAsia" w:ascii="仿宋" w:hAnsi="仿宋" w:eastAsia="仿宋"/>
          <w:b/>
          <w:color w:val="000000"/>
          <w:sz w:val="32"/>
          <w:szCs w:val="32"/>
          <w:lang w:val="en-US" w:eastAsia="zh-CN"/>
        </w:rPr>
        <w:t>2019年</w:t>
      </w:r>
      <w:r>
        <w:rPr>
          <w:rFonts w:hint="eastAsia" w:ascii="仿宋" w:hAnsi="仿宋" w:eastAsia="仿宋"/>
          <w:b/>
          <w:sz w:val="28"/>
          <w:szCs w:val="28"/>
        </w:rPr>
        <w:t>收支包括对贫困人口的医保代缴5021.95万元</w:t>
      </w:r>
      <w:r>
        <w:rPr>
          <w:rFonts w:hint="eastAsia" w:ascii="仿宋" w:hAnsi="仿宋" w:eastAsia="仿宋"/>
          <w:b/>
          <w:sz w:val="28"/>
          <w:szCs w:val="28"/>
          <w:lang w:eastAsia="zh-CN"/>
        </w:rPr>
        <w:t>，而</w:t>
      </w:r>
      <w:r>
        <w:rPr>
          <w:rFonts w:hint="eastAsia" w:ascii="仿宋" w:hAnsi="仿宋" w:eastAsia="仿宋"/>
          <w:b/>
          <w:sz w:val="28"/>
          <w:szCs w:val="28"/>
          <w:lang w:val="en-US" w:eastAsia="zh-CN"/>
        </w:rPr>
        <w:t>2020年未纳入部门决算支出</w:t>
      </w:r>
      <w:r>
        <w:rPr>
          <w:rFonts w:hint="eastAsia" w:ascii="仿宋" w:hAnsi="仿宋" w:eastAsia="仿宋"/>
          <w:b/>
          <w:sz w:val="28"/>
          <w:szCs w:val="28"/>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8240" behindDoc="0" locked="0" layoutInCell="1" allowOverlap="1">
            <wp:simplePos x="0" y="0"/>
            <wp:positionH relativeFrom="column">
              <wp:posOffset>53340</wp:posOffset>
            </wp:positionH>
            <wp:positionV relativeFrom="paragraph">
              <wp:posOffset>386080</wp:posOffset>
            </wp:positionV>
            <wp:extent cx="5080000" cy="2675890"/>
            <wp:effectExtent l="4445" t="4445" r="20955" b="571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jc w:val="center"/>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：收、支决算变动情况图）</w:t>
      </w:r>
    </w:p>
    <w:p>
      <w:pPr>
        <w:spacing w:line="600" w:lineRule="exact"/>
        <w:ind w:firstLine="640" w:firstLineChars="200"/>
        <w:rPr>
          <w:rFonts w:ascii="仿宋" w:hAnsi="仿宋" w:eastAsia="仿宋"/>
          <w:color w:val="000000" w:themeColor="text1"/>
          <w:sz w:val="32"/>
          <w:szCs w:val="32"/>
        </w:rPr>
      </w:pPr>
    </w:p>
    <w:p>
      <w:pPr>
        <w:pStyle w:val="23"/>
        <w:numPr>
          <w:ilvl w:val="0"/>
          <w:numId w:val="3"/>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848.74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848.74</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；无政府性基金预算财政拨款收入、</w:t>
      </w:r>
      <w:r>
        <w:rPr>
          <w:rFonts w:hint="eastAsia" w:ascii="仿宋" w:hAnsi="仿宋" w:eastAsia="仿宋"/>
          <w:color w:val="000000" w:themeColor="text1"/>
          <w:sz w:val="32"/>
          <w:szCs w:val="32"/>
        </w:rPr>
        <w:t>上级补助收入、</w:t>
      </w:r>
      <w:r>
        <w:rPr>
          <w:rFonts w:hint="eastAsia" w:ascii="仿宋" w:hAnsi="仿宋" w:eastAsia="仿宋"/>
          <w:color w:val="000000"/>
          <w:sz w:val="32"/>
          <w:szCs w:val="32"/>
        </w:rPr>
        <w:t>事业收入、经营收入、附属单位上缴收入、其他收入等。</w:t>
      </w:r>
    </w:p>
    <w:p>
      <w:pPr>
        <w:spacing w:line="600" w:lineRule="exact"/>
        <w:ind w:firstLine="640" w:firstLineChars="200"/>
        <w:outlineLvl w:val="1"/>
        <w:rPr>
          <w:rFonts w:ascii="仿宋" w:hAnsi="仿宋" w:eastAsia="仿宋"/>
          <w:color w:val="000000"/>
          <w:sz w:val="32"/>
          <w:szCs w:val="32"/>
        </w:rPr>
      </w:pPr>
    </w:p>
    <w:p>
      <w:pPr>
        <w:pStyle w:val="23"/>
        <w:numPr>
          <w:ilvl w:val="0"/>
          <w:numId w:val="3"/>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848.75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442.18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52.1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406.57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47.9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jc w:val="both"/>
        <w:outlineLvl w:val="1"/>
        <w:rPr>
          <w:rFonts w:ascii="仿宋" w:hAnsi="仿宋" w:eastAsia="仿宋"/>
          <w:color w:val="000000" w:themeColor="text1"/>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256540</wp:posOffset>
            </wp:positionH>
            <wp:positionV relativeFrom="paragraph">
              <wp:posOffset>504825</wp:posOffset>
            </wp:positionV>
            <wp:extent cx="5080000" cy="3488690"/>
            <wp:effectExtent l="4445" t="4445" r="20955" b="1206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jc w:val="center"/>
        <w:outlineLvl w:val="1"/>
        <w:rPr>
          <w:rFonts w:ascii="仿宋_GB2312" w:eastAsia="仿宋_GB2312"/>
          <w:color w:val="FF0000"/>
          <w:sz w:val="32"/>
          <w:szCs w:val="32"/>
        </w:rPr>
      </w:pPr>
      <w:r>
        <w:rPr>
          <w:rFonts w:hint="eastAsia" w:ascii="仿宋" w:hAnsi="仿宋" w:eastAsia="仿宋"/>
          <w:color w:val="000000" w:themeColor="text1"/>
          <w:sz w:val="32"/>
          <w:szCs w:val="32"/>
        </w:rPr>
        <w:t>（图3：支出决算结构图）</w:t>
      </w: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520" w:lineRule="exact"/>
        <w:ind w:firstLine="640" w:firstLineChars="200"/>
        <w:rPr>
          <w:rFonts w:ascii="仿宋" w:hAnsi="仿宋" w:eastAsia="仿宋"/>
          <w:sz w:val="28"/>
          <w:szCs w:val="28"/>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848.74万元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lang w:val="en-US" w:eastAsia="zh-CN"/>
        </w:rPr>
        <w:t>848.75</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年相比，收、支各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4848.68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85.1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lang w:eastAsia="zh-CN"/>
        </w:rPr>
        <w:t>减少</w:t>
      </w:r>
      <w:r>
        <w:rPr>
          <w:rFonts w:hint="eastAsia" w:ascii="仿宋" w:hAnsi="仿宋" w:eastAsia="仿宋"/>
          <w:b/>
          <w:color w:val="000000"/>
          <w:sz w:val="32"/>
          <w:szCs w:val="32"/>
        </w:rPr>
        <w:t>原因</w:t>
      </w:r>
      <w:r>
        <w:rPr>
          <w:rFonts w:hint="eastAsia" w:ascii="仿宋" w:hAnsi="仿宋" w:eastAsia="仿宋"/>
          <w:b/>
          <w:color w:val="000000"/>
          <w:sz w:val="32"/>
          <w:szCs w:val="32"/>
          <w:lang w:eastAsia="zh-CN"/>
        </w:rPr>
        <w:t>是</w:t>
      </w:r>
      <w:r>
        <w:rPr>
          <w:rFonts w:hint="eastAsia" w:ascii="仿宋" w:hAnsi="仿宋" w:eastAsia="仿宋"/>
          <w:b/>
          <w:color w:val="000000"/>
          <w:sz w:val="32"/>
          <w:szCs w:val="32"/>
          <w:lang w:val="en-US" w:eastAsia="zh-CN"/>
        </w:rPr>
        <w:t>2019年</w:t>
      </w:r>
      <w:r>
        <w:rPr>
          <w:rFonts w:hint="eastAsia" w:ascii="仿宋" w:hAnsi="仿宋" w:eastAsia="仿宋"/>
          <w:b/>
          <w:sz w:val="28"/>
          <w:szCs w:val="28"/>
        </w:rPr>
        <w:t>收支包括对贫困人口的医保代缴5021.95万元</w:t>
      </w:r>
      <w:r>
        <w:rPr>
          <w:rFonts w:hint="eastAsia" w:ascii="仿宋" w:hAnsi="仿宋" w:eastAsia="仿宋"/>
          <w:b/>
          <w:sz w:val="28"/>
          <w:szCs w:val="28"/>
          <w:lang w:eastAsia="zh-CN"/>
        </w:rPr>
        <w:t>，而</w:t>
      </w:r>
      <w:r>
        <w:rPr>
          <w:rFonts w:hint="eastAsia" w:ascii="仿宋" w:hAnsi="仿宋" w:eastAsia="仿宋"/>
          <w:b/>
          <w:sz w:val="28"/>
          <w:szCs w:val="28"/>
          <w:lang w:val="en-US" w:eastAsia="zh-CN"/>
        </w:rPr>
        <w:t>2020年未纳入部门决算支出</w:t>
      </w:r>
      <w:r>
        <w:rPr>
          <w:rFonts w:hint="eastAsia" w:ascii="仿宋" w:hAnsi="仿宋" w:eastAsia="仿宋"/>
          <w:b/>
          <w:sz w:val="28"/>
          <w:szCs w:val="28"/>
        </w:rPr>
        <w:t>。</w:t>
      </w:r>
    </w:p>
    <w:p>
      <w:pPr>
        <w:spacing w:line="600" w:lineRule="exact"/>
        <w:ind w:firstLine="640"/>
        <w:rPr>
          <w:rFonts w:ascii="仿宋" w:hAnsi="仿宋" w:eastAsia="仿宋"/>
          <w:color w:val="000000" w:themeColor="text1"/>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76200</wp:posOffset>
            </wp:positionH>
            <wp:positionV relativeFrom="paragraph">
              <wp:posOffset>101600</wp:posOffset>
            </wp:positionV>
            <wp:extent cx="5080000" cy="2675890"/>
            <wp:effectExtent l="4445" t="4445" r="20955" b="571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rPr>
        <w:t>（图4：财政拨款收、支决算变动情况）</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520" w:lineRule="exact"/>
        <w:ind w:firstLine="640" w:firstLineChars="200"/>
        <w:rPr>
          <w:rFonts w:ascii="仿宋" w:hAnsi="仿宋" w:eastAsia="仿宋"/>
          <w:b/>
          <w:sz w:val="28"/>
          <w:szCs w:val="28"/>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848.75</w:t>
      </w:r>
      <w:r>
        <w:rPr>
          <w:rFonts w:hint="eastAsia" w:ascii="仿宋" w:hAnsi="仿宋" w:eastAsia="仿宋"/>
          <w:color w:val="000000"/>
          <w:sz w:val="32"/>
          <w:szCs w:val="32"/>
        </w:rPr>
        <w:t>万元，占本年支出合计的100</w:t>
      </w:r>
      <w:r>
        <w:rPr>
          <w:rFonts w:ascii="仿宋" w:hAnsi="仿宋" w:eastAsia="仿宋"/>
          <w:color w:val="000000"/>
          <w:sz w:val="32"/>
          <w:szCs w:val="32"/>
        </w:rPr>
        <w:t>%</w:t>
      </w:r>
      <w:r>
        <w:rPr>
          <w:rFonts w:hint="eastAsia" w:ascii="仿宋" w:hAnsi="仿宋" w:eastAsia="仿宋"/>
          <w:color w:val="000000"/>
          <w:sz w:val="32"/>
          <w:szCs w:val="32"/>
        </w:rPr>
        <w:t>。与201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4848.67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85.1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lang w:eastAsia="zh-CN"/>
        </w:rPr>
        <w:t>减少</w:t>
      </w:r>
      <w:r>
        <w:rPr>
          <w:rFonts w:hint="eastAsia" w:ascii="仿宋" w:hAnsi="仿宋" w:eastAsia="仿宋"/>
          <w:b/>
          <w:color w:val="000000"/>
          <w:sz w:val="32"/>
          <w:szCs w:val="32"/>
        </w:rPr>
        <w:t>原因</w:t>
      </w:r>
      <w:r>
        <w:rPr>
          <w:rFonts w:hint="eastAsia" w:ascii="仿宋" w:hAnsi="仿宋" w:eastAsia="仿宋"/>
          <w:b/>
          <w:color w:val="000000"/>
          <w:sz w:val="32"/>
          <w:szCs w:val="32"/>
          <w:lang w:eastAsia="zh-CN"/>
        </w:rPr>
        <w:t>是</w:t>
      </w:r>
      <w:r>
        <w:rPr>
          <w:rFonts w:hint="eastAsia" w:ascii="仿宋" w:hAnsi="仿宋" w:eastAsia="仿宋"/>
          <w:b/>
          <w:color w:val="000000"/>
          <w:sz w:val="32"/>
          <w:szCs w:val="32"/>
          <w:lang w:val="en-US" w:eastAsia="zh-CN"/>
        </w:rPr>
        <w:t>2019年</w:t>
      </w:r>
      <w:r>
        <w:rPr>
          <w:rFonts w:hint="eastAsia" w:ascii="仿宋" w:hAnsi="仿宋" w:eastAsia="仿宋"/>
          <w:b/>
          <w:sz w:val="28"/>
          <w:szCs w:val="28"/>
        </w:rPr>
        <w:t>收支包括对贫困人口的医保代缴5021.95万元</w:t>
      </w:r>
      <w:r>
        <w:rPr>
          <w:rFonts w:hint="eastAsia" w:ascii="仿宋" w:hAnsi="仿宋" w:eastAsia="仿宋"/>
          <w:b/>
          <w:sz w:val="28"/>
          <w:szCs w:val="28"/>
          <w:lang w:eastAsia="zh-CN"/>
        </w:rPr>
        <w:t>，而</w:t>
      </w:r>
      <w:r>
        <w:rPr>
          <w:rFonts w:hint="eastAsia" w:ascii="仿宋" w:hAnsi="仿宋" w:eastAsia="仿宋"/>
          <w:b/>
          <w:sz w:val="28"/>
          <w:szCs w:val="28"/>
          <w:lang w:val="en-US" w:eastAsia="zh-CN"/>
        </w:rPr>
        <w:t>2020年未纳入部门决算支出</w:t>
      </w:r>
      <w:r>
        <w:rPr>
          <w:rFonts w:hint="eastAsia" w:ascii="仿宋" w:hAnsi="仿宋" w:eastAsia="仿宋"/>
          <w:b/>
          <w:sz w:val="28"/>
          <w:szCs w:val="28"/>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159385</wp:posOffset>
            </wp:positionH>
            <wp:positionV relativeFrom="paragraph">
              <wp:posOffset>393700</wp:posOffset>
            </wp:positionV>
            <wp:extent cx="5080000" cy="2592070"/>
            <wp:effectExtent l="4445" t="4445" r="20955" b="1333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w:t>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lang w:val="en-US" w:eastAsia="zh-CN"/>
        </w:rPr>
        <w:t>848.75</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67.78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7.98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756.01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89.08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24.96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2.94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64384" behindDoc="0" locked="0" layoutInCell="1" allowOverlap="1">
            <wp:simplePos x="0" y="0"/>
            <wp:positionH relativeFrom="column">
              <wp:posOffset>125730</wp:posOffset>
            </wp:positionH>
            <wp:positionV relativeFrom="paragraph">
              <wp:posOffset>122555</wp:posOffset>
            </wp:positionV>
            <wp:extent cx="5234940" cy="3999865"/>
            <wp:effectExtent l="4445" t="4445" r="18415" b="1524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hint="eastAsia" w:ascii="仿宋" w:hAnsi="仿宋" w:eastAsia="仿宋"/>
          <w:b/>
          <w:color w:val="000000"/>
          <w:sz w:val="32"/>
          <w:szCs w:val="32"/>
        </w:rPr>
      </w:pPr>
      <w:bookmarkStart w:id="36" w:name="_Toc15377212"/>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w:t>
      </w:r>
      <w:r>
        <w:rPr>
          <w:rFonts w:hint="eastAsia" w:ascii="仿宋" w:hAnsi="仿宋" w:eastAsia="仿宋"/>
          <w:b/>
          <w:color w:val="000000" w:themeColor="text1"/>
          <w:sz w:val="32"/>
          <w:szCs w:val="32"/>
          <w:lang w:val="en-US" w:eastAsia="zh-CN"/>
        </w:rPr>
        <w:t>20</w:t>
      </w:r>
      <w:r>
        <w:rPr>
          <w:rFonts w:hint="eastAsia" w:ascii="仿宋" w:hAnsi="仿宋" w:eastAsia="仿宋"/>
          <w:b/>
          <w:color w:val="000000" w:themeColor="text1"/>
          <w:sz w:val="32"/>
          <w:szCs w:val="32"/>
        </w:rPr>
        <w:t>年一般公共预算支出决算数为</w:t>
      </w:r>
      <w:r>
        <w:rPr>
          <w:rFonts w:hint="eastAsia" w:ascii="仿宋" w:hAnsi="仿宋" w:eastAsia="仿宋"/>
          <w:b/>
          <w:color w:val="000000" w:themeColor="text1"/>
          <w:sz w:val="32"/>
          <w:szCs w:val="32"/>
          <w:lang w:val="en-US" w:eastAsia="zh-CN"/>
        </w:rPr>
        <w:t>848.75</w:t>
      </w:r>
      <w:r>
        <w:rPr>
          <w:rFonts w:hint="eastAsia" w:ascii="仿宋" w:hAnsi="仿宋" w:eastAsia="仿宋"/>
          <w:b/>
          <w:color w:val="000000" w:themeColor="text1"/>
          <w:sz w:val="32"/>
          <w:szCs w:val="32"/>
        </w:rPr>
        <w:t>万元</w:t>
      </w:r>
      <w:r>
        <w:rPr>
          <w:rFonts w:hint="eastAsia" w:ascii="仿宋" w:hAnsi="仿宋" w:eastAsia="仿宋"/>
          <w:color w:val="000000" w:themeColor="text1"/>
          <w:sz w:val="32"/>
          <w:szCs w:val="32"/>
        </w:rPr>
        <w:t>，</w:t>
      </w:r>
      <w:r>
        <w:rPr>
          <w:rStyle w:val="13"/>
          <w:rFonts w:hint="eastAsia" w:ascii="仿宋" w:hAnsi="仿宋" w:eastAsia="仿宋"/>
          <w:bCs/>
          <w:color w:val="000000" w:themeColor="text1"/>
          <w:sz w:val="32"/>
          <w:szCs w:val="32"/>
        </w:rPr>
        <w:t>完成</w:t>
      </w:r>
      <w:r>
        <w:rPr>
          <w:rStyle w:val="13"/>
          <w:rFonts w:hint="eastAsia" w:ascii="仿宋" w:hAnsi="仿宋" w:eastAsia="仿宋"/>
          <w:bCs/>
          <w:color w:val="000000"/>
          <w:sz w:val="32"/>
          <w:szCs w:val="32"/>
        </w:rPr>
        <w:t>预算100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numPr>
          <w:ilvl w:val="0"/>
          <w:numId w:val="4"/>
        </w:numPr>
        <w:spacing w:line="600" w:lineRule="exact"/>
        <w:ind w:firstLine="643" w:firstLineChars="200"/>
        <w:rPr>
          <w:rFonts w:hint="eastAsia" w:ascii="仿宋" w:hAnsi="仿宋" w:eastAsia="仿宋"/>
          <w:bCs/>
          <w:color w:val="000000"/>
          <w:sz w:val="32"/>
          <w:szCs w:val="32"/>
          <w:lang w:eastAsia="zh-CN"/>
        </w:rPr>
      </w:pPr>
      <w:r>
        <w:rPr>
          <w:rStyle w:val="13"/>
          <w:rFonts w:hint="eastAsia" w:ascii="仿宋" w:hAnsi="仿宋" w:eastAsia="仿宋"/>
          <w:bCs/>
          <w:color w:val="000000"/>
          <w:sz w:val="32"/>
          <w:szCs w:val="32"/>
        </w:rPr>
        <w:t>社会保障和就业（类）人力资源和社会保障管理事务（款）社会保险经办机构（项）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31.57</w:t>
      </w:r>
      <w:r>
        <w:rPr>
          <w:rStyle w:val="13"/>
          <w:rFonts w:hint="eastAsia" w:ascii="仿宋" w:hAnsi="仿宋" w:eastAsia="仿宋"/>
          <w:b w:val="0"/>
          <w:bCs/>
          <w:color w:val="000000"/>
          <w:sz w:val="32"/>
          <w:szCs w:val="32"/>
        </w:rPr>
        <w:t>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lang w:eastAsia="zh-CN"/>
        </w:rPr>
        <w:t>行政</w:t>
      </w:r>
      <w:r>
        <w:rPr>
          <w:rStyle w:val="13"/>
          <w:rFonts w:hint="eastAsia" w:ascii="仿宋" w:hAnsi="仿宋" w:eastAsia="仿宋"/>
          <w:bCs/>
          <w:color w:val="000000"/>
          <w:sz w:val="32"/>
          <w:szCs w:val="32"/>
        </w:rPr>
        <w:t>事业单位</w:t>
      </w:r>
      <w:r>
        <w:rPr>
          <w:rStyle w:val="13"/>
          <w:rFonts w:hint="eastAsia" w:ascii="仿宋" w:hAnsi="仿宋" w:eastAsia="仿宋"/>
          <w:bCs/>
          <w:color w:val="000000"/>
          <w:sz w:val="32"/>
          <w:szCs w:val="32"/>
          <w:lang w:eastAsia="zh-CN"/>
        </w:rPr>
        <w:t>离退休</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2.94</w:t>
      </w:r>
      <w:r>
        <w:rPr>
          <w:rStyle w:val="13"/>
          <w:rFonts w:hint="eastAsia" w:ascii="仿宋" w:hAnsi="仿宋" w:eastAsia="仿宋"/>
          <w:b w:val="0"/>
          <w:bCs/>
          <w:color w:val="000000"/>
          <w:sz w:val="32"/>
          <w:szCs w:val="32"/>
        </w:rPr>
        <w:t>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bCs w:val="0"/>
          <w:color w:val="000000"/>
          <w:sz w:val="32"/>
          <w:szCs w:val="32"/>
          <w:lang w:eastAsia="zh-CN"/>
        </w:rPr>
        <w:t>机关事业单位</w:t>
      </w:r>
      <w:r>
        <w:rPr>
          <w:rFonts w:hint="eastAsia" w:ascii="仿宋" w:hAnsi="仿宋" w:eastAsia="仿宋"/>
          <w:b/>
          <w:bCs w:val="0"/>
          <w:color w:val="000000"/>
          <w:sz w:val="32"/>
          <w:szCs w:val="32"/>
          <w:lang w:eastAsia="zh-CN"/>
        </w:rPr>
        <w:t>基本养老保险缴费</w:t>
      </w:r>
      <w:r>
        <w:rPr>
          <w:rFonts w:hint="eastAsia" w:ascii="楷体" w:hAnsi="楷体" w:eastAsia="楷体" w:cs="楷体"/>
          <w:b/>
          <w:bCs w:val="0"/>
          <w:color w:val="000000"/>
          <w:sz w:val="32"/>
          <w:szCs w:val="32"/>
          <w:lang w:eastAsia="zh-CN"/>
        </w:rPr>
        <w:t>(项)：</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33.27</w:t>
      </w:r>
      <w:r>
        <w:rPr>
          <w:rStyle w:val="13"/>
          <w:rFonts w:hint="eastAsia" w:ascii="仿宋" w:hAnsi="仿宋" w:eastAsia="仿宋"/>
          <w:b w:val="0"/>
          <w:bCs/>
          <w:color w:val="000000"/>
          <w:sz w:val="32"/>
          <w:szCs w:val="32"/>
        </w:rPr>
        <w:t>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numPr>
          <w:ilvl w:val="0"/>
          <w:numId w:val="0"/>
        </w:numPr>
        <w:spacing w:line="600" w:lineRule="exact"/>
        <w:rPr>
          <w:rStyle w:val="13"/>
          <w:rFonts w:ascii="仿宋" w:hAnsi="仿宋" w:eastAsia="仿宋"/>
          <w:b w:val="0"/>
          <w:bCs/>
          <w:color w:val="000000"/>
          <w:sz w:val="32"/>
          <w:szCs w:val="32"/>
        </w:rPr>
      </w:pPr>
      <w:r>
        <w:rPr>
          <w:rStyle w:val="13"/>
          <w:rFonts w:hint="eastAsia" w:ascii="仿宋" w:hAnsi="仿宋" w:eastAsia="仿宋"/>
          <w:bCs/>
          <w:color w:val="000000"/>
          <w:sz w:val="32"/>
          <w:szCs w:val="32"/>
          <w:lang w:val="en-US" w:eastAsia="zh-CN"/>
        </w:rPr>
        <w:t xml:space="preserve">   </w:t>
      </w:r>
      <w:r>
        <w:rPr>
          <w:rStyle w:val="13"/>
          <w:rFonts w:hint="eastAsia" w:ascii="仿宋" w:hAnsi="仿宋" w:eastAsia="仿宋"/>
          <w:bCs/>
          <w:color w:val="000000"/>
          <w:sz w:val="32"/>
          <w:szCs w:val="32"/>
        </w:rPr>
        <w:t>2</w:t>
      </w:r>
      <w:r>
        <w:rPr>
          <w:rStyle w:val="13"/>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3"/>
          <w:rFonts w:hint="eastAsia" w:ascii="仿宋" w:hAnsi="仿宋" w:eastAsia="仿宋"/>
          <w:bCs/>
          <w:color w:val="000000"/>
          <w:sz w:val="32"/>
          <w:szCs w:val="32"/>
        </w:rPr>
        <w:t>（类）行政事业单位医疗（款）行政单位医疗（项）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64.17</w:t>
      </w:r>
      <w:r>
        <w:rPr>
          <w:rStyle w:val="13"/>
          <w:rFonts w:hint="eastAsia" w:ascii="仿宋" w:hAnsi="仿宋" w:eastAsia="仿宋"/>
          <w:b w:val="0"/>
          <w:bCs/>
          <w:color w:val="000000"/>
          <w:sz w:val="32"/>
          <w:szCs w:val="32"/>
        </w:rPr>
        <w:t>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rPr>
        <w:t>公务员医疗补助（项）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3.84</w:t>
      </w:r>
      <w:r>
        <w:rPr>
          <w:rStyle w:val="13"/>
          <w:rFonts w:hint="eastAsia" w:ascii="仿宋" w:hAnsi="仿宋" w:eastAsia="仿宋"/>
          <w:b w:val="0"/>
          <w:bCs/>
          <w:color w:val="000000"/>
          <w:sz w:val="32"/>
          <w:szCs w:val="32"/>
        </w:rPr>
        <w:t>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rPr>
        <w:t>医疗保障管理事务（款）</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688</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其中：</w:t>
      </w:r>
      <w:r>
        <w:rPr>
          <w:rStyle w:val="13"/>
          <w:rFonts w:hint="eastAsia" w:ascii="仿宋" w:hAnsi="仿宋" w:eastAsia="仿宋"/>
          <w:b/>
          <w:bCs w:val="0"/>
          <w:color w:val="000000"/>
          <w:sz w:val="32"/>
          <w:szCs w:val="32"/>
          <w:lang w:eastAsia="zh-CN"/>
        </w:rPr>
        <w:t>行政运行</w:t>
      </w:r>
      <w:r>
        <w:rPr>
          <w:rStyle w:val="13"/>
          <w:rFonts w:hint="eastAsia" w:ascii="楷体" w:hAnsi="楷体" w:eastAsia="楷体" w:cs="楷体"/>
          <w:b/>
          <w:bCs w:val="0"/>
          <w:color w:val="000000"/>
          <w:sz w:val="32"/>
          <w:szCs w:val="32"/>
          <w:lang w:eastAsia="zh-CN"/>
        </w:rPr>
        <w:t>(</w:t>
      </w:r>
      <w:r>
        <w:rPr>
          <w:rStyle w:val="13"/>
          <w:rFonts w:hint="eastAsia" w:ascii="仿宋" w:hAnsi="仿宋" w:eastAsia="仿宋"/>
          <w:b/>
          <w:bCs w:val="0"/>
          <w:color w:val="000000"/>
          <w:sz w:val="32"/>
          <w:szCs w:val="32"/>
          <w:lang w:eastAsia="zh-CN"/>
        </w:rPr>
        <w:t>项</w:t>
      </w:r>
      <w:r>
        <w:rPr>
          <w:rStyle w:val="13"/>
          <w:rFonts w:hint="eastAsia" w:ascii="楷体" w:hAnsi="楷体" w:eastAsia="楷体" w:cs="楷体"/>
          <w:b/>
          <w:bCs w:val="0"/>
          <w:color w:val="000000"/>
          <w:sz w:val="32"/>
          <w:szCs w:val="32"/>
          <w:lang w:eastAsia="zh-CN"/>
        </w:rPr>
        <w:t>)</w:t>
      </w:r>
      <w:r>
        <w:rPr>
          <w:rStyle w:val="13"/>
          <w:rFonts w:hint="eastAsia" w:ascii="楷体" w:hAnsi="楷体" w:eastAsia="楷体" w:cs="楷体"/>
          <w:b w:val="0"/>
          <w:bCs/>
          <w:color w:val="000000"/>
          <w:sz w:val="32"/>
          <w:szCs w:val="32"/>
          <w:lang w:val="en-US" w:eastAsia="zh-CN"/>
        </w:rPr>
        <w:t>313万元、</w:t>
      </w:r>
      <w:r>
        <w:rPr>
          <w:rStyle w:val="13"/>
          <w:rFonts w:hint="eastAsia" w:ascii="仿宋" w:hAnsi="仿宋" w:eastAsia="仿宋"/>
          <w:b/>
          <w:bCs w:val="0"/>
          <w:color w:val="000000"/>
          <w:sz w:val="32"/>
          <w:szCs w:val="32"/>
          <w:lang w:eastAsia="zh-CN"/>
        </w:rPr>
        <w:t>一般行政管理事务</w:t>
      </w:r>
      <w:r>
        <w:rPr>
          <w:rStyle w:val="13"/>
          <w:rFonts w:hint="eastAsia" w:ascii="楷体" w:hAnsi="楷体" w:eastAsia="楷体" w:cs="楷体"/>
          <w:b/>
          <w:bCs w:val="0"/>
          <w:color w:val="000000"/>
          <w:sz w:val="32"/>
          <w:szCs w:val="32"/>
          <w:lang w:eastAsia="zh-CN"/>
        </w:rPr>
        <w:t>(</w:t>
      </w:r>
      <w:r>
        <w:rPr>
          <w:rStyle w:val="13"/>
          <w:rFonts w:hint="eastAsia" w:ascii="仿宋" w:hAnsi="仿宋" w:eastAsia="仿宋"/>
          <w:b/>
          <w:bCs w:val="0"/>
          <w:color w:val="000000"/>
          <w:sz w:val="32"/>
          <w:szCs w:val="32"/>
          <w:lang w:eastAsia="zh-CN"/>
        </w:rPr>
        <w:t>项</w:t>
      </w:r>
      <w:r>
        <w:rPr>
          <w:rStyle w:val="13"/>
          <w:rFonts w:hint="eastAsia" w:ascii="楷体" w:hAnsi="楷体" w:eastAsia="楷体" w:cs="楷体"/>
          <w:b/>
          <w:bCs w:val="0"/>
          <w:color w:val="000000"/>
          <w:sz w:val="32"/>
          <w:szCs w:val="32"/>
          <w:lang w:eastAsia="zh-CN"/>
        </w:rPr>
        <w:t>)</w:t>
      </w:r>
      <w:r>
        <w:rPr>
          <w:rStyle w:val="13"/>
          <w:rFonts w:hint="eastAsia" w:ascii="仿宋" w:hAnsi="仿宋" w:eastAsia="仿宋"/>
          <w:b w:val="0"/>
          <w:bCs/>
          <w:color w:val="000000"/>
          <w:sz w:val="32"/>
          <w:szCs w:val="32"/>
          <w:lang w:val="en-US" w:eastAsia="zh-CN"/>
        </w:rPr>
        <w:t>90万元、</w:t>
      </w:r>
      <w:r>
        <w:rPr>
          <w:rStyle w:val="13"/>
          <w:rFonts w:hint="eastAsia" w:ascii="仿宋" w:hAnsi="仿宋" w:eastAsia="仿宋"/>
          <w:b/>
          <w:bCs w:val="0"/>
          <w:color w:val="000000"/>
          <w:sz w:val="32"/>
          <w:szCs w:val="32"/>
          <w:lang w:val="en-US" w:eastAsia="zh-CN"/>
        </w:rPr>
        <w:t>医疗保障政策管理</w:t>
      </w:r>
      <w:r>
        <w:rPr>
          <w:rStyle w:val="13"/>
          <w:rFonts w:hint="eastAsia" w:ascii="楷体" w:hAnsi="楷体" w:eastAsia="楷体" w:cs="楷体"/>
          <w:b/>
          <w:bCs w:val="0"/>
          <w:color w:val="000000"/>
          <w:sz w:val="32"/>
          <w:szCs w:val="32"/>
          <w:lang w:eastAsia="zh-CN"/>
        </w:rPr>
        <w:t>(</w:t>
      </w:r>
      <w:r>
        <w:rPr>
          <w:rStyle w:val="13"/>
          <w:rFonts w:hint="eastAsia" w:ascii="仿宋" w:hAnsi="仿宋" w:eastAsia="仿宋"/>
          <w:b/>
          <w:bCs w:val="0"/>
          <w:color w:val="000000"/>
          <w:sz w:val="32"/>
          <w:szCs w:val="32"/>
          <w:lang w:eastAsia="zh-CN"/>
        </w:rPr>
        <w:t>项</w:t>
      </w:r>
      <w:r>
        <w:rPr>
          <w:rStyle w:val="13"/>
          <w:rFonts w:hint="eastAsia" w:ascii="楷体" w:hAnsi="楷体" w:eastAsia="楷体" w:cs="楷体"/>
          <w:b/>
          <w:bCs w:val="0"/>
          <w:color w:val="000000"/>
          <w:sz w:val="32"/>
          <w:szCs w:val="32"/>
          <w:lang w:eastAsia="zh-CN"/>
        </w:rPr>
        <w:t>)</w:t>
      </w:r>
      <w:r>
        <w:rPr>
          <w:rStyle w:val="13"/>
          <w:rFonts w:hint="eastAsia" w:ascii="仿宋" w:hAnsi="仿宋" w:eastAsia="仿宋"/>
          <w:b w:val="0"/>
          <w:bCs/>
          <w:color w:val="000000"/>
          <w:sz w:val="32"/>
          <w:szCs w:val="32"/>
          <w:lang w:val="en-US" w:eastAsia="zh-CN"/>
        </w:rPr>
        <w:t>10万元、</w:t>
      </w:r>
      <w:r>
        <w:rPr>
          <w:rStyle w:val="13"/>
          <w:rFonts w:hint="eastAsia" w:ascii="仿宋" w:hAnsi="仿宋" w:eastAsia="仿宋"/>
          <w:b/>
          <w:bCs w:val="0"/>
          <w:color w:val="000000"/>
          <w:sz w:val="32"/>
          <w:szCs w:val="32"/>
          <w:lang w:val="en-US" w:eastAsia="zh-CN"/>
        </w:rPr>
        <w:t>医疗保障经办事务</w:t>
      </w:r>
      <w:r>
        <w:rPr>
          <w:rStyle w:val="13"/>
          <w:rFonts w:hint="eastAsia" w:ascii="楷体" w:hAnsi="楷体" w:eastAsia="楷体" w:cs="楷体"/>
          <w:b/>
          <w:bCs w:val="0"/>
          <w:color w:val="000000"/>
          <w:sz w:val="32"/>
          <w:szCs w:val="32"/>
          <w:lang w:eastAsia="zh-CN"/>
        </w:rPr>
        <w:t>(</w:t>
      </w:r>
      <w:r>
        <w:rPr>
          <w:rStyle w:val="13"/>
          <w:rFonts w:hint="eastAsia" w:ascii="仿宋" w:hAnsi="仿宋" w:eastAsia="仿宋"/>
          <w:b/>
          <w:bCs w:val="0"/>
          <w:color w:val="000000"/>
          <w:sz w:val="32"/>
          <w:szCs w:val="32"/>
          <w:lang w:eastAsia="zh-CN"/>
        </w:rPr>
        <w:t>项</w:t>
      </w:r>
      <w:r>
        <w:rPr>
          <w:rStyle w:val="13"/>
          <w:rFonts w:hint="eastAsia" w:ascii="楷体" w:hAnsi="楷体" w:eastAsia="楷体" w:cs="楷体"/>
          <w:b/>
          <w:bCs w:val="0"/>
          <w:color w:val="000000"/>
          <w:sz w:val="32"/>
          <w:szCs w:val="32"/>
          <w:lang w:eastAsia="zh-CN"/>
        </w:rPr>
        <w:t>)</w:t>
      </w:r>
      <w:r>
        <w:rPr>
          <w:rStyle w:val="13"/>
          <w:rFonts w:hint="eastAsia" w:ascii="仿宋" w:hAnsi="仿宋" w:eastAsia="仿宋"/>
          <w:b w:val="0"/>
          <w:bCs/>
          <w:color w:val="000000"/>
          <w:sz w:val="32"/>
          <w:szCs w:val="32"/>
          <w:lang w:val="en-US" w:eastAsia="zh-CN"/>
        </w:rPr>
        <w:t>149万元、</w:t>
      </w:r>
      <w:r>
        <w:rPr>
          <w:rStyle w:val="13"/>
          <w:rFonts w:hint="eastAsia" w:ascii="仿宋" w:hAnsi="仿宋" w:eastAsia="仿宋"/>
          <w:b/>
          <w:bCs w:val="0"/>
          <w:color w:val="000000"/>
          <w:sz w:val="32"/>
          <w:szCs w:val="32"/>
        </w:rPr>
        <w:t>其他医疗保障管理事务</w:t>
      </w:r>
      <w:r>
        <w:rPr>
          <w:rStyle w:val="13"/>
          <w:rFonts w:hint="eastAsia" w:ascii="楷体" w:hAnsi="楷体" w:eastAsia="楷体" w:cs="楷体"/>
          <w:b/>
          <w:bCs w:val="0"/>
          <w:color w:val="000000"/>
          <w:sz w:val="32"/>
          <w:szCs w:val="32"/>
          <w:lang w:eastAsia="zh-CN"/>
        </w:rPr>
        <w:t>(</w:t>
      </w:r>
      <w:r>
        <w:rPr>
          <w:rStyle w:val="13"/>
          <w:rFonts w:hint="eastAsia" w:ascii="仿宋" w:hAnsi="仿宋" w:eastAsia="仿宋"/>
          <w:b/>
          <w:bCs w:val="0"/>
          <w:color w:val="000000"/>
          <w:sz w:val="32"/>
          <w:szCs w:val="32"/>
          <w:lang w:eastAsia="zh-CN"/>
        </w:rPr>
        <w:t>项</w:t>
      </w:r>
      <w:r>
        <w:rPr>
          <w:rStyle w:val="13"/>
          <w:rFonts w:hint="eastAsia" w:ascii="楷体" w:hAnsi="楷体" w:eastAsia="楷体" w:cs="楷体"/>
          <w:b/>
          <w:bCs w:val="0"/>
          <w:color w:val="000000"/>
          <w:sz w:val="32"/>
          <w:szCs w:val="32"/>
          <w:lang w:eastAsia="zh-CN"/>
        </w:rPr>
        <w:t>)</w:t>
      </w:r>
      <w:r>
        <w:rPr>
          <w:rStyle w:val="13"/>
          <w:rFonts w:hint="eastAsia" w:ascii="仿宋" w:hAnsi="仿宋" w:eastAsia="仿宋"/>
          <w:b w:val="0"/>
          <w:bCs/>
          <w:color w:val="000000"/>
          <w:sz w:val="32"/>
          <w:szCs w:val="32"/>
          <w:lang w:val="en-US" w:eastAsia="zh-CN"/>
        </w:rPr>
        <w:t>126</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，均完成预算的</w:t>
      </w:r>
      <w:r>
        <w:rPr>
          <w:rStyle w:val="13"/>
          <w:rFonts w:hint="eastAsia" w:ascii="仿宋" w:hAnsi="仿宋" w:eastAsia="仿宋"/>
          <w:b w:val="0"/>
          <w:bCs/>
          <w:color w:val="000000"/>
          <w:sz w:val="32"/>
          <w:szCs w:val="32"/>
          <w:lang w:val="en-US" w:eastAsia="zh-CN"/>
        </w:rPr>
        <w:t>100%</w:t>
      </w:r>
      <w:r>
        <w:rPr>
          <w:rStyle w:val="13"/>
          <w:rFonts w:hint="eastAsia" w:ascii="仿宋" w:hAnsi="仿宋" w:eastAsia="仿宋"/>
          <w:b w:val="0"/>
          <w:bCs/>
          <w:color w:val="000000"/>
          <w:sz w:val="32"/>
          <w:szCs w:val="32"/>
        </w:rPr>
        <w:t>；</w:t>
      </w:r>
    </w:p>
    <w:p>
      <w:pPr>
        <w:spacing w:line="600" w:lineRule="exact"/>
        <w:ind w:firstLine="643" w:firstLineChars="200"/>
        <w:rPr>
          <w:rStyle w:val="13"/>
          <w:rFonts w:ascii="仿宋" w:hAnsi="仿宋" w:eastAsia="仿宋"/>
          <w:bCs/>
          <w:color w:val="000000"/>
          <w:sz w:val="32"/>
          <w:szCs w:val="32"/>
        </w:rPr>
      </w:pPr>
      <w:r>
        <w:rPr>
          <w:rStyle w:val="13"/>
          <w:rFonts w:hint="eastAsia" w:ascii="仿宋" w:hAnsi="仿宋" w:eastAsia="仿宋"/>
          <w:bCs/>
          <w:color w:val="000000"/>
          <w:sz w:val="32"/>
          <w:szCs w:val="32"/>
          <w:lang w:val="en-US" w:eastAsia="zh-CN"/>
        </w:rPr>
        <w:t>3</w:t>
      </w:r>
      <w:r>
        <w:rPr>
          <w:rStyle w:val="13"/>
          <w:rFonts w:ascii="仿宋" w:hAnsi="仿宋" w:eastAsia="仿宋"/>
          <w:bCs/>
          <w:color w:val="000000"/>
          <w:sz w:val="32"/>
          <w:szCs w:val="32"/>
        </w:rPr>
        <w:t>.</w:t>
      </w:r>
      <w:r>
        <w:rPr>
          <w:rFonts w:hint="eastAsia" w:ascii="仿宋" w:hAnsi="仿宋" w:eastAsia="仿宋"/>
          <w:b/>
          <w:bCs/>
          <w:color w:val="000000" w:themeColor="text1"/>
          <w:sz w:val="32"/>
          <w:szCs w:val="32"/>
        </w:rPr>
        <w:t>住房保障支出</w:t>
      </w:r>
      <w:r>
        <w:rPr>
          <w:rStyle w:val="13"/>
          <w:rFonts w:hint="eastAsia" w:ascii="仿宋" w:hAnsi="仿宋" w:eastAsia="仿宋"/>
          <w:bCs/>
          <w:color w:val="000000"/>
          <w:sz w:val="32"/>
          <w:szCs w:val="32"/>
        </w:rPr>
        <w:t>（类）住房改革支出（款）住房公积金（项）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24.96</w:t>
      </w:r>
      <w:r>
        <w:rPr>
          <w:rStyle w:val="13"/>
          <w:rFonts w:hint="eastAsia" w:ascii="仿宋" w:hAnsi="仿宋" w:eastAsia="仿宋"/>
          <w:b w:val="0"/>
          <w:bCs/>
          <w:color w:val="000000"/>
          <w:sz w:val="32"/>
          <w:szCs w:val="32"/>
        </w:rPr>
        <w:t>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442.18</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384.03</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58.16</w:t>
      </w:r>
      <w:r>
        <w:rPr>
          <w:rFonts w:hint="eastAsia" w:ascii="仿宋" w:hAnsi="仿宋" w:eastAsia="仿宋"/>
          <w:color w:val="000000"/>
          <w:sz w:val="32"/>
          <w:szCs w:val="32"/>
        </w:rPr>
        <w:t>万元，主要包括：办公费、印刷费、水费、电费、邮电费、差旅费、维修（护）费、租赁费、会议费、培训费、公务接待费、劳务费、委托业务费、工会经费、公务用车运行维护费、其他交通费、其他商品和服务支出</w:t>
      </w:r>
      <w:r>
        <w:rPr>
          <w:rFonts w:hint="eastAsia" w:ascii="仿宋" w:hAnsi="仿宋" w:eastAsia="仿宋"/>
          <w:color w:val="000000"/>
          <w:sz w:val="32"/>
          <w:szCs w:val="32"/>
          <w:lang w:eastAsia="zh-CN"/>
        </w:rPr>
        <w:t>等</w:t>
      </w:r>
      <w:r>
        <w:rPr>
          <w:rFonts w:hint="eastAsia" w:ascii="仿宋" w:hAnsi="仿宋" w:eastAsia="仿宋"/>
          <w:color w:val="000000"/>
          <w:sz w:val="32"/>
          <w:szCs w:val="32"/>
        </w:rPr>
        <w:t>。</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年“三公”经费财政拨款支出决算为9万元，完成预算100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年“三公”经费财政拨款支出决算中，无因公出国（境）费支出；公务用车购置及运行维护费支出决算</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88</w:t>
      </w:r>
      <w:r>
        <w:rPr>
          <w:rFonts w:hint="eastAsia" w:ascii="仿宋" w:hAnsi="仿宋" w:eastAsia="仿宋"/>
          <w:color w:val="000000"/>
          <w:sz w:val="32"/>
          <w:szCs w:val="32"/>
        </w:rPr>
        <w:t>.9</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410845</wp:posOffset>
            </wp:positionH>
            <wp:positionV relativeFrom="paragraph">
              <wp:posOffset>-3195955</wp:posOffset>
            </wp:positionV>
            <wp:extent cx="4735195" cy="3477260"/>
            <wp:effectExtent l="4445" t="4445" r="22860" b="2349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w:t>
      </w:r>
    </w:p>
    <w:p>
      <w:pPr>
        <w:spacing w:line="600" w:lineRule="exact"/>
        <w:rPr>
          <w:rFonts w:hint="eastAsia" w:ascii="仿宋" w:hAnsi="仿宋" w:eastAsia="仿宋"/>
          <w:color w:val="000000"/>
          <w:sz w:val="32"/>
          <w:szCs w:val="32"/>
          <w:lang w:val="en-US" w:eastAsia="zh-CN"/>
        </w:rPr>
      </w:pPr>
    </w:p>
    <w:p>
      <w:pPr>
        <w:spacing w:line="600" w:lineRule="exact"/>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楷体" w:hAnsi="楷体" w:eastAsia="楷体" w:cs="楷体"/>
          <w:color w:val="000000"/>
          <w:sz w:val="32"/>
          <w:szCs w:val="32"/>
          <w:lang w:val="en-US" w:eastAsia="zh-CN"/>
        </w:rPr>
        <w:t>(</w:t>
      </w:r>
      <w:r>
        <w:rPr>
          <w:rFonts w:hint="eastAsia" w:ascii="仿宋" w:hAnsi="仿宋" w:eastAsia="仿宋"/>
          <w:color w:val="000000"/>
          <w:sz w:val="32"/>
          <w:szCs w:val="32"/>
        </w:rPr>
        <w:t>图7：“三公”经费财政拨款支出结构）（饼状图）</w:t>
      </w: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hint="eastAsia" w:ascii="仿宋" w:hAnsi="仿宋" w:eastAsia="仿宋"/>
          <w:b/>
          <w:color w:val="000000"/>
          <w:sz w:val="32"/>
          <w:szCs w:val="32"/>
        </w:rPr>
        <w:t>1</w:t>
      </w:r>
      <w:r>
        <w:rPr>
          <w:rFonts w:ascii="仿宋" w:hAnsi="仿宋" w:eastAsia="仿宋"/>
          <w:b/>
          <w:color w:val="000000"/>
          <w:sz w:val="32"/>
          <w:szCs w:val="32"/>
        </w:rPr>
        <w:t>.</w:t>
      </w:r>
      <w:r>
        <w:rPr>
          <w:rFonts w:hint="eastAsia" w:ascii="仿宋" w:hAnsi="仿宋" w:eastAsia="仿宋"/>
          <w:b/>
          <w:color w:val="000000"/>
          <w:sz w:val="32"/>
          <w:szCs w:val="32"/>
        </w:rPr>
        <w:t>公务用车购置及运行维护费支出</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eastAsia="zh-CN"/>
        </w:rPr>
        <w:t>与</w:t>
      </w:r>
      <w:r>
        <w:rPr>
          <w:rFonts w:hint="eastAsia" w:ascii="仿宋" w:hAnsi="仿宋" w:eastAsia="仿宋"/>
          <w:color w:val="000000"/>
          <w:sz w:val="32"/>
          <w:szCs w:val="32"/>
          <w:lang w:val="en-US" w:eastAsia="zh-CN"/>
        </w:rPr>
        <w:t>2019年基本持平</w:t>
      </w:r>
      <w:r>
        <w:rPr>
          <w:rFonts w:hint="eastAsia" w:ascii="仿宋" w:hAnsi="仿宋" w:eastAsia="仿宋"/>
          <w:b/>
          <w:color w:val="000000"/>
          <w:sz w:val="32"/>
          <w:szCs w:val="32"/>
        </w:rPr>
        <w:t>。</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其中</w:t>
      </w:r>
      <w:r>
        <w:rPr>
          <w:rFonts w:hint="eastAsia" w:ascii="仿宋_GB2312" w:eastAsia="仿宋_GB2312"/>
          <w:b/>
          <w:color w:val="000000"/>
          <w:sz w:val="32"/>
          <w:szCs w:val="32"/>
        </w:rPr>
        <w:t>：</w:t>
      </w:r>
      <w:r>
        <w:rPr>
          <w:rFonts w:hint="eastAsia" w:ascii="仿宋" w:hAnsi="仿宋" w:eastAsia="仿宋"/>
          <w:b/>
          <w:color w:val="000000"/>
          <w:sz w:val="32"/>
          <w:szCs w:val="32"/>
        </w:rPr>
        <w:t>公务用车购置支出</w:t>
      </w:r>
      <w:r>
        <w:rPr>
          <w:rFonts w:hint="eastAsia" w:ascii="仿宋_GB2312" w:eastAsia="仿宋_GB2312"/>
          <w:color w:val="000000"/>
          <w:sz w:val="32"/>
          <w:szCs w:val="32"/>
        </w:rPr>
        <w:t>无</w:t>
      </w:r>
      <w:r>
        <w:rPr>
          <w:rFonts w:ascii="仿宋_GB2312" w:eastAsia="仿宋_GB2312"/>
          <w:color w:val="000000"/>
          <w:sz w:val="32"/>
          <w:szCs w:val="32"/>
        </w:rPr>
        <w:t>。</w:t>
      </w:r>
      <w:r>
        <w:rPr>
          <w:rFonts w:hint="eastAsia" w:ascii="仿宋" w:hAnsi="仿宋" w:eastAsia="仿宋"/>
          <w:color w:val="000000"/>
          <w:sz w:val="32"/>
          <w:szCs w:val="32"/>
        </w:rPr>
        <w:t>截至</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月底，单位共有公务用车1辆。</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公务用车运行维护费支出</w:t>
      </w:r>
      <w:r>
        <w:rPr>
          <w:rFonts w:hint="eastAsia" w:ascii="仿宋" w:hAnsi="仿宋" w:eastAsia="仿宋"/>
          <w:color w:val="000000"/>
          <w:sz w:val="32"/>
          <w:szCs w:val="32"/>
          <w:lang w:val="en-US" w:eastAsia="zh-CN"/>
        </w:rPr>
        <w:t>8</w:t>
      </w:r>
      <w:r>
        <w:rPr>
          <w:rFonts w:hint="eastAsia" w:ascii="仿宋_GB2312" w:eastAsia="仿宋_GB2312"/>
          <w:color w:val="000000"/>
          <w:sz w:val="32"/>
          <w:szCs w:val="32"/>
        </w:rPr>
        <w:t>万元。</w:t>
      </w:r>
      <w:r>
        <w:rPr>
          <w:rFonts w:hint="eastAsia" w:ascii="仿宋" w:hAnsi="仿宋" w:eastAsia="仿宋"/>
          <w:color w:val="000000"/>
          <w:sz w:val="32"/>
          <w:szCs w:val="32"/>
        </w:rPr>
        <w:t>主要用于行政运行公务公差、各项专项执法检查及基金监督用车等所需的公务用车燃料费、维修费、过路过桥费、保险费等支出。</w:t>
      </w:r>
    </w:p>
    <w:p>
      <w:pPr>
        <w:spacing w:line="600" w:lineRule="exact"/>
        <w:ind w:firstLine="640"/>
        <w:rPr>
          <w:rFonts w:ascii="仿宋" w:hAnsi="仿宋" w:eastAsia="仿宋"/>
          <w:color w:val="000000"/>
          <w:sz w:val="32"/>
          <w:szCs w:val="32"/>
        </w:rPr>
      </w:pPr>
      <w:r>
        <w:rPr>
          <w:rFonts w:ascii="仿宋" w:hAnsi="仿宋" w:eastAsia="仿宋"/>
          <w:b/>
          <w:color w:val="000000"/>
          <w:sz w:val="32"/>
          <w:szCs w:val="32"/>
        </w:rPr>
        <w:t>3.</w:t>
      </w:r>
      <w:r>
        <w:rPr>
          <w:rFonts w:hint="eastAsia" w:ascii="仿宋" w:hAnsi="仿宋" w:eastAsia="仿宋"/>
          <w:b/>
          <w:color w:val="000000"/>
          <w:sz w:val="32"/>
          <w:szCs w:val="32"/>
        </w:rPr>
        <w:t>公务接待费支出</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。比20</w:t>
      </w:r>
      <w:r>
        <w:rPr>
          <w:rStyle w:val="13"/>
          <w:rFonts w:hint="eastAsia" w:ascii="仿宋" w:hAnsi="仿宋" w:eastAsia="仿宋"/>
          <w:b w:val="0"/>
          <w:bCs/>
          <w:color w:val="000000"/>
          <w:sz w:val="32"/>
          <w:szCs w:val="32"/>
          <w:lang w:val="en-US" w:eastAsia="zh-CN"/>
        </w:rPr>
        <w:t>19</w:t>
      </w:r>
      <w:r>
        <w:rPr>
          <w:rStyle w:val="13"/>
          <w:rFonts w:hint="eastAsia" w:ascii="仿宋" w:hAnsi="仿宋" w:eastAsia="仿宋"/>
          <w:b w:val="0"/>
          <w:bCs/>
          <w:color w:val="000000"/>
          <w:sz w:val="32"/>
          <w:szCs w:val="32"/>
        </w:rPr>
        <w:t>年</w:t>
      </w:r>
      <w:r>
        <w:rPr>
          <w:rStyle w:val="13"/>
          <w:rFonts w:hint="eastAsia" w:ascii="仿宋" w:hAnsi="仿宋" w:eastAsia="仿宋"/>
          <w:b w:val="0"/>
          <w:bCs/>
          <w:color w:val="000000"/>
          <w:sz w:val="32"/>
          <w:szCs w:val="32"/>
          <w:lang w:eastAsia="zh-CN"/>
        </w:rPr>
        <w:t>减少</w:t>
      </w:r>
      <w:r>
        <w:rPr>
          <w:rStyle w:val="13"/>
          <w:rFonts w:hint="eastAsia" w:ascii="仿宋" w:hAnsi="仿宋" w:eastAsia="仿宋"/>
          <w:b w:val="0"/>
          <w:bCs/>
          <w:color w:val="000000"/>
          <w:sz w:val="32"/>
          <w:szCs w:val="32"/>
        </w:rPr>
        <w:t>1万元，</w:t>
      </w:r>
      <w:r>
        <w:rPr>
          <w:rStyle w:val="13"/>
          <w:rFonts w:hint="eastAsia" w:ascii="仿宋" w:hAnsi="仿宋" w:eastAsia="仿宋"/>
          <w:b w:val="0"/>
          <w:bCs/>
          <w:color w:val="000000"/>
          <w:sz w:val="32"/>
          <w:szCs w:val="32"/>
          <w:lang w:eastAsia="zh-CN"/>
        </w:rPr>
        <w:t>减少</w:t>
      </w:r>
      <w:r>
        <w:rPr>
          <w:rStyle w:val="13"/>
          <w:rFonts w:hint="eastAsia" w:ascii="仿宋" w:hAnsi="仿宋" w:eastAsia="仿宋"/>
          <w:b w:val="0"/>
          <w:bCs/>
          <w:color w:val="000000"/>
          <w:sz w:val="32"/>
          <w:szCs w:val="32"/>
          <w:lang w:val="en-US" w:eastAsia="zh-CN"/>
        </w:rPr>
        <w:t>50</w:t>
      </w:r>
      <w:r>
        <w:rPr>
          <w:rStyle w:val="13"/>
          <w:rFonts w:hint="eastAsia" w:ascii="仿宋" w:hAnsi="仿宋" w:eastAsia="仿宋"/>
          <w:b w:val="0"/>
          <w:bCs/>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万元，主要用于执行公务、开展业务活动开支的交通费、住宿费、用餐费等。国内公务接待</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批次，</w:t>
      </w:r>
      <w:r>
        <w:rPr>
          <w:rFonts w:hint="eastAsia" w:ascii="仿宋" w:hAnsi="仿宋" w:eastAsia="仿宋"/>
          <w:color w:val="000000"/>
          <w:sz w:val="32"/>
          <w:szCs w:val="32"/>
          <w:lang w:val="en-US" w:eastAsia="zh-CN"/>
        </w:rPr>
        <w:t>140</w:t>
      </w:r>
      <w:r>
        <w:rPr>
          <w:rFonts w:hint="eastAsia" w:ascii="仿宋" w:hAnsi="仿宋" w:eastAsia="仿宋"/>
          <w:color w:val="000000"/>
          <w:sz w:val="32"/>
          <w:szCs w:val="32"/>
        </w:rPr>
        <w:t>人次（不包括陪同人员），共计支出</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万元，。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无。</w:t>
      </w:r>
      <w:bookmarkStart w:id="46" w:name="_Toc15396610"/>
      <w:bookmarkStart w:id="47" w:name="_Toc15377218"/>
    </w:p>
    <w:p>
      <w:pPr>
        <w:spacing w:line="600" w:lineRule="exact"/>
        <w:ind w:firstLine="480" w:firstLineChars="150"/>
        <w:outlineLvl w:val="1"/>
        <w:rPr>
          <w:rStyle w:val="25"/>
          <w:rFonts w:ascii="黑体" w:hAnsi="黑体" w:eastAsia="黑体"/>
        </w:rPr>
      </w:pPr>
      <w:r>
        <w:rPr>
          <w:rFonts w:hint="eastAsia" w:ascii="黑体" w:hAnsi="黑体" w:eastAsia="黑体"/>
          <w:color w:val="000000"/>
          <w:sz w:val="32"/>
          <w:szCs w:val="32"/>
        </w:rPr>
        <w:t>八、</w:t>
      </w:r>
      <w:r>
        <w:rPr>
          <w:rStyle w:val="25"/>
          <w:rFonts w:hint="eastAsia" w:ascii="黑体" w:hAnsi="黑体" w:eastAsia="黑体"/>
        </w:rPr>
        <w:t>政府性基金预算支出决算情况说明</w:t>
      </w:r>
      <w:bookmarkEnd w:id="46"/>
      <w:bookmarkEnd w:id="4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年政府性基金预算拨款支出0万元。</w:t>
      </w:r>
    </w:p>
    <w:p>
      <w:pPr>
        <w:spacing w:line="600" w:lineRule="exact"/>
        <w:ind w:firstLine="482" w:firstLineChars="150"/>
        <w:outlineLvl w:val="1"/>
        <w:rPr>
          <w:rStyle w:val="25"/>
          <w:rFonts w:ascii="黑体" w:hAnsi="黑体" w:eastAsia="黑体"/>
        </w:rPr>
      </w:pPr>
      <w:bookmarkStart w:id="48" w:name="_Toc15377219"/>
      <w:bookmarkStart w:id="49" w:name="_Toc15396611"/>
      <w:r>
        <w:rPr>
          <w:rStyle w:val="25"/>
          <w:rFonts w:hint="eastAsia" w:ascii="黑体" w:hAnsi="黑体" w:eastAsia="黑体"/>
        </w:rPr>
        <w:t>九、国有资本经营预算支出决算情况说明</w:t>
      </w:r>
      <w:bookmarkEnd w:id="48"/>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年国有资本经营预算拨款支出0万元。</w:t>
      </w:r>
    </w:p>
    <w:p>
      <w:pPr>
        <w:spacing w:line="600" w:lineRule="exact"/>
        <w:ind w:firstLine="480" w:firstLineChars="1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年，我局机关运行经费支出</w:t>
      </w:r>
      <w:r>
        <w:rPr>
          <w:rFonts w:hint="eastAsia" w:ascii="仿宋" w:hAnsi="仿宋" w:eastAsia="仿宋"/>
          <w:color w:val="000000"/>
          <w:sz w:val="32"/>
          <w:szCs w:val="32"/>
          <w:lang w:val="en-US" w:eastAsia="zh-CN"/>
        </w:rPr>
        <w:t>464.12</w:t>
      </w:r>
      <w:r>
        <w:rPr>
          <w:rFonts w:hint="eastAsia" w:ascii="仿宋" w:hAnsi="仿宋" w:eastAsia="仿宋"/>
          <w:color w:val="000000"/>
          <w:sz w:val="32"/>
          <w:szCs w:val="32"/>
        </w:rPr>
        <w:t>万元，比</w:t>
      </w:r>
      <w:r>
        <w:rPr>
          <w:rFonts w:ascii="仿宋" w:hAnsi="仿宋" w:eastAsia="仿宋"/>
          <w:color w:val="000000"/>
          <w:sz w:val="32"/>
          <w:szCs w:val="32"/>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年增加</w:t>
      </w:r>
      <w:r>
        <w:rPr>
          <w:rFonts w:hint="eastAsia" w:ascii="仿宋" w:hAnsi="仿宋" w:eastAsia="仿宋"/>
          <w:color w:val="000000"/>
          <w:sz w:val="32"/>
          <w:szCs w:val="32"/>
          <w:lang w:val="en-US" w:eastAsia="zh-CN"/>
        </w:rPr>
        <w:t>232.87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200.7</w:t>
      </w:r>
      <w:r>
        <w:rPr>
          <w:rFonts w:ascii="仿宋" w:hAnsi="仿宋" w:eastAsia="仿宋"/>
          <w:color w:val="000000"/>
          <w:sz w:val="32"/>
          <w:szCs w:val="32"/>
        </w:rPr>
        <w:t>%</w:t>
      </w:r>
      <w:r>
        <w:rPr>
          <w:rFonts w:hint="eastAsia" w:ascii="仿宋" w:hAnsi="仿宋" w:eastAsia="仿宋"/>
          <w:color w:val="000000"/>
          <w:sz w:val="32"/>
          <w:szCs w:val="32"/>
        </w:rPr>
        <w:t>。</w:t>
      </w:r>
      <w:bookmarkStart w:id="53" w:name="_Toc15377223"/>
      <w:r>
        <w:rPr>
          <w:rFonts w:hint="eastAsia" w:ascii="仿宋" w:hAnsi="仿宋" w:eastAsia="仿宋"/>
          <w:color w:val="000000"/>
          <w:sz w:val="32"/>
          <w:szCs w:val="32"/>
        </w:rPr>
        <w:t>增长原因</w:t>
      </w:r>
      <w:r>
        <w:rPr>
          <w:rFonts w:hint="eastAsia" w:ascii="仿宋" w:hAnsi="仿宋" w:eastAsia="仿宋"/>
          <w:sz w:val="28"/>
          <w:szCs w:val="28"/>
        </w:rPr>
        <w:t>是因机构合并，职能增加、人员增加，收、支相应增加</w:t>
      </w:r>
      <w:r>
        <w:rPr>
          <w:rFonts w:hint="eastAsia" w:ascii="仿宋" w:hAnsi="仿宋" w:eastAsia="仿宋"/>
          <w:color w:val="000000"/>
          <w:sz w:val="32"/>
          <w:szCs w:val="32"/>
        </w:rPr>
        <w:t>。</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b/>
          <w:color w:val="FF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年，我局</w:t>
      </w:r>
      <w:r>
        <w:rPr>
          <w:rFonts w:hint="eastAsia" w:ascii="仿宋" w:hAnsi="仿宋" w:eastAsia="仿宋"/>
          <w:color w:val="000000"/>
          <w:sz w:val="32"/>
          <w:szCs w:val="32"/>
          <w:lang w:eastAsia="zh-CN"/>
        </w:rPr>
        <w:t>无</w:t>
      </w:r>
      <w:r>
        <w:rPr>
          <w:rFonts w:hint="eastAsia" w:ascii="仿宋" w:hAnsi="仿宋" w:eastAsia="仿宋"/>
          <w:color w:val="000000"/>
          <w:sz w:val="32"/>
          <w:szCs w:val="32"/>
        </w:rPr>
        <w:t>政府采购支出。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201</w:t>
      </w:r>
      <w:r>
        <w:rPr>
          <w:rFonts w:hint="eastAsia" w:ascii="仿宋" w:hAnsi="仿宋" w:eastAsia="仿宋"/>
          <w:color w:val="000000"/>
          <w:sz w:val="32"/>
          <w:szCs w:val="32"/>
        </w:rPr>
        <w:t>9年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日，我局共有车辆1辆。无</w:t>
      </w:r>
      <w:r>
        <w:rPr>
          <w:rFonts w:hint="eastAsia" w:ascii="仿宋" w:hAnsi="仿宋" w:eastAsia="仿宋"/>
          <w:color w:val="000000" w:themeColor="text1"/>
          <w:sz w:val="32"/>
          <w:szCs w:val="32"/>
        </w:rPr>
        <w:t>单价</w:t>
      </w:r>
      <w:r>
        <w:rPr>
          <w:rFonts w:ascii="仿宋" w:hAnsi="仿宋" w:eastAsia="仿宋"/>
          <w:color w:val="000000" w:themeColor="text1"/>
          <w:sz w:val="32"/>
          <w:szCs w:val="32"/>
        </w:rPr>
        <w:t>50</w:t>
      </w:r>
      <w:r>
        <w:rPr>
          <w:rFonts w:hint="eastAsia" w:ascii="仿宋" w:hAnsi="仿宋" w:eastAsia="仿宋"/>
          <w:color w:val="000000" w:themeColor="text1"/>
          <w:sz w:val="32"/>
          <w:szCs w:val="32"/>
        </w:rPr>
        <w:t>万元以上通用设备，无单价</w:t>
      </w:r>
      <w:r>
        <w:rPr>
          <w:rFonts w:ascii="仿宋" w:hAnsi="仿宋" w:eastAsia="仿宋"/>
          <w:color w:val="000000" w:themeColor="text1"/>
          <w:sz w:val="32"/>
          <w:szCs w:val="32"/>
        </w:rPr>
        <w:t>100</w:t>
      </w:r>
      <w:r>
        <w:rPr>
          <w:rFonts w:hint="eastAsia" w:ascii="仿宋" w:hAnsi="仿宋" w:eastAsia="仿宋"/>
          <w:color w:val="000000"/>
          <w:sz w:val="32"/>
          <w:szCs w:val="32"/>
        </w:rPr>
        <w:t>万元以上专用设备。</w:t>
      </w: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
      <w:pPr>
        <w:autoSpaceDE w:val="0"/>
        <w:autoSpaceDN w:val="0"/>
        <w:adjustRightInd w:val="0"/>
        <w:spacing w:line="600" w:lineRule="exact"/>
        <w:ind w:firstLine="640" w:firstLineChars="200"/>
        <w:jc w:val="left"/>
        <w:rPr>
          <w:rFonts w:ascii="仿宋" w:hAnsi="仿宋" w:eastAsia="仿宋"/>
          <w:color w:val="000000"/>
          <w:sz w:val="32"/>
          <w:szCs w:val="32"/>
        </w:rPr>
      </w:pPr>
    </w:p>
    <w:p>
      <w:pPr>
        <w:autoSpaceDE w:val="0"/>
        <w:autoSpaceDN w:val="0"/>
        <w:adjustRightInd w:val="0"/>
        <w:spacing w:line="600" w:lineRule="exact"/>
        <w:jc w:val="left"/>
        <w:rPr>
          <w:rFonts w:ascii="仿宋_GB2312" w:eastAsia="仿宋_GB2312"/>
          <w:color w:val="000000"/>
          <w:sz w:val="32"/>
          <w:szCs w:val="32"/>
        </w:rPr>
      </w:pPr>
    </w:p>
    <w:p>
      <w:pPr>
        <w:numPr>
          <w:ilvl w:val="0"/>
          <w:numId w:val="5"/>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3" w:firstLineChars="200"/>
        <w:rPr>
          <w:rFonts w:hAnsi="仿宋"/>
          <w:sz w:val="32"/>
          <w:szCs w:val="32"/>
        </w:rPr>
      </w:pPr>
      <w:r>
        <w:rPr>
          <w:rFonts w:hAnsi="仿宋"/>
          <w:b/>
          <w:sz w:val="32"/>
          <w:szCs w:val="32"/>
        </w:rPr>
        <w:t>1.</w:t>
      </w:r>
      <w:r>
        <w:rPr>
          <w:rFonts w:hint="eastAsia" w:hAnsi="仿宋"/>
          <w:b/>
          <w:sz w:val="32"/>
          <w:szCs w:val="32"/>
        </w:rPr>
        <w:t>财政拨款收入</w:t>
      </w:r>
      <w:r>
        <w:rPr>
          <w:rFonts w:hint="eastAsia" w:hAnsi="仿宋"/>
          <w:sz w:val="32"/>
          <w:szCs w:val="32"/>
        </w:rPr>
        <w:t>：指单位从同级财政部门取得的财政预算资金。</w:t>
      </w:r>
    </w:p>
    <w:p>
      <w:pPr>
        <w:pStyle w:val="22"/>
        <w:spacing w:line="560" w:lineRule="exact"/>
        <w:ind w:firstLine="643" w:firstLineChars="200"/>
        <w:rPr>
          <w:rFonts w:hint="eastAsia" w:hAnsi="仿宋"/>
          <w:sz w:val="32"/>
          <w:szCs w:val="32"/>
        </w:rPr>
      </w:pPr>
      <w:r>
        <w:rPr>
          <w:rFonts w:hAnsi="仿宋"/>
          <w:b/>
          <w:sz w:val="32"/>
          <w:szCs w:val="32"/>
        </w:rPr>
        <w:t>2.</w:t>
      </w:r>
      <w:r>
        <w:rPr>
          <w:rFonts w:hint="eastAsia" w:hAnsi="仿宋"/>
          <w:b/>
          <w:sz w:val="32"/>
          <w:szCs w:val="32"/>
        </w:rPr>
        <w:t>事业收入：</w:t>
      </w:r>
      <w:r>
        <w:rPr>
          <w:rFonts w:hint="eastAsia" w:hAnsi="仿宋"/>
          <w:sz w:val="32"/>
          <w:szCs w:val="32"/>
        </w:rPr>
        <w:t>指事业单位开展专业业务活动及辅助活动取得的收入。</w:t>
      </w:r>
    </w:p>
    <w:p>
      <w:pPr>
        <w:pStyle w:val="22"/>
        <w:spacing w:line="560" w:lineRule="exact"/>
        <w:ind w:firstLine="643" w:firstLineChars="200"/>
        <w:rPr>
          <w:rFonts w:hint="eastAsia" w:hAnsi="仿宋"/>
          <w:sz w:val="32"/>
          <w:szCs w:val="32"/>
        </w:rPr>
      </w:pPr>
      <w:r>
        <w:rPr>
          <w:rFonts w:hAnsi="仿宋"/>
          <w:b/>
          <w:sz w:val="32"/>
          <w:szCs w:val="32"/>
        </w:rPr>
        <w:t>3.</w:t>
      </w:r>
      <w:r>
        <w:rPr>
          <w:rFonts w:hint="eastAsia" w:hAnsi="仿宋"/>
          <w:b/>
          <w:sz w:val="32"/>
          <w:szCs w:val="32"/>
        </w:rPr>
        <w:t>经营收入</w:t>
      </w:r>
      <w:r>
        <w:rPr>
          <w:rFonts w:hint="eastAsia" w:hAnsi="仿宋"/>
          <w:sz w:val="32"/>
          <w:szCs w:val="32"/>
        </w:rPr>
        <w:t>：指事业单位在专业业务活动及其辅助活动之外开展非独立核算经营活动取得的收入。</w:t>
      </w:r>
    </w:p>
    <w:p>
      <w:pPr>
        <w:pStyle w:val="22"/>
        <w:spacing w:line="560" w:lineRule="exact"/>
        <w:ind w:firstLine="643" w:firstLineChars="200"/>
        <w:rPr>
          <w:rFonts w:hint="eastAsia" w:hAnsi="仿宋"/>
          <w:sz w:val="32"/>
          <w:szCs w:val="32"/>
          <w:lang w:val="en-US" w:eastAsia="zh-CN"/>
        </w:rPr>
      </w:pPr>
      <w:r>
        <w:rPr>
          <w:rFonts w:hAnsi="仿宋"/>
          <w:b/>
          <w:sz w:val="32"/>
          <w:szCs w:val="32"/>
        </w:rPr>
        <w:t>4.</w:t>
      </w:r>
      <w:r>
        <w:rPr>
          <w:rFonts w:hint="eastAsia" w:hAnsi="仿宋"/>
          <w:b/>
          <w:sz w:val="32"/>
          <w:szCs w:val="32"/>
        </w:rPr>
        <w:t>其他收入：</w:t>
      </w:r>
      <w:r>
        <w:rPr>
          <w:rFonts w:hint="eastAsia" w:hAnsi="仿宋"/>
          <w:sz w:val="32"/>
          <w:szCs w:val="32"/>
        </w:rPr>
        <w:t>指单位取得的除上述收入以外的各项收入。</w:t>
      </w:r>
      <w:r>
        <w:rPr>
          <w:rFonts w:hint="eastAsia" w:hAnsi="仿宋"/>
          <w:sz w:val="32"/>
          <w:szCs w:val="32"/>
          <w:lang w:val="en-US" w:eastAsia="zh-CN"/>
        </w:rPr>
        <w:t xml:space="preserve">   </w:t>
      </w:r>
    </w:p>
    <w:p>
      <w:pPr>
        <w:pStyle w:val="22"/>
        <w:spacing w:line="560" w:lineRule="exact"/>
        <w:ind w:firstLine="643" w:firstLineChars="200"/>
        <w:rPr>
          <w:rFonts w:hAnsi="仿宋"/>
          <w:sz w:val="32"/>
          <w:szCs w:val="32"/>
        </w:rPr>
      </w:pPr>
      <w:r>
        <w:rPr>
          <w:rFonts w:hAnsi="仿宋"/>
          <w:b/>
          <w:sz w:val="32"/>
          <w:szCs w:val="32"/>
        </w:rPr>
        <w:t>5.</w:t>
      </w:r>
      <w:r>
        <w:rPr>
          <w:rFonts w:hint="eastAsia" w:hAnsi="仿宋"/>
          <w:b/>
          <w:sz w:val="32"/>
          <w:szCs w:val="32"/>
        </w:rPr>
        <w:t>用事业基金弥补收支差额：</w:t>
      </w:r>
      <w:r>
        <w:rPr>
          <w:rFonts w:hint="eastAsia" w:hAnsi="仿宋"/>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3" w:firstLineChars="200"/>
        <w:rPr>
          <w:rFonts w:hAnsi="仿宋"/>
          <w:sz w:val="32"/>
          <w:szCs w:val="32"/>
        </w:rPr>
      </w:pPr>
      <w:r>
        <w:rPr>
          <w:rFonts w:hAnsi="仿宋"/>
          <w:b/>
          <w:sz w:val="32"/>
          <w:szCs w:val="32"/>
        </w:rPr>
        <w:t>6.</w:t>
      </w:r>
      <w:r>
        <w:rPr>
          <w:rFonts w:hint="eastAsia" w:hAnsi="仿宋"/>
          <w:b/>
          <w:sz w:val="32"/>
          <w:szCs w:val="32"/>
        </w:rPr>
        <w:t>年初结转和结余</w:t>
      </w:r>
      <w:r>
        <w:rPr>
          <w:rFonts w:hint="eastAsia" w:hAnsi="仿宋"/>
          <w:sz w:val="32"/>
          <w:szCs w:val="32"/>
        </w:rPr>
        <w:t>：指以前年度尚未完成、结转到本年按有关规定继续使用的资金。</w:t>
      </w:r>
    </w:p>
    <w:p>
      <w:pPr>
        <w:pStyle w:val="22"/>
        <w:spacing w:line="560" w:lineRule="exact"/>
        <w:ind w:firstLine="643" w:firstLineChars="200"/>
        <w:rPr>
          <w:rFonts w:hAnsi="仿宋"/>
          <w:sz w:val="32"/>
          <w:szCs w:val="32"/>
        </w:rPr>
      </w:pPr>
      <w:r>
        <w:rPr>
          <w:rFonts w:hAnsi="仿宋"/>
          <w:b/>
          <w:sz w:val="32"/>
          <w:szCs w:val="32"/>
        </w:rPr>
        <w:t>7.</w:t>
      </w:r>
      <w:r>
        <w:rPr>
          <w:rFonts w:hint="eastAsia" w:hAnsi="仿宋"/>
          <w:b/>
          <w:sz w:val="32"/>
          <w:szCs w:val="32"/>
        </w:rPr>
        <w:t>结余分配：</w:t>
      </w:r>
      <w:r>
        <w:rPr>
          <w:rFonts w:hint="eastAsia" w:hAnsi="仿宋"/>
          <w:sz w:val="32"/>
          <w:szCs w:val="32"/>
        </w:rPr>
        <w:t>指事业单位按照事业单位会计制度的规定从非财政补助结余中分配的事业基金和职工福利基金等。</w:t>
      </w:r>
    </w:p>
    <w:p>
      <w:pPr>
        <w:pStyle w:val="22"/>
        <w:spacing w:line="560" w:lineRule="exact"/>
        <w:ind w:firstLine="643" w:firstLineChars="200"/>
        <w:rPr>
          <w:rFonts w:hAnsi="仿宋"/>
          <w:sz w:val="32"/>
          <w:szCs w:val="32"/>
        </w:rPr>
      </w:pPr>
      <w:r>
        <w:rPr>
          <w:rFonts w:hAnsi="仿宋"/>
          <w:b/>
          <w:sz w:val="32"/>
          <w:szCs w:val="32"/>
        </w:rPr>
        <w:t>8</w:t>
      </w:r>
      <w:r>
        <w:rPr>
          <w:rFonts w:hint="eastAsia" w:hAnsi="仿宋"/>
          <w:b/>
          <w:sz w:val="32"/>
          <w:szCs w:val="32"/>
        </w:rPr>
        <w:t>、年末结转和结余</w:t>
      </w:r>
      <w:r>
        <w:rPr>
          <w:rFonts w:hint="eastAsia" w:hAnsi="仿宋"/>
          <w:sz w:val="32"/>
          <w:szCs w:val="32"/>
        </w:rPr>
        <w:t>：指单位按有关规定结转到下年或以后年度继续使用的资金。</w:t>
      </w:r>
    </w:p>
    <w:p>
      <w:pPr>
        <w:ind w:firstLine="643" w:firstLineChars="200"/>
        <w:rPr>
          <w:rFonts w:ascii="仿宋" w:hAnsi="仿宋" w:eastAsia="仿宋"/>
          <w:color w:val="000000"/>
          <w:sz w:val="32"/>
          <w:szCs w:val="32"/>
        </w:rPr>
      </w:pPr>
      <w:r>
        <w:rPr>
          <w:rFonts w:ascii="仿宋" w:hAnsi="仿宋" w:eastAsia="仿宋"/>
          <w:b/>
          <w:color w:val="000000"/>
          <w:sz w:val="32"/>
          <w:szCs w:val="32"/>
        </w:rPr>
        <w:t>9.</w:t>
      </w:r>
      <w:r>
        <w:rPr>
          <w:rFonts w:hint="eastAsia" w:ascii="仿宋" w:hAnsi="仿宋" w:eastAsia="仿宋"/>
          <w:b/>
          <w:color w:val="000000"/>
          <w:sz w:val="32"/>
          <w:szCs w:val="32"/>
        </w:rPr>
        <w:t>社会保障和就业（类）人力资源和社会保障管理事务（款）社会保险经办机构（项）：</w:t>
      </w:r>
      <w:r>
        <w:rPr>
          <w:rFonts w:hint="eastAsia" w:ascii="仿宋" w:hAnsi="仿宋" w:eastAsia="仿宋"/>
          <w:color w:val="000000"/>
          <w:sz w:val="32"/>
          <w:szCs w:val="32"/>
        </w:rPr>
        <w:t>指本单位的基本正常运转支出；其他人力资源和社会保障管理事务（项）: 指本部门主要用于全年开展项专项整治行动、基金监管等支出。</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10</w:t>
      </w:r>
      <w:r>
        <w:rPr>
          <w:rFonts w:ascii="仿宋" w:hAnsi="仿宋" w:eastAsia="仿宋"/>
          <w:b/>
          <w:color w:val="000000"/>
          <w:sz w:val="32"/>
          <w:szCs w:val="32"/>
        </w:rPr>
        <w:t>.</w:t>
      </w:r>
      <w:r>
        <w:rPr>
          <w:rFonts w:hint="eastAsia" w:ascii="仿宋" w:hAnsi="仿宋" w:eastAsia="仿宋"/>
          <w:b/>
          <w:color w:val="000000"/>
          <w:sz w:val="32"/>
          <w:szCs w:val="32"/>
        </w:rPr>
        <w:t>社会保障和就业（类）行政事业单位离退休（款）机关事业单位基本养老保险缴费支出（项）</w:t>
      </w:r>
      <w:r>
        <w:rPr>
          <w:rFonts w:hint="eastAsia" w:ascii="仿宋" w:hAnsi="仿宋" w:eastAsia="仿宋"/>
          <w:color w:val="000000"/>
          <w:sz w:val="32"/>
          <w:szCs w:val="32"/>
        </w:rPr>
        <w:t>: 指由单位缴纳的基本养老保险费支出。</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11.卫生健康（类）行政事业单位医疗（款）行政单位医疗（项）</w:t>
      </w:r>
      <w:r>
        <w:rPr>
          <w:rFonts w:hint="eastAsia" w:ascii="仿宋" w:hAnsi="仿宋" w:eastAsia="仿宋"/>
          <w:color w:val="000000"/>
          <w:sz w:val="32"/>
          <w:szCs w:val="32"/>
        </w:rPr>
        <w:t>:指单位支付的基本医疗保险费用；公务员医疗补助（项）:指单位为在职和退休人员支付的补助医疗保险费用。</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12．农林水（类）扶贫（款）社会发展（项）</w:t>
      </w:r>
      <w:r>
        <w:rPr>
          <w:rFonts w:hint="eastAsia" w:ascii="仿宋" w:hAnsi="仿宋" w:eastAsia="仿宋"/>
          <w:color w:val="000000"/>
          <w:sz w:val="32"/>
          <w:szCs w:val="32"/>
        </w:rPr>
        <w:t>：为财政代缴建档立卡贫困人口医保费用；</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13.住房保障支出（类）住房改革支出（款）住房公积金（项）</w:t>
      </w:r>
      <w:r>
        <w:rPr>
          <w:rFonts w:hint="eastAsia" w:ascii="仿宋" w:hAnsi="仿宋" w:eastAsia="仿宋"/>
          <w:color w:val="000000"/>
          <w:sz w:val="32"/>
          <w:szCs w:val="32"/>
        </w:rPr>
        <w:t>:指单位为在职职工支付的住房公积金费用。</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14.基本支出</w:t>
      </w:r>
      <w:r>
        <w:rPr>
          <w:rFonts w:hint="eastAsia" w:ascii="仿宋" w:hAnsi="仿宋" w:eastAsia="仿宋"/>
          <w:color w:val="000000"/>
          <w:sz w:val="32"/>
          <w:szCs w:val="32"/>
        </w:rPr>
        <w:t>：指为保障机构正常运转、完成日常工作任务而发生的人员支出和公用支出。</w:t>
      </w:r>
    </w:p>
    <w:p>
      <w:pPr>
        <w:ind w:firstLine="643" w:firstLineChars="200"/>
        <w:rPr>
          <w:rFonts w:ascii="仿宋" w:hAnsi="仿宋" w:eastAsia="仿宋"/>
          <w:color w:val="000000"/>
          <w:sz w:val="32"/>
          <w:szCs w:val="32"/>
        </w:rPr>
      </w:pPr>
      <w:r>
        <w:rPr>
          <w:rFonts w:hint="eastAsia" w:ascii="仿宋" w:hAnsi="仿宋" w:eastAsia="仿宋"/>
          <w:b/>
          <w:color w:val="000000"/>
          <w:sz w:val="32"/>
          <w:szCs w:val="32"/>
        </w:rPr>
        <w:t>15</w:t>
      </w:r>
      <w:r>
        <w:rPr>
          <w:rFonts w:ascii="仿宋" w:hAnsi="仿宋" w:eastAsia="仿宋"/>
          <w:b/>
          <w:color w:val="000000"/>
          <w:sz w:val="32"/>
          <w:szCs w:val="32"/>
        </w:rPr>
        <w:t>.</w:t>
      </w:r>
      <w:r>
        <w:rPr>
          <w:rFonts w:hint="eastAsia" w:ascii="仿宋" w:hAnsi="仿宋" w:eastAsia="仿宋"/>
          <w:b/>
          <w:color w:val="000000"/>
          <w:sz w:val="32"/>
          <w:szCs w:val="32"/>
        </w:rPr>
        <w:t>项目支出</w:t>
      </w:r>
      <w:r>
        <w:rPr>
          <w:rFonts w:hint="eastAsia" w:ascii="仿宋" w:hAnsi="仿宋" w:eastAsia="仿宋"/>
          <w:color w:val="000000"/>
          <w:sz w:val="32"/>
          <w:szCs w:val="32"/>
        </w:rPr>
        <w:t>：指在基本支出之外为完成特定行政任务和事业发展目标所发生的支出。</w:t>
      </w:r>
    </w:p>
    <w:p>
      <w:pPr>
        <w:ind w:firstLine="643" w:firstLineChars="200"/>
        <w:rPr>
          <w:rFonts w:ascii="仿宋" w:hAnsi="仿宋" w:eastAsia="仿宋"/>
          <w:color w:val="000000"/>
          <w:sz w:val="32"/>
          <w:szCs w:val="32"/>
        </w:rPr>
      </w:pPr>
      <w:r>
        <w:rPr>
          <w:rFonts w:hint="eastAsia" w:ascii="仿宋" w:hAnsi="仿宋" w:eastAsia="仿宋"/>
          <w:b/>
          <w:color w:val="000000"/>
          <w:sz w:val="32"/>
          <w:szCs w:val="32"/>
        </w:rPr>
        <w:t>16</w:t>
      </w:r>
      <w:r>
        <w:rPr>
          <w:rFonts w:ascii="仿宋" w:hAnsi="仿宋" w:eastAsia="仿宋"/>
          <w:b/>
          <w:color w:val="000000"/>
          <w:sz w:val="32"/>
          <w:szCs w:val="32"/>
        </w:rPr>
        <w:t>.</w:t>
      </w:r>
      <w:r>
        <w:rPr>
          <w:rFonts w:hint="eastAsia" w:ascii="仿宋" w:hAnsi="仿宋" w:eastAsia="仿宋"/>
          <w:b/>
          <w:color w:val="000000"/>
          <w:sz w:val="32"/>
          <w:szCs w:val="32"/>
        </w:rPr>
        <w:t>经营支出</w:t>
      </w:r>
      <w:r>
        <w:rPr>
          <w:rFonts w:hint="eastAsia" w:ascii="仿宋" w:hAnsi="仿宋" w:eastAsia="仿宋"/>
          <w:color w:val="000000"/>
          <w:sz w:val="32"/>
          <w:szCs w:val="32"/>
        </w:rPr>
        <w:t>：指事业单位在专业业务活动及其辅助活动之外开展非独立核算经营活动发生的支出。</w:t>
      </w:r>
    </w:p>
    <w:p>
      <w:pPr>
        <w:pStyle w:val="22"/>
        <w:spacing w:line="560" w:lineRule="exact"/>
        <w:ind w:firstLine="643" w:firstLineChars="200"/>
        <w:rPr>
          <w:rFonts w:hAnsi="仿宋"/>
          <w:sz w:val="32"/>
          <w:szCs w:val="32"/>
        </w:rPr>
      </w:pPr>
      <w:r>
        <w:rPr>
          <w:rFonts w:hint="eastAsia" w:hAnsi="仿宋"/>
          <w:b/>
          <w:sz w:val="32"/>
          <w:szCs w:val="32"/>
        </w:rPr>
        <w:t>17</w:t>
      </w:r>
      <w:r>
        <w:rPr>
          <w:rFonts w:hAnsi="仿宋"/>
          <w:b/>
          <w:sz w:val="32"/>
          <w:szCs w:val="32"/>
        </w:rPr>
        <w:t>.</w:t>
      </w:r>
      <w:r>
        <w:rPr>
          <w:rFonts w:hint="eastAsia" w:hAnsi="仿宋"/>
          <w:b/>
          <w:sz w:val="32"/>
          <w:szCs w:val="32"/>
        </w:rPr>
        <w:t>“三公”经费</w:t>
      </w:r>
      <w:r>
        <w:rPr>
          <w:rFonts w:hint="eastAsia" w:hAnsi="仿宋"/>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3" w:firstLineChars="200"/>
        <w:rPr>
          <w:rFonts w:hAnsi="仿宋"/>
          <w:sz w:val="32"/>
          <w:szCs w:val="32"/>
        </w:rPr>
      </w:pPr>
      <w:r>
        <w:rPr>
          <w:rFonts w:hint="eastAsia" w:hAnsi="仿宋"/>
          <w:b/>
          <w:sz w:val="32"/>
          <w:szCs w:val="32"/>
        </w:rPr>
        <w:t>18．机关运行经费</w:t>
      </w:r>
      <w:r>
        <w:rPr>
          <w:rFonts w:hint="eastAsia" w:hAnsi="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57" w:name="_Toc15377226"/>
    </w:p>
    <w:p>
      <w:pPr>
        <w:pStyle w:val="2"/>
        <w:rPr>
          <w:rFonts w:hint="eastAsia"/>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rPr>
        <w:t>四部分 附件</w:t>
      </w:r>
    </w:p>
    <w:p>
      <w:pPr>
        <w:rPr>
          <w:rFonts w:ascii="新宋体" w:hAnsi="新宋体" w:eastAsia="仿宋_GB2312" w:cs="新宋体"/>
          <w:sz w:val="32"/>
          <w:szCs w:val="32"/>
        </w:rPr>
      </w:pPr>
      <w:bookmarkStart w:id="58" w:name="_Toc15396615"/>
      <w:r>
        <w:rPr>
          <w:rFonts w:hint="eastAsia" w:ascii="新宋体" w:hAnsi="新宋体" w:eastAsia="仿宋_GB2312" w:cs="新宋体"/>
          <w:sz w:val="32"/>
          <w:szCs w:val="32"/>
        </w:rPr>
        <w:t>附件1</w:t>
      </w:r>
      <w:bookmarkEnd w:id="58"/>
    </w:p>
    <w:p>
      <w:pPr>
        <w:widowControl/>
        <w:jc w:val="center"/>
        <w:rPr>
          <w:rFonts w:ascii="微软雅黑" w:hAnsi="微软雅黑" w:eastAsia="仿宋_GB2312" w:cs="宋体"/>
          <w:b/>
          <w:bCs/>
          <w:color w:val="323232"/>
          <w:kern w:val="0"/>
          <w:sz w:val="32"/>
          <w:szCs w:val="39"/>
        </w:rPr>
      </w:pPr>
      <w:r>
        <w:rPr>
          <w:rFonts w:hint="eastAsia" w:ascii="微软雅黑" w:hAnsi="微软雅黑" w:eastAsia="仿宋_GB2312" w:cs="宋体"/>
          <w:b/>
          <w:bCs/>
          <w:color w:val="323232"/>
          <w:kern w:val="0"/>
          <w:sz w:val="32"/>
          <w:szCs w:val="39"/>
        </w:rPr>
        <w:t>宣汉县医疗保障局</w:t>
      </w:r>
    </w:p>
    <w:p>
      <w:pPr>
        <w:widowControl/>
        <w:jc w:val="center"/>
        <w:rPr>
          <w:rFonts w:ascii="微软雅黑" w:hAnsi="微软雅黑" w:eastAsia="仿宋_GB2312" w:cs="宋体"/>
          <w:b/>
          <w:bCs/>
          <w:color w:val="323232"/>
          <w:kern w:val="0"/>
          <w:sz w:val="32"/>
          <w:szCs w:val="39"/>
        </w:rPr>
      </w:pPr>
      <w:r>
        <w:rPr>
          <w:rFonts w:ascii="微软雅黑" w:hAnsi="微软雅黑" w:eastAsia="仿宋_GB2312" w:cs="宋体"/>
          <w:b/>
          <w:bCs/>
          <w:color w:val="323232"/>
          <w:kern w:val="0"/>
          <w:sz w:val="32"/>
          <w:szCs w:val="39"/>
        </w:rPr>
        <w:t>20</w:t>
      </w:r>
      <w:r>
        <w:rPr>
          <w:rFonts w:hint="eastAsia" w:ascii="微软雅黑" w:hAnsi="微软雅黑" w:eastAsia="仿宋_GB2312" w:cs="宋体"/>
          <w:b/>
          <w:bCs/>
          <w:color w:val="323232"/>
          <w:kern w:val="0"/>
          <w:sz w:val="32"/>
          <w:szCs w:val="39"/>
          <w:lang w:val="en-US" w:eastAsia="zh-CN"/>
        </w:rPr>
        <w:t>20</w:t>
      </w:r>
      <w:r>
        <w:rPr>
          <w:rFonts w:ascii="微软雅黑" w:hAnsi="微软雅黑" w:eastAsia="仿宋_GB2312" w:cs="宋体"/>
          <w:b/>
          <w:bCs/>
          <w:color w:val="323232"/>
          <w:kern w:val="0"/>
          <w:sz w:val="32"/>
          <w:szCs w:val="39"/>
        </w:rPr>
        <w:t>年部门整体支出绩效评价报告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3" w:firstLineChars="200"/>
        <w:contextualSpacing/>
        <w:jc w:val="left"/>
        <w:rPr>
          <w:rFonts w:ascii="仿宋" w:hAnsi="仿宋" w:eastAsia="仿宋"/>
          <w:sz w:val="32"/>
        </w:rPr>
      </w:pPr>
      <w:r>
        <w:rPr>
          <w:rFonts w:hint="eastAsia" w:ascii="仿宋" w:hAnsi="仿宋" w:eastAsia="仿宋" w:cs="宋体"/>
          <w:b/>
          <w:color w:val="000000"/>
          <w:kern w:val="0"/>
          <w:sz w:val="32"/>
          <w:szCs w:val="32"/>
          <w:shd w:val="clear" w:color="auto" w:fill="FFFFFF"/>
          <w:lang w:val="zh-CN"/>
        </w:rPr>
        <w:t>（一）</w:t>
      </w:r>
      <w:r>
        <w:rPr>
          <w:rFonts w:hint="eastAsia" w:ascii="仿宋" w:hAnsi="仿宋" w:eastAsia="仿宋"/>
          <w:b/>
          <w:sz w:val="32"/>
        </w:rPr>
        <w:t>机构组成及人员概况：</w:t>
      </w:r>
      <w:r>
        <w:rPr>
          <w:rFonts w:hint="eastAsia" w:ascii="仿宋" w:hAnsi="仿宋" w:eastAsia="仿宋"/>
          <w:b w:val="0"/>
          <w:bCs/>
          <w:sz w:val="32"/>
          <w:lang w:eastAsia="zh-CN"/>
        </w:rPr>
        <w:t>县</w:t>
      </w:r>
      <w:r>
        <w:rPr>
          <w:rFonts w:hint="eastAsia" w:ascii="仿宋" w:hAnsi="仿宋" w:eastAsia="仿宋"/>
          <w:sz w:val="32"/>
        </w:rPr>
        <w:t>医保局有行政编制9个,实有在职职工</w:t>
      </w:r>
      <w:r>
        <w:rPr>
          <w:rFonts w:hint="eastAsia" w:ascii="仿宋" w:hAnsi="仿宋" w:eastAsia="仿宋"/>
          <w:sz w:val="32"/>
          <w:lang w:val="en-US" w:eastAsia="zh-CN"/>
        </w:rPr>
        <w:t>8</w:t>
      </w:r>
      <w:r>
        <w:rPr>
          <w:rFonts w:hint="eastAsia" w:ascii="仿宋" w:hAnsi="仿宋" w:eastAsia="仿宋"/>
          <w:sz w:val="32"/>
        </w:rPr>
        <w:t>人。下属事业单位县医疗保障事务中心</w:t>
      </w:r>
      <w:r>
        <w:rPr>
          <w:rFonts w:hint="eastAsia" w:ascii="仿宋" w:hAnsi="仿宋" w:eastAsia="仿宋"/>
          <w:sz w:val="32"/>
          <w:lang w:eastAsia="zh-CN"/>
        </w:rPr>
        <w:t>，</w:t>
      </w:r>
      <w:r>
        <w:rPr>
          <w:rFonts w:hint="eastAsia" w:ascii="仿宋" w:hAnsi="仿宋" w:eastAsia="仿宋"/>
          <w:sz w:val="32"/>
        </w:rPr>
        <w:t>事业编制24人，实有在职职工</w:t>
      </w:r>
      <w:r>
        <w:rPr>
          <w:rFonts w:hint="eastAsia" w:ascii="仿宋" w:hAnsi="仿宋" w:eastAsia="仿宋"/>
          <w:sz w:val="32"/>
          <w:lang w:val="en-US" w:eastAsia="zh-CN"/>
        </w:rPr>
        <w:t>25</w:t>
      </w:r>
      <w:r>
        <w:rPr>
          <w:rFonts w:hint="eastAsia" w:ascii="仿宋" w:hAnsi="仿宋" w:eastAsia="仿宋"/>
          <w:sz w:val="32"/>
        </w:rPr>
        <w:t>人。</w:t>
      </w:r>
      <w:r>
        <w:rPr>
          <w:rFonts w:hint="eastAsia" w:ascii="仿宋" w:hAnsi="仿宋" w:eastAsia="仿宋"/>
          <w:sz w:val="32"/>
          <w:lang w:eastAsia="zh-CN"/>
        </w:rPr>
        <w:t>局现</w:t>
      </w:r>
      <w:r>
        <w:rPr>
          <w:rFonts w:hint="eastAsia" w:ascii="仿宋" w:hAnsi="仿宋" w:eastAsia="仿宋"/>
          <w:sz w:val="32"/>
        </w:rPr>
        <w:t>有退休人员3人</w:t>
      </w:r>
      <w:r>
        <w:rPr>
          <w:rFonts w:hint="eastAsia" w:ascii="仿宋" w:hAnsi="仿宋" w:eastAsia="仿宋"/>
          <w:sz w:val="32"/>
          <w:lang w:eastAsia="zh-CN"/>
        </w:rPr>
        <w:t>。</w:t>
      </w:r>
    </w:p>
    <w:p>
      <w:pPr>
        <w:adjustRightInd w:val="0"/>
        <w:snapToGrid w:val="0"/>
        <w:spacing w:line="579" w:lineRule="exact"/>
        <w:ind w:firstLine="643" w:firstLineChars="200"/>
        <w:rPr>
          <w:rFonts w:hint="eastAsia" w:ascii="仿宋" w:hAnsi="仿宋" w:eastAsia="仿宋" w:cs="宋体"/>
          <w:b/>
          <w:color w:val="000000"/>
          <w:kern w:val="0"/>
          <w:sz w:val="32"/>
          <w:szCs w:val="32"/>
          <w:shd w:val="clear" w:color="auto" w:fill="FFFFFF"/>
          <w:lang w:val="zh-CN"/>
        </w:rPr>
      </w:pPr>
      <w:r>
        <w:rPr>
          <w:rFonts w:hint="eastAsia" w:ascii="仿宋" w:hAnsi="仿宋" w:eastAsia="仿宋" w:cs="宋体"/>
          <w:b/>
          <w:color w:val="000000"/>
          <w:kern w:val="0"/>
          <w:sz w:val="32"/>
          <w:szCs w:val="32"/>
          <w:shd w:val="clear" w:color="auto" w:fill="FFFFFF"/>
          <w:lang w:val="zh-CN"/>
        </w:rPr>
        <w:t>（二）机构职能：</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1</w:t>
      </w:r>
      <w:r>
        <w:rPr>
          <w:rFonts w:ascii="仿宋" w:hAnsi="仿宋" w:eastAsia="仿宋"/>
          <w:bCs/>
          <w:snapToGrid w:val="0"/>
          <w:color w:val="000000"/>
          <w:kern w:val="0"/>
          <w:sz w:val="32"/>
          <w:szCs w:val="32"/>
        </w:rPr>
        <w:t>）组织起草医疗保险、生育保险、医疗救助等医疗保障的地方性法规、规章草案，拟订本县医疗保障事业发展规划、政策和标准，并组织实施和监督检查。</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2</w:t>
      </w:r>
      <w:r>
        <w:rPr>
          <w:rFonts w:ascii="仿宋" w:hAnsi="仿宋" w:eastAsia="仿宋"/>
          <w:bCs/>
          <w:snapToGrid w:val="0"/>
          <w:color w:val="000000"/>
          <w:kern w:val="0"/>
          <w:sz w:val="32"/>
          <w:szCs w:val="32"/>
        </w:rPr>
        <w:t>）组织拟订并实施医疗保障基金监督管理制度</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实施医疗保障基金审批管理</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建立健全医疗保障基金安全防控机制，监督强化全县医疗保障基金运行管理。</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3</w:t>
      </w:r>
      <w:r>
        <w:rPr>
          <w:rFonts w:ascii="仿宋" w:hAnsi="仿宋" w:eastAsia="仿宋"/>
          <w:bCs/>
          <w:snapToGrid w:val="0"/>
          <w:color w:val="000000"/>
          <w:kern w:val="0"/>
          <w:sz w:val="32"/>
          <w:szCs w:val="32"/>
        </w:rPr>
        <w:t>）组织拟订并实施医疗保障筹资和待遇政策，统筹城乡医疗保障待遇标准，建立健全并完善与筹资水平相适应的待遇动态调整机制</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负责全县离休干部等特殊人群医疗保障</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组织拟订并实施长期护理保险制度改革方案。</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4</w:t>
      </w:r>
      <w:r>
        <w:rPr>
          <w:rFonts w:ascii="仿宋" w:hAnsi="仿宋" w:eastAsia="仿宋"/>
          <w:bCs/>
          <w:snapToGrid w:val="0"/>
          <w:color w:val="000000"/>
          <w:kern w:val="0"/>
          <w:sz w:val="32"/>
          <w:szCs w:val="32"/>
        </w:rPr>
        <w:t>）按照全省、全市医疗保障目录，对城乡统一的医疗服务项目、医疗服务设施等组织拟订全县支付标准，建立动态调整机制并组织实施。</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5</w:t>
      </w:r>
      <w:r>
        <w:rPr>
          <w:rFonts w:ascii="仿宋" w:hAnsi="仿宋" w:eastAsia="仿宋"/>
          <w:bCs/>
          <w:snapToGrid w:val="0"/>
          <w:color w:val="000000"/>
          <w:kern w:val="0"/>
          <w:sz w:val="32"/>
          <w:szCs w:val="32"/>
        </w:rPr>
        <w:t>）组织拟订医疗服务项目、</w:t>
      </w:r>
      <w:r>
        <w:rPr>
          <w:rFonts w:hint="eastAsia" w:ascii="仿宋" w:hAnsi="仿宋" w:eastAsia="仿宋"/>
          <w:bCs/>
          <w:snapToGrid w:val="0"/>
          <w:color w:val="000000"/>
          <w:kern w:val="0"/>
          <w:sz w:val="32"/>
          <w:szCs w:val="32"/>
        </w:rPr>
        <w:t>医药</w:t>
      </w:r>
      <w:r>
        <w:rPr>
          <w:rFonts w:ascii="仿宋" w:hAnsi="仿宋" w:eastAsia="仿宋"/>
          <w:bCs/>
          <w:snapToGrid w:val="0"/>
          <w:color w:val="000000"/>
          <w:kern w:val="0"/>
          <w:sz w:val="32"/>
          <w:szCs w:val="32"/>
        </w:rPr>
        <w:t>服务设施收费等政策，建立医保支付医疗服务价格合理确定和动态调整机制，推动建立市场主导的社会医疗服务价格形成机制，建立价格信息监测和信息发布制度。</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6</w:t>
      </w:r>
      <w:r>
        <w:rPr>
          <w:rFonts w:ascii="仿宋" w:hAnsi="仿宋" w:eastAsia="仿宋"/>
          <w:bCs/>
          <w:snapToGrid w:val="0"/>
          <w:color w:val="000000"/>
          <w:kern w:val="0"/>
          <w:sz w:val="32"/>
          <w:szCs w:val="32"/>
        </w:rPr>
        <w:t>）负责国家和省、市药品、医用耗材招标采购政策的监督实施工作。</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7</w:t>
      </w:r>
      <w:r>
        <w:rPr>
          <w:rFonts w:ascii="仿宋" w:hAnsi="仿宋" w:eastAsia="仿宋"/>
          <w:bCs/>
          <w:snapToGrid w:val="0"/>
          <w:color w:val="000000"/>
          <w:kern w:val="0"/>
          <w:sz w:val="32"/>
          <w:szCs w:val="32"/>
        </w:rPr>
        <w:t>）推进医疗保障基金支付方式改革，拟订全县定点医药机构协议和支付管理办法并组织实施，</w:t>
      </w:r>
      <w:r>
        <w:rPr>
          <w:rFonts w:hint="eastAsia" w:ascii="仿宋" w:hAnsi="仿宋" w:eastAsia="仿宋"/>
          <w:bCs/>
          <w:snapToGrid w:val="0"/>
          <w:color w:val="000000"/>
          <w:kern w:val="0"/>
          <w:sz w:val="32"/>
          <w:szCs w:val="32"/>
        </w:rPr>
        <w:t>负责</w:t>
      </w:r>
      <w:r>
        <w:rPr>
          <w:rFonts w:ascii="仿宋" w:hAnsi="仿宋" w:eastAsia="仿宋"/>
          <w:bCs/>
          <w:snapToGrid w:val="0"/>
          <w:color w:val="000000"/>
          <w:kern w:val="0"/>
          <w:sz w:val="32"/>
          <w:szCs w:val="32"/>
        </w:rPr>
        <w:t>全县医疗保障定点机构管理</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建立健全医疗保障信用评价体系和信息披露制度，监督管理纳入医疗保障范围内的医疗服务行为和医疗费用，依法查处医疗保障领域违法违规行为。</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8</w:t>
      </w:r>
      <w:r>
        <w:rPr>
          <w:rFonts w:ascii="仿宋" w:hAnsi="仿宋" w:eastAsia="仿宋"/>
          <w:bCs/>
          <w:snapToGrid w:val="0"/>
          <w:color w:val="000000"/>
          <w:kern w:val="0"/>
          <w:sz w:val="32"/>
          <w:szCs w:val="32"/>
        </w:rPr>
        <w:t>）负责全县医疗保障经办管理和公共服务体系建设</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组织拟订和完善异地就医管理等政策</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建立健全医疗保障关系转移接续制度</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监督管理全县医保经办服务工作</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开展医疗保障领域对外合作交流。</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9</w:t>
      </w:r>
      <w:r>
        <w:rPr>
          <w:rFonts w:ascii="仿宋" w:hAnsi="仿宋" w:eastAsia="仿宋"/>
          <w:bCs/>
          <w:snapToGrid w:val="0"/>
          <w:color w:val="000000"/>
          <w:kern w:val="0"/>
          <w:sz w:val="32"/>
          <w:szCs w:val="32"/>
        </w:rPr>
        <w:t>）负责规划实施全县医疗保障信息化系统建设</w:t>
      </w:r>
      <w:r>
        <w:rPr>
          <w:rFonts w:hint="eastAsia" w:ascii="仿宋" w:hAnsi="仿宋" w:eastAsia="仿宋"/>
          <w:bCs/>
          <w:snapToGrid w:val="0"/>
          <w:color w:val="000000"/>
          <w:kern w:val="0"/>
          <w:sz w:val="32"/>
          <w:szCs w:val="32"/>
        </w:rPr>
        <w:t>，</w:t>
      </w:r>
      <w:r>
        <w:rPr>
          <w:rFonts w:ascii="仿宋" w:hAnsi="仿宋" w:eastAsia="仿宋"/>
          <w:bCs/>
          <w:snapToGrid w:val="0"/>
          <w:color w:val="000000"/>
          <w:kern w:val="0"/>
          <w:sz w:val="32"/>
          <w:szCs w:val="32"/>
        </w:rPr>
        <w:t>组织开展医疗保障大数据管理和应用。</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10</w:t>
      </w:r>
      <w:r>
        <w:rPr>
          <w:rFonts w:ascii="仿宋" w:hAnsi="仿宋" w:eastAsia="仿宋"/>
          <w:bCs/>
          <w:snapToGrid w:val="0"/>
          <w:color w:val="000000"/>
          <w:kern w:val="0"/>
          <w:sz w:val="32"/>
          <w:szCs w:val="32"/>
        </w:rPr>
        <w:t>）负责职责范围内的安全生产和职业健康、生态环境保护、便民化服务等工作。</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11</w:t>
      </w:r>
      <w:r>
        <w:rPr>
          <w:rFonts w:ascii="仿宋" w:hAnsi="仿宋" w:eastAsia="仿宋"/>
          <w:bCs/>
          <w:snapToGrid w:val="0"/>
          <w:color w:val="000000"/>
          <w:kern w:val="0"/>
          <w:sz w:val="32"/>
          <w:szCs w:val="32"/>
        </w:rPr>
        <w:t>）完成县委、县政府交办的其他任务。</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12</w:t>
      </w:r>
      <w:r>
        <w:rPr>
          <w:rFonts w:ascii="仿宋" w:hAnsi="仿宋" w:eastAsia="仿宋"/>
          <w:bCs/>
          <w:snapToGrid w:val="0"/>
          <w:color w:val="000000"/>
          <w:kern w:val="0"/>
          <w:sz w:val="32"/>
          <w:szCs w:val="32"/>
        </w:rPr>
        <w:t>）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w:t>
      </w:r>
    </w:p>
    <w:p>
      <w:pPr>
        <w:adjustRightInd w:val="0"/>
        <w:snapToGrid w:val="0"/>
        <w:spacing w:line="579" w:lineRule="exact"/>
        <w:ind w:firstLine="480" w:firstLineChars="150"/>
        <w:rPr>
          <w:rFonts w:ascii="仿宋" w:hAnsi="仿宋" w:eastAsia="仿宋"/>
          <w:bCs/>
          <w:snapToGrid w:val="0"/>
          <w:color w:val="000000"/>
          <w:kern w:val="0"/>
          <w:sz w:val="32"/>
          <w:szCs w:val="32"/>
        </w:rPr>
      </w:pPr>
      <w:r>
        <w:rPr>
          <w:rFonts w:ascii="仿宋" w:hAnsi="仿宋" w:eastAsia="仿宋"/>
          <w:bCs/>
          <w:snapToGrid w:val="0"/>
          <w:color w:val="000000"/>
          <w:kern w:val="0"/>
          <w:sz w:val="32"/>
          <w:szCs w:val="32"/>
        </w:rPr>
        <w:t>（</w:t>
      </w:r>
      <w:r>
        <w:rPr>
          <w:rFonts w:hint="eastAsia" w:ascii="仿宋" w:hAnsi="仿宋" w:eastAsia="仿宋"/>
          <w:bCs/>
          <w:snapToGrid w:val="0"/>
          <w:color w:val="000000"/>
          <w:kern w:val="0"/>
          <w:sz w:val="32"/>
          <w:szCs w:val="32"/>
        </w:rPr>
        <w:t>13</w:t>
      </w:r>
      <w:r>
        <w:rPr>
          <w:rFonts w:ascii="仿宋" w:hAnsi="仿宋" w:eastAsia="仿宋"/>
          <w:bCs/>
          <w:snapToGrid w:val="0"/>
          <w:color w:val="000000"/>
          <w:kern w:val="0"/>
          <w:sz w:val="32"/>
          <w:szCs w:val="32"/>
        </w:rPr>
        <w:t>）有关职责分工。县卫生健康局、县医疗保障局等部门在医疗、医保、医药等方面加强制度、政策衔接，建立沟通协商机制，协同推进改革，提高医疗资源使用效率和医疗保障水平。</w:t>
      </w:r>
    </w:p>
    <w:p>
      <w:pPr>
        <w:ind w:firstLine="640" w:firstLineChars="200"/>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ind w:firstLine="321" w:firstLineChars="100"/>
        <w:rPr>
          <w:rFonts w:hint="eastAsia" w:ascii="仿宋" w:hAnsi="仿宋" w:eastAsia="仿宋" w:cs="宋体"/>
          <w:b/>
          <w:color w:val="000000"/>
          <w:kern w:val="0"/>
          <w:sz w:val="32"/>
          <w:szCs w:val="32"/>
          <w:shd w:val="clear" w:color="auto" w:fill="FFFFFF"/>
          <w:lang w:val="zh-CN"/>
        </w:rPr>
      </w:pPr>
      <w:r>
        <w:rPr>
          <w:rFonts w:hint="eastAsia" w:ascii="仿宋" w:hAnsi="仿宋" w:eastAsia="仿宋" w:cs="宋体"/>
          <w:b/>
          <w:color w:val="000000"/>
          <w:kern w:val="0"/>
          <w:sz w:val="32"/>
          <w:szCs w:val="32"/>
          <w:shd w:val="clear" w:color="auto" w:fill="FFFFFF"/>
          <w:lang w:val="zh-CN"/>
        </w:rPr>
        <w:t>（一）部门财政资金收入情况</w:t>
      </w:r>
    </w:p>
    <w:p>
      <w:pPr>
        <w:ind w:firstLine="640" w:firstLineChars="200"/>
        <w:rPr>
          <w:rFonts w:ascii="仿宋" w:hAnsi="仿宋" w:eastAsia="仿宋" w:cs="仿宋_GB2312"/>
          <w:sz w:val="32"/>
          <w:szCs w:val="30"/>
        </w:rPr>
      </w:pPr>
      <w:r>
        <w:rPr>
          <w:rFonts w:hint="eastAsia" w:ascii="仿宋" w:hAnsi="仿宋" w:eastAsia="仿宋" w:cs="仿宋_GB2312"/>
          <w:sz w:val="32"/>
          <w:szCs w:val="30"/>
        </w:rPr>
        <w:t>20</w:t>
      </w:r>
      <w:r>
        <w:rPr>
          <w:rFonts w:hint="eastAsia" w:ascii="仿宋" w:hAnsi="仿宋" w:eastAsia="仿宋" w:cs="仿宋_GB2312"/>
          <w:sz w:val="32"/>
          <w:szCs w:val="30"/>
          <w:lang w:val="en-US" w:eastAsia="zh-CN"/>
        </w:rPr>
        <w:t>20</w:t>
      </w:r>
      <w:r>
        <w:rPr>
          <w:rFonts w:hint="eastAsia" w:ascii="仿宋" w:hAnsi="仿宋" w:eastAsia="仿宋" w:cs="仿宋_GB2312"/>
          <w:sz w:val="32"/>
          <w:szCs w:val="30"/>
        </w:rPr>
        <w:t>年部门收入决算总额为</w:t>
      </w:r>
      <w:r>
        <w:rPr>
          <w:rFonts w:hint="eastAsia" w:ascii="仿宋" w:hAnsi="仿宋" w:eastAsia="仿宋" w:cs="仿宋_GB2312"/>
          <w:sz w:val="32"/>
          <w:szCs w:val="30"/>
          <w:lang w:val="en-US" w:eastAsia="zh-CN"/>
        </w:rPr>
        <w:t>848.74</w:t>
      </w:r>
      <w:r>
        <w:rPr>
          <w:rFonts w:hint="eastAsia" w:ascii="仿宋" w:hAnsi="仿宋" w:eastAsia="仿宋" w:cs="仿宋_GB2312"/>
          <w:sz w:val="32"/>
          <w:szCs w:val="30"/>
        </w:rPr>
        <w:t>万元，</w:t>
      </w:r>
      <w:r>
        <w:rPr>
          <w:rFonts w:hint="eastAsia" w:ascii="仿宋" w:hAnsi="仿宋" w:eastAsia="仿宋" w:cs="仿宋_GB2312"/>
          <w:sz w:val="32"/>
          <w:szCs w:val="30"/>
          <w:lang w:eastAsia="zh-CN"/>
        </w:rPr>
        <w:t>为一般公共预算财政拨款</w:t>
      </w:r>
      <w:r>
        <w:rPr>
          <w:rFonts w:hint="eastAsia" w:ascii="仿宋" w:hAnsi="仿宋" w:eastAsia="仿宋" w:cs="仿宋_GB2312"/>
          <w:sz w:val="32"/>
          <w:szCs w:val="30"/>
          <w:lang w:val="en-US" w:eastAsia="zh-CN"/>
        </w:rPr>
        <w:t>848.74万</w:t>
      </w:r>
      <w:r>
        <w:rPr>
          <w:rFonts w:hint="eastAsia" w:ascii="仿宋" w:hAnsi="仿宋" w:eastAsia="仿宋" w:cs="仿宋_GB2312"/>
          <w:sz w:val="32"/>
          <w:szCs w:val="30"/>
        </w:rPr>
        <w:t>元。</w:t>
      </w:r>
    </w:p>
    <w:p>
      <w:pPr>
        <w:ind w:firstLine="321" w:firstLineChars="100"/>
        <w:rPr>
          <w:rFonts w:hint="eastAsia" w:ascii="仿宋" w:hAnsi="仿宋" w:eastAsia="仿宋" w:cs="宋体"/>
          <w:b/>
          <w:color w:val="000000"/>
          <w:kern w:val="0"/>
          <w:sz w:val="32"/>
          <w:szCs w:val="32"/>
          <w:shd w:val="clear" w:color="auto" w:fill="FFFFFF"/>
        </w:rPr>
      </w:pPr>
      <w:r>
        <w:rPr>
          <w:rFonts w:hint="eastAsia" w:ascii="仿宋" w:hAnsi="仿宋" w:eastAsia="仿宋" w:cs="宋体"/>
          <w:b/>
          <w:color w:val="000000"/>
          <w:kern w:val="0"/>
          <w:sz w:val="32"/>
          <w:szCs w:val="32"/>
          <w:shd w:val="clear" w:color="auto" w:fill="FFFFFF"/>
          <w:lang w:val="zh-CN"/>
        </w:rPr>
        <w:t>（二）部门财政资金支出情况</w:t>
      </w:r>
    </w:p>
    <w:p>
      <w:pPr>
        <w:ind w:firstLine="640" w:firstLineChars="200"/>
        <w:rPr>
          <w:rFonts w:ascii="仿宋" w:hAnsi="仿宋" w:eastAsia="仿宋" w:cs="宋体"/>
          <w:color w:val="000000"/>
          <w:kern w:val="0"/>
          <w:sz w:val="32"/>
          <w:szCs w:val="32"/>
          <w:shd w:val="clear" w:color="auto" w:fill="FFFFFF"/>
          <w:lang w:val="zh-CN"/>
        </w:rPr>
      </w:pPr>
      <w:r>
        <w:rPr>
          <w:rFonts w:hint="eastAsia" w:ascii="仿宋" w:hAnsi="仿宋" w:eastAsia="仿宋" w:cs="仿宋_GB2312"/>
          <w:sz w:val="32"/>
          <w:szCs w:val="30"/>
        </w:rPr>
        <w:t>20</w:t>
      </w:r>
      <w:r>
        <w:rPr>
          <w:rFonts w:hint="eastAsia" w:ascii="仿宋" w:hAnsi="仿宋" w:eastAsia="仿宋" w:cs="仿宋_GB2312"/>
          <w:sz w:val="32"/>
          <w:szCs w:val="30"/>
          <w:lang w:val="en-US" w:eastAsia="zh-CN"/>
        </w:rPr>
        <w:t>20</w:t>
      </w:r>
      <w:r>
        <w:rPr>
          <w:rFonts w:hint="eastAsia" w:ascii="仿宋" w:hAnsi="仿宋" w:eastAsia="仿宋" w:cs="仿宋_GB2312"/>
          <w:sz w:val="32"/>
          <w:szCs w:val="30"/>
        </w:rPr>
        <w:t>年支出决算</w:t>
      </w:r>
      <w:r>
        <w:rPr>
          <w:rFonts w:hint="eastAsia" w:ascii="仿宋" w:hAnsi="仿宋" w:eastAsia="仿宋" w:cs="仿宋_GB2312"/>
          <w:sz w:val="32"/>
          <w:szCs w:val="30"/>
          <w:lang w:val="en-US" w:eastAsia="zh-CN"/>
        </w:rPr>
        <w:t>848.75</w:t>
      </w:r>
      <w:r>
        <w:rPr>
          <w:rFonts w:hint="eastAsia" w:ascii="仿宋" w:hAnsi="仿宋" w:eastAsia="仿宋" w:cs="仿宋_GB2312"/>
          <w:sz w:val="32"/>
          <w:szCs w:val="30"/>
        </w:rPr>
        <w:t>万元，</w:t>
      </w:r>
      <w:r>
        <w:rPr>
          <w:rFonts w:hint="eastAsia" w:ascii="仿宋" w:hAnsi="仿宋" w:eastAsia="仿宋" w:cs="仿宋_GB2312"/>
          <w:sz w:val="32"/>
          <w:szCs w:val="30"/>
          <w:lang w:eastAsia="zh-CN"/>
        </w:rPr>
        <w:t>为</w:t>
      </w:r>
      <w:r>
        <w:rPr>
          <w:rFonts w:hint="eastAsia" w:ascii="仿宋" w:hAnsi="仿宋" w:eastAsia="仿宋" w:cs="新宋体"/>
          <w:sz w:val="32"/>
          <w:szCs w:val="32"/>
        </w:rPr>
        <w:t>一般公共预算支出决算数为</w:t>
      </w:r>
      <w:r>
        <w:rPr>
          <w:rFonts w:hint="eastAsia" w:ascii="仿宋" w:hAnsi="仿宋" w:eastAsia="仿宋" w:cs="新宋体"/>
          <w:sz w:val="32"/>
          <w:szCs w:val="32"/>
          <w:lang w:val="en-US" w:eastAsia="zh-CN"/>
        </w:rPr>
        <w:t>848.75</w:t>
      </w:r>
      <w:r>
        <w:rPr>
          <w:rFonts w:hint="eastAsia" w:ascii="仿宋" w:hAnsi="仿宋" w:eastAsia="仿宋" w:cs="新宋体"/>
          <w:sz w:val="32"/>
          <w:szCs w:val="32"/>
        </w:rPr>
        <w:t>万元</w:t>
      </w:r>
      <w:r>
        <w:rPr>
          <w:rFonts w:hint="eastAsia" w:ascii="楷体" w:hAnsi="楷体" w:eastAsia="楷体" w:cs="楷体"/>
          <w:sz w:val="32"/>
          <w:szCs w:val="32"/>
        </w:rPr>
        <w:t>(</w:t>
      </w:r>
      <w:r>
        <w:rPr>
          <w:rFonts w:hint="eastAsia" w:ascii="楷体" w:hAnsi="楷体" w:eastAsia="楷体" w:cs="楷体"/>
          <w:sz w:val="32"/>
          <w:szCs w:val="32"/>
          <w:lang w:eastAsia="zh-CN"/>
        </w:rPr>
        <w:t>其中基本支出</w:t>
      </w:r>
      <w:r>
        <w:rPr>
          <w:rFonts w:hint="eastAsia" w:ascii="楷体" w:hAnsi="楷体" w:eastAsia="楷体" w:cs="楷体"/>
          <w:sz w:val="32"/>
          <w:szCs w:val="32"/>
          <w:lang w:val="en-US" w:eastAsia="zh-CN"/>
        </w:rPr>
        <w:t>442.18万元、项目支出406.57万元</w:t>
      </w:r>
      <w:r>
        <w:rPr>
          <w:rFonts w:hint="eastAsia" w:ascii="楷体" w:hAnsi="楷体" w:eastAsia="楷体" w:cs="楷体"/>
          <w:sz w:val="32"/>
          <w:szCs w:val="32"/>
        </w:rPr>
        <w:t>)</w:t>
      </w:r>
      <w:r>
        <w:rPr>
          <w:rFonts w:hint="eastAsia" w:ascii="仿宋" w:hAnsi="仿宋" w:eastAsia="仿宋" w:cs="新宋体"/>
          <w:sz w:val="32"/>
          <w:szCs w:val="32"/>
        </w:rPr>
        <w:t>，</w:t>
      </w:r>
      <w:r>
        <w:rPr>
          <w:rFonts w:hint="eastAsia" w:ascii="仿宋" w:hAnsi="仿宋" w:eastAsia="仿宋" w:cs="新宋体"/>
          <w:sz w:val="32"/>
          <w:szCs w:val="32"/>
          <w:lang w:eastAsia="zh-CN"/>
        </w:rPr>
        <w:t>包括：</w:t>
      </w:r>
      <w:r>
        <w:rPr>
          <w:rFonts w:hint="eastAsia" w:ascii="仿宋" w:hAnsi="仿宋" w:eastAsia="仿宋" w:cs="新宋体"/>
          <w:sz w:val="32"/>
          <w:szCs w:val="32"/>
        </w:rPr>
        <w:t>社会保障和就业类支出</w:t>
      </w:r>
      <w:r>
        <w:rPr>
          <w:rFonts w:hint="eastAsia" w:ascii="仿宋" w:hAnsi="仿宋" w:eastAsia="仿宋" w:cs="新宋体"/>
          <w:sz w:val="32"/>
          <w:szCs w:val="32"/>
          <w:lang w:val="en-US" w:eastAsia="zh-CN"/>
        </w:rPr>
        <w:t>67.78</w:t>
      </w:r>
      <w:r>
        <w:rPr>
          <w:rFonts w:hint="eastAsia" w:ascii="仿宋" w:hAnsi="仿宋" w:eastAsia="仿宋" w:cs="新宋体"/>
          <w:sz w:val="32"/>
          <w:szCs w:val="32"/>
        </w:rPr>
        <w:t>万元；卫生健康类支出</w:t>
      </w:r>
      <w:r>
        <w:rPr>
          <w:rFonts w:hint="eastAsia" w:ascii="仿宋" w:hAnsi="仿宋" w:eastAsia="仿宋" w:cs="新宋体"/>
          <w:sz w:val="32"/>
          <w:szCs w:val="32"/>
          <w:lang w:val="en-US" w:eastAsia="zh-CN"/>
        </w:rPr>
        <w:t>756.01</w:t>
      </w:r>
      <w:r>
        <w:rPr>
          <w:rFonts w:hint="eastAsia" w:ascii="仿宋" w:hAnsi="仿宋" w:eastAsia="仿宋" w:cs="新宋体"/>
          <w:sz w:val="32"/>
          <w:szCs w:val="32"/>
        </w:rPr>
        <w:t>万元；住房保障类支出</w:t>
      </w:r>
      <w:r>
        <w:rPr>
          <w:rFonts w:hint="eastAsia" w:ascii="仿宋" w:hAnsi="仿宋" w:eastAsia="仿宋" w:cs="新宋体"/>
          <w:sz w:val="32"/>
          <w:szCs w:val="32"/>
          <w:lang w:val="en-US" w:eastAsia="zh-CN"/>
        </w:rPr>
        <w:t>24.96</w:t>
      </w:r>
      <w:r>
        <w:rPr>
          <w:rFonts w:hint="eastAsia" w:ascii="仿宋" w:hAnsi="仿宋" w:eastAsia="仿宋" w:cs="新宋体"/>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3" w:firstLineChars="200"/>
        <w:contextualSpacing/>
        <w:jc w:val="left"/>
        <w:rPr>
          <w:rFonts w:ascii="仿宋" w:hAnsi="仿宋" w:eastAsia="仿宋" w:cs="宋体"/>
          <w:b/>
          <w:color w:val="000000"/>
          <w:kern w:val="0"/>
          <w:sz w:val="32"/>
          <w:szCs w:val="32"/>
          <w:shd w:val="clear" w:color="auto" w:fill="FFFFFF"/>
          <w:lang w:val="zh-CN"/>
        </w:rPr>
      </w:pPr>
      <w:r>
        <w:rPr>
          <w:rFonts w:hint="eastAsia" w:ascii="仿宋" w:hAnsi="仿宋" w:eastAsia="仿宋" w:cs="宋体"/>
          <w:b/>
          <w:color w:val="000000"/>
          <w:kern w:val="0"/>
          <w:sz w:val="32"/>
          <w:szCs w:val="32"/>
          <w:shd w:val="clear" w:color="auto" w:fill="FFFFFF"/>
          <w:lang w:val="zh-CN"/>
        </w:rPr>
        <w:t>（一）部门预算管理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严格按照县级部门预算编制要求</w:t>
      </w:r>
      <w:r>
        <w:rPr>
          <w:rFonts w:ascii="仿宋" w:eastAsia="仿宋" w:cs="仿宋_GB2312"/>
          <w:sz w:val="32"/>
          <w:szCs w:val="32"/>
        </w:rPr>
        <w:t> </w:t>
      </w:r>
      <w:r>
        <w:rPr>
          <w:rFonts w:hint="eastAsia" w:ascii="仿宋" w:hAnsi="仿宋" w:eastAsia="仿宋" w:cs="仿宋_GB2312"/>
          <w:sz w:val="32"/>
          <w:szCs w:val="32"/>
        </w:rPr>
        <w:t>，严控指标、进度，</w:t>
      </w:r>
      <w:r>
        <w:rPr>
          <w:rFonts w:hint="eastAsia" w:ascii="仿宋" w:hAnsi="仿宋" w:eastAsia="仿宋" w:cs="仿宋_GB2312"/>
          <w:color w:val="000000"/>
          <w:sz w:val="32"/>
          <w:szCs w:val="32"/>
        </w:rPr>
        <w:t>并于每</w:t>
      </w:r>
      <w:r>
        <w:rPr>
          <w:rFonts w:ascii="仿宋" w:hAnsi="仿宋" w:eastAsia="仿宋" w:cs="仿宋_GB2312"/>
          <w:color w:val="000000"/>
          <w:sz w:val="32"/>
          <w:szCs w:val="32"/>
        </w:rPr>
        <w:t>年6月、9月、11月</w:t>
      </w:r>
      <w:r>
        <w:rPr>
          <w:rFonts w:hint="eastAsia" w:ascii="仿宋" w:hAnsi="仿宋" w:eastAsia="仿宋" w:cs="仿宋_GB2312"/>
          <w:color w:val="000000"/>
          <w:sz w:val="32"/>
          <w:szCs w:val="32"/>
        </w:rPr>
        <w:t>预算执行评估，</w:t>
      </w:r>
      <w:r>
        <w:rPr>
          <w:rFonts w:hint="eastAsia" w:ascii="仿宋" w:hAnsi="仿宋" w:eastAsia="仿宋"/>
          <w:sz w:val="32"/>
          <w:szCs w:val="32"/>
        </w:rPr>
        <w:t>确保资金使用按照预算项目和使用用途执行，杜绝费用项目之间调剂使用现象的发生。</w:t>
      </w:r>
    </w:p>
    <w:p>
      <w:pPr>
        <w:spacing w:line="560" w:lineRule="exact"/>
        <w:ind w:firstLine="640" w:firstLineChars="200"/>
        <w:rPr>
          <w:rFonts w:ascii="仿宋" w:hAnsi="仿宋" w:eastAsia="仿宋" w:cs="宋体"/>
          <w:color w:val="000000"/>
          <w:kern w:val="0"/>
          <w:sz w:val="32"/>
          <w:szCs w:val="32"/>
          <w:shd w:val="clear" w:color="auto" w:fill="FFFFFF"/>
          <w:lang w:val="zh-CN"/>
        </w:rPr>
      </w:pPr>
      <w:r>
        <w:rPr>
          <w:rFonts w:hint="eastAsia" w:ascii="仿宋" w:hAnsi="仿宋" w:eastAsia="仿宋"/>
          <w:sz w:val="32"/>
        </w:rPr>
        <w:t>20</w:t>
      </w:r>
      <w:r>
        <w:rPr>
          <w:rFonts w:hint="eastAsia" w:ascii="仿宋" w:hAnsi="仿宋" w:eastAsia="仿宋"/>
          <w:sz w:val="32"/>
          <w:lang w:val="en-US" w:eastAsia="zh-CN"/>
        </w:rPr>
        <w:t>20</w:t>
      </w:r>
      <w:r>
        <w:rPr>
          <w:rFonts w:hint="eastAsia" w:ascii="仿宋" w:hAnsi="仿宋" w:eastAsia="仿宋"/>
          <w:sz w:val="32"/>
        </w:rPr>
        <w:t>年，我单位积极履职，强化管理，较好的完成了年度工作目标，预算执行完成100%</w:t>
      </w:r>
    </w:p>
    <w:p>
      <w:pPr>
        <w:widowControl/>
        <w:adjustRightInd w:val="0"/>
        <w:snapToGrid w:val="0"/>
        <w:spacing w:line="580" w:lineRule="exact"/>
        <w:ind w:firstLine="643" w:firstLineChars="200"/>
        <w:contextualSpacing/>
        <w:jc w:val="left"/>
        <w:rPr>
          <w:rFonts w:ascii="仿宋" w:hAnsi="仿宋" w:eastAsia="仿宋" w:cs="宋体"/>
          <w:b/>
          <w:color w:val="000000"/>
          <w:kern w:val="0"/>
          <w:sz w:val="32"/>
          <w:szCs w:val="32"/>
          <w:shd w:val="clear" w:color="auto" w:fill="FFFFFF"/>
          <w:lang w:val="zh-CN"/>
        </w:rPr>
      </w:pPr>
      <w:r>
        <w:rPr>
          <w:rFonts w:hint="eastAsia" w:ascii="仿宋" w:hAnsi="仿宋" w:eastAsia="仿宋" w:cs="宋体"/>
          <w:b/>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通过绩效评价，督促项目完成进度，确保资金项目按时完成任务。</w:t>
      </w:r>
    </w:p>
    <w:p>
      <w:pPr>
        <w:widowControl/>
        <w:numPr>
          <w:ilvl w:val="0"/>
          <w:numId w:val="6"/>
        </w:numPr>
        <w:adjustRightInd w:val="0"/>
        <w:snapToGrid w:val="0"/>
        <w:spacing w:line="580" w:lineRule="exact"/>
        <w:ind w:firstLine="643" w:firstLineChars="200"/>
        <w:contextualSpacing/>
        <w:jc w:val="left"/>
        <w:rPr>
          <w:rFonts w:ascii="黑体" w:hAnsi="黑体" w:eastAsia="黑体" w:cs="宋体"/>
          <w:b/>
          <w:color w:val="000000"/>
          <w:kern w:val="0"/>
          <w:sz w:val="32"/>
          <w:szCs w:val="32"/>
          <w:shd w:val="clear" w:color="auto" w:fill="FFFFFF"/>
        </w:rPr>
      </w:pPr>
      <w:r>
        <w:rPr>
          <w:rFonts w:hint="eastAsia" w:ascii="黑体" w:hAnsi="黑体" w:eastAsia="黑体" w:cs="宋体"/>
          <w:b/>
          <w:color w:val="000000"/>
          <w:kern w:val="0"/>
          <w:sz w:val="32"/>
          <w:szCs w:val="32"/>
          <w:shd w:val="clear" w:color="auto" w:fill="FFFFFF"/>
        </w:rPr>
        <w:t>评价结论及建议</w:t>
      </w:r>
    </w:p>
    <w:p>
      <w:pPr>
        <w:widowControl/>
        <w:adjustRightInd w:val="0"/>
        <w:snapToGrid w:val="0"/>
        <w:spacing w:line="580" w:lineRule="exact"/>
        <w:contextualSpacing/>
        <w:jc w:val="left"/>
        <w:rPr>
          <w:rFonts w:ascii="仿宋" w:hAnsi="仿宋" w:eastAsia="仿宋" w:cs="宋体"/>
          <w:b/>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 xml:space="preserve">   </w:t>
      </w:r>
      <w:r>
        <w:rPr>
          <w:rFonts w:hint="eastAsia" w:ascii="仿宋" w:hAnsi="仿宋" w:eastAsia="仿宋" w:cs="宋体"/>
          <w:b/>
          <w:color w:val="000000"/>
          <w:kern w:val="0"/>
          <w:sz w:val="32"/>
          <w:szCs w:val="32"/>
          <w:shd w:val="clear" w:color="auto" w:fill="FFFFFF"/>
          <w:lang w:val="zh-CN"/>
        </w:rPr>
        <w:t>（一）评价结论</w:t>
      </w:r>
    </w:p>
    <w:p>
      <w:pPr>
        <w:ind w:firstLine="640" w:firstLineChars="200"/>
        <w:rPr>
          <w:rFonts w:hint="eastAsia" w:ascii="仿宋" w:hAnsi="仿宋" w:eastAsia="仿宋" w:cs="仿宋_GB2312"/>
          <w:sz w:val="32"/>
          <w:szCs w:val="30"/>
        </w:rPr>
      </w:pPr>
      <w:r>
        <w:rPr>
          <w:rFonts w:hint="eastAsia" w:ascii="仿宋" w:hAnsi="仿宋" w:eastAsia="仿宋" w:cs="仿宋_GB2312"/>
          <w:sz w:val="32"/>
          <w:szCs w:val="30"/>
        </w:rPr>
        <w:t>20</w:t>
      </w:r>
      <w:r>
        <w:rPr>
          <w:rFonts w:hint="eastAsia" w:ascii="仿宋" w:hAnsi="仿宋" w:eastAsia="仿宋" w:cs="仿宋_GB2312"/>
          <w:sz w:val="32"/>
          <w:szCs w:val="30"/>
          <w:lang w:val="en-US" w:eastAsia="zh-CN"/>
        </w:rPr>
        <w:t>20</w:t>
      </w:r>
      <w:r>
        <w:rPr>
          <w:rFonts w:hint="eastAsia" w:ascii="仿宋" w:hAnsi="仿宋" w:eastAsia="仿宋" w:cs="仿宋_GB2312"/>
          <w:sz w:val="32"/>
          <w:szCs w:val="30"/>
        </w:rPr>
        <w:t>年，根据局年初工作规划和重点性工作，积极履职，强化管理，较好的完成了年度工作目标。通过加强预算收支管理，不断建立健全内部管理制度，梳理内部管理流程，部门整体支出管理情况得到提升。</w:t>
      </w:r>
    </w:p>
    <w:p>
      <w:pPr>
        <w:ind w:firstLine="321" w:firstLineChars="100"/>
        <w:rPr>
          <w:rFonts w:ascii="仿宋" w:hAnsi="仿宋" w:eastAsia="仿宋" w:cs="仿宋_GB2312"/>
          <w:b/>
          <w:sz w:val="32"/>
          <w:szCs w:val="30"/>
        </w:rPr>
      </w:pPr>
      <w:r>
        <w:rPr>
          <w:rFonts w:hint="eastAsia" w:ascii="仿宋" w:hAnsi="仿宋" w:eastAsia="仿宋" w:cs="仿宋_GB2312"/>
          <w:b/>
          <w:sz w:val="32"/>
          <w:szCs w:val="30"/>
        </w:rPr>
        <w:t>（二）存在的主要问题及建议</w:t>
      </w:r>
    </w:p>
    <w:p>
      <w:pPr>
        <w:rPr>
          <w:rStyle w:val="24"/>
          <w:rFonts w:ascii="仿宋" w:hAnsi="仿宋" w:eastAsia="仿宋" w:cs="仿宋_GB2312"/>
          <w:b w:val="0"/>
          <w:bCs w:val="0"/>
          <w:kern w:val="2"/>
          <w:sz w:val="32"/>
          <w:szCs w:val="30"/>
        </w:rPr>
      </w:pPr>
      <w:r>
        <w:rPr>
          <w:rFonts w:hint="eastAsia" w:ascii="仿宋_GB2312" w:hAnsi="仿宋_GB2312" w:eastAsia="仿宋" w:cs="仿宋_GB2312"/>
          <w:sz w:val="32"/>
          <w:szCs w:val="30"/>
        </w:rPr>
        <w:t>  </w:t>
      </w:r>
      <w:r>
        <w:rPr>
          <w:rFonts w:hint="eastAsia" w:ascii="仿宋" w:hAnsi="仿宋" w:eastAsia="仿宋" w:cs="仿宋_GB2312"/>
          <w:sz w:val="32"/>
          <w:szCs w:val="30"/>
        </w:rPr>
        <w:t xml:space="preserve">   一是工作机制有待进一步完善</w:t>
      </w:r>
      <w:r>
        <w:rPr>
          <w:rFonts w:hint="eastAsia" w:ascii="仿宋" w:hAnsi="仿宋" w:eastAsia="仿宋" w:cs="仿宋_GB2312"/>
          <w:color w:val="414141"/>
          <w:sz w:val="32"/>
          <w:szCs w:val="30"/>
        </w:rPr>
        <w:t>，</w:t>
      </w:r>
      <w:r>
        <w:rPr>
          <w:rFonts w:hint="eastAsia" w:ascii="仿宋" w:hAnsi="仿宋" w:eastAsia="仿宋" w:cs="仿宋_GB2312"/>
          <w:sz w:val="32"/>
          <w:szCs w:val="30"/>
        </w:rPr>
        <w:t>绩效监控工作滞后，建议在平时工作中加强对绩效监控工作的重视，形成对绩效目标进行监控的习惯</w:t>
      </w:r>
      <w:r>
        <w:rPr>
          <w:rFonts w:hint="eastAsia" w:ascii="仿宋_GB2312" w:hAnsi="仿宋_GB2312" w:eastAsia="仿宋" w:cs="仿宋_GB2312"/>
          <w:sz w:val="32"/>
          <w:szCs w:val="30"/>
        </w:rPr>
        <w:t> </w:t>
      </w:r>
      <w:r>
        <w:rPr>
          <w:rFonts w:hint="eastAsia" w:ascii="仿宋" w:hAnsi="仿宋" w:eastAsia="仿宋" w:cs="仿宋_GB2312"/>
          <w:sz w:val="32"/>
          <w:szCs w:val="30"/>
        </w:rPr>
        <w:t>。二是医保服务面宽量大，为进一步提升群众满意度，建议采取多种宣传方式，深入宣传医保政策，力争家喻户晓、人尽皆知。</w:t>
      </w:r>
      <w:r>
        <w:rPr>
          <w:rFonts w:ascii="仿宋" w:hAnsi="仿宋" w:eastAsia="仿宋"/>
          <w:b/>
          <w:color w:val="000000"/>
          <w:sz w:val="44"/>
          <w:szCs w:val="44"/>
        </w:rPr>
        <w:br w:type="page"/>
      </w: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第五</w:t>
      </w:r>
      <w:r>
        <w:rPr>
          <w:rStyle w:val="24"/>
          <w:rFonts w:hint="eastAsia" w:ascii="黑体" w:hAnsi="黑体" w:eastAsia="黑体"/>
          <w:b w:val="0"/>
        </w:rPr>
        <w:t>部分 附表</w:t>
      </w:r>
      <w:bookmarkEnd w:id="57"/>
      <w:bookmarkEnd w:id="59"/>
    </w:p>
    <w:p>
      <w:pPr>
        <w:pStyle w:val="4"/>
        <w:rPr>
          <w:rFonts w:ascii="仿宋" w:hAnsi="仿宋" w:eastAsia="仿宋"/>
          <w:color w:val="000000"/>
        </w:rPr>
      </w:pPr>
      <w:bookmarkStart w:id="60" w:name="_Toc15396619"/>
      <w:bookmarkStart w:id="73" w:name="_GoBack"/>
      <w:bookmarkEnd w:id="73"/>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4"/>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4"/>
        <w:rPr>
          <w:rStyle w:val="25"/>
          <w:rFonts w:hint="eastAsia" w:ascii="仿宋" w:hAnsi="仿宋" w:eastAsia="仿宋"/>
          <w:b w:val="0"/>
          <w:bCs w:val="0"/>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w:t>
      </w:r>
      <w:r>
        <w:rPr>
          <w:rStyle w:val="25"/>
          <w:rFonts w:hint="eastAsia" w:ascii="仿宋" w:hAnsi="仿宋" w:eastAsia="仿宋"/>
          <w:b w:val="0"/>
          <w:bCs w:val="0"/>
          <w:lang w:eastAsia="zh-CN"/>
        </w:rPr>
        <w:t>财政拨款收入</w:t>
      </w:r>
      <w:r>
        <w:rPr>
          <w:rStyle w:val="25"/>
          <w:rFonts w:hint="eastAsia" w:ascii="仿宋" w:hAnsi="仿宋" w:eastAsia="仿宋"/>
          <w:b w:val="0"/>
          <w:bCs w:val="0"/>
        </w:rPr>
        <w:t>支出</w:t>
      </w:r>
      <w:bookmarkEnd w:id="72"/>
      <w:r>
        <w:rPr>
          <w:rStyle w:val="25"/>
          <w:rFonts w:hint="eastAsia" w:ascii="仿宋" w:hAnsi="仿宋" w:eastAsia="仿宋"/>
          <w:b w:val="0"/>
          <w:bCs w:val="0"/>
          <w:lang w:eastAsia="zh-CN"/>
        </w:rPr>
        <w:t>决算表</w:t>
      </w:r>
    </w:p>
    <w:p>
      <w:pPr>
        <w:pStyle w:val="4"/>
        <w:rPr>
          <w:rFonts w:ascii="仿宋" w:hAnsi="仿宋" w:eastAsia="仿宋"/>
          <w:color w:val="000000" w:themeColor="text1"/>
        </w:rPr>
      </w:pPr>
      <w:r>
        <w:rPr>
          <w:rStyle w:val="25"/>
          <w:rFonts w:hint="eastAsia" w:ascii="仿宋" w:hAnsi="仿宋" w:eastAsia="仿宋"/>
          <w:b w:val="0"/>
          <w:bCs w:val="0"/>
        </w:rPr>
        <w:t>十</w:t>
      </w:r>
      <w:r>
        <w:rPr>
          <w:rStyle w:val="25"/>
          <w:rFonts w:hint="eastAsia" w:ascii="仿宋" w:hAnsi="仿宋" w:eastAsia="仿宋"/>
          <w:b w:val="0"/>
          <w:bCs w:val="0"/>
          <w:lang w:eastAsia="zh-CN"/>
        </w:rPr>
        <w:t>四</w:t>
      </w:r>
      <w:r>
        <w:rPr>
          <w:rStyle w:val="25"/>
          <w:rFonts w:hint="eastAsia" w:ascii="仿宋" w:hAnsi="仿宋" w:eastAsia="仿宋"/>
          <w:b w:val="0"/>
          <w:bCs w:val="0"/>
        </w:rPr>
        <w:t>、</w:t>
      </w:r>
      <w:r>
        <w:rPr>
          <w:rFonts w:hint="eastAsia" w:ascii="仿宋" w:hAnsi="仿宋" w:eastAsia="仿宋"/>
          <w:b w:val="0"/>
          <w:color w:val="000000"/>
        </w:rPr>
        <w:t>国</w:t>
      </w:r>
      <w:r>
        <w:rPr>
          <w:rStyle w:val="25"/>
          <w:rFonts w:hint="eastAsia" w:ascii="仿宋" w:hAnsi="仿宋" w:eastAsia="仿宋"/>
          <w:b w:val="0"/>
          <w:bCs w:val="0"/>
        </w:rPr>
        <w:t>有资本经营预算支出决算表</w:t>
      </w:r>
    </w:p>
    <w:p>
      <w:pPr>
        <w:pStyle w:val="4"/>
        <w:rPr>
          <w:rFonts w:ascii="仿宋" w:hAnsi="仿宋" w:eastAsia="仿宋"/>
          <w:color w:val="000000" w:themeColor="text1"/>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37021"/>
    <w:multiLevelType w:val="singleLevel"/>
    <w:tmpl w:val="8AE37021"/>
    <w:lvl w:ilvl="0" w:tentative="0">
      <w:start w:val="2"/>
      <w:numFmt w:val="chineseCounting"/>
      <w:suff w:val="nothing"/>
      <w:lvlText w:val="%1、"/>
      <w:lvlJc w:val="left"/>
      <w:rPr>
        <w:rFonts w:hint="eastAsia"/>
      </w:rPr>
    </w:lvl>
  </w:abstractNum>
  <w:abstractNum w:abstractNumId="1">
    <w:nsid w:val="8B50DA2D"/>
    <w:multiLevelType w:val="singleLevel"/>
    <w:tmpl w:val="8B50DA2D"/>
    <w:lvl w:ilvl="0" w:tentative="0">
      <w:start w:val="2"/>
      <w:numFmt w:val="chineseCounting"/>
      <w:suff w:val="space"/>
      <w:lvlText w:val="第%1部分"/>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44948AB"/>
    <w:multiLevelType w:val="singleLevel"/>
    <w:tmpl w:val="444948AB"/>
    <w:lvl w:ilvl="0" w:tentative="0">
      <w:start w:val="4"/>
      <w:numFmt w:val="chineseCounting"/>
      <w:suff w:val="nothing"/>
      <w:lvlText w:val="%1、"/>
      <w:lvlJc w:val="left"/>
      <w:rPr>
        <w:rFonts w:hint="eastAsia"/>
      </w:rPr>
    </w:lvl>
  </w:abstractNum>
  <w:abstractNum w:abstractNumId="5">
    <w:nsid w:val="61A6E01A"/>
    <w:multiLevelType w:val="singleLevel"/>
    <w:tmpl w:val="61A6E01A"/>
    <w:lvl w:ilvl="0" w:tentative="0">
      <w:start w:val="1"/>
      <w:numFmt w:val="decimal"/>
      <w:suff w:val="nothing"/>
      <w:lvlText w:val="%1."/>
      <w:lvlJc w:val="left"/>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37271"/>
    <w:rsid w:val="000468DB"/>
    <w:rsid w:val="00056745"/>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08E5"/>
    <w:rsid w:val="00114E9B"/>
    <w:rsid w:val="001403FF"/>
    <w:rsid w:val="00142216"/>
    <w:rsid w:val="00144D6A"/>
    <w:rsid w:val="00146876"/>
    <w:rsid w:val="0014729F"/>
    <w:rsid w:val="00157BAB"/>
    <w:rsid w:val="001654D1"/>
    <w:rsid w:val="00174518"/>
    <w:rsid w:val="0018106D"/>
    <w:rsid w:val="001877A7"/>
    <w:rsid w:val="00191536"/>
    <w:rsid w:val="00196687"/>
    <w:rsid w:val="00196BF4"/>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74233"/>
    <w:rsid w:val="00280496"/>
    <w:rsid w:val="00294DC9"/>
    <w:rsid w:val="00295495"/>
    <w:rsid w:val="002A31DE"/>
    <w:rsid w:val="002B175B"/>
    <w:rsid w:val="002B2613"/>
    <w:rsid w:val="002D19B0"/>
    <w:rsid w:val="002D6D05"/>
    <w:rsid w:val="002F1818"/>
    <w:rsid w:val="002F567B"/>
    <w:rsid w:val="003038CB"/>
    <w:rsid w:val="003216A9"/>
    <w:rsid w:val="00335A74"/>
    <w:rsid w:val="0035357D"/>
    <w:rsid w:val="0036561B"/>
    <w:rsid w:val="0037013F"/>
    <w:rsid w:val="00380C92"/>
    <w:rsid w:val="00392863"/>
    <w:rsid w:val="003A484F"/>
    <w:rsid w:val="003A4883"/>
    <w:rsid w:val="003B0BE0"/>
    <w:rsid w:val="003B0C1B"/>
    <w:rsid w:val="003B688C"/>
    <w:rsid w:val="003C0291"/>
    <w:rsid w:val="003C39AE"/>
    <w:rsid w:val="003C7B60"/>
    <w:rsid w:val="003D0C0F"/>
    <w:rsid w:val="003D1FB2"/>
    <w:rsid w:val="003D510A"/>
    <w:rsid w:val="003D66DA"/>
    <w:rsid w:val="003E1310"/>
    <w:rsid w:val="003E2F5B"/>
    <w:rsid w:val="003E6F55"/>
    <w:rsid w:val="00406254"/>
    <w:rsid w:val="00416CD4"/>
    <w:rsid w:val="004223DE"/>
    <w:rsid w:val="004269B2"/>
    <w:rsid w:val="00434489"/>
    <w:rsid w:val="00437085"/>
    <w:rsid w:val="00443880"/>
    <w:rsid w:val="004464F4"/>
    <w:rsid w:val="00471401"/>
    <w:rsid w:val="00473F31"/>
    <w:rsid w:val="0048263A"/>
    <w:rsid w:val="00487E5D"/>
    <w:rsid w:val="00491931"/>
    <w:rsid w:val="004A711F"/>
    <w:rsid w:val="004B199D"/>
    <w:rsid w:val="004B3482"/>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120A"/>
    <w:rsid w:val="006325F8"/>
    <w:rsid w:val="00633463"/>
    <w:rsid w:val="00634069"/>
    <w:rsid w:val="00634C9A"/>
    <w:rsid w:val="006440E4"/>
    <w:rsid w:val="00661A16"/>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0223"/>
    <w:rsid w:val="007770C3"/>
    <w:rsid w:val="00784D24"/>
    <w:rsid w:val="00785FBA"/>
    <w:rsid w:val="00786E4A"/>
    <w:rsid w:val="007875EB"/>
    <w:rsid w:val="007879B0"/>
    <w:rsid w:val="0079426B"/>
    <w:rsid w:val="007D1682"/>
    <w:rsid w:val="007D312A"/>
    <w:rsid w:val="007D3F19"/>
    <w:rsid w:val="007E23B0"/>
    <w:rsid w:val="007F1991"/>
    <w:rsid w:val="007F2C2F"/>
    <w:rsid w:val="007F55FC"/>
    <w:rsid w:val="007F5665"/>
    <w:rsid w:val="00800112"/>
    <w:rsid w:val="00813111"/>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310"/>
    <w:rsid w:val="008C7FD0"/>
    <w:rsid w:val="008E1DE7"/>
    <w:rsid w:val="008E707C"/>
    <w:rsid w:val="00900B08"/>
    <w:rsid w:val="00902155"/>
    <w:rsid w:val="00902FA3"/>
    <w:rsid w:val="00923564"/>
    <w:rsid w:val="0092392E"/>
    <w:rsid w:val="009315F9"/>
    <w:rsid w:val="00933499"/>
    <w:rsid w:val="00935C98"/>
    <w:rsid w:val="00946945"/>
    <w:rsid w:val="0094735A"/>
    <w:rsid w:val="00951248"/>
    <w:rsid w:val="0095152F"/>
    <w:rsid w:val="00954C49"/>
    <w:rsid w:val="00955E37"/>
    <w:rsid w:val="0096326B"/>
    <w:rsid w:val="0097099F"/>
    <w:rsid w:val="00971997"/>
    <w:rsid w:val="00971FFC"/>
    <w:rsid w:val="0098660A"/>
    <w:rsid w:val="009931C3"/>
    <w:rsid w:val="009B2C43"/>
    <w:rsid w:val="009B4EAE"/>
    <w:rsid w:val="009B7573"/>
    <w:rsid w:val="009C22F4"/>
    <w:rsid w:val="009C2E98"/>
    <w:rsid w:val="009C37FB"/>
    <w:rsid w:val="009C7484"/>
    <w:rsid w:val="009D3447"/>
    <w:rsid w:val="009D4711"/>
    <w:rsid w:val="009F1185"/>
    <w:rsid w:val="009F18CD"/>
    <w:rsid w:val="009F2A13"/>
    <w:rsid w:val="009F7527"/>
    <w:rsid w:val="00A039ED"/>
    <w:rsid w:val="00A04EB0"/>
    <w:rsid w:val="00A13CC1"/>
    <w:rsid w:val="00A16847"/>
    <w:rsid w:val="00A237D8"/>
    <w:rsid w:val="00A268C4"/>
    <w:rsid w:val="00A307CD"/>
    <w:rsid w:val="00A32D6B"/>
    <w:rsid w:val="00A331C8"/>
    <w:rsid w:val="00A35117"/>
    <w:rsid w:val="00A360E1"/>
    <w:rsid w:val="00A40A00"/>
    <w:rsid w:val="00A4142F"/>
    <w:rsid w:val="00A422EB"/>
    <w:rsid w:val="00A45BB7"/>
    <w:rsid w:val="00A56DF2"/>
    <w:rsid w:val="00A56E6E"/>
    <w:rsid w:val="00A67AB5"/>
    <w:rsid w:val="00A733B2"/>
    <w:rsid w:val="00A741C2"/>
    <w:rsid w:val="00A839DA"/>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06B"/>
    <w:rsid w:val="00B53C56"/>
    <w:rsid w:val="00B57DAF"/>
    <w:rsid w:val="00B77EA6"/>
    <w:rsid w:val="00B81598"/>
    <w:rsid w:val="00B841F1"/>
    <w:rsid w:val="00B944D6"/>
    <w:rsid w:val="00BA10C0"/>
    <w:rsid w:val="00BB4DF0"/>
    <w:rsid w:val="00BC289F"/>
    <w:rsid w:val="00BC2D50"/>
    <w:rsid w:val="00BC5361"/>
    <w:rsid w:val="00BC5460"/>
    <w:rsid w:val="00BC6B50"/>
    <w:rsid w:val="00BD0E25"/>
    <w:rsid w:val="00BE0BF9"/>
    <w:rsid w:val="00BF5BD6"/>
    <w:rsid w:val="00C03E31"/>
    <w:rsid w:val="00C30E69"/>
    <w:rsid w:val="00C33E72"/>
    <w:rsid w:val="00C354B2"/>
    <w:rsid w:val="00C35554"/>
    <w:rsid w:val="00C42709"/>
    <w:rsid w:val="00C533CC"/>
    <w:rsid w:val="00C5751C"/>
    <w:rsid w:val="00C61BFC"/>
    <w:rsid w:val="00C62B85"/>
    <w:rsid w:val="00C65438"/>
    <w:rsid w:val="00C67C7D"/>
    <w:rsid w:val="00C91CBB"/>
    <w:rsid w:val="00CB4E70"/>
    <w:rsid w:val="00CC09B6"/>
    <w:rsid w:val="00CC666F"/>
    <w:rsid w:val="00CD1E3F"/>
    <w:rsid w:val="00CE44F6"/>
    <w:rsid w:val="00CE49DA"/>
    <w:rsid w:val="00CE7B61"/>
    <w:rsid w:val="00D00095"/>
    <w:rsid w:val="00D04630"/>
    <w:rsid w:val="00D0613F"/>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A5C0C"/>
    <w:rsid w:val="00ED1B63"/>
    <w:rsid w:val="00ED3C1F"/>
    <w:rsid w:val="00ED4085"/>
    <w:rsid w:val="00ED420E"/>
    <w:rsid w:val="00ED6FBE"/>
    <w:rsid w:val="00EE2F57"/>
    <w:rsid w:val="00EF4C34"/>
    <w:rsid w:val="00EF77C6"/>
    <w:rsid w:val="00F05438"/>
    <w:rsid w:val="00F11E0B"/>
    <w:rsid w:val="00F1361C"/>
    <w:rsid w:val="00F156F0"/>
    <w:rsid w:val="00F160C7"/>
    <w:rsid w:val="00F2408F"/>
    <w:rsid w:val="00F240E9"/>
    <w:rsid w:val="00F36D8F"/>
    <w:rsid w:val="00F417B1"/>
    <w:rsid w:val="00F45853"/>
    <w:rsid w:val="00F602DF"/>
    <w:rsid w:val="00F75269"/>
    <w:rsid w:val="00F754A1"/>
    <w:rsid w:val="00F81FD9"/>
    <w:rsid w:val="00F841AA"/>
    <w:rsid w:val="00F84A94"/>
    <w:rsid w:val="00F87E96"/>
    <w:rsid w:val="00FA23E8"/>
    <w:rsid w:val="00FD3CC1"/>
    <w:rsid w:val="00FF1E02"/>
    <w:rsid w:val="00FF1F93"/>
    <w:rsid w:val="00FF30B4"/>
    <w:rsid w:val="00FF7940"/>
    <w:rsid w:val="015372AB"/>
    <w:rsid w:val="03DB2BFC"/>
    <w:rsid w:val="04D90FB0"/>
    <w:rsid w:val="08A350DE"/>
    <w:rsid w:val="0B2B3477"/>
    <w:rsid w:val="10C055FF"/>
    <w:rsid w:val="11A24F67"/>
    <w:rsid w:val="11B92504"/>
    <w:rsid w:val="16BB723D"/>
    <w:rsid w:val="188F0C4B"/>
    <w:rsid w:val="1C3F6AEB"/>
    <w:rsid w:val="1C7D71C5"/>
    <w:rsid w:val="1D8A16D8"/>
    <w:rsid w:val="1EAC51D0"/>
    <w:rsid w:val="20A5530F"/>
    <w:rsid w:val="20E33B1B"/>
    <w:rsid w:val="240371BF"/>
    <w:rsid w:val="26863C21"/>
    <w:rsid w:val="29FD04D3"/>
    <w:rsid w:val="319F7F4E"/>
    <w:rsid w:val="35192213"/>
    <w:rsid w:val="35420D0F"/>
    <w:rsid w:val="4050689E"/>
    <w:rsid w:val="4098200F"/>
    <w:rsid w:val="42722091"/>
    <w:rsid w:val="433D5EFF"/>
    <w:rsid w:val="45B34240"/>
    <w:rsid w:val="4D4A693A"/>
    <w:rsid w:val="4ECE2238"/>
    <w:rsid w:val="53180157"/>
    <w:rsid w:val="56BF0AB9"/>
    <w:rsid w:val="58431F5B"/>
    <w:rsid w:val="597D384E"/>
    <w:rsid w:val="62BD14CA"/>
    <w:rsid w:val="6375517B"/>
    <w:rsid w:val="6B7A6A1A"/>
    <w:rsid w:val="6C8704E7"/>
    <w:rsid w:val="72734D90"/>
    <w:rsid w:val="75836C49"/>
    <w:rsid w:val="7B840D63"/>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6">
    <w:name w:val="Body Text"/>
    <w:basedOn w:val="1"/>
    <w:link w:val="21"/>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7"/>
    <w:unhideWhenUsed/>
    <w:qFormat/>
    <w:uiPriority w:val="99"/>
    <w:rPr>
      <w:sz w:val="18"/>
      <w:szCs w:val="18"/>
    </w:rPr>
  </w:style>
  <w:style w:type="paragraph" w:styleId="9">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10"/>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9"/>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6"/>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2"/>
    <w:link w:val="3"/>
    <w:qFormat/>
    <w:uiPriority w:val="9"/>
    <w:rPr>
      <w:rFonts w:ascii="Times New Roman" w:hAnsi="Times New Roman"/>
      <w:b/>
      <w:bCs/>
      <w:kern w:val="44"/>
      <w:sz w:val="44"/>
      <w:szCs w:val="44"/>
    </w:rPr>
  </w:style>
  <w:style w:type="character" w:customStyle="1" w:styleId="25">
    <w:name w:val="标题 2 Char"/>
    <w:basedOn w:val="12"/>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2"/>
    <w:link w:val="8"/>
    <w:semiHidden/>
    <w:qFormat/>
    <w:uiPriority w:val="99"/>
    <w:rPr>
      <w:rFonts w:ascii="Times New Roman" w:hAnsi="Times New Roman"/>
      <w:kern w:val="2"/>
      <w:sz w:val="18"/>
      <w:szCs w:val="18"/>
    </w:rPr>
  </w:style>
  <w:style w:type="character" w:customStyle="1" w:styleId="28">
    <w:name w:val="标题 3 Char"/>
    <w:basedOn w:val="12"/>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7"/>
          <c:y val="0.0479354532510679"/>
          <c:w val="0.8938"/>
          <c:h val="0.725296630280019"/>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formatCode="General">
                  <c:v>5697.42</c:v>
                </c:pt>
                <c:pt idx="1" c:formatCode="General">
                  <c:v>5697.42</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formatCode="General">
                  <c:v>848.74</c:v>
                </c:pt>
                <c:pt idx="1" c:formatCode="General">
                  <c:v>848.75</c:v>
                </c:pt>
              </c:numCache>
            </c:numRef>
          </c:val>
        </c:ser>
        <c:dLbls>
          <c:showLegendKey val="0"/>
          <c:showVal val="1"/>
          <c:showCatName val="0"/>
          <c:showSerName val="0"/>
          <c:showPercent val="0"/>
          <c:showBubbleSize val="0"/>
        </c:dLbls>
        <c:gapWidth val="219"/>
        <c:overlap val="-27"/>
        <c:axId val="116616576"/>
        <c:axId val="116639232"/>
      </c:barChart>
      <c:catAx>
        <c:axId val="1166165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639232"/>
        <c:crosses val="autoZero"/>
        <c:auto val="1"/>
        <c:lblAlgn val="ctr"/>
        <c:lblOffset val="100"/>
        <c:noMultiLvlLbl val="0"/>
      </c:catAx>
      <c:valAx>
        <c:axId val="116639232"/>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6165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a:t>
            </a:r>
          </a:p>
        </c:rich>
      </c:tx>
      <c:layout/>
      <c:overlay val="0"/>
      <c:spPr>
        <a:noFill/>
        <a:ln>
          <a:noFill/>
        </a:ln>
        <a:effectLst/>
      </c:spPr>
    </c:title>
    <c:autoTitleDeleted val="0"/>
    <c:plotArea>
      <c:layout/>
      <c:pieChart>
        <c:varyColors val="1"/>
        <c:ser>
          <c:idx val="0"/>
          <c:order val="0"/>
          <c:tx>
            <c:strRef>
              <c:f>Sheet1!$B$1</c:f>
              <c:strCache>
                <c:ptCount val="1"/>
                <c:pt idx="0">
                  <c:v>支出数</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formatCode="General">
                  <c:v>442.18</c:v>
                </c:pt>
                <c:pt idx="1" c:formatCode="General">
                  <c:v>406.56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formatCode="General">
                  <c:v>5697.42</c:v>
                </c:pt>
                <c:pt idx="1" c:formatCode="General">
                  <c:v>5697.42</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formatCode="General">
                  <c:v>848.74</c:v>
                </c:pt>
                <c:pt idx="1" c:formatCode="General">
                  <c:v>848.74</c:v>
                </c:pt>
              </c:numCache>
            </c:numRef>
          </c:val>
        </c:ser>
        <c:dLbls>
          <c:showLegendKey val="0"/>
          <c:showVal val="1"/>
          <c:showCatName val="0"/>
          <c:showSerName val="0"/>
          <c:showPercent val="0"/>
          <c:showBubbleSize val="0"/>
        </c:dLbls>
        <c:gapWidth val="75"/>
        <c:axId val="118003200"/>
        <c:axId val="118004736"/>
      </c:barChart>
      <c:catAx>
        <c:axId val="1180032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004736"/>
        <c:crosses val="autoZero"/>
        <c:auto val="1"/>
        <c:lblAlgn val="ctr"/>
        <c:lblOffset val="100"/>
        <c:noMultiLvlLbl val="0"/>
      </c:catAx>
      <c:valAx>
        <c:axId val="118004736"/>
        <c:scaling>
          <c:orientation val="minMax"/>
          <c:min val="0"/>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0032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支出</c:v>
                </c:pt>
              </c:strCache>
            </c:strRef>
          </c:cat>
          <c:val>
            <c:numRef>
              <c:f>Sheet1!$B$2</c:f>
              <c:numCache>
                <c:formatCode>General</c:formatCode>
                <c:ptCount val="1"/>
                <c:pt idx="0" c:formatCode="General">
                  <c:v>5697.42</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支出</c:v>
                </c:pt>
              </c:strCache>
            </c:strRef>
          </c:cat>
          <c:val>
            <c:numRef>
              <c:f>Sheet1!$C$2</c:f>
              <c:numCache>
                <c:formatCode>General</c:formatCode>
                <c:ptCount val="1"/>
                <c:pt idx="0" c:formatCode="General">
                  <c:v>848.74</c:v>
                </c:pt>
              </c:numCache>
            </c:numRef>
          </c:val>
        </c:ser>
        <c:dLbls>
          <c:showLegendKey val="0"/>
          <c:showVal val="1"/>
          <c:showCatName val="0"/>
          <c:showSerName val="0"/>
          <c:showPercent val="0"/>
          <c:showBubbleSize val="0"/>
        </c:dLbls>
        <c:gapWidth val="75"/>
        <c:axId val="249821824"/>
        <c:axId val="250112256"/>
      </c:barChart>
      <c:catAx>
        <c:axId val="2498218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112256"/>
        <c:crosses val="autoZero"/>
        <c:auto val="1"/>
        <c:lblAlgn val="ctr"/>
        <c:lblOffset val="100"/>
        <c:noMultiLvlLbl val="0"/>
      </c:catAx>
      <c:valAx>
        <c:axId val="250112256"/>
        <c:scaling>
          <c:orientation val="minMax"/>
          <c:min val="0"/>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98218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支出数</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社会保障和就业（类）支出</c:v>
                </c:pt>
                <c:pt idx="1">
                  <c:v>卫生健康（类）支出</c:v>
                </c:pt>
                <c:pt idx="2">
                  <c:v>住房保障（类）支出</c:v>
                </c:pt>
              </c:strCache>
            </c:strRef>
          </c:cat>
          <c:val>
            <c:numRef>
              <c:f>Sheet1!$B$2:$B$4</c:f>
              <c:numCache>
                <c:formatCode>General</c:formatCode>
                <c:ptCount val="3"/>
                <c:pt idx="0" c:formatCode="General">
                  <c:v>67.78</c:v>
                </c:pt>
                <c:pt idx="1" c:formatCode="General">
                  <c:v>756</c:v>
                </c:pt>
                <c:pt idx="2" c:formatCode="General">
                  <c:v>24.96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支出数</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公务用车购置及运行维护费支出</c:v>
                </c:pt>
                <c:pt idx="1">
                  <c:v>公务接待费支出</c:v>
                </c:pt>
              </c:strCache>
            </c:strRef>
          </c:cat>
          <c:val>
            <c:numRef>
              <c:f>Sheet1!$B$2:$B$3</c:f>
              <c:numCache>
                <c:formatCode>General</c:formatCode>
                <c:ptCount val="2"/>
                <c:pt idx="0" c:formatCode="General">
                  <c:v>8</c:v>
                </c:pt>
                <c:pt idx="1" c:formatCode="General">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08465-E942-41E0-9597-2E9FA4D2622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1256</Words>
  <Characters>7163</Characters>
  <Lines>59</Lines>
  <Paragraphs>16</Paragraphs>
  <ScaleCrop>false</ScaleCrop>
  <LinksUpToDate>false</LinksUpToDate>
  <CharactersWithSpaces>8403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2020-11-12T09:22:00Z</dcterms:created>
  <dc:creator>曹颖</dc:creator>
  <cp:lastModifiedBy>Administrator</cp:lastModifiedBy>
  <cp:lastPrinted>2021-12-01T07:03:00Z</cp:lastPrinted>
  <dcterms:modified xsi:type="dcterms:W3CDTF">2022-07-29T08:57:25Z</dcterms:modified>
  <dc:title>四川省***</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