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75" w:name="_GoBack"/>
      <w:bookmarkEnd w:id="75"/>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194"/>
      <w:bookmarkStart w:id="7" w:name="_Toc15396476"/>
      <w:bookmarkStart w:id="8" w:name="_Toc15378442"/>
      <w:bookmarkStart w:id="9" w:name="_Toc1537742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宣汉县漆树乡中心校部门决算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公开时间：2019年11月12日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4</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1</w:t>
      </w:r>
      <w:r>
        <w:rPr>
          <w:rFonts w:hint="eastAsia"/>
        </w:rPr>
        <w:fldChar w:fldCharType="end"/>
      </w:r>
      <w:r>
        <w:rPr>
          <w:rFonts w:hint="eastAsia"/>
        </w:rPr>
        <w:t>7</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0</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1</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napToGrid w:val="0"/>
        <w:spacing w:line="588" w:lineRule="exact"/>
        <w:ind w:firstLine="640" w:firstLineChars="200"/>
        <w:rPr>
          <w:rFonts w:ascii="华文仿宋" w:hAnsi="华文仿宋" w:eastAsia="华文仿宋" w:cs="仿宋"/>
          <w:sz w:val="32"/>
          <w:szCs w:val="32"/>
        </w:rPr>
      </w:pPr>
      <w:bookmarkStart w:id="16" w:name="_Toc15377198"/>
      <w:bookmarkStart w:id="17" w:name="_Toc15378445"/>
      <w:bookmarkStart w:id="18" w:name="_Toc15377200"/>
      <w:bookmarkStart w:id="19" w:name="_Toc15396601"/>
      <w:r>
        <w:rPr>
          <w:rFonts w:hint="eastAsia" w:ascii="仿宋" w:hAnsi="仿宋" w:eastAsia="仿宋"/>
          <w:bCs/>
          <w:color w:val="000000"/>
          <w:sz w:val="32"/>
          <w:szCs w:val="32"/>
        </w:rPr>
        <w:t>（一）</w:t>
      </w:r>
      <w:r>
        <w:rPr>
          <w:rFonts w:hint="eastAsia" w:ascii="华文仿宋" w:hAnsi="华文仿宋" w:eastAsia="华文仿宋"/>
          <w:sz w:val="32"/>
          <w:szCs w:val="32"/>
        </w:rPr>
        <w:t>四川省宣汉县漆树乡中心校成立于1956年8月，是一所农村普通小学，主要职能是从事义务教育小学阶段、学前教育的教育教学。</w:t>
      </w:r>
      <w:r>
        <w:rPr>
          <w:rFonts w:hint="eastAsia" w:ascii="华文仿宋" w:hAnsi="华文仿宋" w:eastAsia="华文仿宋" w:cs="仿宋"/>
          <w:sz w:val="32"/>
          <w:szCs w:val="32"/>
        </w:rPr>
        <w:t>学校占地面积5230平方米，有学生520人，12个教学班，教职工37人，其中在编教职工26人，特岗教师9人，临聘人员2人。</w:t>
      </w:r>
    </w:p>
    <w:bookmarkEnd w:id="16"/>
    <w:bookmarkEnd w:id="17"/>
    <w:p>
      <w:pPr>
        <w:spacing w:line="560" w:lineRule="exact"/>
        <w:ind w:firstLine="640" w:firstLineChars="200"/>
        <w:rPr>
          <w:rFonts w:ascii="仿宋_GB2312" w:hAnsi="仿宋_GB2312" w:eastAsia="仿宋_GB2312" w:cs="仿宋_GB2312"/>
          <w:sz w:val="28"/>
          <w:szCs w:val="28"/>
        </w:rPr>
      </w:pPr>
      <w:bookmarkStart w:id="20" w:name="_Toc15377199"/>
      <w:bookmarkStart w:id="21" w:name="_Toc15378446"/>
      <w:r>
        <w:rPr>
          <w:rFonts w:hint="eastAsia" w:ascii="仿宋" w:hAnsi="仿宋" w:eastAsia="仿宋"/>
          <w:bCs/>
          <w:color w:val="000000"/>
          <w:sz w:val="32"/>
          <w:szCs w:val="32"/>
        </w:rPr>
        <w:t>（二）</w:t>
      </w:r>
      <w:bookmarkEnd w:id="20"/>
      <w:bookmarkEnd w:id="21"/>
      <w:r>
        <w:rPr>
          <w:rFonts w:hint="eastAsia" w:ascii="华文仿宋" w:hAnsi="华文仿宋" w:eastAsia="华文仿宋"/>
          <w:sz w:val="32"/>
          <w:szCs w:val="32"/>
        </w:rPr>
        <w:t>一年来，在上级的指引下，在党、政、工、团的同心协力下，在全体教职工的不懈努力下，学校工作顺利、平稳、扎实推进，取得了有目共睹的成绩：</w:t>
      </w:r>
      <w:r>
        <w:rPr>
          <w:rFonts w:hint="eastAsia" w:ascii="华文仿宋" w:hAnsi="华文仿宋" w:eastAsia="华文仿宋"/>
          <w:kern w:val="0"/>
          <w:sz w:val="32"/>
          <w:szCs w:val="32"/>
        </w:rPr>
        <w:t>获得了市级卫生先进单位、县级学校健康先进集体等荣誉。</w:t>
      </w:r>
      <w:r>
        <w:rPr>
          <w:rFonts w:hint="eastAsia" w:ascii="仿宋_GB2312" w:hAnsi="仿宋_GB2312" w:eastAsia="仿宋_GB2312" w:cs="仿宋_GB2312"/>
          <w:sz w:val="28"/>
          <w:szCs w:val="28"/>
        </w:rPr>
        <w:t>建立高效、和谐、动态、快乐课堂，提高办学效益。让安全工作为学校保驾护航，营造氛围，落实“一岗双责制度”，确保师生平安，致力校园文化建设，优化育人环境，陶冶情操。一年来，学校先后获得“师德先进集体”、“教育教学先进集体”、“最佳文明单位”、“星级平安学校”等殊荣。</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widowControl/>
        <w:jc w:val="left"/>
        <w:rPr>
          <w:rFonts w:ascii="仿宋" w:hAnsi="仿宋" w:eastAsia="仿宋"/>
          <w:color w:val="000000"/>
          <w:kern w:val="0"/>
          <w:sz w:val="32"/>
          <w:szCs w:val="32"/>
        </w:rPr>
      </w:pPr>
      <w:r>
        <w:rPr>
          <w:rFonts w:hint="eastAsia" w:ascii="仿宋_GB2312" w:hAnsi="仿宋_GB2312" w:eastAsia="仿宋_GB2312" w:cs="仿宋_GB2312"/>
          <w:sz w:val="28"/>
          <w:szCs w:val="28"/>
        </w:rPr>
        <w:t>漆树乡中心校属财政全额拨款事业单位，</w:t>
      </w:r>
      <w:r>
        <w:rPr>
          <w:rFonts w:hint="eastAsia" w:ascii="仿宋_GB2312" w:hAnsi="仿宋_GB2312" w:cs="仿宋_GB2312"/>
          <w:sz w:val="28"/>
          <w:szCs w:val="28"/>
        </w:rPr>
        <w:t>单设小学</w:t>
      </w:r>
      <w:r>
        <w:rPr>
          <w:rFonts w:hint="eastAsia" w:ascii="仿宋_GB2312" w:hAnsi="仿宋_GB2312" w:eastAsia="仿宋_GB2312" w:cs="仿宋_GB2312"/>
          <w:sz w:val="28"/>
          <w:szCs w:val="28"/>
        </w:rPr>
        <w:t>。学校下设办公室、教导处、后勤处、安办、工会等职能部门。</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2019年度收、支总计503.04万元。与2018年相比，收、支总计各减少18.462万元，减少3.5</w:t>
      </w:r>
      <w:r>
        <w:rPr>
          <w:rFonts w:ascii="仿宋" w:hAnsi="仿宋" w:eastAsia="仿宋"/>
          <w:color w:val="000000"/>
          <w:sz w:val="32"/>
          <w:szCs w:val="32"/>
        </w:rPr>
        <w:t>%</w:t>
      </w:r>
      <w:r>
        <w:rPr>
          <w:rFonts w:hint="eastAsia" w:ascii="仿宋" w:hAnsi="仿宋" w:eastAsia="仿宋"/>
          <w:color w:val="000000"/>
          <w:sz w:val="32"/>
          <w:szCs w:val="32"/>
        </w:rPr>
        <w:t>。主要变动原因是教育教学维修投入减少。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-338455</wp:posOffset>
            </wp:positionH>
            <wp:positionV relativeFrom="paragraph">
              <wp:posOffset>358775</wp:posOffset>
            </wp:positionV>
            <wp:extent cx="5275580" cy="3072765"/>
            <wp:effectExtent l="19050" t="0" r="2032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9年本年收入合计503.04万元，其中：一般公共预算财政拨款收入503.04万元。</w:t>
      </w:r>
    </w:p>
    <w:p>
      <w:pPr>
        <w:spacing w:line="600" w:lineRule="exact"/>
        <w:ind w:firstLine="640" w:firstLineChars="200"/>
        <w:outlineLvl w:val="1"/>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9年本年支出合计503.04万元，其中：基本支出426.27万元，占84.7</w:t>
      </w:r>
      <w:r>
        <w:rPr>
          <w:rFonts w:ascii="仿宋" w:hAnsi="仿宋" w:eastAsia="仿宋"/>
          <w:color w:val="000000"/>
          <w:sz w:val="32"/>
          <w:szCs w:val="32"/>
        </w:rPr>
        <w:t>%</w:t>
      </w:r>
      <w:r>
        <w:rPr>
          <w:rFonts w:hint="eastAsia" w:ascii="仿宋" w:hAnsi="仿宋" w:eastAsia="仿宋"/>
          <w:color w:val="000000"/>
          <w:sz w:val="32"/>
          <w:szCs w:val="32"/>
        </w:rPr>
        <w:t>；项目支出76.77万元，占15.3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9年财政拨款收、支总计503.04万元。与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8年相比，财政拨款收、支总计各减少18.462万元，减少3.5</w:t>
      </w:r>
      <w:r>
        <w:rPr>
          <w:rFonts w:ascii="仿宋" w:hAnsi="仿宋" w:eastAsia="仿宋"/>
          <w:color w:val="000000"/>
          <w:sz w:val="32"/>
          <w:szCs w:val="32"/>
        </w:rPr>
        <w:t>%</w:t>
      </w:r>
      <w:r>
        <w:rPr>
          <w:rFonts w:hint="eastAsia" w:ascii="仿宋" w:hAnsi="仿宋" w:eastAsia="仿宋"/>
          <w:color w:val="000000"/>
          <w:sz w:val="32"/>
          <w:szCs w:val="32"/>
        </w:rPr>
        <w:t>。主要变动原因教育教学维修减少。</w:t>
      </w:r>
    </w:p>
    <w:p>
      <w:pPr>
        <w:spacing w:line="600" w:lineRule="exact"/>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-206375</wp:posOffset>
            </wp:positionH>
            <wp:positionV relativeFrom="paragraph">
              <wp:posOffset>137795</wp:posOffset>
            </wp:positionV>
            <wp:extent cx="5048250" cy="2717165"/>
            <wp:effectExtent l="4445" t="4445" r="14605" b="215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9年一般公共预算财政拨款支出503.04万元，占本年支出合计的100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8年相比，一般公共预算财政拨款减少18.462万元，减少3.5</w:t>
      </w:r>
      <w:r>
        <w:rPr>
          <w:rFonts w:ascii="仿宋" w:hAnsi="仿宋" w:eastAsia="仿宋"/>
          <w:color w:val="000000"/>
          <w:sz w:val="32"/>
          <w:szCs w:val="32"/>
        </w:rPr>
        <w:t>%</w:t>
      </w:r>
      <w:r>
        <w:rPr>
          <w:rFonts w:hint="eastAsia" w:ascii="仿宋" w:hAnsi="仿宋" w:eastAsia="仿宋"/>
          <w:color w:val="000000"/>
          <w:sz w:val="32"/>
          <w:szCs w:val="32"/>
        </w:rPr>
        <w:t>。主要变动原因是教育教学维修减少。</w:t>
      </w:r>
    </w:p>
    <w:p>
      <w:pPr>
        <w:spacing w:line="600" w:lineRule="exact"/>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sz w:val="32"/>
          <w:szCs w:val="32"/>
        </w:rPr>
        <w:drawing>
          <wp:anchor distT="0" distB="0" distL="114300" distR="114300" simplePos="0" relativeHeight="251667456" behindDoc="0" locked="0" layoutInCell="1" allowOverlap="1">
            <wp:simplePos x="0" y="0"/>
            <wp:positionH relativeFrom="column">
              <wp:posOffset>-101600</wp:posOffset>
            </wp:positionH>
            <wp:positionV relativeFrom="paragraph">
              <wp:posOffset>233680</wp:posOffset>
            </wp:positionV>
            <wp:extent cx="4429760" cy="2073275"/>
            <wp:effectExtent l="19050" t="0" r="27940" b="317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政拨款支出503.04万元，主要用于以下方面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教育支出（类）428.94</w:t>
      </w:r>
      <w:r>
        <w:rPr>
          <w:rFonts w:hint="eastAsia" w:ascii="仿宋" w:hAnsi="仿宋" w:eastAsia="仿宋"/>
          <w:color w:val="000000" w:themeColor="text1"/>
          <w:sz w:val="32"/>
          <w:szCs w:val="32"/>
          <w14:textFill>
            <w14:solidFill>
              <w14:schemeClr w14:val="tx1"/>
            </w14:solidFill>
          </w14:textFill>
        </w:rPr>
        <w:t>万元，占85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支出35.86万元，占7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卫生健康</w:t>
      </w:r>
      <w:r>
        <w:rPr>
          <w:rFonts w:hint="eastAsia" w:ascii="仿宋" w:hAnsi="仿宋" w:eastAsia="仿宋"/>
          <w:color w:val="000000" w:themeColor="text1"/>
          <w:sz w:val="32"/>
          <w:szCs w:val="32"/>
          <w14:textFill>
            <w14:solidFill>
              <w14:schemeClr w14:val="tx1"/>
            </w14:solidFill>
          </w14:textFill>
        </w:rPr>
        <w:t>支出13.44万元，占3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；住房保障支出24.81万元，占5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2576" behindDoc="0" locked="0" layoutInCell="1" allowOverlap="1">
            <wp:simplePos x="0" y="0"/>
            <wp:positionH relativeFrom="column">
              <wp:posOffset>788670</wp:posOffset>
            </wp:positionH>
            <wp:positionV relativeFrom="paragraph">
              <wp:posOffset>95250</wp:posOffset>
            </wp:positionV>
            <wp:extent cx="4392295" cy="2563495"/>
            <wp:effectExtent l="19050" t="0" r="27305" b="82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2019年般公共预算支出决算数为503.04</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教育（类）普通教育（款）小学教育（项）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支出决算为428.94万元，完成预算100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教育（类）普通教育（款）其他（项）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社会保障和就业（类）行政事业单位离退休（款）机关事业单位基本养老保险缴费支出（项）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支出决算为35.86万元，完成预算100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卫生健康</w:t>
      </w:r>
      <w:r>
        <w:rPr>
          <w:rStyle w:val="14"/>
          <w:rFonts w:hint="eastAsia" w:ascii="仿宋" w:hAnsi="仿宋" w:eastAsia="仿宋"/>
          <w:b w:val="0"/>
          <w:bCs/>
          <w:color w:val="000000"/>
          <w:sz w:val="32"/>
          <w:szCs w:val="32"/>
        </w:rPr>
        <w:t>（类）行政事业单位医疗（款）事业单位医疗（项）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支出决算为13.44万元，完成预算100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outlineLvl w:val="2"/>
        <w:rPr>
          <w:rFonts w:ascii="仿宋" w:hAnsi="仿宋" w:eastAsia="仿宋"/>
          <w:color w:val="FF0000"/>
          <w:sz w:val="32"/>
          <w:szCs w:val="32"/>
        </w:rPr>
      </w:pPr>
      <w:r>
        <w:rPr>
          <w:rStyle w:val="14"/>
          <w:rFonts w:hint="eastAsia" w:ascii="仿宋" w:hAnsi="仿宋" w:eastAsia="仿宋"/>
          <w:b w:val="0"/>
          <w:bCs/>
          <w:color w:val="000000"/>
          <w:sz w:val="32"/>
          <w:szCs w:val="32"/>
        </w:rPr>
        <w:t>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住房保障（类）住房改革支出（款）住房公积金（项）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支出决算为24.81万元，完成预算100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9年一般公共预算财政拨款基本支出426.27万元，其中：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343.19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83.1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9年“三公”经费财政拨款支出决算为1.24万元，完成预算100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9年“三公”经费财政拨款支出决算中，无因公出国（境）费支出决算0元；公务用车购置及运行维护费支出决算0元；公务接待费支出决算1.24万元，占100</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8年减少0.02万元，下降1</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50批次，450人次（不包括陪同人员），共计支出1.24万元，具体内容包括：教育主管部门检查和教育相关检查380人次，金额1.0万元；教学质量抽测接待50人次，金额0.1万元；其他公务接待20人次，金额0.14万元。</w:t>
      </w:r>
    </w:p>
    <w:p>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9年无政府性基金预算拨款支出。</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9年无国有资本经营预算拨款支出。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一般公共预算项目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2019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本部门在2019年度部门决算中反映“义教学生营养改善计划金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义教学生营养改善计划金项目绩效目标完成情况综述。项目全年预算数56.35万元，执行数为56.35万元，完成预算的100%。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义教贫困寄宿生生活补助项目绩效目标完成情况综述。项目全年预算数9万元，执行数为9万元，完成预算的100%。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均衡发展补助资金项目绩效目标完成情况综述。项目全年预算数33.14万元，执行数为33.14万元，完成预算的100%。</w:t>
      </w:r>
    </w:p>
    <w:tbl>
      <w:tblPr>
        <w:tblStyle w:val="12"/>
        <w:tblpPr w:leftFromText="180" w:rightFromText="180" w:vertAnchor="text" w:horzAnchor="page" w:tblpX="1794" w:tblpY="475"/>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pStyle w:val="23"/>
        <w:spacing w:line="580" w:lineRule="exact"/>
        <w:ind w:firstLine="0" w:firstLineChars="0"/>
        <w:rPr>
          <w:rStyle w:val="25"/>
          <w:rFonts w:ascii="黑体" w:hAnsi="黑体" w:eastAsia="黑体"/>
          <w:b w:val="0"/>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本部门按要求对2019年部门整体支出绩效评价情况开展自评，《宣汉县漆树乡中心校2019年部门整体支出绩效评价报告》见附件。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bookmarkStart w:id="54" w:name="_Toc15377224"/>
      <w:r>
        <w:rPr>
          <w:rFonts w:ascii="仿宋_GB2312" w:eastAsia="仿宋_GB2312"/>
          <w:color w:val="000000"/>
          <w:sz w:val="32"/>
          <w:szCs w:val="32"/>
        </w:rPr>
        <w:t>201</w:t>
      </w:r>
      <w:r>
        <w:rPr>
          <w:rFonts w:hint="eastAsia" w:ascii="仿宋_GB2312" w:eastAsia="仿宋_GB2312"/>
          <w:color w:val="000000"/>
          <w:sz w:val="32"/>
          <w:szCs w:val="32"/>
        </w:rPr>
        <w:t>9年，无政府采购支出。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spacing w:line="600" w:lineRule="exact"/>
        <w:jc w:val="center"/>
        <w:outlineLvl w:val="0"/>
        <w:rPr>
          <w:rFonts w:ascii="黑体" w:hAnsi="黑体" w:eastAsia="黑体" w:cs="方正小标宋简体"/>
          <w:sz w:val="32"/>
          <w:szCs w:val="32"/>
        </w:rPr>
      </w:pPr>
      <w:bookmarkStart w:id="59" w:name="_Toc15396615"/>
      <w:r>
        <w:rPr>
          <w:rFonts w:hint="eastAsia" w:ascii="黑体" w:hAnsi="黑体" w:eastAsia="黑体" w:cs="方正小标宋简体"/>
          <w:sz w:val="32"/>
          <w:szCs w:val="32"/>
        </w:rPr>
        <w:t>宣汉县漆树乡中心校2019年部门整体支出绩效评价报告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宣汉县漆树乡中心校是一所公办的全日制小学,主管部门为宣汉县教育科技局。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漆树乡中心校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宣汉县漆树乡中心校2019年在编教职工26人（含特岗教师），退休教师17人，临时聘用教师2人，在校学生520人。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2019年收入合计503.04万元，全部为一般公共预算财政拨款收入。</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2019年一般公共预算财政拨款支出503.04万元，主要用于以下方面:教育支出428.94万元，社会保障和就业支出35.86万元，</w:t>
      </w:r>
      <w:r>
        <w:rPr>
          <w:rFonts w:hint="eastAsia" w:ascii="仿宋_GB2312" w:hAnsi="Calibri" w:eastAsia="仿宋_GB2312" w:cs="仿宋"/>
          <w:color w:val="000000"/>
          <w:kern w:val="0"/>
          <w:sz w:val="32"/>
          <w:szCs w:val="32"/>
          <w:lang w:eastAsia="zh-CN"/>
        </w:rPr>
        <w:t>卫生健康</w:t>
      </w:r>
      <w:r>
        <w:rPr>
          <w:rFonts w:hint="eastAsia" w:ascii="仿宋_GB2312" w:hAnsi="Calibri" w:eastAsia="仿宋_GB2312" w:cs="仿宋"/>
          <w:color w:val="000000"/>
          <w:kern w:val="0"/>
          <w:sz w:val="32"/>
          <w:szCs w:val="32"/>
        </w:rPr>
        <w:t>支出13.44万元，住房保障支出24.81万元。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2019年度宣汉县漆树乡中心校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由于我校缺编严重，加之请产假的教师较多，故而我校本年度聘请了很多临时代课老师，学校用于临聘教师资金较多，严重制约了学校的发展。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bookmarkEnd w:id="59"/>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0" w:name="_Toc15396617"/>
      <w:r>
        <w:rPr>
          <w:rStyle w:val="24"/>
          <w:rFonts w:hint="eastAsia" w:ascii="仿宋" w:hAnsi="仿宋" w:eastAsia="仿宋"/>
          <w:b w:val="0"/>
          <w:bCs w:val="0"/>
          <w:sz w:val="32"/>
          <w:szCs w:val="32"/>
        </w:rPr>
        <w:t>附件2</w:t>
      </w:r>
      <w:bookmarkEnd w:id="60"/>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2019年XXX项目支出绩效评价报告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2BDB"/>
    <w:rsid w:val="000B3DB3"/>
    <w:rsid w:val="000B5923"/>
    <w:rsid w:val="000B5A48"/>
    <w:rsid w:val="000B6FF3"/>
    <w:rsid w:val="000C3467"/>
    <w:rsid w:val="000C3CA6"/>
    <w:rsid w:val="000D1267"/>
    <w:rsid w:val="000D1D50"/>
    <w:rsid w:val="000D5782"/>
    <w:rsid w:val="000E6613"/>
    <w:rsid w:val="000E7119"/>
    <w:rsid w:val="00114E9B"/>
    <w:rsid w:val="0014729F"/>
    <w:rsid w:val="00155C1F"/>
    <w:rsid w:val="00157BAB"/>
    <w:rsid w:val="001654D1"/>
    <w:rsid w:val="0018106D"/>
    <w:rsid w:val="001877A7"/>
    <w:rsid w:val="00191536"/>
    <w:rsid w:val="00196687"/>
    <w:rsid w:val="001C0962"/>
    <w:rsid w:val="001D7531"/>
    <w:rsid w:val="001E26C9"/>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0B35"/>
    <w:rsid w:val="003C39AE"/>
    <w:rsid w:val="003C7B60"/>
    <w:rsid w:val="003D1FB2"/>
    <w:rsid w:val="003D66DA"/>
    <w:rsid w:val="003E1310"/>
    <w:rsid w:val="003E6F55"/>
    <w:rsid w:val="003E771A"/>
    <w:rsid w:val="00406254"/>
    <w:rsid w:val="004223DE"/>
    <w:rsid w:val="00434489"/>
    <w:rsid w:val="00437085"/>
    <w:rsid w:val="00443880"/>
    <w:rsid w:val="004464F4"/>
    <w:rsid w:val="00453C63"/>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451B"/>
    <w:rsid w:val="00746F48"/>
    <w:rsid w:val="0075404D"/>
    <w:rsid w:val="0076182A"/>
    <w:rsid w:val="00767B7E"/>
    <w:rsid w:val="007770C3"/>
    <w:rsid w:val="007779E5"/>
    <w:rsid w:val="00784D24"/>
    <w:rsid w:val="00785FBA"/>
    <w:rsid w:val="00786E4A"/>
    <w:rsid w:val="007875EB"/>
    <w:rsid w:val="0079426B"/>
    <w:rsid w:val="007D312A"/>
    <w:rsid w:val="007D3F19"/>
    <w:rsid w:val="007E23B0"/>
    <w:rsid w:val="007F1991"/>
    <w:rsid w:val="007F2C2F"/>
    <w:rsid w:val="007F55FC"/>
    <w:rsid w:val="007F5665"/>
    <w:rsid w:val="00800112"/>
    <w:rsid w:val="008202A0"/>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5ED5"/>
    <w:rsid w:val="008E707C"/>
    <w:rsid w:val="00900B08"/>
    <w:rsid w:val="00902155"/>
    <w:rsid w:val="00902FA3"/>
    <w:rsid w:val="0091029C"/>
    <w:rsid w:val="00923564"/>
    <w:rsid w:val="0092392E"/>
    <w:rsid w:val="009315F9"/>
    <w:rsid w:val="00946945"/>
    <w:rsid w:val="00951248"/>
    <w:rsid w:val="0095152F"/>
    <w:rsid w:val="00954C49"/>
    <w:rsid w:val="00966E8E"/>
    <w:rsid w:val="0097099F"/>
    <w:rsid w:val="00971997"/>
    <w:rsid w:val="00971FFC"/>
    <w:rsid w:val="0098660A"/>
    <w:rsid w:val="009931C3"/>
    <w:rsid w:val="009B2C43"/>
    <w:rsid w:val="009B4116"/>
    <w:rsid w:val="009B4EAE"/>
    <w:rsid w:val="009B7573"/>
    <w:rsid w:val="009C22F4"/>
    <w:rsid w:val="009C2E98"/>
    <w:rsid w:val="009D3447"/>
    <w:rsid w:val="009D4711"/>
    <w:rsid w:val="009E1287"/>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AF0A2B"/>
    <w:rsid w:val="00AF2BD1"/>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95F03"/>
    <w:rsid w:val="00B97A21"/>
    <w:rsid w:val="00BB4DF0"/>
    <w:rsid w:val="00BC289F"/>
    <w:rsid w:val="00BC5361"/>
    <w:rsid w:val="00BC5460"/>
    <w:rsid w:val="00BC6B50"/>
    <w:rsid w:val="00BD0E25"/>
    <w:rsid w:val="00BF5BD6"/>
    <w:rsid w:val="00C02A41"/>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02E"/>
    <w:rsid w:val="00DF34B9"/>
    <w:rsid w:val="00E01053"/>
    <w:rsid w:val="00E07ACF"/>
    <w:rsid w:val="00E331A1"/>
    <w:rsid w:val="00E33202"/>
    <w:rsid w:val="00E336A9"/>
    <w:rsid w:val="00E50624"/>
    <w:rsid w:val="00E568DF"/>
    <w:rsid w:val="00E64269"/>
    <w:rsid w:val="00E82267"/>
    <w:rsid w:val="00EA010F"/>
    <w:rsid w:val="00EB6B5D"/>
    <w:rsid w:val="00ED1B63"/>
    <w:rsid w:val="00ED3C1F"/>
    <w:rsid w:val="00ED4085"/>
    <w:rsid w:val="00ED420E"/>
    <w:rsid w:val="00EE2F57"/>
    <w:rsid w:val="00EF4C34"/>
    <w:rsid w:val="00EF77C6"/>
    <w:rsid w:val="00F05438"/>
    <w:rsid w:val="00F1361C"/>
    <w:rsid w:val="00F160C7"/>
    <w:rsid w:val="00F36D8F"/>
    <w:rsid w:val="00F417B1"/>
    <w:rsid w:val="00F561C3"/>
    <w:rsid w:val="00F602DF"/>
    <w:rsid w:val="00F81FD9"/>
    <w:rsid w:val="00F841AA"/>
    <w:rsid w:val="00F91E71"/>
    <w:rsid w:val="00FA23E8"/>
    <w:rsid w:val="00FD3CC1"/>
    <w:rsid w:val="00FF1E02"/>
    <w:rsid w:val="00FF30B4"/>
    <w:rsid w:val="03F16E6D"/>
    <w:rsid w:val="0FA8094E"/>
    <w:rsid w:val="10C055FF"/>
    <w:rsid w:val="16BB723D"/>
    <w:rsid w:val="19A808E8"/>
    <w:rsid w:val="1BCA2A89"/>
    <w:rsid w:val="1C021FCB"/>
    <w:rsid w:val="1D2D7CA9"/>
    <w:rsid w:val="1FFA10A6"/>
    <w:rsid w:val="23BB08AF"/>
    <w:rsid w:val="240371BF"/>
    <w:rsid w:val="24384B38"/>
    <w:rsid w:val="28591430"/>
    <w:rsid w:val="29FD04D3"/>
    <w:rsid w:val="31650E11"/>
    <w:rsid w:val="319F7F4E"/>
    <w:rsid w:val="337F0BE2"/>
    <w:rsid w:val="413E502C"/>
    <w:rsid w:val="439C1973"/>
    <w:rsid w:val="521542A2"/>
    <w:rsid w:val="55C174ED"/>
    <w:rsid w:val="60B81E54"/>
    <w:rsid w:val="619A786D"/>
    <w:rsid w:val="628E7BB3"/>
    <w:rsid w:val="6B7B3509"/>
    <w:rsid w:val="78B03643"/>
    <w:rsid w:val="7D394BD2"/>
    <w:rsid w:val="FDDD35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48711774620756"/>
          <c:y val="0.0518059855521156"/>
          <c:w val="0.764026005297376"/>
          <c:h val="0.84623323013416"/>
        </c:manualLayout>
      </c:layout>
      <c:barChart>
        <c:barDir val="col"/>
        <c:grouping val="clustered"/>
        <c:varyColors val="false"/>
        <c:ser>
          <c:idx val="0"/>
          <c:order val="0"/>
          <c:tx>
            <c:strRef>
              <c:f>Sheet1!$B$1</c:f>
              <c:strCache>
                <c:ptCount val="1"/>
                <c:pt idx="0">
                  <c:v>2018年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521.502</a:t>
                    </a:r>
                    <a:endParaRPr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521.501999999999</c:v>
                </c:pt>
                <c:pt idx="1">
                  <c:v>521.501999999999</c:v>
                </c:pt>
              </c:numCache>
            </c:numRef>
          </c:val>
        </c:ser>
        <c:ser>
          <c:idx val="1"/>
          <c:order val="1"/>
          <c:tx>
            <c:strRef>
              <c:f>Sheet1!$C$1</c:f>
              <c:strCache>
                <c:ptCount val="1"/>
                <c:pt idx="0">
                  <c:v>2019年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503.04</a:t>
                    </a:r>
                    <a:endParaRPr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503.04</c:v>
                </c:pt>
                <c:pt idx="1">
                  <c:v>503.04</c:v>
                </c:pt>
              </c:numCache>
            </c:numRef>
          </c:val>
        </c:ser>
        <c:dLbls>
          <c:showLegendKey val="false"/>
          <c:showVal val="true"/>
          <c:showCatName val="false"/>
          <c:showSerName val="false"/>
          <c:showPercent val="false"/>
          <c:showBubbleSize val="false"/>
        </c:dLbls>
        <c:gapWidth val="150"/>
        <c:axId val="52955008"/>
        <c:axId val="52956544"/>
      </c:barChart>
      <c:catAx>
        <c:axId val="5295500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2956544"/>
        <c:crosses val="autoZero"/>
        <c:auto val="true"/>
        <c:lblAlgn val="ctr"/>
        <c:lblOffset val="100"/>
        <c:noMultiLvlLbl val="false"/>
      </c:catAx>
      <c:valAx>
        <c:axId val="52956544"/>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295500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521.501999999999</c:v>
                </c:pt>
                <c:pt idx="1">
                  <c:v>521.501999999999</c:v>
                </c:pt>
              </c:numCache>
            </c:numRef>
          </c:val>
        </c:ser>
        <c:ser>
          <c:idx val="1"/>
          <c:order val="1"/>
          <c:tx>
            <c:strRef>
              <c:f>Sheet1!$C$1</c:f>
              <c:strCache>
                <c:ptCount val="1"/>
                <c:pt idx="0">
                  <c:v>2019年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503.04</c:v>
                </c:pt>
                <c:pt idx="1">
                  <c:v>503.04</c:v>
                </c:pt>
              </c:numCache>
            </c:numRef>
          </c:val>
        </c:ser>
        <c:dLbls>
          <c:showLegendKey val="false"/>
          <c:showVal val="true"/>
          <c:showCatName val="false"/>
          <c:showSerName val="false"/>
          <c:showPercent val="false"/>
          <c:showBubbleSize val="false"/>
        </c:dLbls>
        <c:gapWidth val="150"/>
        <c:axId val="52978048"/>
        <c:axId val="52979584"/>
      </c:barChart>
      <c:catAx>
        <c:axId val="5297804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2979584"/>
        <c:crosses val="autoZero"/>
        <c:auto val="true"/>
        <c:lblAlgn val="ctr"/>
        <c:lblOffset val="100"/>
        <c:noMultiLvlLbl val="false"/>
      </c:catAx>
      <c:valAx>
        <c:axId val="52979584"/>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297804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2018年</c:v>
                </c:pt>
              </c:strCache>
            </c:strRef>
          </c:tx>
          <c:invertIfNegative val="false"/>
          <c:dLbls>
            <c:dLbl>
              <c:idx val="0"/>
              <c:layout>
                <c:manualLayout>
                  <c:x val="-0.00573394495412844"/>
                  <c:y val="0"/>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521.502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521.502</c:v>
                </c:pt>
              </c:numCache>
            </c:numRef>
          </c:val>
        </c:ser>
        <c:ser>
          <c:idx val="1"/>
          <c:order val="1"/>
          <c:tx>
            <c:strRef>
              <c:f>Sheet1!$C$1</c:f>
              <c:strCache>
                <c:ptCount val="1"/>
                <c:pt idx="0">
                  <c:v>2019年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503.04</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503.04</c:v>
                </c:pt>
              </c:numCache>
            </c:numRef>
          </c:val>
        </c:ser>
        <c:dLbls>
          <c:showLegendKey val="false"/>
          <c:showVal val="true"/>
          <c:showCatName val="false"/>
          <c:showSerName val="false"/>
          <c:showPercent val="false"/>
          <c:showBubbleSize val="false"/>
        </c:dLbls>
        <c:gapWidth val="150"/>
        <c:axId val="53680768"/>
        <c:axId val="53723520"/>
      </c:barChart>
      <c:catAx>
        <c:axId val="5368076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3723520"/>
        <c:crosses val="autoZero"/>
        <c:auto val="true"/>
        <c:lblAlgn val="ctr"/>
        <c:lblOffset val="100"/>
        <c:noMultiLvlLbl val="false"/>
      </c:catAx>
      <c:valAx>
        <c:axId val="53723520"/>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368076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manualLayout>
          <c:xMode val="edge"/>
          <c:yMode val="edge"/>
          <c:x val="0.105100028176951"/>
          <c:y val="0.0348128807658834"/>
        </c:manualLayout>
      </c:layout>
      <c:overlay val="false"/>
    </c:title>
    <c:autoTitleDeleted val="false"/>
    <c:plotArea>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450640415510191"/>
                  <c:y val="-0.16030189437808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85</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7</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0470929810589092"/>
                  <c:y val="0.024409847735973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3</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5</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4"/>
                <c:pt idx="0">
                  <c:v>教育支出</c:v>
                </c:pt>
                <c:pt idx="1">
                  <c:v>社会保障和就业支出</c:v>
                </c:pt>
                <c:pt idx="2">
                  <c:v>医疗卫生与计划生育支出</c:v>
                </c:pt>
                <c:pt idx="3">
                  <c:v>住房保障支出</c:v>
                </c:pt>
              </c:strCache>
            </c:strRef>
          </c:cat>
          <c:val>
            <c:numRef>
              <c:f>Sheet1!$B$2:$B$6</c:f>
              <c:numCache>
                <c:formatCode>General</c:formatCode>
                <c:ptCount val="5"/>
                <c:pt idx="0">
                  <c:v>85</c:v>
                </c:pt>
                <c:pt idx="1">
                  <c:v>7</c:v>
                </c:pt>
                <c:pt idx="2">
                  <c:v>3</c:v>
                </c:pt>
                <c:pt idx="3">
                  <c:v>5</c:v>
                </c:pt>
              </c:numCache>
            </c:numRef>
          </c:val>
        </c:ser>
        <c:ser>
          <c:idx val="1"/>
          <c:order val="1"/>
          <c:tx>
            <c:strRef>
              <c:f>Sheet1!$C$1</c:f>
              <c:strCache>
                <c:ptCount val="1"/>
                <c:pt idx="0">
                  <c:v/>
                </c:pt>
              </c:strCache>
            </c:strRef>
          </c:tx>
          <c:explosion val="0"/>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4"/>
                <c:pt idx="0">
                  <c:v>教育支出</c:v>
                </c:pt>
                <c:pt idx="1">
                  <c:v>社会保障和就业支出</c:v>
                </c:pt>
                <c:pt idx="2">
                  <c:v>医疗卫生与计划生育支出</c:v>
                </c:pt>
                <c:pt idx="3">
                  <c:v>住房保障支出</c:v>
                </c:pt>
              </c:strCache>
            </c:strRef>
          </c:cat>
          <c:val>
            <c:numRef>
              <c:f>Sheet1!$C$2:$C$6</c:f>
              <c:numCache>
                <c:formatCode>General</c:formatCode>
                <c:ptCount val="5"/>
              </c:numCache>
            </c:numRef>
          </c:val>
        </c:ser>
        <c:ser>
          <c:idx val="2"/>
          <c:order val="2"/>
          <c:tx>
            <c:strRef>
              <c:f>Sheet1!$D$1</c:f>
              <c:strCache>
                <c:ptCount val="1"/>
                <c:pt idx="0">
                  <c:v/>
                </c:pt>
              </c:strCache>
            </c:strRef>
          </c:tx>
          <c:explosion val="0"/>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4"/>
                <c:pt idx="0">
                  <c:v>教育支出</c:v>
                </c:pt>
                <c:pt idx="1">
                  <c:v>社会保障和就业支出</c:v>
                </c:pt>
                <c:pt idx="2">
                  <c:v>医疗卫生与计划生育支出</c:v>
                </c:pt>
                <c:pt idx="3">
                  <c:v>住房保障支出</c:v>
                </c:pt>
              </c:strCache>
            </c:strRef>
          </c:cat>
          <c:val>
            <c:numRef>
              <c:f>Sheet1!$D$2:$D$6</c:f>
              <c:numCache>
                <c:formatCode>General</c:formatCode>
                <c:ptCount val="5"/>
              </c:numCache>
            </c:numRef>
          </c:val>
        </c:ser>
        <c:dLbls>
          <c:showLegendKey val="false"/>
          <c:showVal val="false"/>
          <c:showCatName val="false"/>
          <c:showSerName val="false"/>
          <c:showPercent val="true"/>
          <c:showBubbleSize val="false"/>
          <c:showLeaderLines val="true"/>
        </c:dLbls>
        <c:firstSliceAng val="0"/>
      </c:pieChart>
    </c:plotArea>
    <c:legend>
      <c:legendPos val="r"/>
      <c:layout>
        <c:manualLayout>
          <c:xMode val="edge"/>
          <c:yMode val="edge"/>
          <c:x val="0.621267924854774"/>
          <c:y val="0.245198449772674"/>
          <c:w val="0.361383513630118"/>
          <c:h val="0.69191630956955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1270</Words>
  <Characters>7239</Characters>
  <Lines>60</Lines>
  <Paragraphs>16</Paragraphs>
  <TotalTime>62</TotalTime>
  <ScaleCrop>false</ScaleCrop>
  <LinksUpToDate>false</LinksUpToDate>
  <CharactersWithSpaces>8493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2019-09-02T17:01:00Z</dcterms:created>
  <dc:creator>张彬茜</dc:creator>
  <cp:lastModifiedBy>user</cp:lastModifiedBy>
  <cp:lastPrinted>2019-08-01T16:48:00Z</cp:lastPrinted>
  <dcterms:modified xsi:type="dcterms:W3CDTF">2022-03-07T10:16:53Z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