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77193"/>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宣汉县度口乡中心校部门决算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P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4</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1</w:t>
      </w:r>
      <w:r>
        <w:rPr>
          <w:rFonts w:hint="eastAsia"/>
        </w:rPr>
        <w:fldChar w:fldCharType="end"/>
      </w:r>
      <w:r>
        <w:rPr>
          <w:rFonts w:hint="eastAsia"/>
        </w:rPr>
        <w:t>7</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0</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1</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w:t>
      </w:r>
      <w:r>
        <w:rPr>
          <w:rStyle w:val="15"/>
          <w:rFonts w:hint="eastAsia" w:ascii="仿宋" w:hAnsi="仿宋" w:eastAsia="仿宋"/>
          <w:sz w:val="28"/>
          <w:szCs w:val="28"/>
          <w:lang w:eastAsia="zh-CN"/>
        </w:rPr>
        <w:t>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spacing w:line="588" w:lineRule="exact"/>
        <w:ind w:firstLine="640" w:firstLineChars="200"/>
        <w:rPr>
          <w:rFonts w:ascii="华文仿宋" w:hAnsi="华文仿宋" w:eastAsia="华文仿宋" w:cs="仿宋"/>
          <w:sz w:val="32"/>
          <w:szCs w:val="32"/>
        </w:rPr>
      </w:pPr>
      <w:bookmarkStart w:id="16" w:name="_Toc15377200"/>
      <w:bookmarkStart w:id="17" w:name="_Toc15396601"/>
      <w:r>
        <w:rPr>
          <w:rFonts w:hint="eastAsia" w:ascii="华文仿宋" w:hAnsi="华文仿宋" w:eastAsia="华文仿宋"/>
          <w:sz w:val="32"/>
          <w:szCs w:val="32"/>
        </w:rPr>
        <w:t>四川省宣汉县渡口乡中心校成立于1950年8月，是一所农村普通小学，主要职能是从事义务教育小学阶段、学前教育的教育教学。</w:t>
      </w:r>
      <w:r>
        <w:rPr>
          <w:rFonts w:hint="eastAsia" w:ascii="华文仿宋" w:hAnsi="华文仿宋" w:eastAsia="华文仿宋" w:cs="仿宋"/>
          <w:sz w:val="32"/>
          <w:szCs w:val="32"/>
        </w:rPr>
        <w:t>学校占地面积6968平方米，有学生</w:t>
      </w:r>
      <w:r>
        <w:rPr>
          <w:rFonts w:hint="eastAsia" w:ascii="华文仿宋" w:hAnsi="华文仿宋" w:eastAsia="华文仿宋" w:cs="仿宋"/>
          <w:sz w:val="32"/>
          <w:szCs w:val="32"/>
          <w:lang w:val="en-US" w:eastAsia="zh-CN"/>
        </w:rPr>
        <w:t>8</w:t>
      </w:r>
      <w:r>
        <w:rPr>
          <w:rFonts w:hint="eastAsia" w:ascii="华文仿宋" w:hAnsi="华文仿宋" w:eastAsia="华文仿宋" w:cs="仿宋"/>
          <w:sz w:val="32"/>
          <w:szCs w:val="32"/>
        </w:rPr>
        <w:t>30人，24个教学班，教职工4</w:t>
      </w:r>
      <w:r>
        <w:rPr>
          <w:rFonts w:hint="eastAsia" w:ascii="华文仿宋" w:hAnsi="华文仿宋" w:eastAsia="华文仿宋" w:cs="仿宋"/>
          <w:sz w:val="32"/>
          <w:szCs w:val="32"/>
          <w:lang w:val="en-US" w:eastAsia="zh-CN"/>
        </w:rPr>
        <w:t>9</w:t>
      </w:r>
      <w:r>
        <w:rPr>
          <w:rFonts w:hint="eastAsia" w:ascii="华文仿宋" w:hAnsi="华文仿宋" w:eastAsia="华文仿宋" w:cs="仿宋"/>
          <w:sz w:val="32"/>
          <w:szCs w:val="32"/>
        </w:rPr>
        <w:t>人，其中在编教职工27人，特岗教师1</w:t>
      </w:r>
      <w:r>
        <w:rPr>
          <w:rFonts w:hint="eastAsia" w:ascii="华文仿宋" w:hAnsi="华文仿宋" w:eastAsia="华文仿宋" w:cs="仿宋"/>
          <w:sz w:val="32"/>
          <w:szCs w:val="32"/>
          <w:lang w:val="en-US" w:eastAsia="zh-CN"/>
        </w:rPr>
        <w:t>4</w:t>
      </w:r>
      <w:r>
        <w:rPr>
          <w:rFonts w:hint="eastAsia" w:ascii="华文仿宋" w:hAnsi="华文仿宋" w:eastAsia="华文仿宋" w:cs="仿宋"/>
          <w:sz w:val="32"/>
          <w:szCs w:val="32"/>
        </w:rPr>
        <w:t>人，临聘人员</w:t>
      </w:r>
      <w:r>
        <w:rPr>
          <w:rFonts w:hint="eastAsia" w:ascii="华文仿宋" w:hAnsi="华文仿宋" w:eastAsia="华文仿宋" w:cs="仿宋"/>
          <w:sz w:val="32"/>
          <w:szCs w:val="32"/>
          <w:lang w:val="en-US" w:eastAsia="zh-CN"/>
        </w:rPr>
        <w:t>8</w:t>
      </w:r>
      <w:r>
        <w:rPr>
          <w:rFonts w:hint="eastAsia" w:ascii="华文仿宋" w:hAnsi="华文仿宋" w:eastAsia="华文仿宋" w:cs="仿宋"/>
          <w:sz w:val="32"/>
          <w:szCs w:val="32"/>
        </w:rPr>
        <w:t>人。</w:t>
      </w:r>
    </w:p>
    <w:p>
      <w:pPr>
        <w:spacing w:line="560" w:lineRule="exact"/>
        <w:ind w:firstLine="640" w:firstLineChars="200"/>
        <w:rPr>
          <w:rFonts w:ascii="华文仿宋" w:hAnsi="华文仿宋" w:eastAsia="华文仿宋"/>
          <w:kern w:val="0"/>
          <w:sz w:val="32"/>
          <w:szCs w:val="32"/>
        </w:rPr>
      </w:pPr>
      <w:r>
        <w:rPr>
          <w:rFonts w:hint="eastAsia" w:ascii="华文仿宋" w:hAnsi="华文仿宋" w:eastAsia="华文仿宋"/>
          <w:sz w:val="32"/>
          <w:szCs w:val="32"/>
        </w:rPr>
        <w:t>一年来，在上级的指引下，在党、政、工、团的同心协力下，在全体教职工的不懈努力下，学校工作顺利、平稳、扎实推进，取得了有目共睹的成绩：</w:t>
      </w:r>
      <w:r>
        <w:rPr>
          <w:rFonts w:hint="eastAsia" w:ascii="华文仿宋" w:hAnsi="华文仿宋" w:eastAsia="华文仿宋"/>
          <w:kern w:val="0"/>
          <w:sz w:val="32"/>
          <w:szCs w:val="32"/>
        </w:rPr>
        <w:t>获得了市级卫生先进单位、县级学校健康先进集体、渡口乡首届摆手舞大赛一等奖等荣誉。</w:t>
      </w:r>
    </w:p>
    <w:p>
      <w:pPr>
        <w:spacing w:line="560" w:lineRule="exact"/>
        <w:ind w:firstLine="640" w:firstLineChars="200"/>
        <w:rPr>
          <w:rFonts w:ascii="华文仿宋" w:hAnsi="华文仿宋" w:eastAsia="华文仿宋"/>
          <w:color w:val="000000"/>
          <w:sz w:val="32"/>
          <w:szCs w:val="32"/>
          <w:shd w:val="clear" w:color="auto" w:fill="FFFFFF"/>
        </w:rPr>
      </w:pPr>
      <w:r>
        <w:rPr>
          <w:rFonts w:hint="eastAsia" w:ascii="华文仿宋" w:hAnsi="华文仿宋" w:eastAsia="华文仿宋"/>
          <w:color w:val="000000"/>
          <w:sz w:val="32"/>
          <w:szCs w:val="32"/>
          <w:shd w:val="clear" w:color="auto" w:fill="FFFFFF"/>
        </w:rPr>
        <w:t>我校将再接再厉、团结进取、奋力拼搏，再创辉煌！努力为全县的教育事业作出更大的贡献！</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6"/>
      <w:bookmarkEnd w:id="17"/>
    </w:p>
    <w:p>
      <w:pPr>
        <w:widowControl/>
        <w:ind w:firstLine="640" w:firstLineChars="200"/>
        <w:jc w:val="left"/>
        <w:rPr>
          <w:rFonts w:ascii="仿宋" w:hAnsi="仿宋" w:eastAsia="仿宋"/>
          <w:color w:val="000000"/>
          <w:kern w:val="0"/>
          <w:sz w:val="32"/>
          <w:szCs w:val="32"/>
        </w:rPr>
      </w:pPr>
      <w:r>
        <w:rPr>
          <w:rFonts w:hint="eastAsia" w:ascii="华文仿宋" w:hAnsi="华文仿宋" w:eastAsia="华文仿宋"/>
          <w:sz w:val="32"/>
          <w:szCs w:val="32"/>
        </w:rPr>
        <w:t>四川省宣汉县渡口乡中心校</w:t>
      </w:r>
      <w:r>
        <w:rPr>
          <w:rFonts w:hint="eastAsia" w:ascii="仿宋_GB2312" w:hAnsi="仿宋_GB2312" w:eastAsia="仿宋_GB2312" w:cs="仿宋_GB2312"/>
          <w:sz w:val="28"/>
          <w:szCs w:val="28"/>
        </w:rPr>
        <w:t>属财政全额拨款事业单位，属于单设小学，管辖五所村小。学校下设办公室、教导处、后勤处、安办、工会等职能部门。，现有学生约</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30余人，教职工4</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人，退休教师3</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w:t>
      </w:r>
      <w:r>
        <w:rPr>
          <w:rFonts w:hint="eastAsia" w:ascii="仿宋_GB2312" w:hAnsi="仿宋_GB2312" w:cs="仿宋_GB2312"/>
          <w:sz w:val="28"/>
          <w:szCs w:val="28"/>
        </w:rPr>
        <w:t>。</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18" w:name="_Toc15396602"/>
      <w:bookmarkStart w:id="19" w:name="_Toc15377204"/>
      <w:r>
        <w:rPr>
          <w:rFonts w:hint="eastAsia" w:ascii="黑体" w:hAnsi="黑体" w:eastAsia="黑体"/>
          <w:b w:val="0"/>
          <w:color w:val="000000"/>
        </w:rPr>
        <w:t>第二部分</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0"/>
      <w:bookmarkEnd w:id="21"/>
    </w:p>
    <w:p>
      <w:pPr>
        <w:spacing w:line="600" w:lineRule="exact"/>
        <w:ind w:left="640"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4624" behindDoc="0" locked="0" layoutInCell="1" allowOverlap="1">
            <wp:simplePos x="0" y="0"/>
            <wp:positionH relativeFrom="column">
              <wp:posOffset>243205</wp:posOffset>
            </wp:positionH>
            <wp:positionV relativeFrom="paragraph">
              <wp:posOffset>1413510</wp:posOffset>
            </wp:positionV>
            <wp:extent cx="5052060" cy="2717165"/>
            <wp:effectExtent l="19050" t="0" r="15240" b="6985"/>
            <wp:wrapSquare wrapText="bothSides"/>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678</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94.95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教师人数增加</w:t>
      </w:r>
      <w:r>
        <w:rPr>
          <w:rFonts w:hint="eastAsia" w:ascii="仿宋" w:hAnsi="仿宋" w:eastAsia="仿宋"/>
          <w:color w:val="000000"/>
          <w:sz w:val="32"/>
          <w:szCs w:val="32"/>
        </w:rPr>
        <w:t>。</w:t>
      </w: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hint="eastAsia" w:ascii="仿宋" w:hAnsi="仿宋" w:eastAsia="仿宋"/>
          <w:color w:val="000000"/>
          <w:sz w:val="32"/>
          <w:szCs w:val="32"/>
        </w:rPr>
      </w:pPr>
    </w:p>
    <w:p>
      <w:pPr>
        <w:spacing w:line="600" w:lineRule="exact"/>
        <w:ind w:left="640"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2"/>
      <w:bookmarkEnd w:id="23"/>
    </w:p>
    <w:p>
      <w:pPr>
        <w:pStyle w:val="23"/>
        <w:spacing w:line="600" w:lineRule="exact"/>
        <w:ind w:left="862" w:firstLine="640"/>
        <w:outlineLvl w:val="1"/>
        <w:rPr>
          <w:rFonts w:ascii="仿宋" w:hAnsi="仿宋" w:eastAsia="仿宋"/>
          <w:color w:val="000000"/>
          <w:sz w:val="32"/>
          <w:szCs w:val="32"/>
        </w:rPr>
      </w:pPr>
      <w:bookmarkStart w:id="24" w:name="_Toc15377207"/>
      <w:bookmarkStart w:id="25" w:name="_Toc15396605"/>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678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675</w:t>
      </w:r>
      <w:r>
        <w:rPr>
          <w:rFonts w:hint="eastAsia" w:ascii="仿宋" w:hAnsi="仿宋" w:eastAsia="仿宋"/>
          <w:color w:val="000000"/>
          <w:sz w:val="32"/>
          <w:szCs w:val="32"/>
        </w:rPr>
        <w:t>万元，占99.</w:t>
      </w:r>
      <w:r>
        <w:rPr>
          <w:rFonts w:hint="eastAsia" w:ascii="仿宋" w:hAnsi="仿宋" w:eastAsia="仿宋"/>
          <w:color w:val="000000"/>
          <w:sz w:val="32"/>
          <w:szCs w:val="32"/>
          <w:lang w:val="en-US" w:eastAsia="zh-CN"/>
        </w:rPr>
        <w:t>41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；政府性基金预算财政拨款收入3万元，占0.</w:t>
      </w:r>
      <w:r>
        <w:rPr>
          <w:rFonts w:hint="eastAsia" w:ascii="仿宋" w:hAnsi="仿宋" w:eastAsia="仿宋"/>
          <w:color w:val="000000"/>
          <w:sz w:val="32"/>
          <w:szCs w:val="32"/>
          <w:lang w:val="en-US" w:eastAsia="zh-CN"/>
        </w:rPr>
        <w:t>59</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支</w:t>
      </w:r>
      <w:r>
        <w:rPr>
          <w:rStyle w:val="25"/>
          <w:rFonts w:hint="eastAsia" w:ascii="黑体" w:hAnsi="黑体" w:eastAsia="黑体"/>
          <w:b w:val="0"/>
        </w:rPr>
        <w:t>出决算情况说明</w:t>
      </w:r>
      <w:bookmarkEnd w:id="24"/>
      <w:bookmarkEnd w:id="25"/>
    </w:p>
    <w:p>
      <w:pPr>
        <w:pStyle w:val="23"/>
        <w:spacing w:line="600" w:lineRule="exact"/>
        <w:ind w:left="862"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678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82.17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120.99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17.83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26" w:name="_Toc15396606"/>
      <w:bookmarkStart w:id="27"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ind w:left="640" w:firstLine="640" w:firstLineChars="200"/>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678</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94.95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教师人数增加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92032" behindDoc="0" locked="0" layoutInCell="1" allowOverlap="1">
            <wp:simplePos x="0" y="0"/>
            <wp:positionH relativeFrom="column">
              <wp:posOffset>343535</wp:posOffset>
            </wp:positionH>
            <wp:positionV relativeFrom="paragraph">
              <wp:posOffset>175260</wp:posOffset>
            </wp:positionV>
            <wp:extent cx="5052060" cy="2717165"/>
            <wp:effectExtent l="4445" t="4445" r="10795" b="21590"/>
            <wp:wrapSquare wrapText="bothSides"/>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678</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94.95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16.29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教师人数增加</w:t>
      </w:r>
      <w:r>
        <w:rPr>
          <w:rFonts w:hint="eastAsia" w:ascii="仿宋" w:hAnsi="仿宋" w:eastAsia="仿宋"/>
          <w:color w:val="000000"/>
          <w:sz w:val="32"/>
          <w:szCs w:val="32"/>
        </w:rPr>
        <w:t>。</w:t>
      </w:r>
    </w:p>
    <w:p>
      <w:pPr>
        <w:spacing w:line="600" w:lineRule="exact"/>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drawing>
          <wp:anchor distT="0" distB="0" distL="114300" distR="114300" simplePos="0" relativeHeight="251667456" behindDoc="0" locked="0" layoutInCell="1" allowOverlap="1">
            <wp:simplePos x="0" y="0"/>
            <wp:positionH relativeFrom="column">
              <wp:posOffset>565150</wp:posOffset>
            </wp:positionH>
            <wp:positionV relativeFrom="paragraph">
              <wp:posOffset>255270</wp:posOffset>
            </wp:positionV>
            <wp:extent cx="4429760" cy="2073275"/>
            <wp:effectExtent l="19050" t="0" r="27940" b="317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hint="eastAsia" w:ascii="仿宋" w:hAnsi="仿宋" w:eastAsia="仿宋"/>
          <w:b/>
          <w:color w:val="000000"/>
          <w:sz w:val="32"/>
          <w:szCs w:val="32"/>
        </w:rPr>
      </w:pPr>
      <w:bookmarkStart w:id="31" w:name="_Toc15377211"/>
    </w:p>
    <w:p>
      <w:pPr>
        <w:spacing w:line="600" w:lineRule="exact"/>
        <w:outlineLvl w:val="2"/>
        <w:rPr>
          <w:rFonts w:hint="eastAsia" w:ascii="仿宋" w:hAnsi="仿宋" w:eastAsia="仿宋"/>
          <w:b/>
          <w:color w:val="000000"/>
          <w:sz w:val="32"/>
          <w:szCs w:val="32"/>
        </w:rPr>
      </w:pPr>
    </w:p>
    <w:p>
      <w:pPr>
        <w:spacing w:line="600" w:lineRule="exact"/>
        <w:outlineLvl w:val="2"/>
        <w:rPr>
          <w:rFonts w:hint="eastAsia" w:ascii="仿宋" w:hAnsi="仿宋" w:eastAsia="仿宋"/>
          <w:b/>
          <w:color w:val="000000"/>
          <w:sz w:val="32"/>
          <w:szCs w:val="32"/>
        </w:rPr>
      </w:pP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lang w:eastAsia="zh-CN"/>
        </w:rPr>
        <w:t>（二）</w:t>
      </w:r>
      <w:r>
        <w:rPr>
          <w:rFonts w:hint="eastAsia" w:ascii="仿宋" w:hAnsi="仿宋" w:eastAsia="仿宋"/>
          <w:b/>
          <w:color w:val="000000"/>
          <w:sz w:val="32"/>
          <w:szCs w:val="32"/>
        </w:rPr>
        <w:t>一般公共预算财政拨款支出决算结构情况</w:t>
      </w:r>
      <w:bookmarkEnd w:id="31"/>
    </w:p>
    <w:p>
      <w:pPr>
        <w:spacing w:line="600" w:lineRule="exact"/>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678</w:t>
      </w:r>
      <w:r>
        <w:rPr>
          <w:rFonts w:hint="eastAsia" w:ascii="仿宋" w:hAnsi="仿宋" w:eastAsia="仿宋"/>
          <w:color w:val="000000" w:themeColor="text1"/>
          <w:sz w:val="32"/>
          <w:szCs w:val="32"/>
          <w14:textFill>
            <w14:solidFill>
              <w14:schemeClr w14:val="tx1"/>
            </w14:solidFill>
          </w14:textFill>
        </w:rPr>
        <w:t>万元，主要用于以下方面</w:t>
      </w:r>
      <w:r>
        <w:rPr>
          <w:rStyle w:val="14"/>
          <w:rFonts w:hint="eastAsia"/>
          <w:color w:val="000000"/>
          <w:sz w:val="32"/>
          <w:szCs w:val="32"/>
        </w:rPr>
        <w:t>教育类-普通教育-小学教育205（类02（款）:</w:t>
      </w:r>
      <w:r>
        <w:rPr>
          <w:rStyle w:val="14"/>
          <w:rFonts w:hint="eastAsia"/>
          <w:b w:val="0"/>
          <w:color w:val="000000"/>
          <w:sz w:val="32"/>
          <w:szCs w:val="32"/>
        </w:rPr>
        <w:t xml:space="preserve"> 支出决算为</w:t>
      </w:r>
      <w:r>
        <w:rPr>
          <w:rStyle w:val="14"/>
          <w:rFonts w:hint="eastAsia"/>
          <w:b w:val="0"/>
          <w:color w:val="000000"/>
          <w:sz w:val="32"/>
          <w:szCs w:val="32"/>
          <w:lang w:val="en-US" w:eastAsia="zh-CN"/>
        </w:rPr>
        <w:t>573.72</w:t>
      </w:r>
      <w:r>
        <w:rPr>
          <w:rStyle w:val="14"/>
          <w:rFonts w:hint="eastAsia"/>
          <w:b w:val="0"/>
          <w:color w:val="000000"/>
          <w:sz w:val="32"/>
          <w:szCs w:val="32"/>
        </w:rPr>
        <w:t>万元，完成预算100%，</w:t>
      </w:r>
      <w:r>
        <w:rPr>
          <w:rStyle w:val="14"/>
          <w:rFonts w:hint="eastAsia"/>
          <w:color w:val="000000"/>
          <w:sz w:val="32"/>
          <w:szCs w:val="32"/>
        </w:rPr>
        <w:t xml:space="preserve">教育类-学前教育205（类02（款）01（项）: </w:t>
      </w:r>
      <w:r>
        <w:rPr>
          <w:rStyle w:val="14"/>
          <w:rFonts w:hint="eastAsia"/>
          <w:b w:val="0"/>
          <w:color w:val="000000"/>
          <w:sz w:val="32"/>
          <w:szCs w:val="32"/>
        </w:rPr>
        <w:t>支出决算为</w:t>
      </w:r>
      <w:r>
        <w:rPr>
          <w:rStyle w:val="14"/>
          <w:rFonts w:hint="eastAsia"/>
          <w:b w:val="0"/>
          <w:color w:val="000000"/>
          <w:sz w:val="32"/>
          <w:szCs w:val="32"/>
          <w:lang w:val="en-US" w:eastAsia="zh-CN"/>
        </w:rPr>
        <w:t>31.04</w:t>
      </w:r>
      <w:r>
        <w:rPr>
          <w:rStyle w:val="14"/>
          <w:rFonts w:hint="eastAsia"/>
          <w:b w:val="0"/>
          <w:color w:val="000000"/>
          <w:sz w:val="32"/>
          <w:szCs w:val="32"/>
        </w:rPr>
        <w:t>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4.57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Style w:val="14"/>
          <w:rFonts w:hint="eastAsia"/>
          <w:color w:val="000000"/>
          <w:sz w:val="32"/>
          <w:szCs w:val="32"/>
        </w:rPr>
        <w:t xml:space="preserve">教育类-小学教育205（类02（款）02（项）: </w:t>
      </w:r>
      <w:r>
        <w:rPr>
          <w:rStyle w:val="14"/>
          <w:rFonts w:hint="eastAsia"/>
          <w:b w:val="0"/>
          <w:color w:val="000000"/>
          <w:sz w:val="32"/>
          <w:szCs w:val="32"/>
        </w:rPr>
        <w:t>支出决算为</w:t>
      </w:r>
      <w:r>
        <w:rPr>
          <w:rStyle w:val="14"/>
          <w:rFonts w:hint="eastAsia"/>
          <w:b w:val="0"/>
          <w:color w:val="000000"/>
          <w:sz w:val="32"/>
          <w:szCs w:val="32"/>
          <w:lang w:val="en-US" w:eastAsia="zh-CN"/>
        </w:rPr>
        <w:t>542.68</w:t>
      </w:r>
      <w:r>
        <w:rPr>
          <w:rStyle w:val="14"/>
          <w:rFonts w:hint="eastAsia"/>
          <w:b w:val="0"/>
          <w:color w:val="000000"/>
          <w:sz w:val="32"/>
          <w:szCs w:val="32"/>
        </w:rPr>
        <w:t>万元，</w:t>
      </w:r>
      <w:r>
        <w:rPr>
          <w:rFonts w:hint="eastAsia" w:ascii="仿宋" w:hAnsi="仿宋" w:eastAsia="仿宋"/>
          <w:color w:val="000000" w:themeColor="text1"/>
          <w:sz w:val="32"/>
          <w:szCs w:val="32"/>
          <w14:textFill>
            <w14:solidFill>
              <w14:schemeClr w14:val="tx1"/>
            </w14:solidFill>
          </w14:textFill>
        </w:rPr>
        <w:t>占8</w:t>
      </w:r>
      <w:r>
        <w:rPr>
          <w:rFonts w:hint="eastAsia" w:ascii="仿宋" w:hAnsi="仿宋" w:eastAsia="仿宋"/>
          <w:color w:val="000000" w:themeColor="text1"/>
          <w:sz w:val="32"/>
          <w:szCs w:val="32"/>
          <w:lang w:val="en-US" w:eastAsia="zh-CN"/>
          <w14:textFill>
            <w14:solidFill>
              <w14:schemeClr w14:val="tx1"/>
            </w14:solidFill>
          </w14:textFill>
        </w:rPr>
        <w:t>0.04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50.64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卫生健康</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34.81</w:t>
      </w:r>
      <w:r>
        <w:rPr>
          <w:rFonts w:hint="eastAsia" w:ascii="仿宋" w:hAnsi="仿宋" w:eastAsia="仿宋"/>
          <w:color w:val="000000" w:themeColor="text1"/>
          <w:sz w:val="32"/>
          <w:szCs w:val="32"/>
          <w14:textFill>
            <w14:solidFill>
              <w14:schemeClr w14:val="tx1"/>
            </w14:solidFill>
          </w14:textFill>
        </w:rPr>
        <w:t>万元，占5.</w:t>
      </w:r>
      <w:r>
        <w:rPr>
          <w:rFonts w:hint="eastAsia" w:ascii="仿宋" w:hAnsi="仿宋" w:eastAsia="仿宋"/>
          <w:color w:val="000000" w:themeColor="text1"/>
          <w:sz w:val="32"/>
          <w:szCs w:val="32"/>
          <w:lang w:val="en-US" w:eastAsia="zh-CN"/>
          <w14:textFill>
            <w14:solidFill>
              <w14:schemeClr w14:val="tx1"/>
            </w14:solidFill>
          </w14:textFill>
        </w:rPr>
        <w:t>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2576" behindDoc="0" locked="0" layoutInCell="1" allowOverlap="1">
            <wp:simplePos x="0" y="0"/>
            <wp:positionH relativeFrom="column">
              <wp:posOffset>787400</wp:posOffset>
            </wp:positionH>
            <wp:positionV relativeFrom="paragraph">
              <wp:posOffset>96520</wp:posOffset>
            </wp:positionV>
            <wp:extent cx="4507230" cy="2188845"/>
            <wp:effectExtent l="19050" t="0" r="26670" b="19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2" w:firstLineChars="200"/>
        <w:outlineLvl w:val="2"/>
        <w:rPr>
          <w:rFonts w:ascii="仿宋" w:hAnsi="仿宋" w:eastAsia="仿宋"/>
          <w:color w:val="FF0000"/>
          <w:sz w:val="32"/>
          <w:szCs w:val="32"/>
        </w:rPr>
      </w:pPr>
      <w:bookmarkStart w:id="33" w:name="_Toc15396608"/>
      <w:bookmarkStart w:id="34" w:name="_Toc1537721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678</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p>
    <w:p>
      <w:pPr>
        <w:spacing w:line="600" w:lineRule="exact"/>
        <w:rPr>
          <w:rFonts w:ascii="仿宋_GB2312" w:eastAsia="仿宋_GB2312"/>
          <w:b/>
          <w:color w:val="000000"/>
          <w:sz w:val="32"/>
          <w:szCs w:val="32"/>
        </w:rPr>
      </w:pPr>
      <w:r>
        <w:rPr>
          <w:rStyle w:val="14"/>
          <w:rFonts w:ascii="仿宋" w:hAnsi="仿宋" w:eastAsia="仿宋"/>
          <w:bCs/>
          <w:color w:val="000000"/>
          <w:sz w:val="32"/>
          <w:szCs w:val="32"/>
        </w:rPr>
        <w:t>1.</w:t>
      </w:r>
      <w:r>
        <w:rPr>
          <w:rStyle w:val="16"/>
          <w:rFonts w:hint="eastAsia"/>
          <w:color w:val="000000"/>
          <w:sz w:val="32"/>
          <w:szCs w:val="32"/>
        </w:rPr>
        <w:t xml:space="preserve"> </w:t>
      </w:r>
      <w:r>
        <w:rPr>
          <w:rStyle w:val="14"/>
          <w:rFonts w:hint="eastAsia"/>
          <w:color w:val="000000"/>
          <w:sz w:val="32"/>
          <w:szCs w:val="32"/>
        </w:rPr>
        <w:t>教育类-普通教育-小学教育205（类02（款）:</w:t>
      </w:r>
      <w:r>
        <w:rPr>
          <w:rStyle w:val="14"/>
          <w:rFonts w:hint="eastAsia"/>
          <w:b w:val="0"/>
          <w:color w:val="000000"/>
          <w:sz w:val="32"/>
          <w:szCs w:val="32"/>
        </w:rPr>
        <w:t xml:space="preserve"> 支出决算为</w:t>
      </w:r>
      <w:r>
        <w:rPr>
          <w:rStyle w:val="14"/>
          <w:rFonts w:hint="eastAsia"/>
          <w:b w:val="0"/>
          <w:color w:val="000000"/>
          <w:sz w:val="32"/>
          <w:szCs w:val="32"/>
          <w:lang w:val="en-US" w:eastAsia="zh-CN"/>
        </w:rPr>
        <w:t>573.72</w:t>
      </w:r>
      <w:r>
        <w:rPr>
          <w:rStyle w:val="14"/>
          <w:rFonts w:hint="eastAsia"/>
          <w:b w:val="0"/>
          <w:color w:val="000000"/>
          <w:sz w:val="32"/>
          <w:szCs w:val="32"/>
        </w:rPr>
        <w:t>万元，完成预算100%，</w:t>
      </w:r>
      <w:r>
        <w:rPr>
          <w:rStyle w:val="14"/>
          <w:rFonts w:hint="eastAsia"/>
          <w:color w:val="000000"/>
          <w:sz w:val="32"/>
          <w:szCs w:val="32"/>
        </w:rPr>
        <w:t xml:space="preserve">教育类-学前教育205（类02（款）01（项）: </w:t>
      </w:r>
      <w:r>
        <w:rPr>
          <w:rStyle w:val="14"/>
          <w:rFonts w:hint="eastAsia"/>
          <w:b w:val="0"/>
          <w:color w:val="000000"/>
          <w:sz w:val="32"/>
          <w:szCs w:val="32"/>
        </w:rPr>
        <w:t>支出决算为</w:t>
      </w:r>
      <w:r>
        <w:rPr>
          <w:rStyle w:val="14"/>
          <w:rFonts w:hint="eastAsia"/>
          <w:b w:val="0"/>
          <w:color w:val="000000"/>
          <w:sz w:val="32"/>
          <w:szCs w:val="32"/>
          <w:lang w:val="en-US" w:eastAsia="zh-CN"/>
        </w:rPr>
        <w:t>31.04</w:t>
      </w:r>
      <w:r>
        <w:rPr>
          <w:rStyle w:val="14"/>
          <w:rFonts w:hint="eastAsia"/>
          <w:b w:val="0"/>
          <w:color w:val="000000"/>
          <w:sz w:val="32"/>
          <w:szCs w:val="32"/>
        </w:rPr>
        <w:t>万元，完成预算100%，</w:t>
      </w:r>
      <w:r>
        <w:rPr>
          <w:rStyle w:val="14"/>
          <w:rFonts w:hint="eastAsia"/>
          <w:color w:val="000000"/>
          <w:sz w:val="32"/>
          <w:szCs w:val="32"/>
        </w:rPr>
        <w:t xml:space="preserve">教育类-小学教育205（类02（款）02（项）: </w:t>
      </w:r>
      <w:r>
        <w:rPr>
          <w:rStyle w:val="14"/>
          <w:rFonts w:hint="eastAsia"/>
          <w:b w:val="0"/>
          <w:color w:val="000000"/>
          <w:sz w:val="32"/>
          <w:szCs w:val="32"/>
        </w:rPr>
        <w:t>支出决算为</w:t>
      </w:r>
      <w:r>
        <w:rPr>
          <w:rStyle w:val="14"/>
          <w:rFonts w:hint="eastAsia"/>
          <w:b w:val="0"/>
          <w:color w:val="000000"/>
          <w:sz w:val="32"/>
          <w:szCs w:val="32"/>
          <w:lang w:val="en-US" w:eastAsia="zh-CN"/>
        </w:rPr>
        <w:t>542.68</w:t>
      </w:r>
      <w:r>
        <w:rPr>
          <w:rStyle w:val="14"/>
          <w:rFonts w:hint="eastAsia"/>
          <w:b w:val="0"/>
          <w:color w:val="000000"/>
          <w:sz w:val="32"/>
          <w:szCs w:val="32"/>
        </w:rPr>
        <w:t>万元，完成预算100%，</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社会保障和就业（类）208（款）05（项）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50.64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卫生健康</w:t>
      </w:r>
      <w:r>
        <w:rPr>
          <w:rStyle w:val="14"/>
          <w:rFonts w:hint="eastAsia" w:ascii="仿宋" w:hAnsi="仿宋" w:eastAsia="仿宋"/>
          <w:bCs/>
          <w:color w:val="000000"/>
          <w:sz w:val="32"/>
          <w:szCs w:val="32"/>
        </w:rPr>
        <w:t>（类）210（款）11（项）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18.86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b/>
          <w:bCs/>
          <w:color w:val="000000"/>
          <w:sz w:val="32"/>
          <w:szCs w:val="32"/>
        </w:rPr>
        <w:t>住房保障支出221</w:t>
      </w:r>
      <w:r>
        <w:rPr>
          <w:rStyle w:val="14"/>
          <w:rFonts w:hint="eastAsia" w:ascii="仿宋_GB2312" w:eastAsia="仿宋_GB2312"/>
          <w:b w:val="0"/>
          <w:bCs/>
          <w:color w:val="000000"/>
          <w:sz w:val="32"/>
          <w:szCs w:val="32"/>
        </w:rPr>
        <w:t>（类）02（款02（项）</w:t>
      </w:r>
      <w:r>
        <w:rPr>
          <w:rStyle w:val="14"/>
          <w:rFonts w:hint="eastAsia" w:ascii="仿宋_GB2312" w:eastAsia="仿宋_GB2312"/>
          <w:color w:val="000000"/>
          <w:sz w:val="32"/>
          <w:szCs w:val="32"/>
        </w:rPr>
        <w:t>住房公积金支出</w:t>
      </w:r>
      <w:r>
        <w:rPr>
          <w:rStyle w:val="14"/>
          <w:rFonts w:hint="eastAsia" w:ascii="仿宋_GB2312" w:eastAsia="仿宋_GB2312"/>
          <w:color w:val="000000"/>
          <w:sz w:val="32"/>
          <w:szCs w:val="32"/>
          <w:lang w:val="en-US" w:eastAsia="zh-CN"/>
        </w:rPr>
        <w:t>34.81</w:t>
      </w:r>
      <w:r>
        <w:rPr>
          <w:rStyle w:val="14"/>
          <w:rFonts w:hint="eastAsia" w:ascii="仿宋_GB2312" w:eastAsia="仿宋_GB2312"/>
          <w:color w:val="000000"/>
          <w:sz w:val="32"/>
          <w:szCs w:val="32"/>
        </w:rPr>
        <w:t>万元，完成预算100%。</w:t>
      </w:r>
    </w:p>
    <w:p>
      <w:pPr>
        <w:spacing w:line="600" w:lineRule="exact"/>
        <w:ind w:firstLine="642" w:firstLineChars="200"/>
        <w:rPr>
          <w:rStyle w:val="14"/>
          <w:rFonts w:ascii="仿宋_GB2312" w:eastAsia="仿宋_GB2312"/>
          <w:color w:val="000000"/>
          <w:sz w:val="32"/>
          <w:szCs w:val="32"/>
        </w:rPr>
      </w:pPr>
      <w:r>
        <w:rPr>
          <w:rFonts w:hint="eastAsia" w:ascii="仿宋_GB2312" w:eastAsia="仿宋_GB2312"/>
          <w:b/>
          <w:bCs/>
          <w:color w:val="000000"/>
          <w:sz w:val="32"/>
          <w:szCs w:val="32"/>
        </w:rPr>
        <w:t>5.其他支出229</w:t>
      </w:r>
      <w:r>
        <w:rPr>
          <w:rStyle w:val="14"/>
          <w:rFonts w:hint="eastAsia" w:ascii="仿宋_GB2312" w:eastAsia="仿宋_GB2312"/>
          <w:b w:val="0"/>
          <w:bCs/>
          <w:color w:val="000000"/>
          <w:sz w:val="32"/>
          <w:szCs w:val="32"/>
        </w:rPr>
        <w:t>（类）02（款02（项）</w:t>
      </w:r>
      <w:r>
        <w:rPr>
          <w:rStyle w:val="14"/>
          <w:rFonts w:hint="eastAsia" w:ascii="仿宋_GB2312" w:eastAsia="仿宋_GB2312"/>
          <w:color w:val="000000"/>
          <w:sz w:val="32"/>
          <w:szCs w:val="32"/>
        </w:rPr>
        <w:t>彩票公益金及对应专项债务收入安排的支出3万元，完成预算100%。</w:t>
      </w:r>
    </w:p>
    <w:p>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3"/>
      <w:bookmarkEnd w:id="34"/>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573.72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483.99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73.01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35" w:name="_Toc15396609"/>
      <w:bookmarkStart w:id="36"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5"/>
      <w:bookmarkEnd w:id="36"/>
    </w:p>
    <w:p>
      <w:pPr>
        <w:spacing w:line="600" w:lineRule="exact"/>
        <w:ind w:firstLine="640"/>
        <w:outlineLvl w:val="2"/>
        <w:rPr>
          <w:rFonts w:ascii="仿宋" w:hAnsi="仿宋" w:eastAsia="仿宋"/>
          <w:b/>
          <w:color w:val="000000"/>
          <w:sz w:val="32"/>
          <w:szCs w:val="32"/>
        </w:rPr>
      </w:pPr>
      <w:bookmarkStart w:id="37" w:name="_Toc15377216"/>
      <w:r>
        <w:rPr>
          <w:rFonts w:hint="eastAsia" w:ascii="仿宋" w:hAnsi="仿宋" w:eastAsia="仿宋"/>
          <w:b/>
          <w:color w:val="000000"/>
          <w:sz w:val="32"/>
          <w:szCs w:val="32"/>
        </w:rPr>
        <w:t>（一）“三公”经费财政拨款支出决算总体情况说明</w:t>
      </w:r>
      <w:bookmarkEnd w:id="37"/>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年“三公”经费财政拨款支出决算为1.8</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38" w:name="_Toc15377217"/>
      <w:r>
        <w:rPr>
          <w:rFonts w:hint="eastAsia" w:ascii="仿宋" w:hAnsi="仿宋" w:eastAsia="仿宋"/>
          <w:b/>
          <w:color w:val="000000"/>
          <w:sz w:val="32"/>
          <w:szCs w:val="32"/>
        </w:rPr>
        <w:t>（二）“三公”经费财政拨款支出决算具体情况说明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年“三公”经费财政拨款支出决算中，无因公出国（境）费支出决算0元；公务用车购置及运行维护费支出决算0元；公务接待费支出决算1.8</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年减少0.01万元，下降1</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主要用于执行公务、开展业务活动开支的交通费、住宿费、用餐费等。国内公务接待68批次，797人次（不包括陪同人员），共计支出1.8</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万元，具体内容包括：教育主管部门检查和教育相关检查721人次，金额1.58万元；教学质量抽测接待32人次，金额0.2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万元；其他公务接待44人次，金额0.04万元。</w:t>
      </w:r>
    </w:p>
    <w:p>
      <w:pPr>
        <w:spacing w:line="600" w:lineRule="exact"/>
        <w:ind w:firstLine="640"/>
        <w:outlineLvl w:val="1"/>
        <w:rPr>
          <w:rStyle w:val="25"/>
          <w:rFonts w:ascii="黑体" w:hAnsi="黑体" w:eastAsia="黑体"/>
        </w:rPr>
      </w:pPr>
      <w:bookmarkStart w:id="39" w:name="_Toc15377218"/>
      <w:bookmarkStart w:id="40"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39"/>
      <w:bookmarkEnd w:id="4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年政府性基金预算拨款支出3万元用于设备采购。</w:t>
      </w:r>
    </w:p>
    <w:p>
      <w:pPr>
        <w:numPr>
          <w:ilvl w:val="0"/>
          <w:numId w:val="2"/>
        </w:numPr>
        <w:spacing w:line="600" w:lineRule="exact"/>
        <w:ind w:firstLine="640"/>
        <w:outlineLvl w:val="1"/>
        <w:rPr>
          <w:rStyle w:val="25"/>
          <w:rFonts w:ascii="黑体" w:hAnsi="黑体" w:eastAsia="黑体"/>
          <w:b w:val="0"/>
        </w:rPr>
      </w:pPr>
      <w:bookmarkStart w:id="41" w:name="_Toc15396611"/>
      <w:bookmarkStart w:id="42" w:name="_Toc15377219"/>
      <w:r>
        <w:rPr>
          <w:rStyle w:val="25"/>
          <w:rFonts w:hint="eastAsia" w:ascii="黑体" w:hAnsi="黑体" w:eastAsia="黑体"/>
          <w:b w:val="0"/>
        </w:rPr>
        <w:t>国有资本经营预算支出决算情况说明</w:t>
      </w:r>
      <w:bookmarkEnd w:id="41"/>
      <w:bookmarkEnd w:id="4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w:t>
      </w:r>
      <w:r>
        <w:rPr>
          <w:rFonts w:hint="eastAsia" w:ascii="仿宋_GB2312" w:hAnsi="仿宋_GB2312" w:eastAsia="仿宋_GB2312" w:cs="仿宋_GB2312"/>
          <w:sz w:val="32"/>
          <w:szCs w:val="32"/>
          <w:lang w:val="en-US" w:eastAsia="zh-CN"/>
        </w:rPr>
        <w:t>38.53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38.53</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w:t>
      </w:r>
      <w:r>
        <w:rPr>
          <w:rFonts w:hint="eastAsia" w:ascii="仿宋_GB2312" w:hAnsi="仿宋_GB2312" w:eastAsia="仿宋_GB2312" w:cs="仿宋_GB2312"/>
          <w:sz w:val="32"/>
          <w:szCs w:val="32"/>
          <w:lang w:val="en-US" w:eastAsia="zh-CN"/>
        </w:rPr>
        <w:t>12.17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12.17</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学前教育补助资金项目绩效目标完成情况综述。项目全年预算数10.</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万元，执行数为10.</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万元，完成预算的100%。</w:t>
      </w:r>
    </w:p>
    <w:tbl>
      <w:tblPr>
        <w:tblStyle w:val="12"/>
        <w:tblpPr w:leftFromText="180" w:rightFromText="180" w:vertAnchor="text" w:horzAnchor="page" w:tblpX="1794" w:tblpY="475"/>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pStyle w:val="23"/>
        <w:spacing w:line="580" w:lineRule="exact"/>
        <w:ind w:firstLine="0" w:firstLineChars="0"/>
        <w:rPr>
          <w:rStyle w:val="25"/>
          <w:rFonts w:ascii="黑体" w:hAnsi="黑体" w:eastAsia="黑体"/>
          <w:b w:val="0"/>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年部门整体支出绩效评价情况开展自评，《宣汉县度口乡中心校201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43" w:name="_Toc15396612"/>
      <w:bookmarkStart w:id="44"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3"/>
      <w:bookmarkEnd w:id="44"/>
    </w:p>
    <w:p>
      <w:pPr>
        <w:spacing w:line="600" w:lineRule="exact"/>
        <w:ind w:firstLine="642" w:firstLineChars="200"/>
        <w:outlineLvl w:val="2"/>
        <w:rPr>
          <w:rFonts w:ascii="仿宋" w:hAnsi="仿宋" w:eastAsia="仿宋"/>
          <w:color w:val="000000"/>
          <w:sz w:val="32"/>
          <w:szCs w:val="32"/>
        </w:rPr>
      </w:pPr>
      <w:bookmarkStart w:id="45" w:name="_Toc15377222"/>
      <w:r>
        <w:rPr>
          <w:rFonts w:hint="eastAsia" w:ascii="仿宋" w:hAnsi="仿宋" w:eastAsia="仿宋"/>
          <w:b/>
          <w:color w:val="000000"/>
          <w:sz w:val="32"/>
          <w:szCs w:val="32"/>
        </w:rPr>
        <w:t>（一）机关运行经费支出情况</w:t>
      </w:r>
      <w:bookmarkEnd w:id="4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6" w:name="_Toc15377223"/>
      <w:r>
        <w:rPr>
          <w:rFonts w:hint="eastAsia" w:ascii="仿宋" w:hAnsi="仿宋" w:eastAsia="仿宋"/>
          <w:b/>
          <w:color w:val="000000"/>
          <w:sz w:val="32"/>
          <w:szCs w:val="32"/>
        </w:rPr>
        <w:t>（二）政府采购支出情况</w:t>
      </w:r>
      <w:bookmarkEnd w:id="46"/>
    </w:p>
    <w:p>
      <w:pPr>
        <w:spacing w:line="600" w:lineRule="exact"/>
        <w:ind w:firstLine="640" w:firstLineChars="200"/>
        <w:rPr>
          <w:rFonts w:ascii="仿宋_GB2312" w:eastAsia="仿宋_GB2312"/>
          <w:color w:val="000000"/>
          <w:sz w:val="32"/>
          <w:szCs w:val="32"/>
        </w:rPr>
      </w:pPr>
      <w:bookmarkStart w:id="47" w:name="_Toc15377224"/>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4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48" w:name="_Toc15377225"/>
      <w:bookmarkStart w:id="49"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0" w:name="_Toc15377226"/>
      <w:r>
        <w:rPr>
          <w:rFonts w:ascii="宋体"/>
          <w:b/>
          <w:color w:val="000000"/>
          <w:sz w:val="44"/>
          <w:szCs w:val="44"/>
        </w:rPr>
        <w:br w:type="page"/>
      </w:r>
      <w:bookmarkStart w:id="51"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1"/>
    </w:p>
    <w:p>
      <w:pPr>
        <w:spacing w:line="600" w:lineRule="exact"/>
        <w:jc w:val="center"/>
        <w:outlineLvl w:val="0"/>
        <w:rPr>
          <w:rStyle w:val="24"/>
        </w:rPr>
      </w:pPr>
    </w:p>
    <w:p>
      <w:pPr>
        <w:spacing w:line="600" w:lineRule="exact"/>
        <w:jc w:val="center"/>
        <w:outlineLvl w:val="0"/>
        <w:rPr>
          <w:rFonts w:ascii="黑体" w:hAnsi="黑体" w:eastAsia="黑体" w:cs="方正小标宋简体"/>
          <w:sz w:val="32"/>
          <w:szCs w:val="32"/>
        </w:rPr>
      </w:pPr>
      <w:bookmarkStart w:id="52" w:name="_Toc15396615"/>
      <w:r>
        <w:rPr>
          <w:rFonts w:hint="eastAsia" w:ascii="黑体" w:hAnsi="黑体" w:eastAsia="黑体" w:cs="方正小标宋简体"/>
          <w:sz w:val="32"/>
          <w:szCs w:val="32"/>
        </w:rPr>
        <w:t>宣汉县度口乡中心校201</w:t>
      </w:r>
      <w:r>
        <w:rPr>
          <w:rFonts w:hint="eastAsia" w:ascii="黑体" w:hAnsi="黑体" w:eastAsia="黑体" w:cs="方正小标宋简体"/>
          <w:sz w:val="32"/>
          <w:szCs w:val="32"/>
          <w:lang w:val="en-US" w:eastAsia="zh-CN"/>
        </w:rPr>
        <w:t>9</w:t>
      </w:r>
      <w:r>
        <w:rPr>
          <w:rFonts w:hint="eastAsia" w:ascii="黑体" w:hAnsi="黑体" w:eastAsia="黑体" w:cs="方正小标宋简体"/>
          <w:sz w:val="32"/>
          <w:szCs w:val="32"/>
        </w:rPr>
        <w:t>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宣汉县渡口乡中心校是一所公办的全日制小学,管辖5所村小，主管部门为宣汉县教育科技局。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渡口乡中心校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bookmarkStart w:id="68" w:name="_GoBack"/>
      <w:bookmarkEnd w:id="68"/>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napToGrid w:val="0"/>
        <w:spacing w:line="588" w:lineRule="exact"/>
        <w:ind w:firstLine="640" w:firstLineChars="200"/>
        <w:rPr>
          <w:rFonts w:ascii="华文仿宋" w:hAnsi="华文仿宋" w:eastAsia="华文仿宋" w:cs="仿宋"/>
          <w:sz w:val="32"/>
          <w:szCs w:val="32"/>
        </w:rPr>
      </w:pPr>
      <w:r>
        <w:rPr>
          <w:rFonts w:hint="eastAsia" w:ascii="华文仿宋" w:hAnsi="华文仿宋" w:eastAsia="华文仿宋" w:cs="仿宋"/>
          <w:sz w:val="32"/>
          <w:szCs w:val="32"/>
        </w:rPr>
        <w:t>宣汉县渡口乡中心校有学生</w:t>
      </w:r>
      <w:r>
        <w:rPr>
          <w:rFonts w:hint="eastAsia" w:ascii="华文仿宋" w:hAnsi="华文仿宋" w:eastAsia="华文仿宋" w:cs="仿宋"/>
          <w:sz w:val="32"/>
          <w:szCs w:val="32"/>
          <w:lang w:val="en-US" w:eastAsia="zh-CN"/>
        </w:rPr>
        <w:t>8</w:t>
      </w:r>
      <w:r>
        <w:rPr>
          <w:rFonts w:hint="eastAsia" w:ascii="华文仿宋" w:hAnsi="华文仿宋" w:eastAsia="华文仿宋" w:cs="仿宋"/>
          <w:sz w:val="32"/>
          <w:szCs w:val="32"/>
        </w:rPr>
        <w:t>30人，24个教学班，教职工4</w:t>
      </w:r>
      <w:r>
        <w:rPr>
          <w:rFonts w:hint="eastAsia" w:ascii="华文仿宋" w:hAnsi="华文仿宋" w:eastAsia="华文仿宋" w:cs="仿宋"/>
          <w:sz w:val="32"/>
          <w:szCs w:val="32"/>
          <w:lang w:val="en-US" w:eastAsia="zh-CN"/>
        </w:rPr>
        <w:t>9</w:t>
      </w:r>
      <w:r>
        <w:rPr>
          <w:rFonts w:hint="eastAsia" w:ascii="华文仿宋" w:hAnsi="华文仿宋" w:eastAsia="华文仿宋" w:cs="仿宋"/>
          <w:sz w:val="32"/>
          <w:szCs w:val="32"/>
        </w:rPr>
        <w:t>人，其中在编教职工27人，特岗教师1</w:t>
      </w:r>
      <w:r>
        <w:rPr>
          <w:rFonts w:hint="eastAsia" w:ascii="华文仿宋" w:hAnsi="华文仿宋" w:eastAsia="华文仿宋" w:cs="仿宋"/>
          <w:sz w:val="32"/>
          <w:szCs w:val="32"/>
          <w:lang w:val="en-US" w:eastAsia="zh-CN"/>
        </w:rPr>
        <w:t>4</w:t>
      </w:r>
      <w:r>
        <w:rPr>
          <w:rFonts w:hint="eastAsia" w:ascii="华文仿宋" w:hAnsi="华文仿宋" w:eastAsia="华文仿宋" w:cs="仿宋"/>
          <w:sz w:val="32"/>
          <w:szCs w:val="32"/>
        </w:rPr>
        <w:t>人，临聘人员</w:t>
      </w:r>
      <w:r>
        <w:rPr>
          <w:rFonts w:hint="eastAsia" w:ascii="华文仿宋" w:hAnsi="华文仿宋" w:eastAsia="华文仿宋" w:cs="仿宋"/>
          <w:sz w:val="32"/>
          <w:szCs w:val="32"/>
          <w:lang w:val="en-US" w:eastAsia="zh-CN"/>
        </w:rPr>
        <w:t>8</w:t>
      </w:r>
      <w:r>
        <w:rPr>
          <w:rFonts w:hint="eastAsia" w:ascii="华文仿宋" w:hAnsi="华文仿宋" w:eastAsia="华文仿宋" w:cs="仿宋"/>
          <w:sz w:val="32"/>
          <w:szCs w:val="32"/>
        </w:rPr>
        <w:t>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年收入合计</w:t>
      </w:r>
      <w:r>
        <w:rPr>
          <w:rFonts w:hint="eastAsia" w:ascii="仿宋_GB2312" w:hAnsi="Calibri" w:eastAsia="仿宋_GB2312" w:cs="仿宋"/>
          <w:color w:val="000000"/>
          <w:kern w:val="0"/>
          <w:sz w:val="32"/>
          <w:szCs w:val="32"/>
          <w:lang w:val="en-US" w:eastAsia="zh-CN"/>
        </w:rPr>
        <w:t>678</w:t>
      </w:r>
      <w:r>
        <w:rPr>
          <w:rFonts w:hint="eastAsia" w:ascii="仿宋_GB2312" w:hAnsi="Calibri" w:eastAsia="仿宋_GB2312" w:cs="仿宋"/>
          <w:color w:val="000000"/>
          <w:kern w:val="0"/>
          <w:sz w:val="32"/>
          <w:szCs w:val="32"/>
        </w:rPr>
        <w:t>万元，其中一般公共预算财政拨款收入</w:t>
      </w:r>
      <w:r>
        <w:rPr>
          <w:rFonts w:hint="eastAsia" w:ascii="仿宋_GB2312" w:hAnsi="Calibri" w:eastAsia="仿宋_GB2312" w:cs="仿宋"/>
          <w:color w:val="000000"/>
          <w:kern w:val="0"/>
          <w:sz w:val="32"/>
          <w:szCs w:val="32"/>
          <w:lang w:val="en-US" w:eastAsia="zh-CN"/>
        </w:rPr>
        <w:t>675</w:t>
      </w:r>
      <w:r>
        <w:rPr>
          <w:rFonts w:hint="eastAsia" w:ascii="仿宋_GB2312" w:hAnsi="Calibri" w:eastAsia="仿宋_GB2312" w:cs="仿宋"/>
          <w:color w:val="000000"/>
          <w:kern w:val="0"/>
          <w:sz w:val="32"/>
          <w:szCs w:val="32"/>
        </w:rPr>
        <w:t>，</w:t>
      </w:r>
      <w:r>
        <w:rPr>
          <w:rFonts w:hint="eastAsia" w:ascii="仿宋_GB2312" w:eastAsia="仿宋_GB2312"/>
          <w:color w:val="000000"/>
          <w:sz w:val="32"/>
          <w:szCs w:val="32"/>
        </w:rPr>
        <w:t>年政府性基金预算拨款收入3万元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年一般公共预算财政拨款支出</w:t>
      </w:r>
      <w:r>
        <w:rPr>
          <w:rFonts w:hint="eastAsia" w:ascii="仿宋_GB2312" w:hAnsi="Calibri" w:eastAsia="仿宋_GB2312" w:cs="仿宋"/>
          <w:color w:val="000000"/>
          <w:kern w:val="0"/>
          <w:sz w:val="32"/>
          <w:szCs w:val="32"/>
          <w:lang w:val="en-US" w:eastAsia="zh-CN"/>
        </w:rPr>
        <w:t>678</w:t>
      </w:r>
      <w:r>
        <w:rPr>
          <w:rFonts w:hint="eastAsia" w:ascii="仿宋_GB2312" w:hAnsi="Calibri" w:eastAsia="仿宋_GB2312" w:cs="仿宋"/>
          <w:color w:val="000000"/>
          <w:kern w:val="0"/>
          <w:sz w:val="32"/>
          <w:szCs w:val="32"/>
        </w:rPr>
        <w:t>万元，主要用于以下方面:教育支出</w:t>
      </w:r>
      <w:r>
        <w:rPr>
          <w:rFonts w:hint="eastAsia" w:ascii="仿宋_GB2312" w:hAnsi="Calibri" w:eastAsia="仿宋_GB2312" w:cs="仿宋"/>
          <w:color w:val="000000"/>
          <w:kern w:val="0"/>
          <w:sz w:val="32"/>
          <w:szCs w:val="32"/>
          <w:lang w:val="en-US" w:eastAsia="zh-CN"/>
        </w:rPr>
        <w:t>570.69</w:t>
      </w:r>
      <w:r>
        <w:rPr>
          <w:rFonts w:hint="eastAsia" w:ascii="仿宋_GB2312" w:hAnsi="Calibri" w:eastAsia="仿宋_GB2312" w:cs="仿宋"/>
          <w:color w:val="000000"/>
          <w:kern w:val="0"/>
          <w:sz w:val="32"/>
          <w:szCs w:val="32"/>
        </w:rPr>
        <w:t>万元，社会保障和就业支出</w:t>
      </w:r>
      <w:r>
        <w:rPr>
          <w:rFonts w:hint="eastAsia" w:ascii="仿宋_GB2312" w:hAnsi="Calibri" w:eastAsia="仿宋_GB2312" w:cs="仿宋"/>
          <w:color w:val="000000"/>
          <w:kern w:val="0"/>
          <w:sz w:val="32"/>
          <w:szCs w:val="32"/>
          <w:lang w:val="en-US" w:eastAsia="zh-CN"/>
        </w:rPr>
        <w:t>50.64</w:t>
      </w:r>
      <w:r>
        <w:rPr>
          <w:rFonts w:hint="eastAsia" w:ascii="仿宋_GB2312" w:hAnsi="Calibri" w:eastAsia="仿宋_GB2312" w:cs="仿宋"/>
          <w:color w:val="000000"/>
          <w:kern w:val="0"/>
          <w:sz w:val="32"/>
          <w:szCs w:val="32"/>
        </w:rPr>
        <w:t>万元，</w:t>
      </w:r>
      <w:r>
        <w:rPr>
          <w:rFonts w:hint="eastAsia" w:ascii="仿宋_GB2312" w:hAnsi="Calibri" w:eastAsia="仿宋_GB2312" w:cs="仿宋"/>
          <w:color w:val="000000"/>
          <w:kern w:val="0"/>
          <w:sz w:val="32"/>
          <w:szCs w:val="32"/>
          <w:lang w:eastAsia="zh-CN"/>
        </w:rPr>
        <w:t>卫生健康</w:t>
      </w:r>
      <w:r>
        <w:rPr>
          <w:rFonts w:hint="eastAsia" w:ascii="仿宋_GB2312" w:hAnsi="Calibri" w:eastAsia="仿宋_GB2312" w:cs="仿宋"/>
          <w:color w:val="000000"/>
          <w:kern w:val="0"/>
          <w:sz w:val="32"/>
          <w:szCs w:val="32"/>
        </w:rPr>
        <w:t>支出</w:t>
      </w:r>
      <w:r>
        <w:rPr>
          <w:rFonts w:hint="eastAsia" w:ascii="仿宋_GB2312" w:hAnsi="Calibri" w:eastAsia="仿宋_GB2312" w:cs="仿宋"/>
          <w:color w:val="000000"/>
          <w:kern w:val="0"/>
          <w:sz w:val="32"/>
          <w:szCs w:val="32"/>
          <w:lang w:val="en-US" w:eastAsia="zh-CN"/>
        </w:rPr>
        <w:t>18.86</w:t>
      </w:r>
      <w:r>
        <w:rPr>
          <w:rFonts w:hint="eastAsia" w:ascii="仿宋_GB2312" w:hAnsi="Calibri" w:eastAsia="仿宋_GB2312" w:cs="仿宋"/>
          <w:color w:val="000000"/>
          <w:kern w:val="0"/>
          <w:sz w:val="32"/>
          <w:szCs w:val="32"/>
        </w:rPr>
        <w:t>万元，住房保障支出</w:t>
      </w:r>
      <w:r>
        <w:rPr>
          <w:rFonts w:hint="eastAsia" w:ascii="仿宋_GB2312" w:hAnsi="Calibri" w:eastAsia="仿宋_GB2312" w:cs="仿宋"/>
          <w:color w:val="000000"/>
          <w:kern w:val="0"/>
          <w:sz w:val="32"/>
          <w:szCs w:val="32"/>
          <w:lang w:val="en-US" w:eastAsia="zh-CN"/>
        </w:rPr>
        <w:t>34.81</w:t>
      </w:r>
      <w:r>
        <w:rPr>
          <w:rFonts w:hint="eastAsia" w:ascii="仿宋_GB2312" w:hAnsi="Calibri" w:eastAsia="仿宋_GB2312" w:cs="仿宋"/>
          <w:color w:val="000000"/>
          <w:kern w:val="0"/>
          <w:sz w:val="32"/>
          <w:szCs w:val="32"/>
        </w:rPr>
        <w:t>万元，用于彩票事业支出3万元。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度宣汉县渡口乡中心校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bookmarkEnd w:id="52"/>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3" w:name="_Toc15396617"/>
      <w:r>
        <w:rPr>
          <w:rStyle w:val="24"/>
          <w:rFonts w:hint="eastAsia" w:ascii="仿宋" w:hAnsi="仿宋" w:eastAsia="仿宋"/>
          <w:b w:val="0"/>
          <w:bCs w:val="0"/>
          <w:sz w:val="32"/>
          <w:szCs w:val="32"/>
        </w:rPr>
        <w:t>附件2</w:t>
      </w:r>
      <w:bookmarkEnd w:id="53"/>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54"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0"/>
      <w:bookmarkEnd w:id="5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5"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5"/>
    </w:p>
    <w:p>
      <w:pPr>
        <w:pStyle w:val="3"/>
        <w:rPr>
          <w:rStyle w:val="25"/>
          <w:rFonts w:hint="eastAsia" w:ascii="仿宋" w:hAnsi="仿宋" w:eastAsia="仿宋"/>
          <w:b w:val="0"/>
          <w:bCs w:val="0"/>
          <w:lang w:eastAsia="zh-CN"/>
        </w:rPr>
      </w:pPr>
      <w:bookmarkStart w:id="56" w:name="_Toc15396620"/>
      <w:r>
        <w:rPr>
          <w:rFonts w:hint="eastAsia" w:ascii="仿宋" w:hAnsi="仿宋" w:eastAsia="仿宋"/>
          <w:b w:val="0"/>
          <w:color w:val="000000"/>
        </w:rPr>
        <w:t>二、收</w:t>
      </w:r>
      <w:r>
        <w:rPr>
          <w:rStyle w:val="25"/>
          <w:rFonts w:hint="eastAsia" w:ascii="仿宋" w:hAnsi="仿宋" w:eastAsia="仿宋"/>
          <w:b w:val="0"/>
          <w:bCs w:val="0"/>
        </w:rPr>
        <w:t>入</w:t>
      </w:r>
      <w:bookmarkEnd w:id="56"/>
      <w:bookmarkStart w:id="57" w:name="_Toc15396621"/>
      <w:r>
        <w:rPr>
          <w:rStyle w:val="25"/>
          <w:rFonts w:hint="eastAsia" w:ascii="仿宋" w:hAnsi="仿宋" w:eastAsia="仿宋"/>
          <w:b w:val="0"/>
          <w:bCs w:val="0"/>
          <w:lang w:eastAsia="zh-CN"/>
        </w:rPr>
        <w:t>决算表</w:t>
      </w:r>
    </w:p>
    <w:p>
      <w:pPr>
        <w:pStyle w:val="3"/>
        <w:rPr>
          <w:rFonts w:hint="eastAsia" w:ascii="仿宋" w:hAnsi="仿宋" w:eastAsia="仿宋"/>
          <w:color w:val="000000"/>
          <w:lang w:eastAsia="zh-CN"/>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w:t>
      </w:r>
      <w:bookmarkEnd w:id="57"/>
      <w:r>
        <w:rPr>
          <w:rStyle w:val="25"/>
          <w:rFonts w:hint="eastAsia" w:ascii="仿宋" w:hAnsi="仿宋" w:eastAsia="仿宋"/>
          <w:b w:val="0"/>
          <w:bCs w:val="0"/>
          <w:lang w:eastAsia="zh-CN"/>
        </w:rPr>
        <w:t>决算表</w:t>
      </w:r>
    </w:p>
    <w:p>
      <w:pPr>
        <w:pStyle w:val="3"/>
        <w:rPr>
          <w:rFonts w:ascii="仿宋" w:hAnsi="仿宋" w:eastAsia="仿宋"/>
          <w:b w:val="0"/>
          <w:color w:val="000000"/>
        </w:rPr>
      </w:pPr>
      <w:bookmarkStart w:id="58"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8"/>
    </w:p>
    <w:p>
      <w:pPr>
        <w:pStyle w:val="3"/>
        <w:rPr>
          <w:rFonts w:ascii="仿宋" w:hAnsi="仿宋" w:eastAsia="仿宋"/>
          <w:color w:val="000000"/>
        </w:rPr>
      </w:pPr>
      <w:bookmarkStart w:id="59"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59"/>
    </w:p>
    <w:p>
      <w:pPr>
        <w:pStyle w:val="3"/>
        <w:rPr>
          <w:rFonts w:ascii="仿宋" w:hAnsi="仿宋" w:eastAsia="仿宋"/>
          <w:color w:val="000000"/>
        </w:rPr>
      </w:pPr>
      <w:bookmarkStart w:id="60"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0"/>
    </w:p>
    <w:p>
      <w:pPr>
        <w:pStyle w:val="3"/>
        <w:rPr>
          <w:rFonts w:ascii="仿宋" w:hAnsi="仿宋" w:eastAsia="仿宋"/>
          <w:color w:val="000000"/>
        </w:rPr>
      </w:pPr>
      <w:bookmarkStart w:id="61"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1"/>
    </w:p>
    <w:p>
      <w:pPr>
        <w:pStyle w:val="3"/>
        <w:rPr>
          <w:rFonts w:ascii="仿宋" w:hAnsi="仿宋" w:eastAsia="仿宋"/>
          <w:color w:val="000000"/>
        </w:rPr>
      </w:pPr>
      <w:bookmarkStart w:id="62"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2"/>
    </w:p>
    <w:p>
      <w:pPr>
        <w:pStyle w:val="3"/>
        <w:rPr>
          <w:rFonts w:ascii="仿宋" w:hAnsi="仿宋" w:eastAsia="仿宋"/>
          <w:color w:val="000000"/>
        </w:rPr>
      </w:pPr>
      <w:bookmarkStart w:id="63"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3"/>
    </w:p>
    <w:p>
      <w:pPr>
        <w:pStyle w:val="3"/>
        <w:rPr>
          <w:rFonts w:ascii="仿宋" w:hAnsi="仿宋" w:eastAsia="仿宋"/>
          <w:color w:val="000000"/>
        </w:rPr>
      </w:pPr>
      <w:bookmarkStart w:id="64"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4"/>
    </w:p>
    <w:p>
      <w:pPr>
        <w:pStyle w:val="3"/>
        <w:rPr>
          <w:rFonts w:ascii="仿宋" w:hAnsi="仿宋" w:eastAsia="仿宋"/>
          <w:color w:val="000000"/>
        </w:rPr>
      </w:pPr>
      <w:bookmarkStart w:id="65"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5"/>
    </w:p>
    <w:p>
      <w:pPr>
        <w:pStyle w:val="3"/>
        <w:rPr>
          <w:rFonts w:ascii="仿宋" w:hAnsi="仿宋" w:eastAsia="仿宋"/>
          <w:color w:val="000000"/>
        </w:rPr>
      </w:pPr>
      <w:bookmarkStart w:id="66"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6"/>
    </w:p>
    <w:p>
      <w:pPr>
        <w:pStyle w:val="3"/>
        <w:rPr>
          <w:rFonts w:ascii="仿宋" w:hAnsi="仿宋" w:eastAsia="仿宋"/>
          <w:color w:val="000000" w:themeColor="text1"/>
          <w14:textFill>
            <w14:solidFill>
              <w14:schemeClr w14:val="tx1"/>
            </w14:solidFill>
          </w14:textFill>
        </w:rPr>
      </w:pPr>
      <w:bookmarkStart w:id="67"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方正仿宋_GBK"/>
    <w:panose1 w:val="00000000000000000000"/>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862"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0AE5"/>
    <w:rsid w:val="00000F4F"/>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2A3B"/>
    <w:rsid w:val="000D5782"/>
    <w:rsid w:val="000E6613"/>
    <w:rsid w:val="000E7119"/>
    <w:rsid w:val="00101DB5"/>
    <w:rsid w:val="00114E9B"/>
    <w:rsid w:val="0014729F"/>
    <w:rsid w:val="00155C1F"/>
    <w:rsid w:val="00157BAB"/>
    <w:rsid w:val="001654D1"/>
    <w:rsid w:val="0018106D"/>
    <w:rsid w:val="001877A7"/>
    <w:rsid w:val="00191536"/>
    <w:rsid w:val="00196687"/>
    <w:rsid w:val="001C0962"/>
    <w:rsid w:val="001D7531"/>
    <w:rsid w:val="001E737D"/>
    <w:rsid w:val="001F0592"/>
    <w:rsid w:val="001F1EEC"/>
    <w:rsid w:val="001F7506"/>
    <w:rsid w:val="002006CD"/>
    <w:rsid w:val="00202B36"/>
    <w:rsid w:val="00204B7A"/>
    <w:rsid w:val="0021101A"/>
    <w:rsid w:val="00220536"/>
    <w:rsid w:val="00235629"/>
    <w:rsid w:val="00260C38"/>
    <w:rsid w:val="002616C0"/>
    <w:rsid w:val="002662AA"/>
    <w:rsid w:val="00280496"/>
    <w:rsid w:val="00295495"/>
    <w:rsid w:val="00295F64"/>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0460"/>
    <w:rsid w:val="00406254"/>
    <w:rsid w:val="004223DE"/>
    <w:rsid w:val="00434489"/>
    <w:rsid w:val="00437085"/>
    <w:rsid w:val="00443880"/>
    <w:rsid w:val="004464F4"/>
    <w:rsid w:val="00471401"/>
    <w:rsid w:val="00473F31"/>
    <w:rsid w:val="0048263A"/>
    <w:rsid w:val="00487E5D"/>
    <w:rsid w:val="004907A4"/>
    <w:rsid w:val="004A23C7"/>
    <w:rsid w:val="004A711F"/>
    <w:rsid w:val="004A7C74"/>
    <w:rsid w:val="004B199D"/>
    <w:rsid w:val="004B4690"/>
    <w:rsid w:val="004C5FFD"/>
    <w:rsid w:val="004E0A2D"/>
    <w:rsid w:val="004E206B"/>
    <w:rsid w:val="004E6DF7"/>
    <w:rsid w:val="004F0FBD"/>
    <w:rsid w:val="00505A47"/>
    <w:rsid w:val="00512FDA"/>
    <w:rsid w:val="00520DA0"/>
    <w:rsid w:val="005664BB"/>
    <w:rsid w:val="0057481D"/>
    <w:rsid w:val="0058486E"/>
    <w:rsid w:val="005D1C8B"/>
    <w:rsid w:val="005D5CED"/>
    <w:rsid w:val="005F171A"/>
    <w:rsid w:val="005F1A4C"/>
    <w:rsid w:val="00605688"/>
    <w:rsid w:val="006070AF"/>
    <w:rsid w:val="00607E6C"/>
    <w:rsid w:val="006101B1"/>
    <w:rsid w:val="00614E44"/>
    <w:rsid w:val="00622830"/>
    <w:rsid w:val="00630AEF"/>
    <w:rsid w:val="006325F8"/>
    <w:rsid w:val="00634C9A"/>
    <w:rsid w:val="006440E4"/>
    <w:rsid w:val="0066343B"/>
    <w:rsid w:val="00664777"/>
    <w:rsid w:val="00667D1D"/>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110E"/>
    <w:rsid w:val="00784D24"/>
    <w:rsid w:val="00785FBA"/>
    <w:rsid w:val="00786E4A"/>
    <w:rsid w:val="007875EB"/>
    <w:rsid w:val="0079426B"/>
    <w:rsid w:val="007D312A"/>
    <w:rsid w:val="007D3F19"/>
    <w:rsid w:val="007E23B0"/>
    <w:rsid w:val="007F1991"/>
    <w:rsid w:val="007F2C2F"/>
    <w:rsid w:val="007F55FC"/>
    <w:rsid w:val="007F5665"/>
    <w:rsid w:val="00800112"/>
    <w:rsid w:val="008202A0"/>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1029C"/>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362F7"/>
    <w:rsid w:val="00A40A00"/>
    <w:rsid w:val="00A4142F"/>
    <w:rsid w:val="00A56DF2"/>
    <w:rsid w:val="00A67AB5"/>
    <w:rsid w:val="00A741DC"/>
    <w:rsid w:val="00A91760"/>
    <w:rsid w:val="00A93B00"/>
    <w:rsid w:val="00A93C21"/>
    <w:rsid w:val="00AB44F8"/>
    <w:rsid w:val="00AC3C6A"/>
    <w:rsid w:val="00AC6E5D"/>
    <w:rsid w:val="00AD5620"/>
    <w:rsid w:val="00AD7C1B"/>
    <w:rsid w:val="00AE16BA"/>
    <w:rsid w:val="00AE1EBE"/>
    <w:rsid w:val="00B03C9D"/>
    <w:rsid w:val="00B060AE"/>
    <w:rsid w:val="00B10517"/>
    <w:rsid w:val="00B13DA1"/>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1D6A"/>
    <w:rsid w:val="00BF5BD6"/>
    <w:rsid w:val="00C03E31"/>
    <w:rsid w:val="00C26EB3"/>
    <w:rsid w:val="00C33E72"/>
    <w:rsid w:val="00C354B2"/>
    <w:rsid w:val="00C35554"/>
    <w:rsid w:val="00C42709"/>
    <w:rsid w:val="00C533CC"/>
    <w:rsid w:val="00C5751C"/>
    <w:rsid w:val="00C61BFC"/>
    <w:rsid w:val="00C62B85"/>
    <w:rsid w:val="00C65438"/>
    <w:rsid w:val="00C7264C"/>
    <w:rsid w:val="00C91CBB"/>
    <w:rsid w:val="00C959B3"/>
    <w:rsid w:val="00CC09B6"/>
    <w:rsid w:val="00CC666F"/>
    <w:rsid w:val="00CD1E3F"/>
    <w:rsid w:val="00CE44F6"/>
    <w:rsid w:val="00CE49DA"/>
    <w:rsid w:val="00CE7B61"/>
    <w:rsid w:val="00D00095"/>
    <w:rsid w:val="00D20620"/>
    <w:rsid w:val="00D26091"/>
    <w:rsid w:val="00D31A46"/>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B6CF3"/>
    <w:rsid w:val="00ED1B63"/>
    <w:rsid w:val="00ED3C1F"/>
    <w:rsid w:val="00ED4085"/>
    <w:rsid w:val="00ED420E"/>
    <w:rsid w:val="00ED74C6"/>
    <w:rsid w:val="00EE2F57"/>
    <w:rsid w:val="00EF1D57"/>
    <w:rsid w:val="00EF4C34"/>
    <w:rsid w:val="00EF77C6"/>
    <w:rsid w:val="00F05438"/>
    <w:rsid w:val="00F1285E"/>
    <w:rsid w:val="00F1361C"/>
    <w:rsid w:val="00F160C7"/>
    <w:rsid w:val="00F36D8F"/>
    <w:rsid w:val="00F417B1"/>
    <w:rsid w:val="00F602DF"/>
    <w:rsid w:val="00F81FD9"/>
    <w:rsid w:val="00F841AA"/>
    <w:rsid w:val="00F91E71"/>
    <w:rsid w:val="00FA23E8"/>
    <w:rsid w:val="00FD3CC1"/>
    <w:rsid w:val="00FF1E02"/>
    <w:rsid w:val="00FF30B4"/>
    <w:rsid w:val="025528C1"/>
    <w:rsid w:val="05AE35C4"/>
    <w:rsid w:val="0FA8094E"/>
    <w:rsid w:val="10C055FF"/>
    <w:rsid w:val="16BB723D"/>
    <w:rsid w:val="1BCA2A89"/>
    <w:rsid w:val="1D2D7CA9"/>
    <w:rsid w:val="1F665168"/>
    <w:rsid w:val="23BB08AF"/>
    <w:rsid w:val="240371BF"/>
    <w:rsid w:val="24384B38"/>
    <w:rsid w:val="249E59AA"/>
    <w:rsid w:val="28591430"/>
    <w:rsid w:val="29FD04D3"/>
    <w:rsid w:val="2E725977"/>
    <w:rsid w:val="31650E11"/>
    <w:rsid w:val="319F7F4E"/>
    <w:rsid w:val="339B4251"/>
    <w:rsid w:val="380F0347"/>
    <w:rsid w:val="38A0778E"/>
    <w:rsid w:val="3B356564"/>
    <w:rsid w:val="3F11178E"/>
    <w:rsid w:val="40677139"/>
    <w:rsid w:val="413E502C"/>
    <w:rsid w:val="439C1973"/>
    <w:rsid w:val="44826028"/>
    <w:rsid w:val="4B925D14"/>
    <w:rsid w:val="4D5401B7"/>
    <w:rsid w:val="52F0142C"/>
    <w:rsid w:val="541B29A4"/>
    <w:rsid w:val="54E56D1C"/>
    <w:rsid w:val="55C174ED"/>
    <w:rsid w:val="60B81E54"/>
    <w:rsid w:val="628E7BB3"/>
    <w:rsid w:val="699E1405"/>
    <w:rsid w:val="6BFF7A75"/>
    <w:rsid w:val="6CC67D82"/>
    <w:rsid w:val="76FEA59C"/>
    <w:rsid w:val="78B03643"/>
    <w:rsid w:val="79C40EAD"/>
    <w:rsid w:val="7AC10E04"/>
    <w:rsid w:val="7C2019DE"/>
    <w:rsid w:val="7D3F454C"/>
    <w:rsid w:val="7DD54F74"/>
    <w:rsid w:val="EBEF14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678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678</c:v>
                </c:pt>
                <c:pt idx="1">
                  <c:v>678</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583.05</c:v>
                </c:pt>
                <c:pt idx="1">
                  <c:v>583.05</c:v>
                </c:pt>
              </c:numCache>
            </c:numRef>
          </c:val>
        </c:ser>
        <c:dLbls>
          <c:showLegendKey val="false"/>
          <c:showVal val="true"/>
          <c:showCatName val="false"/>
          <c:showSerName val="false"/>
          <c:showPercent val="false"/>
          <c:showBubbleSize val="false"/>
        </c:dLbls>
        <c:gapWidth val="150"/>
        <c:axId val="44130688"/>
        <c:axId val="44132224"/>
      </c:barChart>
      <c:catAx>
        <c:axId val="441306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132224"/>
        <c:crosses val="autoZero"/>
        <c:auto val="true"/>
        <c:lblAlgn val="ctr"/>
        <c:lblOffset val="100"/>
        <c:noMultiLvlLbl val="false"/>
      </c:catAx>
      <c:valAx>
        <c:axId val="4413222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1306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678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678</c:v>
                </c:pt>
                <c:pt idx="1">
                  <c:v>678</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583.05</c:v>
                </c:pt>
                <c:pt idx="1">
                  <c:v>583.05</c:v>
                </c:pt>
              </c:numCache>
            </c:numRef>
          </c:val>
        </c:ser>
        <c:dLbls>
          <c:showLegendKey val="false"/>
          <c:showVal val="true"/>
          <c:showCatName val="false"/>
          <c:showSerName val="false"/>
          <c:showPercent val="false"/>
          <c:showBubbleSize val="false"/>
        </c:dLbls>
        <c:gapWidth val="150"/>
        <c:axId val="44130688"/>
        <c:axId val="44132224"/>
      </c:barChart>
      <c:catAx>
        <c:axId val="441306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132224"/>
        <c:crosses val="autoZero"/>
        <c:auto val="true"/>
        <c:lblAlgn val="ctr"/>
        <c:lblOffset val="100"/>
        <c:noMultiLvlLbl val="false"/>
      </c:catAx>
      <c:valAx>
        <c:axId val="4413222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41306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2019年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687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687</c:v>
                </c:pt>
              </c:numCache>
            </c:numRef>
          </c:val>
        </c:ser>
        <c:ser>
          <c:idx val="1"/>
          <c:order val="1"/>
          <c:tx>
            <c:strRef>
              <c:f>Sheet1!$C$1</c:f>
              <c:strCache>
                <c:ptCount val="1"/>
                <c:pt idx="0">
                  <c:v>2018年</c:v>
                </c:pt>
              </c:strCache>
            </c:strRef>
          </c:tx>
          <c:invertIfNegative val="false"/>
          <c:dLbls>
            <c:dLbl>
              <c:idx val="0"/>
              <c:layout>
                <c:manualLayout>
                  <c:x val="-0.00573394495412844"/>
                  <c:y val="-0.055130168453292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580.05</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580.05</c:v>
                </c:pt>
              </c:numCache>
            </c:numRef>
          </c:val>
        </c:ser>
        <c:dLbls>
          <c:showLegendKey val="false"/>
          <c:showVal val="true"/>
          <c:showCatName val="false"/>
          <c:showSerName val="false"/>
          <c:showPercent val="false"/>
          <c:showBubbleSize val="false"/>
        </c:dLbls>
        <c:gapWidth val="150"/>
        <c:axId val="52209536"/>
        <c:axId val="52216192"/>
      </c:barChart>
      <c:catAx>
        <c:axId val="5220953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216192"/>
        <c:crosses val="autoZero"/>
        <c:auto val="true"/>
        <c:lblAlgn val="ctr"/>
        <c:lblOffset val="100"/>
        <c:noMultiLvlLbl val="false"/>
      </c:catAx>
      <c:valAx>
        <c:axId val="52216192"/>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20953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manualLayout>
          <c:xMode val="edge"/>
          <c:yMode val="edge"/>
          <c:x val="0.105100028176951"/>
          <c:y val="0.0348128807658834"/>
        </c:manualLayout>
      </c:layout>
      <c:overlay val="false"/>
    </c:title>
    <c:autoTitleDeleted val="false"/>
    <c:plotArea>
      <c:layout>
        <c:manualLayout>
          <c:layoutTarget val="inner"/>
          <c:xMode val="edge"/>
          <c:yMode val="edge"/>
          <c:x val="0.182958579881657"/>
          <c:y val="0.290147954743255"/>
          <c:w val="0.293705269089884"/>
          <c:h val="0.604792573252103"/>
        </c:manualLayout>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Lbls>
            <c:dLbl>
              <c:idx val="0"/>
              <c:layout>
                <c:manualLayout>
                  <c:x val="-0.0450640415510191"/>
                  <c:y val="-0.16030189437808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84.63%</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7.46%</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0470929810589093"/>
                  <c:y val="0.02440984773597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2.9%</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5.13%</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0835446604677374"/>
                      <c:h val="0.103278212938787"/>
                    </c:manualLayout>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医疗卫生与计划生育支出</c:v>
                </c:pt>
                <c:pt idx="3">
                  <c:v>住房保障支出</c:v>
                </c:pt>
              </c:strCache>
            </c:strRef>
          </c:cat>
          <c:val>
            <c:numRef>
              <c:f>Sheet1!$B$2:$B$5</c:f>
              <c:numCache>
                <c:formatCode>General</c:formatCode>
                <c:ptCount val="4"/>
                <c:pt idx="0">
                  <c:v>84.63</c:v>
                </c:pt>
                <c:pt idx="1">
                  <c:v>7.46</c:v>
                </c:pt>
                <c:pt idx="2">
                  <c:v>2.78</c:v>
                </c:pt>
                <c:pt idx="3">
                  <c:v>5.13</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1324</Words>
  <Characters>7552</Characters>
  <Lines>62</Lines>
  <Paragraphs>17</Paragraphs>
  <TotalTime>51</TotalTime>
  <ScaleCrop>false</ScaleCrop>
  <LinksUpToDate>false</LinksUpToDate>
  <CharactersWithSpaces>8859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2019-09-02T18:50:00Z</dcterms:created>
  <dc:creator>张彬茜</dc:creator>
  <cp:lastModifiedBy>user</cp:lastModifiedBy>
  <cp:lastPrinted>2019-08-01T16:48:00Z</cp:lastPrinted>
  <dcterms:modified xsi:type="dcterms:W3CDTF">2022-03-07T10:17:33Z</dcterms:modified>
  <dc:title>四川省***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