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6" w:name="_GoBack"/>
      <w:bookmarkEnd w:id="76"/>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96475"/>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宣汉县华景镇小学部门决算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公开时间：2019年9月5日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rPr>
        <w:t>6</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20</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w:t>
      </w:r>
      <w:r>
        <w:rPr>
          <w:rFonts w:hint="eastAsia"/>
        </w:rPr>
        <w:t>4</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宣汉县华景镇小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 w:hAnsi="仿宋" w:eastAsia="仿宋"/>
          <w:bCs/>
          <w:color w:val="000000"/>
          <w:sz w:val="32"/>
          <w:szCs w:val="32"/>
          <w:lang w:eastAsia="zh-CN"/>
        </w:rPr>
        <w:t>中华人民共和国未成年人保护法</w:t>
      </w:r>
      <w:r>
        <w:rPr>
          <w:rFonts w:hint="eastAsia" w:ascii="仿宋" w:hAnsi="仿宋" w:eastAsia="仿宋"/>
          <w:bCs/>
          <w:color w:val="000000"/>
          <w:sz w:val="32"/>
          <w:szCs w:val="32"/>
        </w:rPr>
        <w:t>》做好“保学控辍”工作，依法保护学生和家长的利益，更好地为学生服务，为家长服务，为社会服务。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2018年度我校坚持以人为本，树立全面、协调、可持续发展观，认真做好财务工作，根据年初预算和学校实际情况管好用好上级财政划拨的义务教育保障经费，确保学校教育教学工作的正常运行，教师工资按时足额兑现，严格控制支出，实现了上级财政下达我校财政收支计划。</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jc w:val="left"/>
        <w:rPr>
          <w:rFonts w:ascii="仿宋" w:hAnsi="仿宋" w:eastAsia="仿宋"/>
          <w:color w:val="000000"/>
          <w:kern w:val="0"/>
          <w:sz w:val="32"/>
          <w:szCs w:val="32"/>
        </w:rPr>
      </w:pPr>
      <w:r>
        <w:rPr>
          <w:rFonts w:hint="eastAsia" w:ascii="仿宋" w:hAnsi="仿宋" w:eastAsia="仿宋"/>
          <w:sz w:val="32"/>
          <w:szCs w:val="32"/>
        </w:rPr>
        <w:t>宣汉县华景镇小学具有独立编制和独立核算的机构1个。</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2018年度收入总计1156.77万元，与2017年相比，收入总计减少28.69万元，下降2.4</w:t>
      </w:r>
      <w:r>
        <w:rPr>
          <w:rFonts w:ascii="仿宋" w:hAnsi="仿宋" w:eastAsia="仿宋"/>
          <w:color w:val="000000"/>
          <w:sz w:val="32"/>
          <w:szCs w:val="32"/>
        </w:rPr>
        <w:t>%</w:t>
      </w:r>
      <w:r>
        <w:rPr>
          <w:rFonts w:hint="eastAsia" w:ascii="仿宋" w:hAnsi="仿宋" w:eastAsia="仿宋"/>
          <w:color w:val="000000"/>
          <w:sz w:val="32"/>
          <w:szCs w:val="32"/>
        </w:rPr>
        <w:t>；2018年度支出总计1156.77万元，与2017年相比，支出总计减少28.69万元，下降2.4</w:t>
      </w:r>
      <w:r>
        <w:rPr>
          <w:rFonts w:ascii="仿宋" w:hAnsi="仿宋" w:eastAsia="仿宋"/>
          <w:color w:val="000000"/>
          <w:sz w:val="32"/>
          <w:szCs w:val="32"/>
        </w:rPr>
        <w:t>%</w:t>
      </w:r>
      <w:r>
        <w:rPr>
          <w:rFonts w:hint="eastAsia" w:ascii="仿宋" w:hAnsi="仿宋" w:eastAsia="仿宋"/>
          <w:color w:val="000000"/>
          <w:sz w:val="32"/>
          <w:szCs w:val="32"/>
        </w:rPr>
        <w:t>。主要变动原因是学生、教师人数减少导致相关经费下降。</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drawing>
          <wp:anchor distT="0" distB="0" distL="114300" distR="114300" simplePos="0" relativeHeight="251659264" behindDoc="0" locked="0" layoutInCell="1" allowOverlap="1">
            <wp:simplePos x="0" y="0"/>
            <wp:positionH relativeFrom="column">
              <wp:posOffset>401955</wp:posOffset>
            </wp:positionH>
            <wp:positionV relativeFrom="paragraph">
              <wp:posOffset>-2782570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8年收入合计1156.77万元，其中：一般公共预算财政拨款收入1156.77万元。</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8年支出合计1156.77万元，其中：基本支出944.21万元，占81.6</w:t>
      </w:r>
      <w:r>
        <w:rPr>
          <w:rFonts w:ascii="仿宋" w:hAnsi="仿宋" w:eastAsia="仿宋"/>
          <w:color w:val="000000"/>
          <w:sz w:val="32"/>
          <w:szCs w:val="32"/>
        </w:rPr>
        <w:t>%</w:t>
      </w:r>
      <w:r>
        <w:rPr>
          <w:rFonts w:hint="eastAsia" w:ascii="仿宋" w:hAnsi="仿宋" w:eastAsia="仿宋"/>
          <w:color w:val="000000"/>
          <w:sz w:val="32"/>
          <w:szCs w:val="32"/>
        </w:rPr>
        <w:t>；项目支出212.56万元，占18.4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14:textFill>
            <w14:solidFill>
              <w14:schemeClr w14:val="tx1"/>
            </w14:solidFill>
          </w14:textFill>
        </w:rPr>
      </w:pP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298450</wp:posOffset>
            </wp:positionH>
            <wp:positionV relativeFrom="paragraph">
              <wp:posOffset>198120</wp:posOffset>
            </wp:positionV>
            <wp:extent cx="4803775" cy="2510790"/>
            <wp:effectExtent l="0" t="0" r="15875" b="228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2018年度财政拨款收入总计1156.77万元，与2017年相比，收入总计减少28.69万元，下降2.4</w:t>
      </w:r>
      <w:r>
        <w:rPr>
          <w:rFonts w:ascii="仿宋" w:hAnsi="仿宋" w:eastAsia="仿宋"/>
          <w:color w:val="000000"/>
          <w:sz w:val="32"/>
          <w:szCs w:val="32"/>
        </w:rPr>
        <w:t>%</w:t>
      </w:r>
      <w:r>
        <w:rPr>
          <w:rFonts w:hint="eastAsia" w:ascii="仿宋" w:hAnsi="仿宋" w:eastAsia="仿宋"/>
          <w:color w:val="000000"/>
          <w:sz w:val="32"/>
          <w:szCs w:val="32"/>
        </w:rPr>
        <w:t>；2018年度财政拨款支出总计1156.77万元，与2017年相比，支出总计减少28.69万元，下降2.4</w:t>
      </w:r>
      <w:r>
        <w:rPr>
          <w:rFonts w:ascii="仿宋" w:hAnsi="仿宋" w:eastAsia="仿宋"/>
          <w:color w:val="000000"/>
          <w:sz w:val="32"/>
          <w:szCs w:val="32"/>
        </w:rPr>
        <w:t>%</w:t>
      </w:r>
      <w:r>
        <w:rPr>
          <w:rFonts w:hint="eastAsia" w:ascii="仿宋" w:hAnsi="仿宋" w:eastAsia="仿宋"/>
          <w:color w:val="000000"/>
          <w:sz w:val="32"/>
          <w:szCs w:val="32"/>
        </w:rPr>
        <w:t>。主要变动原因是学生、教师人数减少导致相关经费下降。</w:t>
      </w:r>
    </w:p>
    <w:p>
      <w:pPr>
        <w:spacing w:line="6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621030</wp:posOffset>
            </wp:positionH>
            <wp:positionV relativeFrom="paragraph">
              <wp:posOffset>168275</wp:posOffset>
            </wp:positionV>
            <wp:extent cx="5048250" cy="2717165"/>
            <wp:effectExtent l="0" t="0" r="19050" b="2603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firstLineChars="200"/>
        <w:outlineLvl w:val="1"/>
        <w:rPr>
          <w:rFonts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8年一般公共预算财政拨款支出1156.77万元，占本年支出合计的100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7年相比，一般公共预算财政拨款减少28.69万元，下降2.4</w:t>
      </w:r>
      <w:r>
        <w:rPr>
          <w:rFonts w:ascii="仿宋" w:hAnsi="仿宋" w:eastAsia="仿宋"/>
          <w:color w:val="000000"/>
          <w:sz w:val="32"/>
          <w:szCs w:val="32"/>
        </w:rPr>
        <w:t>%</w:t>
      </w:r>
      <w:r>
        <w:rPr>
          <w:rFonts w:hint="eastAsia" w:ascii="仿宋" w:hAnsi="仿宋" w:eastAsia="仿宋"/>
          <w:color w:val="000000"/>
          <w:sz w:val="32"/>
          <w:szCs w:val="32"/>
        </w:rPr>
        <w:t>。主要变动原因是学生、教师人数减少导致相关经费下降。</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drawing>
          <wp:anchor distT="0" distB="0" distL="114300" distR="114300" simplePos="0" relativeHeight="251662336" behindDoc="0" locked="0" layoutInCell="1" allowOverlap="1">
            <wp:simplePos x="0" y="0"/>
            <wp:positionH relativeFrom="column">
              <wp:posOffset>401955</wp:posOffset>
            </wp:positionH>
            <wp:positionV relativeFrom="paragraph">
              <wp:posOffset>128905</wp:posOffset>
            </wp:positionV>
            <wp:extent cx="4429760" cy="2073275"/>
            <wp:effectExtent l="0" t="0" r="27940" b="222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8年一般公共预算财政拨款支出1156.77万元，主要用于以下方面</w:t>
      </w:r>
      <w:r>
        <w:rPr>
          <w:rFonts w:ascii="仿宋" w:hAnsi="仿宋" w:eastAsia="仿宋"/>
          <w:color w:val="000000"/>
          <w:sz w:val="32"/>
          <w:szCs w:val="32"/>
        </w:rPr>
        <w:t>:</w:t>
      </w:r>
      <w:r>
        <w:rPr>
          <w:rFonts w:hint="eastAsia" w:ascii="仿宋" w:hAnsi="仿宋" w:eastAsia="仿宋"/>
          <w:color w:val="000000"/>
          <w:sz w:val="32"/>
          <w:szCs w:val="32"/>
        </w:rPr>
        <w:t>教育支出981.06万元，占84.8</w:t>
      </w:r>
      <w:r>
        <w:rPr>
          <w:rFonts w:ascii="仿宋" w:hAnsi="仿宋" w:eastAsia="仿宋"/>
          <w:color w:val="000000"/>
          <w:sz w:val="32"/>
          <w:szCs w:val="32"/>
        </w:rPr>
        <w:t>%</w:t>
      </w:r>
      <w:r>
        <w:rPr>
          <w:rFonts w:hint="eastAsia" w:ascii="仿宋" w:hAnsi="仿宋" w:eastAsia="仿宋"/>
          <w:color w:val="000000"/>
          <w:sz w:val="32"/>
          <w:szCs w:val="32"/>
        </w:rPr>
        <w:t>；社会保障和就业支出87.52万元，占7.6</w:t>
      </w:r>
      <w:r>
        <w:rPr>
          <w:rFonts w:ascii="仿宋" w:hAnsi="仿宋" w:eastAsia="仿宋"/>
          <w:color w:val="000000"/>
          <w:sz w:val="32"/>
          <w:szCs w:val="32"/>
        </w:rPr>
        <w:t>%</w:t>
      </w:r>
      <w:r>
        <w:rPr>
          <w:rFonts w:hint="eastAsia" w:ascii="仿宋" w:hAnsi="仿宋" w:eastAsia="仿宋"/>
          <w:color w:val="000000"/>
          <w:sz w:val="32"/>
          <w:szCs w:val="32"/>
        </w:rPr>
        <w:t>；医疗卫生与计划生育支出32.1万元，占2.8</w:t>
      </w:r>
      <w:r>
        <w:rPr>
          <w:rFonts w:ascii="仿宋" w:hAnsi="仿宋" w:eastAsia="仿宋"/>
          <w:color w:val="000000"/>
          <w:sz w:val="32"/>
          <w:szCs w:val="32"/>
        </w:rPr>
        <w:t>%</w:t>
      </w:r>
      <w:r>
        <w:rPr>
          <w:rFonts w:hint="eastAsia" w:ascii="仿宋" w:hAnsi="仿宋" w:eastAsia="仿宋"/>
          <w:color w:val="000000"/>
          <w:sz w:val="32"/>
          <w:szCs w:val="32"/>
        </w:rPr>
        <w:t>；住房保障支出56.09万元，占4.8</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401955</wp:posOffset>
            </wp:positionH>
            <wp:positionV relativeFrom="paragraph">
              <wp:posOffset>64770</wp:posOffset>
            </wp:positionV>
            <wp:extent cx="4507230" cy="2188845"/>
            <wp:effectExtent l="0" t="0" r="26670" b="209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color w:val="000000" w:themeColor="text1"/>
          <w:sz w:val="32"/>
          <w:szCs w:val="32"/>
          <w14:textFill>
            <w14:solidFill>
              <w14:schemeClr w14:val="tx1"/>
            </w14:solidFill>
          </w14:textFill>
        </w:rPr>
        <w:t>2018年般公共预算支出决算数为1156.77万元，</w:t>
      </w:r>
      <w:r>
        <w:rPr>
          <w:rStyle w:val="14"/>
          <w:rFonts w:hint="eastAsia" w:ascii="仿宋" w:hAnsi="仿宋" w:eastAsia="仿宋"/>
          <w:b w:val="0"/>
          <w:bCs/>
          <w:color w:val="000000" w:themeColor="text1"/>
          <w:sz w:val="32"/>
          <w:szCs w:val="32"/>
          <w14:textFill>
            <w14:solidFill>
              <w14:schemeClr w14:val="tx1"/>
            </w14:solidFill>
          </w14:textFill>
        </w:rPr>
        <w:t>完成</w:t>
      </w:r>
      <w:r>
        <w:rPr>
          <w:rStyle w:val="14"/>
          <w:rFonts w:hint="eastAsia" w:ascii="仿宋" w:hAnsi="仿宋" w:eastAsia="仿宋"/>
          <w:b w:val="0"/>
          <w:bCs/>
          <w:color w:val="000000"/>
          <w:sz w:val="32"/>
          <w:szCs w:val="32"/>
        </w:rPr>
        <w:t>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7"/>
      <w:bookmarkEnd w:id="38"/>
      <w:bookmarkEnd w:id="39"/>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教育（类）普通教育（款）学前教育（项）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支出决算为50.68万元，完成预算100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教育（类）普通教育（款）小学教育（项）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支出决算为927.88万元，完成预算100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教育（类）普通教育（款）其他（项）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社会保障和就业（类）行政事业单位离退休（款）机关事业单位基本养老保险缴费支出（项）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支出决算为76.78万元，完成预算100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社会保障和就业（类）行政事业单位离退休（款）机关事业单位职业年金缴费支出（项）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支出决算为10.74万元，完成预算100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ascii="仿宋" w:hAnsi="仿宋" w:eastAsia="仿宋"/>
          <w:b w:val="0"/>
          <w:bCs/>
          <w:color w:val="000000"/>
          <w:sz w:val="32"/>
          <w:szCs w:val="32"/>
        </w:rPr>
        <w:t>6.</w:t>
      </w:r>
      <w:r>
        <w:rPr>
          <w:rStyle w:val="14"/>
          <w:rFonts w:hint="eastAsia" w:ascii="仿宋" w:hAnsi="仿宋" w:eastAsia="仿宋"/>
          <w:b w:val="0"/>
          <w:bCs/>
          <w:color w:val="000000"/>
          <w:sz w:val="32"/>
          <w:szCs w:val="32"/>
        </w:rPr>
        <w:t>医疗卫生与计划生育（类）行政事业单位医疗（款）事业单位医疗（项）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支出决算为32.1万元，完成预算100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ascii="仿宋" w:hAnsi="仿宋" w:eastAsia="仿宋"/>
          <w:color w:val="000000"/>
          <w:sz w:val="32"/>
          <w:szCs w:val="32"/>
        </w:rPr>
        <w:t xml:space="preserve"> </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住房保障（类）住房改革支出（款）住房公积金（项）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支出决算为56.09万元，完成预算100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ascii="仿宋" w:hAnsi="仿宋" w:eastAsia="仿宋"/>
          <w:color w:val="000000"/>
          <w:sz w:val="32"/>
          <w:szCs w:val="32"/>
        </w:rPr>
        <w:t xml:space="preserve"> </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8年一般公共预算财政拨款基本支出944.21万元，其中：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773.89万元，主要包括：基本工资、津贴补贴、奖金、绩效工资、机关事业单位基本养老保险缴费、职业年金缴费、其他社会保障缴费、其他工资福利支出、抚恤金、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170.32万元，主要包括：办公费、印刷费、手续费、水费、电费、邮电费、物业管理费、差旅费、维修（护）费、会议费、培训费、公务接待费、劳务费、工会经费、其他交通费、其他商品和服务支出、办公设备购置、专用设备购置、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8年“三公”经费财政拨款支出决算为4.3万元，完成预算100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8年“三公”经费财政拨款支出决算中，无因公出国（境）费支出决算0元；公务用车购置及运行维护费支出决算0元；公务接待费支出决算4.3万元，占100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7年减少0.12万元，下降2.7</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159批次，906人次（不包括陪同人员），共计支出4.3万元，具体内容包括：教育主管部门检查和教育相关检查742人次，金额3.45万元；教学质量抽测接待45人次，金额0.3万元；其他公务接待119人次，金额0.55万元。</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8年无政府性基金预算拨款支出。</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2018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本部门在2018年度部门决算中反映“学前教育建档立卡贫困家庭免保教费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、“学前教育幼儿学生名保教费”、“义教学生营养改善计划金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学前教育建档立卡贫困家庭免保教费项目绩效目标完成情况综述。项目全年预算数2.28万元，执行数为2.28万元，完成预算的100%。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学前教育幼儿学生名保教费项目绩效目标完成情况综述。项目全年预算数46.26万元，执行数为46.26万元，完成预算的100%。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义教学生营养改善计划金项目绩效目标完成情况综述。项目全年预算数131.11万元，执行数为131.11万元，完成预算的100%。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义教贫困寄宿生生活补助项目绩效目标完成情况综述。项目全年预算数19.6万元，执行数为19.6万元，完成预算的100%。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均衡发展补助资金项目绩效目标完成情况综述。项目全年预算数10万元，执行数为10万元，完成预算的100%。</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宣汉县华景镇小学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本部门按要求对2018年部门整体支出绩效评价情况开展自评，《宣汉县华景镇小学2018年部门整体支出绩效评价报告》见附件。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 xml:space="preserve"> 教育（类）…（款）…（项）：2050201学前教育，反映学前教育的支出；2050202小学教育，反映各部门举办的小学教育支出；2050999其他教育附加安排的支出，反映教育费附加安排的支出。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2080505机关事业单位基本养老保险缴费支出，指反映机关事业单位实施养老保险制度由单位缴纳的基本养老保险费支出；2080506机关事业单位职业年金缴费支出，指机关事业单位实施养老保险制度由单位缴纳的职业年金缴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医疗卫生与计划生育（类）…（款）…（项）：2101102事业单位医疗，指反映财政部门集中安排的事业单位基本医疗保险经费经费。</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住房保障（类）…（款）…（项）：2210201住房公积金，指反映行政事业单位按人力资源和社会保障部、财政部规定的基本工资和津贴补贴以及规定比例为职工缴纳的住房公积金。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2"/>
          <w:szCs w:val="32"/>
        </w:rPr>
      </w:pPr>
      <w:bookmarkStart w:id="60" w:name="_Toc15396616"/>
      <w:r>
        <w:rPr>
          <w:rFonts w:hint="eastAsia" w:ascii="黑体" w:hAnsi="黑体" w:eastAsia="黑体" w:cs="方正小标宋简体"/>
          <w:sz w:val="32"/>
          <w:szCs w:val="32"/>
        </w:rPr>
        <w:t>宣汉县华景镇小学2018年部门整体支出绩效评价报告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宣汉县华景镇小学是一所公办的全日制小学,主管部门为宣汉县教育科技局，下辖中心校1所，村小6所，中心幼儿园1所。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镇小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宣汉县华景镇小学2018年在编教职工68人（含特岗教师），退休教师52人，临时聘用教师30人，在校小学生共1652人、在园幼儿407人。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2018年收入合计1156.77万元，全部为一般公共预算财政拨款收入。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2018年一般公共预算财政拨款支出1156.77万元，主要用于以下方面:教育支出981.06万元，社会保障和就业支出87.52万元，医疗卫生与计划生育支出32.1万元，住房保障支出56.09万元。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华景镇小学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pStyle w:val="3"/>
        <w:rPr>
          <w:rStyle w:val="24"/>
          <w:rFonts w:ascii="仿宋" w:hAnsi="仿宋" w:eastAsia="仿宋"/>
          <w:b w:val="0"/>
          <w:bCs w:val="0"/>
          <w:sz w:val="32"/>
          <w:szCs w:val="32"/>
        </w:rPr>
      </w:pPr>
      <w:bookmarkStart w:id="61" w:name="_Toc15396617"/>
      <w:bookmarkStart w:id="62" w:name="_Toc15396618"/>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2B2A"/>
    <w:rsid w:val="0006487A"/>
    <w:rsid w:val="00065F8F"/>
    <w:rsid w:val="000768F2"/>
    <w:rsid w:val="00081630"/>
    <w:rsid w:val="0009184B"/>
    <w:rsid w:val="0009593C"/>
    <w:rsid w:val="000B047F"/>
    <w:rsid w:val="000B5923"/>
    <w:rsid w:val="000B5A48"/>
    <w:rsid w:val="000B6FF3"/>
    <w:rsid w:val="000C3467"/>
    <w:rsid w:val="000C3CA6"/>
    <w:rsid w:val="000D1267"/>
    <w:rsid w:val="000D1D50"/>
    <w:rsid w:val="000D5782"/>
    <w:rsid w:val="000E6613"/>
    <w:rsid w:val="000E7119"/>
    <w:rsid w:val="000F142F"/>
    <w:rsid w:val="00114E9B"/>
    <w:rsid w:val="00120428"/>
    <w:rsid w:val="0014729F"/>
    <w:rsid w:val="00157BAB"/>
    <w:rsid w:val="001654D1"/>
    <w:rsid w:val="0017401E"/>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48D4"/>
    <w:rsid w:val="003216A9"/>
    <w:rsid w:val="0037013F"/>
    <w:rsid w:val="00374EEE"/>
    <w:rsid w:val="00380C92"/>
    <w:rsid w:val="003A484F"/>
    <w:rsid w:val="003B0BE0"/>
    <w:rsid w:val="003B0C1B"/>
    <w:rsid w:val="003B688C"/>
    <w:rsid w:val="003C0291"/>
    <w:rsid w:val="003C39AE"/>
    <w:rsid w:val="003C7B60"/>
    <w:rsid w:val="003D1DA9"/>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7DA0"/>
    <w:rsid w:val="004E0A2D"/>
    <w:rsid w:val="004E206B"/>
    <w:rsid w:val="004E43AD"/>
    <w:rsid w:val="004E5011"/>
    <w:rsid w:val="004E6DF7"/>
    <w:rsid w:val="004F0FBD"/>
    <w:rsid w:val="00505A47"/>
    <w:rsid w:val="00512FDA"/>
    <w:rsid w:val="00520DA0"/>
    <w:rsid w:val="005664BB"/>
    <w:rsid w:val="0057481D"/>
    <w:rsid w:val="0058486E"/>
    <w:rsid w:val="005D1C8B"/>
    <w:rsid w:val="005D5CED"/>
    <w:rsid w:val="005E6502"/>
    <w:rsid w:val="005F1A4C"/>
    <w:rsid w:val="00605688"/>
    <w:rsid w:val="006070AF"/>
    <w:rsid w:val="00607E6C"/>
    <w:rsid w:val="006101B1"/>
    <w:rsid w:val="00612754"/>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026A"/>
    <w:rsid w:val="007127B7"/>
    <w:rsid w:val="007416B6"/>
    <w:rsid w:val="00746F48"/>
    <w:rsid w:val="0075404D"/>
    <w:rsid w:val="0076182A"/>
    <w:rsid w:val="00767B7E"/>
    <w:rsid w:val="007770C3"/>
    <w:rsid w:val="00784D24"/>
    <w:rsid w:val="00785FBA"/>
    <w:rsid w:val="00786E4A"/>
    <w:rsid w:val="007875EB"/>
    <w:rsid w:val="0079426B"/>
    <w:rsid w:val="007A17A8"/>
    <w:rsid w:val="007C6BB8"/>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7793A"/>
    <w:rsid w:val="00885AF4"/>
    <w:rsid w:val="008939CD"/>
    <w:rsid w:val="0089573A"/>
    <w:rsid w:val="008B768C"/>
    <w:rsid w:val="008C3356"/>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57CE"/>
    <w:rsid w:val="00BA0ACA"/>
    <w:rsid w:val="00BB4DF0"/>
    <w:rsid w:val="00BC289F"/>
    <w:rsid w:val="00BC5361"/>
    <w:rsid w:val="00BC5460"/>
    <w:rsid w:val="00BC6B50"/>
    <w:rsid w:val="00BD0E25"/>
    <w:rsid w:val="00BF5BD6"/>
    <w:rsid w:val="00C03E31"/>
    <w:rsid w:val="00C32C89"/>
    <w:rsid w:val="00C33E72"/>
    <w:rsid w:val="00C354B2"/>
    <w:rsid w:val="00C35554"/>
    <w:rsid w:val="00C4214F"/>
    <w:rsid w:val="00C42709"/>
    <w:rsid w:val="00C533CC"/>
    <w:rsid w:val="00C558FE"/>
    <w:rsid w:val="00C5751C"/>
    <w:rsid w:val="00C61BFC"/>
    <w:rsid w:val="00C62B85"/>
    <w:rsid w:val="00C644FC"/>
    <w:rsid w:val="00C65438"/>
    <w:rsid w:val="00C91CBB"/>
    <w:rsid w:val="00CC09B6"/>
    <w:rsid w:val="00CC666F"/>
    <w:rsid w:val="00CD1E3F"/>
    <w:rsid w:val="00CE44F6"/>
    <w:rsid w:val="00CE49DA"/>
    <w:rsid w:val="00CE7B61"/>
    <w:rsid w:val="00D00095"/>
    <w:rsid w:val="00D1750E"/>
    <w:rsid w:val="00D20620"/>
    <w:rsid w:val="00D22B8B"/>
    <w:rsid w:val="00D26091"/>
    <w:rsid w:val="00D34E7C"/>
    <w:rsid w:val="00D35489"/>
    <w:rsid w:val="00D43247"/>
    <w:rsid w:val="00D51276"/>
    <w:rsid w:val="00D568CA"/>
    <w:rsid w:val="00D7035F"/>
    <w:rsid w:val="00DA30E1"/>
    <w:rsid w:val="00DA65AC"/>
    <w:rsid w:val="00DB1913"/>
    <w:rsid w:val="00DB5A87"/>
    <w:rsid w:val="00DC410D"/>
    <w:rsid w:val="00DC68CA"/>
    <w:rsid w:val="00DC7CBA"/>
    <w:rsid w:val="00DD6897"/>
    <w:rsid w:val="00DD73B7"/>
    <w:rsid w:val="00DF04DE"/>
    <w:rsid w:val="00DF28BC"/>
    <w:rsid w:val="00DF34B9"/>
    <w:rsid w:val="00E01053"/>
    <w:rsid w:val="00E07ACF"/>
    <w:rsid w:val="00E124B8"/>
    <w:rsid w:val="00E331A1"/>
    <w:rsid w:val="00E33202"/>
    <w:rsid w:val="00E336A9"/>
    <w:rsid w:val="00E50624"/>
    <w:rsid w:val="00E568DF"/>
    <w:rsid w:val="00E64269"/>
    <w:rsid w:val="00E82267"/>
    <w:rsid w:val="00EA010F"/>
    <w:rsid w:val="00EB45FE"/>
    <w:rsid w:val="00ED1B63"/>
    <w:rsid w:val="00ED3C1F"/>
    <w:rsid w:val="00ED4085"/>
    <w:rsid w:val="00ED420E"/>
    <w:rsid w:val="00EE2F57"/>
    <w:rsid w:val="00EF4C34"/>
    <w:rsid w:val="00EF77C6"/>
    <w:rsid w:val="00F05438"/>
    <w:rsid w:val="00F1361C"/>
    <w:rsid w:val="00F14895"/>
    <w:rsid w:val="00F160C7"/>
    <w:rsid w:val="00F36D8F"/>
    <w:rsid w:val="00F417B1"/>
    <w:rsid w:val="00F602DF"/>
    <w:rsid w:val="00F81FD9"/>
    <w:rsid w:val="00F841AA"/>
    <w:rsid w:val="00F96468"/>
    <w:rsid w:val="00FA23E8"/>
    <w:rsid w:val="00FA7BBD"/>
    <w:rsid w:val="00FD3CC1"/>
    <w:rsid w:val="00FD4BE3"/>
    <w:rsid w:val="00FF1E02"/>
    <w:rsid w:val="00FF30B4"/>
    <w:rsid w:val="10C055FF"/>
    <w:rsid w:val="16BB723D"/>
    <w:rsid w:val="240371BF"/>
    <w:rsid w:val="29FD04D3"/>
    <w:rsid w:val="31650E11"/>
    <w:rsid w:val="319F7F4E"/>
    <w:rsid w:val="461C5F65"/>
    <w:rsid w:val="76F74A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Book Title"/>
    <w:basedOn w:val="1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1185.46</c:v>
                </c:pt>
                <c:pt idx="1">
                  <c:v>1185.46</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1156.77</c:v>
                </c:pt>
                <c:pt idx="1">
                  <c:v>1156.77</c:v>
                </c:pt>
              </c:numCache>
            </c:numRef>
          </c:val>
        </c:ser>
        <c:dLbls>
          <c:showLegendKey val="false"/>
          <c:showVal val="false"/>
          <c:showCatName val="false"/>
          <c:showSerName val="false"/>
          <c:showPercent val="false"/>
          <c:showBubbleSize val="false"/>
        </c:dLbls>
        <c:gapWidth val="150"/>
        <c:axId val="576218624"/>
        <c:axId val="576218064"/>
      </c:barChart>
      <c:catAx>
        <c:axId val="57621862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76218064"/>
        <c:crosses val="autoZero"/>
        <c:auto val="true"/>
        <c:lblAlgn val="ctr"/>
        <c:lblOffset val="100"/>
        <c:noMultiLvlLbl val="false"/>
      </c:catAx>
      <c:valAx>
        <c:axId val="57621806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76218624"/>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a:t>2018</a:t>
            </a:r>
            <a:r>
              <a:rPr lang="zh-CN" altLang="en-US"/>
              <a:t>年支出结构图</a:t>
            </a:r>
            <a:endParaRPr lang="zh-CN" altLang="en-US"/>
          </a:p>
        </c:rich>
      </c:tx>
      <c:layout>
        <c:manualLayout>
          <c:xMode val="edge"/>
          <c:yMode val="edge"/>
          <c:x val="0.294724837915207"/>
          <c:y val="1.20263604820302e-5"/>
        </c:manualLayout>
      </c:layout>
      <c:overlay val="false"/>
    </c:title>
    <c:autoTitleDeleted val="false"/>
    <c:plotArea>
      <c:layout>
        <c:manualLayout>
          <c:layoutTarget val="inner"/>
          <c:xMode val="edge"/>
          <c:yMode val="edge"/>
          <c:x val="0.171027679450013"/>
          <c:y val="0.134141374743018"/>
          <c:w val="0.447195936530086"/>
          <c:h val="0.766647977052404"/>
        </c:manualLayout>
      </c:layout>
      <c:pieChart>
        <c:varyColors val="true"/>
        <c:ser>
          <c:idx val="0"/>
          <c:order val="0"/>
          <c:tx>
            <c:strRef>
              <c:f>Sheet1!$B$1</c:f>
              <c:strCache>
                <c:ptCount val="1"/>
                <c:pt idx="0">
                  <c:v>支出结构</c:v>
                </c:pt>
              </c:strCache>
            </c:strRef>
          </c:tx>
          <c:explosion val="0"/>
          <c:dPt>
            <c:idx val="0"/>
            <c:bubble3D val="false"/>
          </c:dPt>
          <c:dPt>
            <c:idx val="1"/>
            <c:bubble3D val="false"/>
            <c:explosion val="14"/>
          </c:dPt>
          <c:dLbls>
            <c:dLbl>
              <c:idx val="0"/>
              <c:layout>
                <c:manualLayout>
                  <c:x val="-0.0343831817200665"/>
                  <c:y val="-0.1107873491333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81.6%</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060661127120306"/>
                  <c:y val="0.04451941976251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18.4%</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基本支出</c:v>
                </c:pt>
                <c:pt idx="1">
                  <c:v>项目支出</c:v>
                </c:pt>
              </c:strCache>
            </c:strRef>
          </c:cat>
          <c:val>
            <c:numRef>
              <c:f>Sheet1!$B$2:$B$3</c:f>
              <c:numCache>
                <c:formatCode>General</c:formatCode>
                <c:ptCount val="2"/>
                <c:pt idx="0">
                  <c:v>944.2</c:v>
                </c:pt>
                <c:pt idx="1">
                  <c:v>212.55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1185.46</c:v>
                </c:pt>
                <c:pt idx="1">
                  <c:v>1185.46</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1156.77</c:v>
                </c:pt>
                <c:pt idx="1">
                  <c:v>1156.77</c:v>
                </c:pt>
              </c:numCache>
            </c:numRef>
          </c:val>
        </c:ser>
        <c:dLbls>
          <c:showLegendKey val="false"/>
          <c:showVal val="false"/>
          <c:showCatName val="false"/>
          <c:showSerName val="false"/>
          <c:showPercent val="false"/>
          <c:showBubbleSize val="false"/>
        </c:dLbls>
        <c:gapWidth val="150"/>
        <c:axId val="576245504"/>
        <c:axId val="576244944"/>
      </c:barChart>
      <c:catAx>
        <c:axId val="57624550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76244944"/>
        <c:crosses val="autoZero"/>
        <c:auto val="true"/>
        <c:lblAlgn val="ctr"/>
        <c:lblOffset val="100"/>
        <c:noMultiLvlLbl val="false"/>
      </c:catAx>
      <c:valAx>
        <c:axId val="57624494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76245504"/>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1185.46</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1156.77</c:v>
                </c:pt>
              </c:numCache>
            </c:numRef>
          </c:val>
        </c:ser>
        <c:dLbls>
          <c:showLegendKey val="false"/>
          <c:showVal val="false"/>
          <c:showCatName val="false"/>
          <c:showSerName val="false"/>
          <c:showPercent val="false"/>
          <c:showBubbleSize val="false"/>
        </c:dLbls>
        <c:gapWidth val="150"/>
        <c:axId val="576242144"/>
        <c:axId val="576241584"/>
      </c:barChart>
      <c:catAx>
        <c:axId val="57624214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76241584"/>
        <c:crosses val="autoZero"/>
        <c:auto val="true"/>
        <c:lblAlgn val="ctr"/>
        <c:lblOffset val="100"/>
        <c:noMultiLvlLbl val="false"/>
      </c:catAx>
      <c:valAx>
        <c:axId val="57624158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76242144"/>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25"/>
          <c:dPt>
            <c:idx val="0"/>
            <c:bubble3D val="false"/>
          </c:dPt>
          <c:dPt>
            <c:idx val="1"/>
            <c:bubble3D val="false"/>
          </c:dPt>
          <c:dPt>
            <c:idx val="2"/>
            <c:bubble3D val="false"/>
          </c:dPt>
          <c:dPt>
            <c:idx val="3"/>
            <c:bubble3D val="false"/>
          </c:dPt>
          <c:dLbls>
            <c:dLbl>
              <c:idx val="0"/>
              <c:layout>
                <c:manualLayout>
                  <c:x val="-0.0450640432132457"/>
                  <c:y val="-0.177708556485906"/>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84.8%</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7.6%</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2.8%</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4.8%</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84.8</c:v>
                </c:pt>
                <c:pt idx="1">
                  <c:v>7.6</c:v>
                </c:pt>
                <c:pt idx="2">
                  <c:v>2.8</c:v>
                </c:pt>
                <c:pt idx="3">
                  <c:v>4.8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1425</Words>
  <Characters>8129</Characters>
  <Lines>67</Lines>
  <Paragraphs>19</Paragraphs>
  <TotalTime>625</TotalTime>
  <ScaleCrop>false</ScaleCrop>
  <LinksUpToDate>false</LinksUpToDate>
  <CharactersWithSpaces>9535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2022-03-07T10:12:51Z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EA311A35F16E4FA5A59CCE2EF143E525</vt:lpwstr>
  </property>
</Properties>
</file>