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9647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宣汉县柏树镇卫生院部门决算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12"/>
        <w:spacing w:before="0" w:beforeAutospacing="0" w:after="0" w:afterAutospacing="0"/>
        <w:ind w:firstLine="640" w:firstLineChars="200"/>
        <w:rPr>
          <w:rFonts w:ascii="仿宋" w:hAnsi="仿宋" w:eastAsia="仿宋"/>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_GB2312" w:eastAsia="仿宋_GB2312"/>
          <w:sz w:val="32"/>
          <w:szCs w:val="32"/>
        </w:rPr>
        <w:t>我院现有在职职工47人（其中在编在岗人员25人，临聘人员22人），退休职工9人，遗嘱3人，开放病床38张。是医保和新农合定点医院。担负着辖区居民的防病、治病重任，是集医药医疗、急救、预防、保健、康复于一体的</w:t>
      </w:r>
      <w:r>
        <w:rPr>
          <w:rFonts w:hint="eastAsia" w:ascii="仿宋" w:hAnsi="仿宋" w:eastAsia="仿宋"/>
          <w:sz w:val="32"/>
          <w:szCs w:val="32"/>
        </w:rPr>
        <w:t>的一级甲等医院，也</w:t>
      </w:r>
      <w:r>
        <w:rPr>
          <w:rFonts w:hint="eastAsia" w:ascii="仿宋_GB2312" w:eastAsia="仿宋_GB2312"/>
          <w:sz w:val="32"/>
          <w:szCs w:val="32"/>
        </w:rPr>
        <w:t>是医保和新农合定点医院。并起着全辖区卫生事业的龙头带动作用。辖区共16个村卫生室，</w:t>
      </w:r>
      <w:r>
        <w:rPr>
          <w:rFonts w:hint="eastAsia" w:ascii="仿宋" w:hAnsi="仿宋" w:eastAsia="仿宋"/>
          <w:sz w:val="32"/>
          <w:szCs w:val="32"/>
        </w:rPr>
        <w:t>全镇总人口2.4万人，财政基本公共卫生服务计算人口数19366人。</w:t>
      </w:r>
    </w:p>
    <w:p>
      <w:pPr>
        <w:ind w:firstLine="640" w:firstLineChars="200"/>
        <w:rPr>
          <w:rFonts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bCs/>
          <w:sz w:val="32"/>
          <w:szCs w:val="32"/>
        </w:rPr>
        <w:t>一是不断加强管理，强化内涵建设，切实重抓医疗质量和安全管理，发展人才先行，不断优化病区环境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，打造让患者舒心、满意的家庭式病房，病人满意度不断提升。二是</w:t>
      </w:r>
      <w:r>
        <w:rPr>
          <w:rFonts w:hint="eastAsia" w:ascii="仿宋_GB2312" w:eastAsia="仿宋_GB2312"/>
          <w:bCs/>
          <w:sz w:val="32"/>
          <w:szCs w:val="32"/>
        </w:rPr>
        <w:t>不断加强基础设施建设</w:t>
      </w:r>
      <w:r>
        <w:rPr>
          <w:rFonts w:hint="eastAsia" w:ascii="仿宋_GB2312" w:eastAsia="仿宋_GB2312"/>
          <w:sz w:val="32"/>
          <w:szCs w:val="32"/>
        </w:rPr>
        <w:t>，集中打造中医诊疗区、三是污水处理设施、医疗废物处理间、医院院坝整治，完善了病房的改造及医院环境的改善，真正做到“住院环境花园式、病房宾馆式、服务人性化”。圆满完成城乡环境治理工作，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ascii="仿宋" w:hAnsi="仿宋" w:eastAsia="仿宋_GB2312"/>
          <w:sz w:val="32"/>
          <w:szCs w:val="32"/>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和安全。三是以认真学习领会中央八项规定，规范医疗行为，提升医疗队伍的业务素质能力，忠实践行“全心全意为人民服</w:t>
      </w:r>
      <w:bookmarkStart w:id="73" w:name="_GoBack"/>
      <w:bookmarkEnd w:id="73"/>
      <w:r>
        <w:rPr>
          <w:rFonts w:hint="eastAsia" w:ascii="仿宋" w:hAnsi="仿宋" w:eastAsia="仿宋" w:cs="仿宋"/>
          <w:sz w:val="32"/>
          <w:szCs w:val="32"/>
        </w:rPr>
        <w:t>务”的宗旨。</w:t>
      </w:r>
      <w:r>
        <w:rPr>
          <w:rFonts w:hint="eastAsia" w:ascii="仿宋" w:hAnsi="仿宋" w:eastAsia="仿宋"/>
          <w:color w:val="auto"/>
          <w:sz w:val="32"/>
          <w:szCs w:val="32"/>
        </w:rPr>
        <w:t>2018年我院诊疗人次11429人次，收治住院病人2693人次，实现医疗收入673.7</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元；居民健康建档人数19331人，电子建档人数为19331人，健</w:t>
      </w:r>
      <w:r>
        <w:rPr>
          <w:rFonts w:hint="eastAsia" w:ascii="仿宋" w:hAnsi="仿宋" w:eastAsia="仿宋"/>
          <w:sz w:val="32"/>
          <w:szCs w:val="32"/>
        </w:rPr>
        <w:t>康知识讲座受益人数达19331人次</w:t>
      </w:r>
      <w:r>
        <w:rPr>
          <w:rFonts w:hint="eastAsia" w:ascii="仿宋_GB2312" w:hAnsi="仿宋" w:eastAsia="仿宋_GB2312"/>
          <w:sz w:val="32"/>
          <w:szCs w:val="32"/>
        </w:rPr>
        <w:t>。健康扶贫工作三个一批信息录入全面完成，2018年大病救治44人，慢病签约1885人，重病兜底14人。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napToGrid w:val="0"/>
        <w:spacing w:line="520" w:lineRule="exact"/>
        <w:ind w:firstLine="660"/>
        <w:rPr>
          <w:rFonts w:ascii="仿宋_GB2312" w:hAnsi="仿宋"/>
          <w:b/>
          <w:sz w:val="32"/>
          <w:szCs w:val="32"/>
        </w:rPr>
      </w:pPr>
      <w:r>
        <w:rPr>
          <w:rFonts w:hint="eastAsia" w:ascii="仿宋" w:hAnsi="仿宋" w:eastAsia="仿宋"/>
          <w:color w:val="000000"/>
          <w:sz w:val="32"/>
          <w:szCs w:val="32"/>
        </w:rPr>
        <w:t>2018年度收、支总计896.67万元。与2017年相比，收</w:t>
      </w:r>
      <w:r>
        <w:rPr>
          <w:rFonts w:hint="eastAsia" w:ascii="仿宋_GB2312" w:eastAsia="仿宋_GB2312"/>
          <w:color w:val="000000"/>
          <w:sz w:val="32"/>
          <w:szCs w:val="32"/>
        </w:rPr>
        <w:t>1105.36万元</w:t>
      </w:r>
      <w:r>
        <w:rPr>
          <w:rFonts w:hint="eastAsia" w:ascii="仿宋" w:hAnsi="仿宋" w:eastAsia="仿宋"/>
          <w:color w:val="000000"/>
          <w:sz w:val="32"/>
          <w:szCs w:val="32"/>
        </w:rPr>
        <w:t>、支总计各减少208.69万元，下降18.87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Cs/>
          <w:sz w:val="32"/>
          <w:szCs w:val="32"/>
        </w:rPr>
        <w:t>医保控费，导致业务收入减少</w:t>
      </w:r>
      <w:r>
        <w:rPr>
          <w:rFonts w:hint="eastAsia" w:ascii="宋体" w:hAnsi="宋体"/>
          <w:b/>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-255270</wp:posOffset>
            </wp:positionH>
            <wp:positionV relativeFrom="paragraph">
              <wp:posOffset>122555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r>
        <w:rPr>
          <w:rFonts w:hint="eastAsia" w:ascii="仿宋" w:hAnsi="仿宋" w:eastAsia="仿宋"/>
          <w:color w:val="000000"/>
          <w:sz w:val="32"/>
          <w:szCs w:val="32"/>
        </w:rPr>
        <w:t>896.67万元</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8年本年收入合计896.67万元，其中：一般公共预算财政拨款收入186.88万元，占20.84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；事业收入673.7万元，占79.16</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436245</wp:posOffset>
            </wp:positionH>
            <wp:positionV relativeFrom="paragraph">
              <wp:posOffset>146685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8年本年支出合计896.67万元，其中：基本支出881.16万元，占98.37</w:t>
      </w:r>
      <w:r>
        <w:rPr>
          <w:rFonts w:ascii="仿宋" w:hAnsi="仿宋" w:eastAsia="仿宋"/>
          <w:color w:val="000000"/>
          <w:sz w:val="32"/>
          <w:szCs w:val="32"/>
        </w:rPr>
        <w:t>%</w:t>
      </w:r>
      <w:r>
        <w:rPr>
          <w:rFonts w:hint="eastAsia" w:ascii="仿宋" w:hAnsi="仿宋" w:eastAsia="仿宋"/>
          <w:color w:val="000000"/>
          <w:sz w:val="32"/>
          <w:szCs w:val="32"/>
        </w:rPr>
        <w:t>；项目支出15.5万元，占1.63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30"/>
      <w:bookmarkEnd w:id="31"/>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8年财政拨款收、支总计186.88万元。与</w:t>
      </w:r>
      <w:r>
        <w:rPr>
          <w:rFonts w:ascii="仿宋" w:hAnsi="仿宋" w:eastAsia="仿宋"/>
          <w:color w:val="000000"/>
          <w:sz w:val="32"/>
          <w:szCs w:val="32"/>
        </w:rPr>
        <w:t>201</w:t>
      </w:r>
      <w:r>
        <w:rPr>
          <w:rFonts w:hint="eastAsia" w:ascii="仿宋" w:hAnsi="仿宋" w:eastAsia="仿宋"/>
          <w:color w:val="000000"/>
          <w:sz w:val="32"/>
          <w:szCs w:val="32"/>
        </w:rPr>
        <w:t>7年相比，财政拨款收</w:t>
      </w:r>
      <w:r>
        <w:rPr>
          <w:rFonts w:hint="eastAsia" w:ascii="仿宋_GB2312" w:eastAsia="仿宋_GB2312"/>
          <w:color w:val="000000"/>
          <w:sz w:val="32"/>
          <w:szCs w:val="32"/>
        </w:rPr>
        <w:t>222.55万元</w:t>
      </w:r>
      <w:r>
        <w:rPr>
          <w:rFonts w:hint="eastAsia" w:ascii="仿宋" w:hAnsi="仿宋" w:eastAsia="仿宋"/>
          <w:color w:val="000000"/>
          <w:sz w:val="32"/>
          <w:szCs w:val="32"/>
        </w:rPr>
        <w:t>、支总计各减少35.67万元，下降16.02</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sz w:val="32"/>
          <w:szCs w:val="40"/>
        </w:rPr>
        <w:t>部分指标滚存下年</w:t>
      </w: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8年一般公共预算财政拨款支出186.88万元，占本年支出合计的20.84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w:t>
      </w:r>
      <w:r>
        <w:rPr>
          <w:rFonts w:hint="eastAsia" w:ascii="仿宋_GB2312" w:eastAsia="仿宋_GB2312"/>
          <w:color w:val="000000"/>
          <w:sz w:val="32"/>
          <w:szCs w:val="32"/>
        </w:rPr>
        <w:t>222.55万元</w:t>
      </w:r>
      <w:r>
        <w:rPr>
          <w:rFonts w:hint="eastAsia" w:ascii="仿宋" w:hAnsi="仿宋" w:eastAsia="仿宋"/>
          <w:color w:val="000000"/>
          <w:sz w:val="32"/>
          <w:szCs w:val="32"/>
        </w:rPr>
        <w:t>，减少35.67万元，下降16.02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sz w:val="32"/>
          <w:szCs w:val="40"/>
        </w:rPr>
        <w:t>部分指标滚存下年</w:t>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rPr>
        <w:drawing>
          <wp:anchor distT="0" distB="0" distL="114300" distR="114300" simplePos="0" relativeHeight="25166233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政拨款支出186.88万元，主要用于以下方面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支出171.38万元，占91.75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支出0.24万元，占0.01</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；医疗卫生支出171.14万元，占91.57</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252095</wp:posOffset>
            </wp:positionH>
            <wp:positionV relativeFrom="paragraph">
              <wp:posOffset>758825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2018年一般公共预算支出决算数为</w:t>
      </w:r>
      <w:r>
        <w:rPr>
          <w:rFonts w:hint="eastAsia" w:ascii="仿宋" w:hAnsi="仿宋" w:eastAsia="仿宋"/>
          <w:color w:val="000000" w:themeColor="text1"/>
          <w:sz w:val="32"/>
          <w:szCs w:val="32"/>
        </w:rPr>
        <w:t>186.88万元，</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171.38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_GB2312" w:eastAsia="仿宋_GB2312"/>
          <w:color w:val="000000"/>
          <w:sz w:val="32"/>
          <w:szCs w:val="32"/>
        </w:rPr>
        <w:t>医疗保障</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支出决算为0.24万元，完成预算0.01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hint="eastAsia" w:ascii="仿宋_GB2312" w:eastAsia="仿宋_GB2312"/>
          <w:color w:val="000000"/>
          <w:sz w:val="32"/>
          <w:szCs w:val="32"/>
        </w:rPr>
        <w:t>基层医疗卫生机构</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支出决算为171.14万元，完成预算100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8年一般公共预算财政拨款基本支出186.88万元，其中：</w:t>
      </w:r>
    </w:p>
    <w:p>
      <w:pPr>
        <w:spacing w:line="600" w:lineRule="exact"/>
        <w:ind w:firstLine="645"/>
        <w:rPr>
          <w:rFonts w:ascii="仿宋" w:hAnsi="仿宋" w:eastAsia="仿宋"/>
          <w:color w:val="000000"/>
          <w:sz w:val="32"/>
          <w:szCs w:val="32"/>
        </w:rPr>
      </w:pPr>
      <w:r>
        <w:rPr>
          <w:rFonts w:hint="eastAsia" w:ascii="仿宋" w:hAnsi="仿宋" w:eastAsia="仿宋"/>
          <w:sz w:val="32"/>
          <w:szCs w:val="32"/>
        </w:rPr>
        <w:t>人员经费53.97万元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132.91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w:t>
      </w:r>
      <w:r>
        <w:rPr>
          <w:rFonts w:hint="eastAsia" w:ascii="仿宋" w:hAnsi="仿宋" w:eastAsia="仿宋"/>
          <w:sz w:val="32"/>
          <w:szCs w:val="32"/>
        </w:rPr>
        <w:t>算为4.04万</w:t>
      </w:r>
      <w:r>
        <w:rPr>
          <w:rFonts w:hint="eastAsia" w:ascii="仿宋" w:hAnsi="仿宋" w:eastAsia="仿宋"/>
          <w:color w:val="000000"/>
          <w:sz w:val="32"/>
          <w:szCs w:val="32"/>
        </w:rPr>
        <w:t>元，完成预算100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；公务接待费支出决算1.27万元，占31.43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公务用车购置及运行维护费支出2.77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7年3.08万元，减少0.31万元，下降10.06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严格控制三公经费支出</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2.77万元。主要用于医疗救护及基本公共卫生服务下村体检及“3+X”团队服务等所需的公务用车燃料费、维修费、过路过桥费、保险费等支出。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公务接待费支出1.27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完成预算31.43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7年0万元，增加0万元，下降0</w:t>
      </w:r>
      <w:r>
        <w:rPr>
          <w:rFonts w:ascii="仿宋_GB2312" w:eastAsia="仿宋_GB2312"/>
          <w:color w:val="000000"/>
          <w:sz w:val="32"/>
          <w:szCs w:val="32"/>
        </w:rPr>
        <w:t>%</w:t>
      </w:r>
      <w:r>
        <w:rPr>
          <w:rFonts w:hint="eastAsia" w:ascii="仿宋_GB2312" w:eastAsia="仿宋_GB2312"/>
          <w:color w:val="000000"/>
          <w:sz w:val="32"/>
          <w:szCs w:val="32"/>
        </w:rPr>
        <w:t>。主要原因是上年度部分滚动到本年度。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405</w:t>
      </w:r>
      <w:r>
        <w:rPr>
          <w:rFonts w:hint="eastAsia" w:ascii="仿宋_GB2312" w:eastAsia="仿宋_GB2312"/>
          <w:color w:val="000000"/>
          <w:sz w:val="32"/>
          <w:szCs w:val="32"/>
        </w:rPr>
        <w:t>人次（不包括陪同人员），共计支出1.27万元，具体内容包括：上级部门检查指导工作公务接待，各类医疗业务单位相互学习交流工作接待等。其中：</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r>
        <w:rPr>
          <w:rFonts w:hint="eastAsia" w:ascii="仿宋_GB2312" w:eastAsia="仿宋_GB2312"/>
          <w:color w:val="000000" w:themeColor="text1"/>
          <w:sz w:val="32"/>
          <w:szCs w:val="32"/>
          <w:lang w:eastAsia="zh-CN"/>
        </w:rPr>
        <w:t>。</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柏树镇卫生院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重大公共卫生项目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按照上级安排部署，认真开展此项工作，圆满完成</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w:t>
      </w:r>
      <w:r>
        <w:rPr>
          <w:rFonts w:hint="eastAsia" w:ascii="仿宋_GB2312" w:hAnsi="仿宋_GB2312" w:eastAsia="仿宋_GB2312" w:cs="仿宋_GB2312"/>
          <w:sz w:val="32"/>
          <w:szCs w:val="32"/>
          <w:lang w:val="en-US" w:eastAsia="zh-CN"/>
        </w:rPr>
        <w:t>了我乡公共卫生服务质量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0"/>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宣汉县柏树镇卫生院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3"/>
        </w:numPr>
        <w:spacing w:line="600" w:lineRule="exact"/>
        <w:ind w:left="1429" w:leftChars="0" w:hanging="720" w:firstLineChars="0"/>
        <w:outlineLvl w:val="1"/>
        <w:rPr>
          <w:rStyle w:val="26"/>
          <w:rFonts w:hint="eastAsia" w:ascii="黑体" w:hAnsi="黑体" w:eastAsia="黑体"/>
          <w:b w:val="0"/>
        </w:rPr>
      </w:pPr>
      <w:bookmarkStart w:id="50" w:name="_Toc15396612"/>
      <w:bookmarkStart w:id="51" w:name="_Toc15377221"/>
      <w:r>
        <w:rPr>
          <w:rStyle w:val="26"/>
          <w:rFonts w:hint="eastAsia" w:ascii="黑体" w:hAnsi="黑体" w:eastAsia="黑体"/>
          <w:b w:val="0"/>
        </w:rPr>
        <w:t>其他重要事项的情况说明</w:t>
      </w:r>
      <w:bookmarkEnd w:id="50"/>
      <w:bookmarkEnd w:id="51"/>
    </w:p>
    <w:p>
      <w:pPr>
        <w:spacing w:line="600" w:lineRule="exact"/>
        <w:ind w:firstLine="800" w:firstLineChars="250"/>
        <w:outlineLvl w:val="1"/>
        <w:rPr>
          <w:rFonts w:hint="eastAsia" w:ascii="仿宋" w:hAnsi="仿宋" w:eastAsia="仿宋"/>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w:t>
      </w: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bookmarkStart w:id="58" w:name="_Toc15396617"/>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柏树镇</w:t>
      </w:r>
      <w:r>
        <w:rPr>
          <w:rFonts w:hint="eastAsia" w:ascii="黑体" w:hAnsi="黑体" w:eastAsia="黑体" w:cs="方正小标宋简体"/>
          <w:sz w:val="36"/>
          <w:szCs w:val="36"/>
        </w:rPr>
        <w:t>卫生院2018年部门整体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7"/>
    </w:p>
    <w:p>
      <w:pPr>
        <w:spacing w:line="600" w:lineRule="exact"/>
        <w:jc w:val="center"/>
        <w:outlineLvl w:val="0"/>
        <w:rPr>
          <w:rFonts w:ascii="黑体" w:hAnsi="黑体" w:eastAsia="黑体" w:cs="方正小标宋简体"/>
          <w:sz w:val="36"/>
          <w:szCs w:val="36"/>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柏树镇</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柏树镇</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儿科、</w:t>
      </w:r>
      <w:r>
        <w:rPr>
          <w:rFonts w:hint="eastAsia" w:ascii="仿宋_GB2312" w:hAnsi="宋体" w:eastAsia="仿宋_GB2312"/>
          <w:sz w:val="32"/>
          <w:szCs w:val="32"/>
        </w:rPr>
        <w:t>中医科、防保站、居民健康档案室、医保办公室等科室，开展了检验、B超、等辅助科室。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28</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46</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27</w:t>
      </w:r>
      <w:r>
        <w:rPr>
          <w:rFonts w:hint="eastAsia" w:ascii="仿宋_GB2312" w:hAnsi="宋体" w:eastAsia="仿宋_GB2312"/>
          <w:sz w:val="32"/>
          <w:szCs w:val="32"/>
        </w:rPr>
        <w:t>人，年末退休人员</w:t>
      </w:r>
      <w:r>
        <w:rPr>
          <w:rFonts w:hint="eastAsia" w:ascii="仿宋_GB2312" w:hAnsi="宋体" w:eastAsia="仿宋_GB2312"/>
          <w:sz w:val="32"/>
          <w:szCs w:val="32"/>
          <w:lang w:val="en-US" w:eastAsia="zh-CN"/>
        </w:rPr>
        <w:t>9</w:t>
      </w:r>
      <w:r>
        <w:rPr>
          <w:rFonts w:hint="eastAsia" w:ascii="仿宋_GB2312" w:hAnsi="宋体" w:eastAsia="仿宋_GB2312"/>
          <w:sz w:val="32"/>
          <w:szCs w:val="32"/>
        </w:rPr>
        <w:t>人已纳入社会保障管理。卫生技术人员</w:t>
      </w:r>
      <w:r>
        <w:rPr>
          <w:rFonts w:hint="eastAsia" w:ascii="仿宋_GB2312" w:hAnsi="宋体" w:eastAsia="仿宋_GB2312"/>
          <w:sz w:val="32"/>
          <w:szCs w:val="32"/>
          <w:lang w:val="en-US" w:eastAsia="zh-CN"/>
        </w:rPr>
        <w:t>36</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6</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3</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2</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2</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人，辅助科室B超，检验，</w:t>
      </w:r>
      <w:r>
        <w:rPr>
          <w:rFonts w:hint="eastAsia" w:ascii="仿宋_GB2312" w:hAnsi="宋体" w:eastAsia="仿宋_GB2312"/>
          <w:sz w:val="32"/>
          <w:szCs w:val="32"/>
          <w:lang w:val="en-US" w:eastAsia="zh-CN"/>
        </w:rPr>
        <w:t>放射</w:t>
      </w:r>
      <w:r>
        <w:rPr>
          <w:rFonts w:hint="eastAsia" w:ascii="仿宋_GB2312" w:hAnsi="宋体" w:eastAsia="仿宋_GB2312"/>
          <w:sz w:val="32"/>
          <w:szCs w:val="32"/>
        </w:rPr>
        <w:t xml:space="preserve">各1人。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186.88</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186.88</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106.07</w:t>
      </w:r>
      <w:r>
        <w:rPr>
          <w:rFonts w:hint="eastAsia" w:ascii="仿宋_GB2312" w:hAnsi="仿宋" w:eastAsia="仿宋_GB2312"/>
          <w:sz w:val="32"/>
          <w:szCs w:val="32"/>
        </w:rPr>
        <w:t>万元，退休人员补充医疗保险缴费支出</w:t>
      </w:r>
      <w:r>
        <w:rPr>
          <w:rFonts w:hint="eastAsia" w:ascii="仿宋_GB2312" w:hAnsi="仿宋" w:eastAsia="仿宋_GB2312"/>
          <w:sz w:val="32"/>
          <w:szCs w:val="32"/>
          <w:lang w:val="en-US" w:eastAsia="zh-CN"/>
        </w:rPr>
        <w:t>0.24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综合支出80.57元</w:t>
      </w:r>
      <w:r>
        <w:rPr>
          <w:rFonts w:hint="eastAsia" w:ascii="仿宋_GB2312" w:hAnsi="仿宋"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bookmarkEnd w:id="58"/>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771F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13D"/>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BB0FAE"/>
    <w:rsid w:val="04760E50"/>
    <w:rsid w:val="05A80EF9"/>
    <w:rsid w:val="08394783"/>
    <w:rsid w:val="08B6667F"/>
    <w:rsid w:val="0AC021D0"/>
    <w:rsid w:val="0C56327E"/>
    <w:rsid w:val="0CBF7435"/>
    <w:rsid w:val="0DB26BF2"/>
    <w:rsid w:val="0E346EBD"/>
    <w:rsid w:val="0E5D5C16"/>
    <w:rsid w:val="0FDE13DF"/>
    <w:rsid w:val="104D52F3"/>
    <w:rsid w:val="10C055FF"/>
    <w:rsid w:val="1106232B"/>
    <w:rsid w:val="112948A9"/>
    <w:rsid w:val="11EF6C12"/>
    <w:rsid w:val="12F23F29"/>
    <w:rsid w:val="134F5347"/>
    <w:rsid w:val="13CC05A1"/>
    <w:rsid w:val="13D53CA8"/>
    <w:rsid w:val="14F87774"/>
    <w:rsid w:val="157F281D"/>
    <w:rsid w:val="16BB723D"/>
    <w:rsid w:val="19F5530F"/>
    <w:rsid w:val="1A8173B4"/>
    <w:rsid w:val="1B8A1379"/>
    <w:rsid w:val="23C22E31"/>
    <w:rsid w:val="240371BF"/>
    <w:rsid w:val="251942B4"/>
    <w:rsid w:val="292D5216"/>
    <w:rsid w:val="29FD04D3"/>
    <w:rsid w:val="2A675CA6"/>
    <w:rsid w:val="2AEE7970"/>
    <w:rsid w:val="2B4762C9"/>
    <w:rsid w:val="2C2F09B1"/>
    <w:rsid w:val="2DCC0324"/>
    <w:rsid w:val="2FBB27D3"/>
    <w:rsid w:val="314D27C7"/>
    <w:rsid w:val="317746D9"/>
    <w:rsid w:val="319F7F4E"/>
    <w:rsid w:val="31B50670"/>
    <w:rsid w:val="31FB7916"/>
    <w:rsid w:val="344713F1"/>
    <w:rsid w:val="369863F9"/>
    <w:rsid w:val="37D21587"/>
    <w:rsid w:val="38F47320"/>
    <w:rsid w:val="414250AC"/>
    <w:rsid w:val="460B00E5"/>
    <w:rsid w:val="465917D2"/>
    <w:rsid w:val="465F713A"/>
    <w:rsid w:val="46BC6CDC"/>
    <w:rsid w:val="48AB6338"/>
    <w:rsid w:val="4C691EE8"/>
    <w:rsid w:val="4DA43D1E"/>
    <w:rsid w:val="4DA9410E"/>
    <w:rsid w:val="4E36313E"/>
    <w:rsid w:val="4F931976"/>
    <w:rsid w:val="50326001"/>
    <w:rsid w:val="50FA5E2E"/>
    <w:rsid w:val="522C6C0C"/>
    <w:rsid w:val="55B13850"/>
    <w:rsid w:val="55F2332E"/>
    <w:rsid w:val="5C53145F"/>
    <w:rsid w:val="5CC8174A"/>
    <w:rsid w:val="5E7E0AC6"/>
    <w:rsid w:val="6037770A"/>
    <w:rsid w:val="609B2A0B"/>
    <w:rsid w:val="60AF3986"/>
    <w:rsid w:val="60F73490"/>
    <w:rsid w:val="61D25663"/>
    <w:rsid w:val="61E11456"/>
    <w:rsid w:val="62BD77F1"/>
    <w:rsid w:val="636C0690"/>
    <w:rsid w:val="66170866"/>
    <w:rsid w:val="66C02B08"/>
    <w:rsid w:val="68E03A52"/>
    <w:rsid w:val="6A9B6021"/>
    <w:rsid w:val="6D2C099A"/>
    <w:rsid w:val="6D392F61"/>
    <w:rsid w:val="6DD220B9"/>
    <w:rsid w:val="6F2A37A0"/>
    <w:rsid w:val="754B0FB6"/>
    <w:rsid w:val="775D05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313907284768212"/>
          <c:y val="0.007663588131263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1105.36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896.67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1105.36</c:v>
                </c:pt>
                <c:pt idx="1">
                  <c:v>667.66</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1105.36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896.67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1105.36</c:v>
                </c:pt>
                <c:pt idx="1">
                  <c:v>667.66</c:v>
                </c:pt>
              </c:numCache>
            </c:numRef>
          </c:val>
        </c:ser>
        <c:ser>
          <c:idx val="2"/>
          <c:order val="2"/>
          <c:tx>
            <c:strRef>
              <c:f>Sheet1!$D$1</c:f>
              <c:strCache>
                <c:ptCount val="1"/>
                <c:pt idx="0">
                  <c:v>增加减少</c:v>
                </c:pt>
              </c:strCache>
            </c:strRef>
          </c:tx>
          <c:spPr>
            <a:solidFill>
              <a:schemeClr val="accent3"/>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208.69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208.69</c:v>
                </c:pt>
              </c:numCache>
            </c:numRef>
          </c:val>
        </c:ser>
        <c:ser>
          <c:idx val="3"/>
          <c:order val="3"/>
          <c:tx>
            <c:strRef>
              <c:f>Sheet1!$E$1</c:f>
              <c:strCache>
                <c:ptCount val="1"/>
                <c:pt idx="0">
                  <c:v>增长下降</c:v>
                </c:pt>
              </c:strCache>
            </c:strRef>
          </c:tx>
          <c:spPr>
            <a:solidFill>
              <a:schemeClr val="accent4"/>
            </a:solidFill>
            <a:ln>
              <a:noFill/>
            </a:ln>
            <a:effectLst/>
          </c:spPr>
          <c:invertIfNegative val="0"/>
          <c:dLbls>
            <c:delete val="1"/>
          </c:dLbls>
          <c:cat>
            <c:strRef>
              <c:f>Sheet1!$A$2:$A$3</c:f>
              <c:strCache>
                <c:ptCount val="2"/>
                <c:pt idx="0">
                  <c:v>2017年</c:v>
                </c:pt>
                <c:pt idx="1">
                  <c:v>2018年</c:v>
                </c:pt>
              </c:strCache>
            </c:strRef>
          </c:cat>
          <c:val>
            <c:numRef>
              <c:f>Sheet1!$E$2:$E$3</c:f>
              <c:numCache>
                <c:formatCode>General</c:formatCode>
                <c:ptCount val="2"/>
                <c:pt idx="0">
                  <c:v>6.56</c:v>
                </c:pt>
              </c:numCache>
            </c:numRef>
          </c:val>
        </c:ser>
        <c:dLbls>
          <c:showLegendKey val="0"/>
          <c:showVal val="0"/>
          <c:showCatName val="0"/>
          <c:showSerName val="0"/>
          <c:showPercent val="0"/>
          <c:showBubbleSize val="0"/>
        </c:dLbls>
        <c:gapWidth val="219"/>
        <c:overlap val="-27"/>
        <c:axId val="87571072"/>
        <c:axId val="87597440"/>
      </c:barChart>
      <c:catAx>
        <c:axId val="875710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97440"/>
        <c:crosses val="autoZero"/>
        <c:auto val="1"/>
        <c:lblAlgn val="ctr"/>
        <c:lblOffset val="100"/>
        <c:noMultiLvlLbl val="0"/>
      </c:catAx>
      <c:valAx>
        <c:axId val="8759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71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0474366529169"/>
          <c:y val="0.026333113890717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2018年总收入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一般公共</a:t>
                    </a:r>
                  </a:p>
                  <a:p>
                    <a:pPr>
                      <a:defRPr lang="zh-CN" sz="900" b="0" i="0" u="none" strike="noStrike" kern="1200" baseline="0">
                        <a:solidFill>
                          <a:schemeClr val="tx1">
                            <a:lumMod val="75000"/>
                            <a:lumOff val="25000"/>
                          </a:schemeClr>
                        </a:solidFill>
                        <a:latin typeface="+mn-lt"/>
                        <a:ea typeface="+mn-ea"/>
                        <a:cs typeface="+mn-cs"/>
                      </a:defRPr>
                    </a:pPr>
                    <a:r>
                      <a:rPr lang="en-US" altLang="zh-CN"/>
                      <a:t>20.84</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事业</a:t>
                    </a:r>
                  </a:p>
                  <a:p>
                    <a:pPr>
                      <a:defRPr lang="zh-CN" sz="900" b="0" i="0" u="none" strike="noStrike" kern="1200" baseline="0">
                        <a:solidFill>
                          <a:schemeClr val="tx1">
                            <a:lumMod val="75000"/>
                            <a:lumOff val="25000"/>
                          </a:schemeClr>
                        </a:solidFill>
                        <a:latin typeface="+mn-lt"/>
                        <a:ea typeface="+mn-ea"/>
                        <a:cs typeface="+mn-cs"/>
                      </a:defRPr>
                    </a:pPr>
                    <a:r>
                      <a:rPr lang="en-US" altLang="zh-CN"/>
                      <a:t>79.16</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186.88</c:v>
                </c:pt>
                <c:pt idx="3">
                  <c:v>673.7</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32.79</c:v>
                </c:pt>
                <c:pt idx="3">
                  <c:v>67.21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基本</a:t>
                    </a:r>
                  </a:p>
                  <a:p>
                    <a:pPr>
                      <a:defRPr lang="zh-CN" sz="900" b="0" i="0" u="none" strike="noStrike" kern="1200" baseline="0">
                        <a:solidFill>
                          <a:schemeClr val="tx1">
                            <a:lumMod val="75000"/>
                            <a:lumOff val="25000"/>
                          </a:schemeClr>
                        </a:solidFill>
                        <a:latin typeface="+mn-lt"/>
                        <a:ea typeface="+mn-ea"/>
                        <a:cs typeface="+mn-cs"/>
                      </a:defRPr>
                    </a:pPr>
                    <a:r>
                      <a:rPr lang="en-US" altLang="zh-CN"/>
                      <a:t>98.37</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项目</a:t>
                    </a:r>
                  </a:p>
                  <a:p>
                    <a:pPr>
                      <a:defRPr lang="zh-CN" sz="900" b="0" i="0" u="none" strike="noStrike" kern="1200" baseline="0">
                        <a:solidFill>
                          <a:schemeClr val="tx1">
                            <a:lumMod val="75000"/>
                            <a:lumOff val="25000"/>
                          </a:schemeClr>
                        </a:solidFill>
                        <a:latin typeface="+mn-lt"/>
                        <a:ea typeface="+mn-ea"/>
                        <a:cs typeface="+mn-cs"/>
                      </a:defRPr>
                    </a:pPr>
                    <a:r>
                      <a:rPr lang="en-US" altLang="zh-CN"/>
                      <a:t>1.63</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667.66</c:v>
                </c:pt>
                <c:pt idx="1">
                  <c:v>15.5</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98.37</c:v>
                </c:pt>
                <c:pt idx="1">
                  <c:v>1.63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占本年支付%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22.84</c:v>
                </c:pt>
                <c:pt idx="1">
                  <c:v>20.84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222.55</c:v>
                </c:pt>
                <c:pt idx="1">
                  <c:v>186.88</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35.67</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16.02</c:v>
                </c:pt>
              </c:numCache>
            </c:numRef>
          </c:val>
        </c:ser>
        <c:dLbls>
          <c:showLegendKey val="0"/>
          <c:showVal val="0"/>
          <c:showCatName val="0"/>
          <c:showSerName val="0"/>
          <c:showPercent val="0"/>
          <c:showBubbleSize val="0"/>
        </c:dLbls>
        <c:gapWidth val="219"/>
        <c:overlap val="-27"/>
        <c:axId val="88094976"/>
        <c:axId val="88117248"/>
      </c:barChart>
      <c:catAx>
        <c:axId val="88094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7248"/>
        <c:crosses val="autoZero"/>
        <c:auto val="1"/>
        <c:lblAlgn val="ctr"/>
        <c:lblOffset val="100"/>
        <c:noMultiLvlLbl val="0"/>
      </c:catAx>
      <c:valAx>
        <c:axId val="8811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094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2018年总支出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医疗卫生</a:t>
                    </a:r>
                  </a:p>
                  <a:p>
                    <a:pPr>
                      <a:defRPr lang="zh-CN" sz="900" b="0" i="0" u="none" strike="noStrike" kern="1200" baseline="0">
                        <a:solidFill>
                          <a:schemeClr val="tx1">
                            <a:lumMod val="75000"/>
                            <a:lumOff val="25000"/>
                          </a:schemeClr>
                        </a:solidFill>
                        <a:latin typeface="+mn-lt"/>
                        <a:ea typeface="+mn-ea"/>
                        <a:cs typeface="+mn-cs"/>
                      </a:defRPr>
                    </a:pPr>
                    <a:r>
                      <a:rPr lang="en-US" altLang="zh-CN"/>
                      <a:t>99.85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住房保障</a:t>
                    </a:r>
                  </a:p>
                  <a:p>
                    <a:pPr>
                      <a:defRPr lang="zh-CN" sz="900" b="0" i="0" u="none" strike="noStrike" kern="1200" baseline="0">
                        <a:solidFill>
                          <a:schemeClr val="tx1">
                            <a:lumMod val="75000"/>
                            <a:lumOff val="25000"/>
                          </a:schemeClr>
                        </a:solidFill>
                        <a:latin typeface="+mn-lt"/>
                        <a:ea typeface="+mn-ea"/>
                        <a:cs typeface="+mn-cs"/>
                      </a:defRPr>
                    </a:pPr>
                    <a:r>
                      <a:rPr lang="en-US" altLang="zh-CN"/>
                      <a:t>0.15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Sheet1!$B$2:$B$6</c:f>
              <c:numCache>
                <c:formatCode>General</c:formatCode>
                <c:ptCount val="5"/>
                <c:pt idx="2">
                  <c:v>0.24</c:v>
                </c:pt>
                <c:pt idx="3">
                  <c:v>171.14</c:v>
                </c:pt>
                <c:pt idx="4">
                  <c:v>0</c:v>
                </c:pt>
              </c:numCache>
            </c:numRef>
          </c:val>
        </c:ser>
        <c:ser>
          <c:idx val="1"/>
          <c:order val="1"/>
          <c:tx>
            <c:strRef>
              <c:f>Sheet1!$C$1</c:f>
              <c:strCache>
                <c:ptCount val="1"/>
                <c:pt idx="0">
                  <c:v>占百分比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Sheet1!$C$2:$C$6</c:f>
              <c:numCache>
                <c:formatCode>General</c:formatCode>
                <c:ptCount val="5"/>
                <c:pt idx="2">
                  <c:v>0.15</c:v>
                </c:pt>
                <c:pt idx="3">
                  <c:v>99.85</c:v>
                </c:pt>
                <c:pt idx="4">
                  <c:v>0</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5"/>
          <c:y val="0.0463333333333333"/>
          <c:w val="0.945"/>
          <c:h val="0.8415"/>
        </c:manualLayout>
      </c:layout>
      <c:pieChart>
        <c:varyColors val="1"/>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2.77</c:v>
                </c:pt>
                <c:pt idx="2">
                  <c:v>1.27</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87.5</c:v>
                </c:pt>
                <c:pt idx="2">
                  <c:v>12.5</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7498</Words>
  <Characters>2958</Characters>
  <Lines>24</Lines>
  <Paragraphs>20</Paragraphs>
  <TotalTime>4</TotalTime>
  <ScaleCrop>false</ScaleCrop>
  <LinksUpToDate>false</LinksUpToDate>
  <CharactersWithSpaces>10436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2019-09-04T07:52:00Z</cp:lastPrinted>
  <dcterms:modified xsi:type="dcterms:W3CDTF">2022-02-22T02:31:05Z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BFDFB906283A4585AF961918D41145A1</vt:lpwstr>
  </property>
</Properties>
</file>