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eastAsia" w:eastAsia="方正小标宋简体" w:cs="Times New Roman"/>
          <w:sz w:val="90"/>
          <w:szCs w:val="90"/>
          <w:lang w:eastAsia="zh-CN"/>
        </w:rPr>
        <w:t>下八镇</w:t>
      </w:r>
      <w:r>
        <w:rPr>
          <w:rFonts w:hint="default" w:ascii="Times New Roman" w:hAnsi="Times New Roman" w:eastAsia="方正小标宋简体" w:cs="Times New Roman"/>
          <w:sz w:val="90"/>
          <w:szCs w:val="90"/>
        </w:rPr>
        <w:t>履行职责事项清单</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eastAsia" w:ascii="Times New Roman" w:hAnsi="Times New Roman" w:eastAsia="黑体" w:cs="Times New Roman"/>
          <w:sz w:val="32"/>
          <w:szCs w:val="32"/>
          <w:lang w:val="en-US" w:eastAsia="zh-CN"/>
        </w:rPr>
        <w:t>77</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基本履职事项清单</w:t>
      </w:r>
    </w:p>
    <w:tbl>
      <w:tblPr>
        <w:tblStyle w:val="7"/>
        <w:tblW w:w="142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502"/>
        <w:gridCol w:w="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一、党的建设（1</w:t>
            </w:r>
            <w:r>
              <w:rPr>
                <w:rFonts w:hint="eastAsia" w:ascii="Times New Roman" w:hAnsi="Times New Roman" w:eastAsia="黑体" w:cs="Times New Roman"/>
                <w:i w:val="0"/>
                <w:color w:val="000000"/>
                <w:kern w:val="0"/>
                <w:sz w:val="24"/>
                <w:szCs w:val="22"/>
                <w:u w:val="none"/>
                <w:lang w:val="en-US" w:eastAsia="zh-CN" w:bidi="ar"/>
              </w:rPr>
              <w:t>7</w:t>
            </w:r>
            <w:r>
              <w:rPr>
                <w:rFonts w:hint="default" w:ascii="Times New Roman" w:hAnsi="Times New Roman" w:eastAsia="黑体" w:cs="Times New Roman"/>
                <w:i w:val="0"/>
                <w:color w:val="000000"/>
                <w:kern w:val="0"/>
                <w:sz w:val="24"/>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12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黑体" w:cs="Times New Roman"/>
                <w:i w:val="0"/>
                <w:color w:val="000000"/>
                <w:kern w:val="0"/>
                <w:sz w:val="24"/>
                <w:szCs w:val="22"/>
                <w:u w:val="none"/>
                <w:lang w:val="en-US" w:eastAsia="zh-CN" w:bidi="ar"/>
              </w:rPr>
              <w:t>18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畜禽、水产养殖等特色优势产业，培育、保护本土农产品品牌，促进天然气、硫磺等资源综合开发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cs="Times New Roman"/>
                <w:sz w:val="22"/>
                <w:szCs w:val="22"/>
              </w:rPr>
            </w:pPr>
            <w:r>
              <w:rPr>
                <w:rFonts w:hint="default" w:ascii="Times New Roman" w:hAnsi="Times New Roman" w:eastAsia="黑体" w:cs="Times New Roman"/>
                <w:i w:val="0"/>
                <w:color w:val="000000"/>
                <w:kern w:val="0"/>
                <w:sz w:val="24"/>
                <w:szCs w:val="22"/>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黑体" w:cs="Times New Roman"/>
                <w:i w:val="0"/>
                <w:color w:val="000000"/>
                <w:kern w:val="0"/>
                <w:sz w:val="24"/>
                <w:szCs w:val="22"/>
                <w:u w:val="none"/>
                <w:lang w:val="en-US" w:eastAsia="zh-CN" w:bidi="ar"/>
              </w:rPr>
              <w:t>22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四、平安法治（</w:t>
            </w:r>
            <w:r>
              <w:rPr>
                <w:rFonts w:hint="eastAsia" w:ascii="Times New Roman" w:hAnsi="Times New Roman" w:eastAsia="黑体" w:cs="Times New Roman"/>
                <w:i w:val="0"/>
                <w:color w:val="000000"/>
                <w:kern w:val="0"/>
                <w:sz w:val="24"/>
                <w:szCs w:val="22"/>
                <w:u w:val="none"/>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美蛙、肉鸽等产业扶持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39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49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eastAsia"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、社会保障（7项）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55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56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57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58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59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eastAsia" w:ascii="Times New Roman" w:hAnsi="Times New Roman" w:eastAsia="黑体" w:cs="Times New Roman"/>
                <w:i w:val="0"/>
                <w:color w:val="000000"/>
                <w:kern w:val="0"/>
                <w:sz w:val="24"/>
                <w:szCs w:val="22"/>
                <w:u w:val="none"/>
                <w:lang w:val="en-US" w:eastAsia="zh-CN" w:bidi="ar"/>
              </w:rPr>
              <w:t>九</w:t>
            </w:r>
            <w:r>
              <w:rPr>
                <w:rFonts w:hint="default" w:ascii="Times New Roman" w:hAnsi="Times New Roman" w:eastAsia="黑体" w:cs="Times New Roman"/>
                <w:i w:val="0"/>
                <w:color w:val="000000"/>
                <w:kern w:val="0"/>
                <w:sz w:val="24"/>
                <w:szCs w:val="22"/>
                <w:u w:val="none"/>
                <w:lang w:val="en-US" w:eastAsia="zh-CN" w:bidi="ar"/>
              </w:rPr>
              <w:t>、自然资源（2项）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4" w:type="dxa"/>
          <w:trHeight w:val="567" w:hRule="atLeast"/>
          <w:jc w:val="center"/>
        </w:trPr>
        <w:tc>
          <w:tcPr>
            <w:tcW w:w="141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一</w:t>
            </w:r>
            <w:r>
              <w:rPr>
                <w:rFonts w:hint="default" w:ascii="Times New Roman" w:hAnsi="Times New Roman" w:eastAsia="黑体" w:cs="Times New Roman"/>
                <w:i w:val="0"/>
                <w:color w:val="000000"/>
                <w:kern w:val="0"/>
                <w:sz w:val="24"/>
                <w:szCs w:val="22"/>
                <w:u w:val="none"/>
                <w:lang w:val="en-US" w:eastAsia="zh-CN" w:bidi="ar"/>
              </w:rPr>
              <w:t>、城乡建设（4项）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69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二</w:t>
            </w:r>
            <w:r>
              <w:rPr>
                <w:rFonts w:hint="default" w:ascii="Times New Roman" w:hAnsi="Times New Roman" w:eastAsia="黑体" w:cs="Times New Roman"/>
                <w:i w:val="0"/>
                <w:color w:val="000000"/>
                <w:kern w:val="0"/>
                <w:sz w:val="24"/>
                <w:szCs w:val="22"/>
                <w:u w:val="none"/>
                <w:lang w:val="en-US" w:eastAsia="zh-CN" w:bidi="ar"/>
              </w:rPr>
              <w:t>、交通运输（2项）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三</w:t>
            </w:r>
            <w:r>
              <w:rPr>
                <w:rFonts w:hint="default" w:ascii="Times New Roman" w:hAnsi="Times New Roman" w:eastAsia="黑体" w:cs="Times New Roman"/>
                <w:i w:val="0"/>
                <w:color w:val="000000"/>
                <w:kern w:val="0"/>
                <w:sz w:val="24"/>
                <w:szCs w:val="22"/>
                <w:u w:val="none"/>
                <w:lang w:val="en-US" w:eastAsia="zh-CN" w:bidi="ar"/>
              </w:rPr>
              <w:t>、商贸流通（2项）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开展电子商务政策宣传，推动镇、村电商物流综合服务站点建设，组织参加电商业务培训，打造“村村直播”工作点位，培育主播人员，推广销售青菜、儿菜、莴苣等特色农产品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74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四</w:t>
            </w:r>
            <w:r>
              <w:rPr>
                <w:rFonts w:hint="default" w:ascii="Times New Roman" w:hAnsi="Times New Roman" w:eastAsia="黑体" w:cs="Times New Roman"/>
                <w:i w:val="0"/>
                <w:color w:val="000000"/>
                <w:kern w:val="0"/>
                <w:sz w:val="24"/>
                <w:szCs w:val="22"/>
                <w:u w:val="none"/>
                <w:lang w:val="en-US" w:eastAsia="zh-CN" w:bidi="ar"/>
              </w:rPr>
              <w:t>、文化和旅游（4项）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75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76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77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弘扬红色文化，保护圣墩战役遗址等红色遗址，挖掘和传承发展鬼节七月十四等非遗文化，打造有影响力的本土文化品牌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78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加强旅游品牌培育和宣传推广，依托米岩花海等旅游资源，建设旅游名镇、名村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五</w:t>
            </w:r>
            <w:r>
              <w:rPr>
                <w:rFonts w:hint="default" w:ascii="Times New Roman" w:hAnsi="Times New Roman" w:eastAsia="黑体" w:cs="Times New Roman"/>
                <w:i w:val="0"/>
                <w:color w:val="000000"/>
                <w:kern w:val="0"/>
                <w:sz w:val="24"/>
                <w:szCs w:val="22"/>
                <w:u w:val="none"/>
                <w:lang w:val="en-US" w:eastAsia="zh-CN" w:bidi="ar"/>
              </w:rPr>
              <w:t>、卫生健康（2项）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79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80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六</w:t>
            </w:r>
            <w:r>
              <w:rPr>
                <w:rFonts w:hint="default" w:ascii="Times New Roman" w:hAnsi="Times New Roman" w:eastAsia="黑体" w:cs="Times New Roman"/>
                <w:i w:val="0"/>
                <w:color w:val="000000"/>
                <w:kern w:val="0"/>
                <w:sz w:val="24"/>
                <w:szCs w:val="22"/>
                <w:u w:val="none"/>
                <w:lang w:val="en-US" w:eastAsia="zh-CN" w:bidi="ar"/>
              </w:rPr>
              <w:t>、应急管理及消防（3项）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七</w:t>
            </w:r>
            <w:r>
              <w:rPr>
                <w:rFonts w:hint="default" w:ascii="Times New Roman" w:hAnsi="Times New Roman" w:eastAsia="黑体" w:cs="Times New Roman"/>
                <w:i w:val="0"/>
                <w:color w:val="000000"/>
                <w:kern w:val="0"/>
                <w:sz w:val="24"/>
                <w:szCs w:val="22"/>
                <w:u w:val="none"/>
                <w:lang w:val="en-US" w:eastAsia="zh-CN" w:bidi="ar"/>
              </w:rPr>
              <w:t>、人民武装（2项）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84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85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、综合政务（11项）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86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87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88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89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94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95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仿宋_GB2312" w:cs="Times New Roman"/>
                <w:i w:val="0"/>
                <w:color w:val="000000"/>
                <w:kern w:val="0"/>
                <w:sz w:val="22"/>
                <w:szCs w:val="22"/>
                <w:u w:val="none"/>
                <w:lang w:val="en-US" w:eastAsia="zh-CN" w:bidi="ar"/>
              </w:rPr>
              <w:t>96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配合履职事项清单</w:t>
      </w:r>
    </w:p>
    <w:tbl>
      <w:tblPr>
        <w:tblStyle w:val="7"/>
        <w:tblW w:w="142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444"/>
        <w:gridCol w:w="25"/>
        <w:gridCol w:w="13"/>
        <w:gridCol w:w="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780"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县委社会工作部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县委组织部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Style w:val="16"/>
                <w:rFonts w:hint="default" w:ascii="Times New Roman" w:hAnsi="Times New Roman" w:eastAsia="仿宋_GB2312" w:cs="Times New Roman"/>
                <w:spacing w:val="0"/>
                <w:sz w:val="22"/>
                <w:szCs w:val="22"/>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县委社会工作部：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1.</w:t>
            </w:r>
            <w:r>
              <w:rPr>
                <w:rStyle w:val="16"/>
                <w:rFonts w:hint="default" w:ascii="Times New Roman" w:hAnsi="Times New Roman" w:eastAsia="仿宋_GB2312" w:cs="Times New Roman"/>
                <w:spacing w:val="0"/>
                <w:sz w:val="22"/>
                <w:szCs w:val="22"/>
                <w:lang w:val="en-US" w:eastAsia="zh-CN" w:bidi="ar"/>
              </w:rPr>
              <w:t>牵头负责社区工作者职业体系建设，统筹管理社区工作者；</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2.</w:t>
            </w:r>
            <w:r>
              <w:rPr>
                <w:rStyle w:val="16"/>
                <w:rFonts w:hint="default" w:ascii="Times New Roman" w:hAnsi="Times New Roman" w:eastAsia="仿宋_GB2312" w:cs="Times New Roman"/>
                <w:spacing w:val="0"/>
                <w:sz w:val="22"/>
                <w:szCs w:val="22"/>
                <w:lang w:val="en-US" w:eastAsia="zh-CN" w:bidi="ar"/>
              </w:rPr>
              <w:t>负责社区工作者员额核定、招聘、考核等工作。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县委组织部：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负责社区党组织书记管理。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配合社区工作者招聘的考务工作。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Style w:val="16"/>
                <w:rFonts w:hint="default" w:ascii="Times New Roman" w:hAnsi="Times New Roman" w:eastAsia="仿宋_GB2312" w:cs="Times New Roman"/>
                <w:spacing w:val="0"/>
                <w:sz w:val="22"/>
                <w:szCs w:val="22"/>
                <w:lang w:val="en-US" w:eastAsia="zh-CN" w:bidi="ar"/>
              </w:rPr>
              <w:t>统筹保障社区工作者待遇经费。</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1.</w:t>
            </w:r>
            <w:r>
              <w:rPr>
                <w:rStyle w:val="16"/>
                <w:rFonts w:hint="default" w:ascii="Times New Roman" w:hAnsi="Times New Roman" w:eastAsia="仿宋_GB2312" w:cs="Times New Roman"/>
                <w:spacing w:val="0"/>
                <w:sz w:val="22"/>
                <w:szCs w:val="22"/>
                <w:lang w:val="en-US" w:eastAsia="zh-CN" w:bidi="ar"/>
              </w:rPr>
              <w:t>统计社区工作者需求情况，报送招聘计划；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2.</w:t>
            </w:r>
            <w:r>
              <w:rPr>
                <w:rStyle w:val="16"/>
                <w:rFonts w:hint="default" w:ascii="Times New Roman" w:hAnsi="Times New Roman" w:eastAsia="仿宋_GB2312" w:cs="Times New Roman"/>
                <w:spacing w:val="0"/>
                <w:sz w:val="22"/>
                <w:szCs w:val="22"/>
                <w:lang w:val="en-US" w:eastAsia="zh-CN" w:bidi="ar"/>
              </w:rPr>
              <w:t>与社区工作者签订协议；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Style w:val="15"/>
                <w:rFonts w:hint="default" w:ascii="Times New Roman" w:hAnsi="Times New Roman" w:eastAsia="仿宋_GB2312" w:cs="Times New Roman"/>
                <w:spacing w:val="0"/>
                <w:sz w:val="22"/>
                <w:szCs w:val="22"/>
                <w:lang w:val="en-US" w:eastAsia="zh-CN" w:bidi="ar"/>
              </w:rPr>
              <w:t>3.</w:t>
            </w:r>
            <w:r>
              <w:rPr>
                <w:rStyle w:val="16"/>
                <w:rFonts w:hint="default" w:ascii="Times New Roman" w:hAnsi="Times New Roman" w:eastAsia="仿宋_GB2312" w:cs="Times New Roman"/>
                <w:spacing w:val="0"/>
                <w:sz w:val="22"/>
                <w:szCs w:val="22"/>
                <w:lang w:val="en-US" w:eastAsia="zh-CN" w:bidi="ar"/>
              </w:rPr>
              <w:t>负责社区工作者的日常管理、出具考核意见。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208"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Style w:val="15"/>
                <w:rFonts w:hint="default" w:ascii="Times New Roman" w:hAnsi="Times New Roman" w:eastAsia="仿宋_GB2312" w:cs="Times New Roman"/>
                <w:spacing w:val="0"/>
                <w:sz w:val="22"/>
                <w:szCs w:val="22"/>
                <w:lang w:val="en-US" w:eastAsia="zh-CN" w:bidi="ar"/>
              </w:rPr>
              <w:t>“</w:t>
            </w:r>
            <w:r>
              <w:rPr>
                <w:rStyle w:val="16"/>
                <w:rFonts w:hint="default" w:ascii="Times New Roman" w:hAnsi="Times New Roman" w:eastAsia="仿宋_GB2312" w:cs="Times New Roman"/>
                <w:spacing w:val="0"/>
                <w:sz w:val="22"/>
                <w:szCs w:val="22"/>
                <w:lang w:val="en-US" w:eastAsia="zh-CN" w:bidi="ar"/>
              </w:rPr>
              <w:t>室组地</w:t>
            </w:r>
            <w:r>
              <w:rPr>
                <w:rStyle w:val="15"/>
                <w:rFonts w:hint="default" w:ascii="Times New Roman" w:hAnsi="Times New Roman" w:eastAsia="仿宋_GB2312" w:cs="Times New Roman"/>
                <w:spacing w:val="0"/>
                <w:sz w:val="22"/>
                <w:szCs w:val="22"/>
                <w:lang w:val="en-US" w:eastAsia="zh-CN" w:bidi="ar"/>
              </w:rPr>
              <w:t>”</w:t>
            </w:r>
            <w:r>
              <w:rPr>
                <w:rStyle w:val="16"/>
                <w:rFonts w:hint="default" w:ascii="Times New Roman" w:hAnsi="Times New Roman" w:eastAsia="仿宋_GB2312" w:cs="Times New Roman"/>
                <w:spacing w:val="0"/>
                <w:sz w:val="22"/>
                <w:szCs w:val="22"/>
                <w:lang w:val="en-US" w:eastAsia="zh-CN" w:bidi="ar"/>
              </w:rPr>
              <w:t>联合监督、联合办案</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1.</w:t>
            </w:r>
            <w:r>
              <w:rPr>
                <w:rStyle w:val="16"/>
                <w:rFonts w:hint="default" w:ascii="Times New Roman" w:hAnsi="Times New Roman" w:eastAsia="仿宋_GB2312" w:cs="Times New Roman"/>
                <w:spacing w:val="0"/>
                <w:sz w:val="22"/>
                <w:szCs w:val="22"/>
                <w:lang w:val="en-US" w:eastAsia="zh-CN" w:bidi="ar"/>
              </w:rPr>
              <w:t>建立片区协作机制，推行</w:t>
            </w:r>
            <w:r>
              <w:rPr>
                <w:rStyle w:val="15"/>
                <w:rFonts w:hint="default" w:ascii="Times New Roman" w:hAnsi="Times New Roman" w:eastAsia="仿宋_GB2312" w:cs="Times New Roman"/>
                <w:spacing w:val="0"/>
                <w:sz w:val="22"/>
                <w:szCs w:val="22"/>
                <w:lang w:val="en-US" w:eastAsia="zh-CN" w:bidi="ar"/>
              </w:rPr>
              <w:t>“</w:t>
            </w:r>
            <w:r>
              <w:rPr>
                <w:rStyle w:val="16"/>
                <w:rFonts w:hint="default" w:ascii="Times New Roman" w:hAnsi="Times New Roman" w:eastAsia="仿宋_GB2312" w:cs="Times New Roman"/>
                <w:spacing w:val="0"/>
                <w:sz w:val="22"/>
                <w:szCs w:val="22"/>
                <w:lang w:val="en-US" w:eastAsia="zh-CN" w:bidi="ar"/>
              </w:rPr>
              <w:t>委领导</w:t>
            </w:r>
            <w:r>
              <w:rPr>
                <w:rStyle w:val="15"/>
                <w:rFonts w:hint="default" w:ascii="Times New Roman" w:hAnsi="Times New Roman" w:eastAsia="仿宋_GB2312" w:cs="Times New Roman"/>
                <w:spacing w:val="0"/>
                <w:sz w:val="22"/>
                <w:szCs w:val="22"/>
                <w:lang w:val="en-US" w:eastAsia="zh-CN" w:bidi="ar"/>
              </w:rPr>
              <w:t>+</w:t>
            </w:r>
            <w:r>
              <w:rPr>
                <w:rStyle w:val="16"/>
                <w:rFonts w:hint="default" w:ascii="Times New Roman" w:hAnsi="Times New Roman" w:eastAsia="仿宋_GB2312" w:cs="Times New Roman"/>
                <w:spacing w:val="0"/>
                <w:sz w:val="22"/>
                <w:szCs w:val="22"/>
                <w:lang w:val="en-US" w:eastAsia="zh-CN" w:bidi="ar"/>
              </w:rPr>
              <w:t>室组地</w:t>
            </w:r>
            <w:r>
              <w:rPr>
                <w:rStyle w:val="15"/>
                <w:rFonts w:hint="default" w:ascii="Times New Roman" w:hAnsi="Times New Roman" w:eastAsia="仿宋_GB2312" w:cs="Times New Roman"/>
                <w:spacing w:val="0"/>
                <w:sz w:val="22"/>
                <w:szCs w:val="22"/>
                <w:lang w:val="en-US" w:eastAsia="zh-CN" w:bidi="ar"/>
              </w:rPr>
              <w:t>”</w:t>
            </w:r>
            <w:r>
              <w:rPr>
                <w:rStyle w:val="16"/>
                <w:rFonts w:hint="default" w:ascii="Times New Roman" w:hAnsi="Times New Roman" w:eastAsia="仿宋_GB2312" w:cs="Times New Roman"/>
                <w:spacing w:val="0"/>
                <w:sz w:val="22"/>
                <w:szCs w:val="22"/>
                <w:lang w:val="en-US" w:eastAsia="zh-CN" w:bidi="ar"/>
              </w:rPr>
              <w:t>工作模式，统一调配力量、统筹工作，开展日常监督、业务培训；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2.</w:t>
            </w:r>
            <w:r>
              <w:rPr>
                <w:rStyle w:val="16"/>
                <w:rFonts w:hint="default" w:ascii="Times New Roman" w:hAnsi="Times New Roman" w:eastAsia="仿宋_GB2312" w:cs="Times New Roman"/>
                <w:spacing w:val="0"/>
                <w:sz w:val="22"/>
                <w:szCs w:val="22"/>
                <w:lang w:val="en-US" w:eastAsia="zh-CN" w:bidi="ar"/>
              </w:rPr>
              <w:t>按片区开展监督检查、案件查办等工作，对乡镇（街道）办理案件统一进行提级审理；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3.</w:t>
            </w:r>
            <w:r>
              <w:rPr>
                <w:rStyle w:val="16"/>
                <w:rFonts w:hint="default" w:ascii="Times New Roman" w:hAnsi="Times New Roman" w:eastAsia="仿宋_GB2312" w:cs="Times New Roman"/>
                <w:spacing w:val="0"/>
                <w:sz w:val="22"/>
                <w:szCs w:val="22"/>
                <w:lang w:val="en-US" w:eastAsia="zh-CN" w:bidi="ar"/>
              </w:rPr>
              <w:t>作出案件处分决定并宣布、送达；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Style w:val="15"/>
                <w:rFonts w:hint="default" w:ascii="Times New Roman" w:hAnsi="Times New Roman" w:eastAsia="仿宋_GB2312" w:cs="Times New Roman"/>
                <w:spacing w:val="0"/>
                <w:sz w:val="22"/>
                <w:szCs w:val="22"/>
                <w:lang w:val="en-US" w:eastAsia="zh-CN" w:bidi="ar"/>
              </w:rPr>
              <w:t>4.</w:t>
            </w:r>
            <w:r>
              <w:rPr>
                <w:rStyle w:val="16"/>
                <w:rFonts w:hint="default" w:ascii="Times New Roman" w:hAnsi="Times New Roman" w:eastAsia="仿宋_GB2312" w:cs="Times New Roman"/>
                <w:spacing w:val="0"/>
                <w:sz w:val="22"/>
                <w:szCs w:val="22"/>
                <w:lang w:val="en-US" w:eastAsia="zh-CN" w:bidi="ar"/>
              </w:rPr>
              <w:t>对受处分人员开展回访。</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1.</w:t>
            </w:r>
            <w:r>
              <w:rPr>
                <w:rStyle w:val="16"/>
                <w:rFonts w:hint="default" w:ascii="Times New Roman" w:hAnsi="Times New Roman" w:eastAsia="仿宋_GB2312" w:cs="Times New Roman"/>
                <w:spacing w:val="0"/>
                <w:sz w:val="22"/>
                <w:szCs w:val="22"/>
                <w:lang w:val="en-US" w:eastAsia="zh-CN" w:bidi="ar"/>
              </w:rPr>
              <w:t>发现、上报违纪线索；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2.</w:t>
            </w:r>
            <w:r>
              <w:rPr>
                <w:rStyle w:val="16"/>
                <w:rFonts w:hint="default" w:ascii="Times New Roman" w:hAnsi="Times New Roman" w:eastAsia="仿宋_GB2312" w:cs="Times New Roman"/>
                <w:spacing w:val="0"/>
                <w:sz w:val="22"/>
                <w:szCs w:val="22"/>
                <w:lang w:val="en-US" w:eastAsia="zh-CN" w:bidi="ar"/>
              </w:rPr>
              <w:t>配合联系室（联动小组）、协作片区开展监督检查、案件查办等具体工作，开展村级联合监督、交叉检查等；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3.派员参加业务培训；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Style w:val="15"/>
                <w:rFonts w:hint="default" w:ascii="Times New Roman" w:hAnsi="Times New Roman" w:eastAsia="仿宋_GB2312" w:cs="Times New Roman"/>
                <w:spacing w:val="0"/>
                <w:sz w:val="22"/>
                <w:szCs w:val="22"/>
                <w:lang w:val="en-US" w:eastAsia="zh-CN" w:bidi="ar"/>
              </w:rPr>
              <w:t>4.</w:t>
            </w:r>
            <w:r>
              <w:rPr>
                <w:rStyle w:val="16"/>
                <w:rFonts w:hint="default" w:ascii="Times New Roman" w:hAnsi="Times New Roman" w:eastAsia="仿宋_GB2312" w:cs="Times New Roman"/>
                <w:spacing w:val="0"/>
                <w:sz w:val="22"/>
                <w:szCs w:val="22"/>
                <w:lang w:val="en-US" w:eastAsia="zh-CN" w:bidi="ar"/>
              </w:rPr>
              <w:t>配合开展处分决定的宣布、送达，并对处分人员进行日常教育、管理、监督和关心关爱。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002"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县司法局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Style w:val="16"/>
                <w:rFonts w:hint="default" w:ascii="Times New Roman" w:hAnsi="Times New Roman" w:eastAsia="仿宋_GB2312" w:cs="Times New Roman"/>
                <w:spacing w:val="0"/>
                <w:sz w:val="22"/>
                <w:szCs w:val="22"/>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县司法局、县自然资源局、县市场监管局、县林业局：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1.</w:t>
            </w:r>
            <w:r>
              <w:rPr>
                <w:rStyle w:val="16"/>
                <w:rFonts w:hint="default" w:ascii="Times New Roman" w:hAnsi="Times New Roman" w:eastAsia="仿宋_GB2312" w:cs="Times New Roman"/>
                <w:spacing w:val="0"/>
                <w:sz w:val="22"/>
                <w:szCs w:val="22"/>
                <w:lang w:val="en-US" w:eastAsia="zh-CN" w:bidi="ar"/>
              </w:rPr>
              <w:t>负责派驻机构业务指导培训；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Style w:val="15"/>
                <w:rFonts w:hint="default" w:ascii="Times New Roman" w:hAnsi="Times New Roman" w:eastAsia="仿宋_GB2312" w:cs="Times New Roman"/>
                <w:spacing w:val="0"/>
                <w:sz w:val="22"/>
                <w:szCs w:val="22"/>
                <w:lang w:val="en-US" w:eastAsia="zh-CN" w:bidi="ar"/>
              </w:rPr>
              <w:t>2.</w:t>
            </w:r>
            <w:r>
              <w:rPr>
                <w:rStyle w:val="16"/>
                <w:rFonts w:hint="default" w:ascii="Times New Roman" w:hAnsi="Times New Roman" w:eastAsia="仿宋_GB2312" w:cs="Times New Roman"/>
                <w:spacing w:val="0"/>
                <w:sz w:val="22"/>
                <w:szCs w:val="22"/>
                <w:lang w:val="en-US" w:eastAsia="zh-CN" w:bidi="ar"/>
              </w:rPr>
              <w:t>负责派驻人员的聘用（解聘）、工资福利保障、考核奖惩、调整（调动）和负责人任免等工作。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1.</w:t>
            </w:r>
            <w:r>
              <w:rPr>
                <w:rStyle w:val="16"/>
                <w:rFonts w:hint="default" w:ascii="Times New Roman" w:hAnsi="Times New Roman" w:eastAsia="仿宋_GB2312" w:cs="Times New Roman"/>
                <w:spacing w:val="0"/>
                <w:sz w:val="22"/>
                <w:szCs w:val="22"/>
                <w:lang w:val="en-US" w:eastAsia="zh-CN" w:bidi="ar"/>
              </w:rPr>
              <w:t>负责派驻机构人员的日常管理；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5"/>
                <w:rFonts w:hint="default" w:ascii="Times New Roman" w:hAnsi="Times New Roman" w:eastAsia="仿宋_GB2312" w:cs="Times New Roman"/>
                <w:spacing w:val="0"/>
                <w:sz w:val="22"/>
                <w:szCs w:val="22"/>
                <w:lang w:val="en-US" w:eastAsia="zh-CN" w:bidi="ar"/>
              </w:rPr>
              <w:t>2.</w:t>
            </w:r>
            <w:r>
              <w:rPr>
                <w:rStyle w:val="16"/>
                <w:rFonts w:hint="default" w:ascii="Times New Roman" w:hAnsi="Times New Roman" w:eastAsia="仿宋_GB2312" w:cs="Times New Roman"/>
                <w:spacing w:val="0"/>
                <w:sz w:val="22"/>
                <w:szCs w:val="22"/>
                <w:lang w:val="en-US" w:eastAsia="zh-CN" w:bidi="ar"/>
              </w:rPr>
              <w:t>对派驻人员选拔、任免、考核、评优评先等工作出具意见；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Style w:val="15"/>
                <w:rFonts w:hint="default" w:ascii="Times New Roman" w:hAnsi="Times New Roman" w:eastAsia="仿宋_GB2312" w:cs="Times New Roman"/>
                <w:spacing w:val="0"/>
                <w:sz w:val="22"/>
                <w:szCs w:val="22"/>
                <w:lang w:val="en-US" w:eastAsia="zh-CN" w:bidi="ar"/>
              </w:rPr>
              <w:t>3.</w:t>
            </w:r>
            <w:r>
              <w:rPr>
                <w:rStyle w:val="16"/>
                <w:rFonts w:hint="default" w:ascii="Times New Roman" w:hAnsi="Times New Roman" w:eastAsia="仿宋_GB2312" w:cs="Times New Roman"/>
                <w:spacing w:val="0"/>
                <w:sz w:val="22"/>
                <w:szCs w:val="22"/>
                <w:lang w:val="en-US" w:eastAsia="zh-CN" w:bidi="ar"/>
              </w:rPr>
              <w:t>负责工作经费日常管理、目标绩效考核奖金发放。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88"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1.牵头统筹固定资产投资项目，加强政府投资项目管理，完善企业投资项目核准、备案管理办法；</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2.指导制定项目策划包装方案，进行项目包装；</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3.负责项目审批（核准、备案）、资金申报审核、项目管理等；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4.负责项目储备，前期工作推进，项目合规审查，项目进度监管。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县统计局：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1.指导乡镇（街道）和企业完善项目入库申报资料；</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2.审核乡镇（街道）和企业项目入库申报资料。</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兑付项目补助资金。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1.摸排固定资产投资项目；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2.配合核实固定资产投资项目额度、规模；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3.收集固定资产投资资料并上报；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Style w:val="16"/>
                <w:rFonts w:hint="default" w:ascii="Times New Roman" w:hAnsi="Times New Roman" w:eastAsia="仿宋_GB2312" w:cs="Times New Roman"/>
                <w:spacing w:val="0"/>
                <w:sz w:val="22"/>
                <w:szCs w:val="22"/>
                <w:lang w:val="en-US" w:eastAsia="zh-CN" w:bidi="ar"/>
              </w:rPr>
            </w:pPr>
            <w:r>
              <w:rPr>
                <w:rStyle w:val="16"/>
                <w:rFonts w:hint="default" w:ascii="Times New Roman" w:hAnsi="Times New Roman" w:eastAsia="仿宋_GB2312" w:cs="Times New Roman"/>
                <w:spacing w:val="0"/>
                <w:sz w:val="22"/>
                <w:szCs w:val="22"/>
                <w:lang w:val="en-US" w:eastAsia="zh-CN" w:bidi="ar"/>
              </w:rPr>
              <w:t>4.督促项目业主单位进行项目申报统计入库。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68"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0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8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85"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515"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169"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266"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10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16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285"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70"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782"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84"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929"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发放退捕渔民补助</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1.开展渔民渔船调查摸底、补助对象资格和条件核实、禁捕安排等工作；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2.负责发放退捕渔民补贴。</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负责财政补助资金安排，并按规定拨付资金。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落实退捕渔民就业及社会保障领域各项政策。</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1.退捕渔民名单初核上报；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2.开展退捕渔民走访，核实退捕渔民补贴发放情况。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负责职责范围内的移民房屋工程建设质量工作。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475"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905"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57"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1.负责制定防灾减灾技术意见并组织实施；</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2.指导农民在作物生长发育关键时期采取防灾减灾措施；</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3.负责农作物病虫害防治的监督管理工作；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4.保障山坪塘内农业灌溉用水，并在必要时进行应急调水和提灌取水；</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5.在灾害发生后组织应急作业服务队进行抗旱排涝、抢收抢烘等工作。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2.保障水库、河道内农业灌溉用水，并在必要时进行应急调水和打井取水。</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8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1.负责制定高标准农田建设规划，开展项目储备工作；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2.组织落实项目选址、规划布局、编制高标准农田建设项目实施方案；</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3.负责监管和指导高标准农田建设工作，加强项目建设中质量和安全监管；</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4.组织项目实施和验收；</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5.制定高标准农田工程设施管护制度，明确管护主体，落实管护责任，建立健全经费保障机制；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6.负责高标准农田资产登记，督促管护主体整改问题。</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1.开展高标准农田相关法律法规和政策宣传；</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2.配合开展项目选址、规划设计、质量监督、县级验收；</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3.配合调解处置项目实施过程中的青苗占地等矛盾纠纷；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4.负责交付后的高标准农田管护利用、运行日常巡查，配合督促管护主体整改问题。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6"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38"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206"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1.负责养犬登记，依法查处违法养犬行为；</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2.负责指导物业服务企业配合养犬管理工作。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负责兽用狂犬病疫苗的供应，对狂犬病疫情进行监测。</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负责人用狂犬病疫苗注射、犬伤处置、狂犬病人抢救治疗、人类狂犬病疫情监测以及卫生宣传教育工作。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负责对养犬影响环境卫生的行为依法查处。</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负责依法对涉犬经营活动实施监督管理。</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负责涉犬经营活动的市场主体登记。</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1.负责开展文明养犬宣传，对不文明养犬行为进行劝导、制止；</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2.负责养犬登记证办理初审，上报县公安局统一制证；</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3.开展防疫和狂犬、野犬等处置。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七、安全稳定（6项）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647"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0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080"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1.指导学校开展防溺水“六个一”（一次主题班会、一次专题板报、一场警示教育片、一份承诺书、一次家校沟通、一次应急演练）安全教育和宣传；</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2.督促家长落实“四知”（知去向、知同伴、知内容、知归时）监护责任；</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3.督促各级各类学校落实学校防溺水相关责任。</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对管辖的水库等水域开展“三查”，查警示标志是否清晰、查防护栏是否牢固、查排水口等危险区域是否增设防护网。</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对管辖的堰塘、大型灌溉沟渠等农业生产水域落实安全管理责任，督促承包人设置警示标志，加强日常巡查。</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结合日常巡逻，加强在重点时段对重点区域的巡查，并建立联网监控和风险通报制度。</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1.开展防溺水安全宣传教育；</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2.对管辖的河流、水库、山塘、沟渠等水域开展排查，在重点水域按要求设置救援设施，完善安全隔离带、防护栏等防护设施，并加强巡护；</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3.结合日常工作开展巡逻，劝阻未成年人私自下水行为。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834"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53" w:type="dxa"/>
          <w:trHeight w:val="567" w:hRule="atLeast"/>
          <w:jc w:val="center"/>
        </w:trPr>
        <w:tc>
          <w:tcPr>
            <w:tcW w:w="14232" w:type="dxa"/>
            <w:gridSpan w:val="7"/>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八、民族宗教（1项）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567"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tcBorders>
              <w:tl2br w:val="nil"/>
              <w:tr2bl w:val="nil"/>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九、自然资源（12项）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100"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481"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2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17"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3"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621"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69"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284"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137"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864"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1.负责组织实施林业重点生态保护修复工程，实施退耕还林、天然林保护、植树造林、封山育林等工作；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9" w:hRule="atLeast"/>
          <w:jc w:val="center"/>
        </w:trPr>
        <w:tc>
          <w:tcPr>
            <w:tcW w:w="680"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4"/>
            <w:tcBorders>
              <w:tl2br w:val="nil"/>
              <w:tr2bl w:val="nil"/>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404"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45</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十、生态环保（9项）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825"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46</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406"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47</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牵头开展水污染防治和监管工作，统筹农村黑臭水体治理。</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1.负责畜禽养殖废弃物综合利用的指导和服务，对有关水污染防治实施监督管理；</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2.负责水产养殖业水污染物排放的技术指导。</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县水务局：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1.负责河湖生态流量水量管理、地下水资源管理保护；</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2.负责监督管理水电站生态流量下泄、指导农村水电站、拦河闸等排沙清淤工作。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1.负责城市建成区生活污水管网的建设和管理，污水排放日常监管；</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2.指导场镇生活污水处理设施的建设和运维管理；</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3.推进城市建成区雨污分流，开展城市建成区黑臭水体治理。</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负责机动车维修企业、营运船舶的污染防治。</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县经信局：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督促工业园区污水处理设施建设，配合工业园区开展污水处理设施运营及监督管理。</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1.负责城市建成区生活污水违法排放行政处罚；</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2.负责城区河道倾倒垃圾和违规取土的行政处罚。</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县卫生健康局：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1.负责公共场所和饮用水卫生监督管理；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2.负责医疗机构污水收集、处理和消毒的监管。</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9"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48</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42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49</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220"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5</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0</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488"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5</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5"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5</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5"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5</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838"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53</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53"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54</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十一、城乡建设（7项）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56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55</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88"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56</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55"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57</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96"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58</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4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59</w:t>
            </w:r>
          </w:p>
        </w:tc>
        <w:tc>
          <w:tcPr>
            <w:tcW w:w="124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“两违”（违法用地、违法建设）整治</w:t>
            </w:r>
          </w:p>
        </w:tc>
        <w:tc>
          <w:tcPr>
            <w:tcW w:w="158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县自然资源局：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1.负责对县总体规划确定的城市建设用地范围内的违法占地以及违反规划的行为予以认定；</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2.负责对城市规划区内非法占用土地和擅自将农用地改为建设用地的违法行为进行查处。</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县农业农村局：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负责对城市规划区外违反农村宅基地管理法律法规的行为进行查处。</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1.负责建立完善商品房销售、物业管理、装饰装修等行业监管制度，预防违法建设滋生；</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2.对制止违法建设不力的物业服务企业、参与违法违规建设的设计、施工单位加强行业监管。</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县综合执法局：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1.负责对城市规划区内国有土地及集体土地上的建设用地的违法建设进行查处；</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2.负责对城区占用天楼、公共区域、城市道路等违法搭建行为进行监督检查并依法查处。</w:t>
            </w:r>
          </w:p>
        </w:tc>
        <w:tc>
          <w:tcPr>
            <w:tcW w:w="4535" w:type="dxa"/>
            <w:gridSpan w:val="4"/>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1.开展相关法律法规和政策宣传教育；</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2.结合日常工作开展巡查，发现苗头及时劝阻；</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3.对疑似违法行为进行核实；</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4.属于个人或企业私搭乱建的，督促整改，拒不整改的上报相关部门；</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5.依职责组织或协助上级有关部门实施拆除和善后工作；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6.按权限对在村庄、集镇规划内和道路、河道两旁修建的临时建筑物、构筑物和其他设施的审批。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87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0</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864"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十二、交通运输（3项）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45"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6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64"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水上交通安全管理</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1.负责宣传、实施水上交通安全管理相关法律法规和规章制度；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2.负责建立健全水上交通安全目标管理制度、安全责任制度和安全责任追究制度并组织实施；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3.组织指导水上交通安全隐患的排查及督促整治工作；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4.负责职责范围内通航水域的水上交通安全监督管理工作；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5.负责管理和保护航道、港口及其设施，依法制止、处理各种侵占、破坏航道、港口及其设施的行为。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1.负责渔业船舶、船员的安全管理和监督；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2.负责渔业船舶水上安全事故的调查处理和统计上报及善后处理。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县文体旅游局、县市场监管局、县体育发展服务中心：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按照职责分工负责水上游乐项目的安全监管。</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配合开展安全宣传、安全检查工作，组织协调船舶所有人、经营人、船员以及有关单位、个人的安全隐患整改。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十三、商贸流通（3项）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279"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15"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66</w:t>
            </w:r>
          </w:p>
        </w:tc>
        <w:tc>
          <w:tcPr>
            <w:tcW w:w="124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外资外贸企业帮办服务</w:t>
            </w:r>
          </w:p>
        </w:tc>
        <w:tc>
          <w:tcPr>
            <w:tcW w:w="158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县投资促进服务中心</w:t>
            </w:r>
          </w:p>
        </w:tc>
        <w:tc>
          <w:tcPr>
            <w:tcW w:w="6236"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1.落实国内外贸易相关法律法规，以及国家和地方有关扩大开放、实施西部大开发的方针政策；</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2.指导对外贸易行业严格执行相关管理办法。组织实施进出口总量计划，指导开展各类贸易促进活动，推进外贸促进体系建设；</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3.组织企业参加国内外各类展会活动。</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县投资促进服务中心：</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1.落实外商投资相关的法律法规和方针政策，负责经济合作、招商引资、投资促进工作的统筹谋划、协调推进与高效服务；</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2.协调处理外来投资企业投诉处理工作。</w:t>
            </w:r>
          </w:p>
        </w:tc>
        <w:tc>
          <w:tcPr>
            <w:tcW w:w="4535" w:type="dxa"/>
            <w:gridSpan w:val="4"/>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1.组织外贸企业参加展会；</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2.配合开展政策宣传，组织相关企业申报开放型经济发展专项资金，受理、初审和转报相关材料。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12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67</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3"/>
          <w:wAfter w:w="91" w:type="dxa"/>
          <w:trHeight w:val="567" w:hRule="atLeast"/>
          <w:jc w:val="center"/>
        </w:trPr>
        <w:tc>
          <w:tcPr>
            <w:tcW w:w="1419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十四、文化和旅游（4项）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617"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68</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427"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69</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0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0</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203"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atLeast"/>
          <w:jc w:val="center"/>
        </w:trPr>
        <w:tc>
          <w:tcPr>
            <w:tcW w:w="14285"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十五、应急管理及消防（</w:t>
            </w: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13</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563"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67"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8"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27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49"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5</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430"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76</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27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77</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.负责对燃气流通环节的商品质量进行监管；</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418"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77</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督促相关单位和乡镇（街道）对各级挂牌督办城镇燃气行业重大安全隐患的整治落实，依法组织、指导对县政府授权调查的城镇燃气较大生产安全事故调查处理。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27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78</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04"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79</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0</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8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0</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35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634"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63"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3</w:t>
            </w:r>
          </w:p>
        </w:tc>
        <w:tc>
          <w:tcPr>
            <w:tcW w:w="124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电动车“飞线充电”整治</w:t>
            </w:r>
          </w:p>
        </w:tc>
        <w:tc>
          <w:tcPr>
            <w:tcW w:w="158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负责电动车的登记和通行管理工作。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负责电动车以及相关产品生产、销售活动的监督管理工作。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联合相关部门依法对“进楼入户”“飞线充电”等违规充电行为开展执法检查和警示曝光，对群众举报、媒体曝光的违规充电及时予以纠治。</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负责废铅蓄电池等危险废物回收处置活动的监督管理工作。</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1.负责安全知识宣传、日常巡查；</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2.协调安装智能充电桩，发现“飞线充电”及时制止；</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3.事故先期处置和上报。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275"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2"/>
          <w:wAfter w:w="66" w:type="dxa"/>
          <w:trHeight w:val="567" w:hRule="atLeast"/>
          <w:jc w:val="center"/>
        </w:trPr>
        <w:tc>
          <w:tcPr>
            <w:tcW w:w="1421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十六、市场监管（6项）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48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85</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27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86</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74"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87</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688"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88</w:t>
            </w:r>
          </w:p>
        </w:tc>
        <w:tc>
          <w:tcPr>
            <w:tcW w:w="124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消费者权益保护及反不正当竞争</w:t>
            </w:r>
          </w:p>
        </w:tc>
        <w:tc>
          <w:tcPr>
            <w:tcW w:w="1587"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1.开展消费维权培训；</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2.提供咨询服务，受理、处置、督办消费者投诉举报；</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3.打击生产销售假冒伪劣商品行为；</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4.维护市场经营秩序，制止不正当竞争。</w:t>
            </w:r>
          </w:p>
        </w:tc>
        <w:tc>
          <w:tcPr>
            <w:tcW w:w="4535" w:type="dxa"/>
            <w:gridSpan w:val="4"/>
            <w:shd w:val="clear" w:color="auto" w:fill="auto"/>
            <w:vAlign w:val="center"/>
          </w:tcPr>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1.开展消费者权益保护宣传；</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2.参与重大消费纠纷的调解；</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3.配合惩治生产销售假冒伪劣商品行为；</w:t>
            </w:r>
          </w:p>
          <w:p>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4.配合维护市场经营秩序，制止不正当竞争。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792"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89</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774"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0</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2"/>
          <w:wAfter w:w="66" w:type="dxa"/>
          <w:trHeight w:val="567" w:hRule="atLeast"/>
          <w:jc w:val="center"/>
        </w:trPr>
        <w:tc>
          <w:tcPr>
            <w:tcW w:w="1421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20"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691" w:hRule="atLeast"/>
          <w:jc w:val="center"/>
        </w:trPr>
        <w:tc>
          <w:tcPr>
            <w:tcW w:w="6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p>
        </w:tc>
        <w:tc>
          <w:tcPr>
            <w:tcW w:w="12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pPr>
        <w:rPr>
          <w:rFonts w:hint="default" w:ascii="Times New Roman" w:hAnsi="Times New Roman" w:cs="Times New Roman"/>
          <w:sz w:val="32"/>
          <w:szCs w:val="32"/>
        </w:rPr>
      </w:pPr>
      <w:r>
        <w:rPr>
          <w:rFonts w:hint="default" w:ascii="Times New Roman" w:hAnsi="Times New Roman"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上级部门收回事项清单</w:t>
      </w:r>
    </w:p>
    <w:tbl>
      <w:tblPr>
        <w:tblStyle w:val="7"/>
        <w:tblW w:w="142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一、民生服务（</w:t>
            </w:r>
            <w:r>
              <w:rPr>
                <w:rFonts w:hint="default" w:ascii="Times New Roman" w:hAnsi="Times New Roman" w:eastAsia="宋体" w:cs="Times New Roman"/>
                <w:i w:val="0"/>
                <w:color w:val="000000"/>
                <w:spacing w:val="0"/>
                <w:kern w:val="0"/>
                <w:sz w:val="22"/>
                <w:szCs w:val="22"/>
                <w:u w:val="none"/>
                <w:lang w:val="en-US" w:eastAsia="zh-CN" w:bidi="ar"/>
              </w:rPr>
              <w:t>7</w:t>
            </w:r>
            <w:r>
              <w:rPr>
                <w:rFonts w:hint="default" w:ascii="Times New Roman" w:hAnsi="Times New Roman" w:eastAsia="黑体" w:cs="Times New Roman"/>
                <w:i w:val="0"/>
                <w:color w:val="000000"/>
                <w:spacing w:val="0"/>
                <w:kern w:val="0"/>
                <w:sz w:val="24"/>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2"/>
                <w:sz w:val="22"/>
                <w:szCs w:val="22"/>
                <w:u w:val="none"/>
                <w:lang w:val="en-US" w:eastAsia="zh-CN" w:bidi="ar-SA"/>
              </w:rPr>
            </w:pPr>
            <w:r>
              <w:rPr>
                <w:rFonts w:hint="default" w:ascii="Times New Roman" w:hAnsi="Times New Roman" w:eastAsia="宋体" w:cs="Times New Roman"/>
                <w:i w:val="0"/>
                <w:color w:val="000000"/>
                <w:spacing w:val="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负责养老机构的指导、监督和管理，其他部门依职责分工实施监督。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对维护老年人合法权益和敬老、养老、助老成绩显著的组织、家庭或者个人的表彰奖励</w:t>
            </w:r>
            <w:bookmarkStart w:id="0" w:name="_GoBack"/>
            <w:bookmarkEnd w:id="0"/>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牵头对全县老龄工作发现的先进事迹、先进个人、先进组织、家庭开展表彰。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对违规领取</w:t>
            </w:r>
            <w:r>
              <w:rPr>
                <w:rFonts w:hint="default" w:ascii="Times New Roman" w:hAnsi="Times New Roman" w:eastAsia="宋体" w:cs="Times New Roman"/>
                <w:i w:val="0"/>
                <w:color w:val="000000"/>
                <w:spacing w:val="0"/>
                <w:kern w:val="0"/>
                <w:sz w:val="22"/>
                <w:szCs w:val="22"/>
                <w:u w:val="none"/>
                <w:lang w:val="en-US" w:eastAsia="zh-CN" w:bidi="ar"/>
              </w:rPr>
              <w:t>80</w:t>
            </w:r>
            <w:r>
              <w:rPr>
                <w:rFonts w:hint="default" w:ascii="Times New Roman" w:hAnsi="Times New Roman" w:eastAsia="仿宋_GB2312" w:cs="Times New Roman"/>
                <w:i w:val="0"/>
                <w:color w:val="000000"/>
                <w:spacing w:val="0"/>
                <w:kern w:val="0"/>
                <w:sz w:val="22"/>
                <w:szCs w:val="22"/>
                <w:u w:val="none"/>
                <w:lang w:val="en-US" w:eastAsia="zh-CN" w:bidi="ar"/>
              </w:rPr>
              <w:t>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承接部门：县民政局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由县民政局对违规领取</w:t>
            </w:r>
            <w:r>
              <w:rPr>
                <w:rFonts w:hint="default" w:ascii="Times New Roman" w:hAnsi="Times New Roman" w:eastAsia="宋体" w:cs="Times New Roman"/>
                <w:i w:val="0"/>
                <w:color w:val="000000"/>
                <w:spacing w:val="0"/>
                <w:kern w:val="0"/>
                <w:sz w:val="22"/>
                <w:szCs w:val="22"/>
                <w:u w:val="none"/>
                <w:lang w:val="en-US" w:eastAsia="zh-CN" w:bidi="ar"/>
              </w:rPr>
              <w:t>80</w:t>
            </w:r>
            <w:r>
              <w:rPr>
                <w:rFonts w:hint="default" w:ascii="Times New Roman" w:hAnsi="Times New Roman" w:eastAsia="仿宋_GB2312" w:cs="Times New Roman"/>
                <w:i w:val="0"/>
                <w:color w:val="000000"/>
                <w:spacing w:val="0"/>
                <w:kern w:val="0"/>
                <w:sz w:val="22"/>
                <w:szCs w:val="22"/>
                <w:u w:val="none"/>
                <w:lang w:val="en-US" w:eastAsia="zh-CN" w:bidi="ar"/>
              </w:rPr>
              <w:t>岁以上高龄津贴的人员进行追缴。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snapToGrid w:val="0"/>
                <w:color w:val="000000"/>
                <w:spacing w:val="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牵头组织相关部门和乡镇（街道）追回超龄、冒领计划生育各类扶助资金、补助资金。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法律法规已废除，不再开展此项工作。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二、平安法治（3项）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宋体" w:cs="Times New Roman"/>
                <w:i w:val="0"/>
                <w:color w:val="000000"/>
                <w:spacing w:val="0"/>
                <w:kern w:val="0"/>
                <w:sz w:val="22"/>
                <w:szCs w:val="22"/>
                <w:u w:val="none"/>
                <w:lang w:val="en-US" w:eastAsia="zh-CN" w:bidi="ar"/>
              </w:rPr>
              <w:t>1.</w:t>
            </w:r>
            <w:r>
              <w:rPr>
                <w:rFonts w:hint="default" w:ascii="Times New Roman" w:hAnsi="Times New Roman" w:eastAsia="仿宋_GB2312" w:cs="Times New Roman"/>
                <w:i w:val="0"/>
                <w:color w:val="000000"/>
                <w:spacing w:val="0"/>
                <w:kern w:val="0"/>
                <w:sz w:val="22"/>
                <w:szCs w:val="22"/>
                <w:u w:val="none"/>
                <w:lang w:val="en-US" w:eastAsia="zh-CN" w:bidi="ar"/>
              </w:rPr>
              <w:t>对新生儿在医疗卫生机构以外地点死亡的核查；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2.</w:t>
            </w:r>
            <w:r>
              <w:rPr>
                <w:rFonts w:hint="default" w:ascii="Times New Roman" w:hAnsi="Times New Roman" w:eastAsia="仿宋_GB2312" w:cs="Times New Roman"/>
                <w:i w:val="0"/>
                <w:color w:val="000000"/>
                <w:spacing w:val="0"/>
                <w:kern w:val="0"/>
                <w:sz w:val="22"/>
                <w:szCs w:val="22"/>
                <w:u w:val="none"/>
                <w:lang w:val="en-US" w:eastAsia="zh-CN" w:bidi="ar"/>
              </w:rPr>
              <w:t>向乡镇卫生院或社区卫生服务中心通报有关信息。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宋体"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三、乡村振兴（47项）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1.收集动物疫情相关信息，包括疫情发生地点、种类、数量等；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2.验证信息的准确性和完整性；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3.记录疫情信息，并进行分类和编码；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4.及时向上级卫生监测机构报告疫情信息。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2.公告或通知被检查单位，依法对农产品质量安全进行监督检查；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开展农村饮水工程日常检查。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2.公告或通知被检查单位，依法对农药生产、经营、使用场所及农药实施监督检查；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开展行政检查，发现违法行为责令改正并立案查处。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1.对兽药经营企业进行监督检查，依法采取监督检查措施，并督促整改；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2.联合公安、市场监管等部门对从事兽药的单位或个人进行检查。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负责隔离、处理染疫或者疑似染疫的动物、动物产品及相关物品。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2.公告或通知被检查单位，依法对动物防疫监督检查；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1.查阅生猪入场登记，回收产地检疫票据，并核实生猪入场情况；</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2.接受屠宰企业屠宰检疫申报，并按要求开展屠宰检疫；</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3.检疫合格出具屠宰检疫合格票据；</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4.对屠宰企业全过程进行监督；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5.对私屠乱宰行为进行现场核查。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对农药生产经营单位进行检查，检查是否取得相关资质、是否符合农药生产经营要求。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根据退耕还林工作开展情况，评选优秀单位及个人，报县政府同意后给予表彰和奖励。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1.负责信息收集整理、初评；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2.报请县政府作出奖励决定。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根据上级相关文件要求和实际工作情况，对在森林资源保护管理工作中符合条件的单位和个人给予奖励。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依法依规开展河道采砂检查。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负责林业有害生物监测、检疫和防治工作。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承接部门：县农业农村局、县自然资源局、达州市宣汉生态环境局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县农业农村局牵头，县自然资源局、达州市宣汉生态环境局等主管部门按照职责分工及时收集汇总外来入侵物种监测信息。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1.开展日常巡查；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2.对在堤防安全保护区内进行打井、钻探、爆破、挖筑鱼塘、采石、取土、建房、开渠等危害堤防安全的活动进行行政处罚。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2.公告或通知被检查单位，依法对渔业及渔业船舶监督检查；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畅通投诉、举报渠道，依法对经营利用水生野生动物及其产品、捕捉国家重点保护的水生野生动物的行为开展监督检查。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负责全县动物产品检疫，负责动物疫情调查、监测和处置。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1.对农药经营户进行检查；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2.对未将卫生用农药与其他商品分柜销售的，依法处罚违法行为。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1.开展执法检查，受理违法行为问题线索；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2.核实调查；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3.发放《责令改正通知书》；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1.开展执法检查，受理违法行为问题线索；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2.核实调查；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3.发放《责令改正通知书》；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依据法律规定，对未按照规定登记、使用拖拉机、联合收割机的行政处罚。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依法开展监督检查，加强日常巡查，对违法行为进行查处。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2.通知被检查单位，依法开展监督检查；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3.对检查中发现供水水质未达到国家生活饮用水卫生标准的行为，依法作出现场处理或者实施行政处罚。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cs="Times New Roman"/>
                <w:i w:val="0"/>
                <w:color w:val="000000"/>
                <w:spacing w:val="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开具出售废旧机电提灌设备及其主要零配件的有关证明。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四、社会保障（6项）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通过“四川e就业”微信公众号或线下公共服务机构窗口受理。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承接部门：县医保局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会同县税务局及时整理系统数据，开展已缴费人员统计，及时向乡镇清理反馈未缴费人员名单。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落实党中央精简优化基层考核有关要求，不再对乡镇进行考核。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1.负责保障农民工工资支付工作的组织协调、管理指导；</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2.开展农民工工资支付情况的监督检查，查处有关拖欠农民工工资案件。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承接部门：县人力资源社会保障局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明确机构及人员，依法开展人力资源和就业、失业状况调查统计工作。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落实党中央精简优化基层考核有关要求，不再对乡镇进行考核。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五、自然资源（7项）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负责管护资金发放，对公益林面积和资金使用进行监管。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承接部门：县自然资源局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1.开展征地预公告；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2.开展土地现状调查；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3.进行社会稳定风险评估；</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4.发布征地补偿安置公告；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5.统筹签订征地补偿安置协议等。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2.通知被检查单位，依法开展监督检查；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3.对检查中发现擅自砍伐护堤护岸林木的行为，依法作出现场处理或者实施行政处罚。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2.公告或通知被检查单位，依法对森林防火监督检查；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牵头对在森林防火工作中作出突出成绩的单位和个人，按照国家有关规定给予奖励。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按照《森林防火条例》，对存在森林火灾隐患的单位，及时下达森林火灾隐患整改通知书，责令限期整改。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根据上级相关文件要求和实际工作情况，对在森林病虫害防治工作中符合条件的单位和个人给予奖励。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六、生态环保（6项）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负责建筑垃圾的监督管理，发现污染环境的行为进行行政处罚。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1.定期或不定期组织水土保持监督检查；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2.对违法行为作出予以限期整改的相应处理措施；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3.对严重违法的案件，移送有处理权的水行政主管部门立案查处；</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4.对检查情况进行汇总、分类、归档备查。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结合行业专项排查、信访举报线索、双随机检查等加强问题排查并督促整治。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结合危险废物规范化评估、管理计划备案、危废信息申报、信访举报线索、双随机检查等加强问题排查并督促整治。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承接部门：达州市宣汉生态环境局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按照《环境信访办法》规定，对环境保护工作有重要推动作用的信访人进行奖励。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委托公共供水企业在收取水费时一并代征。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七、城乡建设（11项）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1.核实堆放、吊挂影响市容市貌物品行为；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2.责令停止违法行为；</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检查防洪工程设施的建设和水毁工程是否按照批复的建设内容进行施工，督促参建单位落实质量安全等相关措施。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1.开展《城市市容和环境卫生管理条例》宣传；</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2.开展日常监管巡查；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3.对单位和个人未按规定缴纳城市生活垃圾处理费的行为进行处罚。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1.开展日常巡查；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2.受理相关举报，对举报的违法行为进行核查；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3.负责对违法行为依法进行查处。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1.每年汛前、汛中、汛后对水库大坝进行安全检查；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2.按照《四川省水库大坝安全管理办法》规定每6-10年对水库大坝进行安全鉴定。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1.畅通投诉、举报渠道，受理接到的问题线索；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2.加强日常巡查，对发现问题、受理的问题线索进行处理；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3.依据法律法规对违法行为进行处罚。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复核问题线索，对发现破坏、侵占、毁损防洪设施的问题开展行政调查，依法实施行政处罚。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1.畅通投诉、举报渠道，受理接到的问题线索；</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2.加强日常巡查，对发现问题、受理的问题线索进行处理；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3.依据法律法规对违法行为进行处罚。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2.通知被检查单位，依法开展监督检查；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3.对检查中发现擅自移动、损坏水利工程的界桩、公告牌的行为，依法作出现场处理或者实施行政处罚。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承接部门：县住房城乡建设局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八、交通运输（10项）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承接部门：县公安局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组织开展专项整治工作。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对水上交通安全开展监督检查。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3.依法对道路运输及相关业务经营场所、客货集散地监督检查，对检查中发现的隐患和违法违规行为，依法移送。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九、文化和旅游（7项）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1.对举办的营业性演出进行检查；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2.对擅自从事营业性演出经营活动行为进行核实；</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1.对举办的营业性演出进行检查；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2.对未经批准举办营业性演出行为进行核实；</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3.对违法行为进行处罚。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1.依据部门职能职责，按照执法计划或专项活动方案，或者通过投诉、申诉、举报、其他机关移送、上级机关交办等途径开展监督检查工作；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2.根据检查情况，采取相应处置措施；</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3.对涉及其他违法行为，移交相关部门或司法机关；</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4.加强日常监管，对发现的问题及时依法处置。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组织各级医疗卫生机构积极开展艾滋病扩大筛查宣传动员工作。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依托一体化自助机提供避孕药具。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对计划生育药具管理机构的工作进行定期考核，确保药具发放规范和服务质量。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根据优化生育政策要求，不再开展此项工作。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承接部门：县妇联</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开展妇女健康知识的宣传，保障妇女健康。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十一、应急管理及消防（7项）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定期开展监督检查、排查整治。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开展执法检查，接收移交的违法违规线索，及时受理群众举报，核实调查，对违法行为责令整改并进行处罚。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2.监督指导非煤矿山企业安全生产标准化、安全预防控制体系建设等工作。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1.对应急预案管理工作中做出显著成绩的单位和人员进行核实；</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2.按程序对应急预案管理工作中做出显著成绩的单位和人员给予相应奖励。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十二、市场监管（11项）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负责对电梯安全实施监督管理。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依据法律规定，对特种设备开展安全监督检查。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开展行政检查，发现违法行为责令改正并立案查处。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依据法律规定，对食品小作坊、小经营店生产经营实行许可、备案管理。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1.开展烟花爆竹经营监督检查；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2.对未经许可经营、超许可范围经营、许可证过期继续经营烟花爆竹的进行行政处罚。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依据法律规定，对烟花爆竹经营（零售）许可证换证现场核查。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1.开展烟花爆竹生产、经营监督检查；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2.对未经许可生产、经营烟花爆竹制品的进行行政处罚。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依据法律规定，对烟花爆竹经营（零售）进行处罚。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根据上级相关文件要求和实际工作情况，对符合条件的单位和个人给予奖励。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1.加强渔具店的日常巡查；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2.对日常工作检查、双随机检查、上级部门交办、其他部门、乡镇（街道）转办、投诉举报等渠道发现的线索进行核查；</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3.对制造、销售禁用的渔具的行为进行处罚。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十三、教育培训监管（2项）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1.负责婴幼儿照护服务体系建设，引导托育机构规范发展；</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2.及时受理和处理婴幼儿照护服务投诉；</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3.负责托育机构日常监督管理。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承接部门：县教育局、县行政审批局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1.负责学前教育管理和业务指导工作；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2.履行规划制定、资源配置等职责。</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负责幼儿园登记等工作。</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sectPr>
      <w:footerReference r:id="rId5" w:type="default"/>
      <w:pgSz w:w="16838" w:h="11906" w:orient="landscape"/>
      <w:pgMar w:top="1417" w:right="1304" w:bottom="1417" w:left="1304"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E46C77"/>
    <w:rsid w:val="02072872"/>
    <w:rsid w:val="023F6FAC"/>
    <w:rsid w:val="024617F2"/>
    <w:rsid w:val="0350044F"/>
    <w:rsid w:val="03AB5AB0"/>
    <w:rsid w:val="0503212E"/>
    <w:rsid w:val="054144F3"/>
    <w:rsid w:val="05840340"/>
    <w:rsid w:val="080B6E11"/>
    <w:rsid w:val="09CB6A81"/>
    <w:rsid w:val="0A8A63A3"/>
    <w:rsid w:val="0ACF434F"/>
    <w:rsid w:val="0BC4290A"/>
    <w:rsid w:val="0C157FE3"/>
    <w:rsid w:val="10E6712F"/>
    <w:rsid w:val="116F0A6C"/>
    <w:rsid w:val="11721459"/>
    <w:rsid w:val="12863AB0"/>
    <w:rsid w:val="13A04ADA"/>
    <w:rsid w:val="167E5D20"/>
    <w:rsid w:val="17DB7F13"/>
    <w:rsid w:val="18330177"/>
    <w:rsid w:val="186802A9"/>
    <w:rsid w:val="1B514114"/>
    <w:rsid w:val="1D1A76AB"/>
    <w:rsid w:val="1D4311A4"/>
    <w:rsid w:val="1E893454"/>
    <w:rsid w:val="1EAB21DE"/>
    <w:rsid w:val="1F1A0657"/>
    <w:rsid w:val="219854AE"/>
    <w:rsid w:val="22A00653"/>
    <w:rsid w:val="24A12008"/>
    <w:rsid w:val="278F2573"/>
    <w:rsid w:val="27FD02F5"/>
    <w:rsid w:val="2BA6586E"/>
    <w:rsid w:val="2D3E56E7"/>
    <w:rsid w:val="2DE55EA5"/>
    <w:rsid w:val="2FE96A43"/>
    <w:rsid w:val="31182877"/>
    <w:rsid w:val="333C6176"/>
    <w:rsid w:val="33902A27"/>
    <w:rsid w:val="34BB6546"/>
    <w:rsid w:val="36180457"/>
    <w:rsid w:val="363D6170"/>
    <w:rsid w:val="365D08DD"/>
    <w:rsid w:val="36D553DA"/>
    <w:rsid w:val="373652B7"/>
    <w:rsid w:val="37C42276"/>
    <w:rsid w:val="3A410EFC"/>
    <w:rsid w:val="3A59760D"/>
    <w:rsid w:val="3BB76F70"/>
    <w:rsid w:val="3C104343"/>
    <w:rsid w:val="3D412847"/>
    <w:rsid w:val="3E797174"/>
    <w:rsid w:val="41511C62"/>
    <w:rsid w:val="42194FD3"/>
    <w:rsid w:val="42CE3394"/>
    <w:rsid w:val="455E281F"/>
    <w:rsid w:val="4A3D3B0B"/>
    <w:rsid w:val="4B5E7289"/>
    <w:rsid w:val="4BC64E47"/>
    <w:rsid w:val="4C9D5A7F"/>
    <w:rsid w:val="4E430FA3"/>
    <w:rsid w:val="4EC92B5C"/>
    <w:rsid w:val="50385F1E"/>
    <w:rsid w:val="518928D3"/>
    <w:rsid w:val="53EB70D0"/>
    <w:rsid w:val="54646F81"/>
    <w:rsid w:val="54A454D1"/>
    <w:rsid w:val="571B05D1"/>
    <w:rsid w:val="58885F6D"/>
    <w:rsid w:val="58D12330"/>
    <w:rsid w:val="5B1F200D"/>
    <w:rsid w:val="5B286E5C"/>
    <w:rsid w:val="5BD25594"/>
    <w:rsid w:val="5C0915EE"/>
    <w:rsid w:val="5E733227"/>
    <w:rsid w:val="5E9A7FED"/>
    <w:rsid w:val="60CB2D44"/>
    <w:rsid w:val="62C17904"/>
    <w:rsid w:val="62C339E1"/>
    <w:rsid w:val="6381535B"/>
    <w:rsid w:val="63F60A5C"/>
    <w:rsid w:val="643D1308"/>
    <w:rsid w:val="65CB447C"/>
    <w:rsid w:val="665B1E6D"/>
    <w:rsid w:val="66D8700C"/>
    <w:rsid w:val="685B2E95"/>
    <w:rsid w:val="68F657F0"/>
    <w:rsid w:val="6A206499"/>
    <w:rsid w:val="6A4175F2"/>
    <w:rsid w:val="6BCA1AF4"/>
    <w:rsid w:val="6ED51D76"/>
    <w:rsid w:val="70E24F2A"/>
    <w:rsid w:val="72341841"/>
    <w:rsid w:val="75007C0F"/>
    <w:rsid w:val="75113900"/>
    <w:rsid w:val="760D0CD1"/>
    <w:rsid w:val="765F7782"/>
    <w:rsid w:val="78467E04"/>
    <w:rsid w:val="78637BF4"/>
    <w:rsid w:val="78DF4BA6"/>
    <w:rsid w:val="7AAB4D1D"/>
    <w:rsid w:val="7B6624B9"/>
    <w:rsid w:val="7C5765BD"/>
    <w:rsid w:val="7DB06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6"/>
    <w:qFormat/>
    <w:uiPriority w:val="0"/>
    <w:rPr>
      <w:rFonts w:hint="eastAsia" w:ascii="仿宋_GB2312" w:eastAsia="仿宋_GB2312" w:cs="仿宋_GB2312"/>
      <w:color w:val="000000"/>
      <w:sz w:val="28"/>
      <w:szCs w:val="28"/>
      <w:u w:val="none"/>
    </w:rPr>
  </w:style>
  <w:style w:type="character" w:customStyle="1" w:styleId="9">
    <w:name w:val="font41"/>
    <w:basedOn w:val="6"/>
    <w:qFormat/>
    <w:uiPriority w:val="0"/>
    <w:rPr>
      <w:rFonts w:ascii="仿宋_GB2312" w:eastAsia="仿宋_GB2312" w:cs="仿宋_GB2312"/>
      <w:color w:val="000000"/>
      <w:sz w:val="28"/>
      <w:szCs w:val="28"/>
      <w:u w:val="none"/>
    </w:rPr>
  </w:style>
  <w:style w:type="character" w:customStyle="1" w:styleId="10">
    <w:name w:val="font11"/>
    <w:basedOn w:val="6"/>
    <w:qFormat/>
    <w:uiPriority w:val="0"/>
    <w:rPr>
      <w:rFonts w:hint="eastAsia" w:ascii="宋体" w:hAnsi="宋体" w:eastAsia="宋体" w:cs="宋体"/>
      <w:color w:val="000000"/>
      <w:sz w:val="28"/>
      <w:szCs w:val="28"/>
      <w:u w:val="none"/>
    </w:rPr>
  </w:style>
  <w:style w:type="character" w:customStyle="1" w:styleId="11">
    <w:name w:val="font71"/>
    <w:basedOn w:val="6"/>
    <w:qFormat/>
    <w:uiPriority w:val="0"/>
    <w:rPr>
      <w:rFonts w:ascii="黑体" w:hAnsi="宋体" w:eastAsia="黑体" w:cs="黑体"/>
      <w:color w:val="000000"/>
      <w:sz w:val="28"/>
      <w:szCs w:val="28"/>
      <w:u w:val="none"/>
    </w:rPr>
  </w:style>
  <w:style w:type="character" w:customStyle="1" w:styleId="12">
    <w:name w:val="font51"/>
    <w:basedOn w:val="6"/>
    <w:qFormat/>
    <w:uiPriority w:val="0"/>
    <w:rPr>
      <w:rFonts w:hint="default" w:ascii="Times New Roman" w:hAnsi="Times New Roman" w:cs="Times New Roman"/>
      <w:color w:val="000000"/>
      <w:sz w:val="28"/>
      <w:szCs w:val="28"/>
      <w:u w:val="none"/>
    </w:rPr>
  </w:style>
  <w:style w:type="character" w:customStyle="1" w:styleId="13">
    <w:name w:val="font91"/>
    <w:basedOn w:val="6"/>
    <w:qFormat/>
    <w:uiPriority w:val="0"/>
    <w:rPr>
      <w:rFonts w:hint="eastAsia" w:ascii="楷体_GB2312" w:eastAsia="楷体_GB2312" w:cs="楷体_GB2312"/>
      <w:color w:val="000000"/>
      <w:sz w:val="28"/>
      <w:szCs w:val="28"/>
      <w:u w:val="none"/>
    </w:rPr>
  </w:style>
  <w:style w:type="character" w:customStyle="1" w:styleId="14">
    <w:name w:val="font101"/>
    <w:basedOn w:val="6"/>
    <w:qFormat/>
    <w:uiPriority w:val="0"/>
    <w:rPr>
      <w:rFonts w:hint="default" w:ascii="Times New Roman" w:hAnsi="Times New Roman" w:cs="Times New Roman"/>
      <w:color w:val="000000"/>
      <w:sz w:val="28"/>
      <w:szCs w:val="28"/>
      <w:u w:val="none"/>
    </w:rPr>
  </w:style>
  <w:style w:type="character" w:customStyle="1" w:styleId="15">
    <w:name w:val="font171"/>
    <w:basedOn w:val="6"/>
    <w:qFormat/>
    <w:uiPriority w:val="0"/>
    <w:rPr>
      <w:rFonts w:hint="default" w:ascii="Times New Roman" w:hAnsi="Times New Roman" w:cs="Times New Roman"/>
      <w:color w:val="000000"/>
      <w:sz w:val="28"/>
      <w:szCs w:val="28"/>
      <w:u w:val="none"/>
    </w:rPr>
  </w:style>
  <w:style w:type="character" w:customStyle="1" w:styleId="16">
    <w:name w:val="font81"/>
    <w:basedOn w:val="6"/>
    <w:qFormat/>
    <w:uiPriority w:val="0"/>
    <w:rPr>
      <w:rFonts w:hint="eastAsia" w:ascii="仿宋_GB2312" w:eastAsia="仿宋_GB2312" w:cs="仿宋_GB2312"/>
      <w:color w:val="000000"/>
      <w:sz w:val="28"/>
      <w:szCs w:val="28"/>
      <w:u w:val="none"/>
    </w:rPr>
  </w:style>
  <w:style w:type="character" w:customStyle="1" w:styleId="17">
    <w:name w:val="font121"/>
    <w:basedOn w:val="6"/>
    <w:qFormat/>
    <w:uiPriority w:val="0"/>
    <w:rPr>
      <w:rFonts w:hint="default" w:ascii="Times New Roman" w:hAnsi="Times New Roman" w:cs="Times New Roman"/>
      <w:color w:val="000000"/>
      <w:sz w:val="24"/>
      <w:szCs w:val="24"/>
      <w:u w:val="none"/>
    </w:rPr>
  </w:style>
  <w:style w:type="character" w:customStyle="1" w:styleId="18">
    <w:name w:val="font112"/>
    <w:basedOn w:val="6"/>
    <w:qFormat/>
    <w:uiPriority w:val="0"/>
    <w:rPr>
      <w:rFonts w:hint="default" w:ascii="Times New Roman" w:hAnsi="Times New Roman" w:cs="Times New Roman"/>
      <w:color w:val="000000"/>
      <w:sz w:val="20"/>
      <w:szCs w:val="20"/>
      <w:u w:val="none"/>
    </w:rPr>
  </w:style>
  <w:style w:type="character" w:customStyle="1" w:styleId="19">
    <w:name w:val="font31"/>
    <w:basedOn w:val="6"/>
    <w:qFormat/>
    <w:uiPriority w:val="0"/>
    <w:rPr>
      <w:rFonts w:hint="default" w:ascii="Times New Roman" w:hAnsi="Times New Roman" w:cs="Times New Roman"/>
      <w:color w:val="000000"/>
      <w:sz w:val="28"/>
      <w:szCs w:val="28"/>
      <w:u w:val="none"/>
    </w:rPr>
  </w:style>
  <w:style w:type="character" w:customStyle="1" w:styleId="20">
    <w:name w:val="font131"/>
    <w:basedOn w:val="6"/>
    <w:qFormat/>
    <w:uiPriority w:val="0"/>
    <w:rPr>
      <w:rFonts w:hint="eastAsia" w:ascii="仿宋_GB2312" w:eastAsia="仿宋_GB2312" w:cs="仿宋_GB2312"/>
      <w:color w:val="000000"/>
      <w:sz w:val="28"/>
      <w:szCs w:val="28"/>
      <w:u w:val="none"/>
    </w:rPr>
  </w:style>
  <w:style w:type="character" w:customStyle="1" w:styleId="21">
    <w:name w:val="font111"/>
    <w:basedOn w:val="6"/>
    <w:qFormat/>
    <w:uiPriority w:val="0"/>
    <w:rPr>
      <w:rFonts w:hint="eastAsia" w:ascii="仿宋_GB2312" w:eastAsia="仿宋_GB2312" w:cs="仿宋_GB2312"/>
      <w:color w:val="000000"/>
      <w:sz w:val="28"/>
      <w:szCs w:val="28"/>
      <w:u w:val="none"/>
    </w:rPr>
  </w:style>
  <w:style w:type="character" w:customStyle="1" w:styleId="22">
    <w:name w:val="font21"/>
    <w:basedOn w:val="6"/>
    <w:qFormat/>
    <w:uiPriority w:val="0"/>
    <w:rPr>
      <w:rFonts w:hint="default" w:ascii="Times New Roman" w:hAnsi="Times New Roman" w:cs="Times New Roman"/>
      <w:color w:val="000000"/>
      <w:sz w:val="28"/>
      <w:szCs w:val="28"/>
      <w:u w:val="none"/>
    </w:rPr>
  </w:style>
  <w:style w:type="character" w:customStyle="1" w:styleId="23">
    <w:name w:val="font12"/>
    <w:basedOn w:val="6"/>
    <w:qFormat/>
    <w:uiPriority w:val="0"/>
    <w:rPr>
      <w:rFonts w:hint="eastAsia" w:ascii="仿宋_GB2312" w:eastAsia="仿宋_GB2312" w:cs="仿宋_GB2312"/>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14452</Words>
  <Characters>14771</Characters>
  <Lines>0</Lines>
  <Paragraphs>0</Paragraphs>
  <TotalTime>12</TotalTime>
  <ScaleCrop>false</ScaleCrop>
  <LinksUpToDate>false</LinksUpToDate>
  <CharactersWithSpaces>14771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Administrator</cp:lastModifiedBy>
  <dcterms:modified xsi:type="dcterms:W3CDTF">2025-08-05T10:03:10Z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541C727CDA7D4722BEA0F47ACA067D93_13</vt:lpwstr>
  </property>
</Properties>
</file>