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eastAsia="方正小标宋_GBK"/>
          <w:bCs/>
          <w:color w:val="000000" w:themeColor="text1"/>
          <w:sz w:val="72"/>
          <w:szCs w:val="72"/>
          <w14:textFill>
            <w14:solidFill>
              <w14:schemeClr w14:val="tx1"/>
            </w14:solidFill>
          </w14:textFill>
        </w:rPr>
      </w:pPr>
      <w:bookmarkStart w:id="0" w:name="_Toc5093"/>
    </w:p>
    <w:p>
      <w:pPr>
        <w:adjustRightInd w:val="0"/>
        <w:snapToGrid w:val="0"/>
        <w:jc w:val="center"/>
        <w:rPr>
          <w:rFonts w:eastAsia="方正小标宋_GBK"/>
          <w:bCs/>
          <w:color w:val="000000" w:themeColor="text1"/>
          <w:sz w:val="72"/>
          <w:szCs w:val="72"/>
          <w14:textFill>
            <w14:solidFill>
              <w14:schemeClr w14:val="tx1"/>
            </w14:solidFill>
          </w14:textFill>
        </w:rPr>
      </w:pPr>
    </w:p>
    <w:p>
      <w:pPr>
        <w:adjustRightInd w:val="0"/>
        <w:snapToGrid w:val="0"/>
        <w:jc w:val="center"/>
        <w:rPr>
          <w:rFonts w:eastAsia="方正小标宋_GBK"/>
          <w:bCs/>
          <w:color w:val="000000" w:themeColor="text1"/>
          <w:sz w:val="72"/>
          <w:szCs w:val="72"/>
          <w14:textFill>
            <w14:solidFill>
              <w14:schemeClr w14:val="tx1"/>
            </w14:solidFill>
          </w14:textFill>
        </w:rPr>
      </w:pPr>
      <w:r>
        <w:rPr>
          <w:rFonts w:eastAsia="方正小标宋_GBK"/>
          <w:bCs/>
          <w:color w:val="000000" w:themeColor="text1"/>
          <w:sz w:val="72"/>
          <w:szCs w:val="72"/>
          <w14:textFill>
            <w14:solidFill>
              <w14:schemeClr w14:val="tx1"/>
            </w14:solidFill>
          </w14:textFill>
        </w:rPr>
        <w:t>建设项目环境影响报告表</w:t>
      </w:r>
      <w:bookmarkEnd w:id="0"/>
    </w:p>
    <w:p>
      <w:pPr>
        <w:adjustRightInd w:val="0"/>
        <w:snapToGrid w:val="0"/>
        <w:spacing w:before="192" w:beforeLines="80"/>
        <w:jc w:val="center"/>
        <w:rPr>
          <w:rFonts w:eastAsia="楷体_GB2312"/>
          <w:bCs/>
          <w:color w:val="000000" w:themeColor="text1"/>
          <w:sz w:val="48"/>
          <w:szCs w:val="48"/>
          <w14:textFill>
            <w14:solidFill>
              <w14:schemeClr w14:val="tx1"/>
            </w14:solidFill>
          </w14:textFill>
        </w:rPr>
      </w:pPr>
      <w:r>
        <w:rPr>
          <w:rFonts w:eastAsia="楷体_GB2312"/>
          <w:bCs/>
          <w:color w:val="000000" w:themeColor="text1"/>
          <w:sz w:val="48"/>
          <w:szCs w:val="48"/>
          <w14:textFill>
            <w14:solidFill>
              <w14:schemeClr w14:val="tx1"/>
            </w14:solidFill>
          </w14:textFill>
        </w:rPr>
        <w:t>（污染影响类）</w:t>
      </w:r>
    </w:p>
    <w:p>
      <w:pPr>
        <w:adjustRightInd w:val="0"/>
        <w:snapToGrid w:val="0"/>
        <w:spacing w:before="192" w:beforeLines="80"/>
        <w:jc w:val="center"/>
        <w:rPr>
          <w:rFonts w:hint="eastAsia" w:eastAsia="楷体_GB2312"/>
          <w:bCs/>
          <w:color w:val="000000" w:themeColor="text1"/>
          <w:sz w:val="48"/>
          <w:szCs w:val="48"/>
          <w:lang w:eastAsia="zh-CN"/>
          <w14:textFill>
            <w14:solidFill>
              <w14:schemeClr w14:val="tx1"/>
            </w14:solidFill>
          </w14:textFill>
        </w:rPr>
      </w:pPr>
      <w:r>
        <w:rPr>
          <w:rFonts w:hint="eastAsia" w:eastAsia="楷体_GB2312"/>
          <w:bCs/>
          <w:color w:val="000000" w:themeColor="text1"/>
          <w:sz w:val="48"/>
          <w:szCs w:val="48"/>
          <w:lang w:eastAsia="zh-CN"/>
          <w14:textFill>
            <w14:solidFill>
              <w14:schemeClr w14:val="tx1"/>
            </w14:solidFill>
          </w14:textFill>
        </w:rPr>
        <w:t>（</w:t>
      </w:r>
      <w:r>
        <w:rPr>
          <w:rFonts w:hint="eastAsia" w:eastAsia="楷体_GB2312"/>
          <w:bCs/>
          <w:color w:val="000000" w:themeColor="text1"/>
          <w:sz w:val="48"/>
          <w:szCs w:val="48"/>
          <w:lang w:val="en-US" w:eastAsia="zh-CN"/>
          <w14:textFill>
            <w14:solidFill>
              <w14:schemeClr w14:val="tx1"/>
            </w14:solidFill>
          </w14:textFill>
        </w:rPr>
        <w:t>送审本</w:t>
      </w:r>
      <w:r>
        <w:rPr>
          <w:rFonts w:hint="eastAsia" w:eastAsia="楷体_GB2312"/>
          <w:bCs/>
          <w:color w:val="000000" w:themeColor="text1"/>
          <w:sz w:val="48"/>
          <w:szCs w:val="48"/>
          <w:lang w:eastAsia="zh-CN"/>
          <w14:textFill>
            <w14:solidFill>
              <w14:schemeClr w14:val="tx1"/>
            </w14:solidFill>
          </w14:textFill>
        </w:rPr>
        <w:t>）</w:t>
      </w:r>
    </w:p>
    <w:p>
      <w:pPr>
        <w:adjustRightInd w:val="0"/>
        <w:snapToGrid w:val="0"/>
        <w:spacing w:line="288" w:lineRule="auto"/>
        <w:rPr>
          <w:rFonts w:eastAsia="华文仿宋"/>
          <w:color w:val="000000" w:themeColor="text1"/>
          <w:kern w:val="44"/>
          <w:sz w:val="44"/>
          <w:szCs w:val="44"/>
          <w14:textFill>
            <w14:solidFill>
              <w14:schemeClr w14:val="tx1"/>
            </w14:solidFill>
          </w14:textFill>
        </w:rPr>
      </w:pPr>
    </w:p>
    <w:p>
      <w:pPr>
        <w:pStyle w:val="22"/>
        <w:ind w:firstLine="0" w:firstLineChars="0"/>
        <w:rPr>
          <w:color w:val="000000" w:themeColor="text1"/>
          <w14:textFill>
            <w14:solidFill>
              <w14:schemeClr w14:val="tx1"/>
            </w14:solidFill>
          </w14:textFill>
        </w:rPr>
      </w:pPr>
    </w:p>
    <w:p>
      <w:pPr>
        <w:rPr>
          <w:rFonts w:eastAsia="仿宋"/>
          <w:color w:val="000000" w:themeColor="text1"/>
          <w:sz w:val="44"/>
          <w:szCs w:val="44"/>
          <w14:textFill>
            <w14:solidFill>
              <w14:schemeClr w14:val="tx1"/>
            </w14:solidFill>
          </w14:textFill>
        </w:rPr>
      </w:pPr>
    </w:p>
    <w:p>
      <w:pPr>
        <w:rPr>
          <w:rFonts w:eastAsia="仿宋"/>
          <w:color w:val="000000" w:themeColor="text1"/>
          <w:sz w:val="44"/>
          <w:szCs w:val="44"/>
          <w14:textFill>
            <w14:solidFill>
              <w14:schemeClr w14:val="tx1"/>
            </w14:solidFill>
          </w14:textFill>
        </w:rPr>
      </w:pPr>
    </w:p>
    <w:p>
      <w:pPr>
        <w:rPr>
          <w:rFonts w:eastAsia="仿宋"/>
          <w:color w:val="000000" w:themeColor="text1"/>
          <w:sz w:val="44"/>
          <w:szCs w:val="44"/>
          <w14:textFill>
            <w14:solidFill>
              <w14:schemeClr w14:val="tx1"/>
            </w14:solidFill>
          </w14:textFill>
        </w:rPr>
      </w:pPr>
    </w:p>
    <w:p>
      <w:pPr>
        <w:pStyle w:val="22"/>
        <w:ind w:firstLine="0" w:firstLineChars="0"/>
        <w:rPr>
          <w:color w:val="000000" w:themeColor="text1"/>
          <w14:textFill>
            <w14:solidFill>
              <w14:schemeClr w14:val="tx1"/>
            </w14:solidFill>
          </w14:textFill>
        </w:rPr>
      </w:pPr>
    </w:p>
    <w:p>
      <w:pPr>
        <w:pStyle w:val="22"/>
        <w:ind w:firstLine="0" w:firstLineChars="0"/>
        <w:rPr>
          <w:color w:val="000000" w:themeColor="text1"/>
          <w14:textFill>
            <w14:solidFill>
              <w14:schemeClr w14:val="tx1"/>
            </w14:solidFill>
          </w14:textFill>
        </w:rPr>
      </w:pPr>
    </w:p>
    <w:tbl>
      <w:tblPr>
        <w:tblStyle w:val="24"/>
        <w:tblW w:w="798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76"/>
        <w:gridCol w:w="62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1" w:hRule="atLeast"/>
          <w:jc w:val="center"/>
        </w:trPr>
        <w:tc>
          <w:tcPr>
            <w:tcW w:w="1776" w:type="dxa"/>
            <w:vAlign w:val="center"/>
          </w:tcPr>
          <w:p>
            <w:pPr>
              <w:spacing w:line="360" w:lineRule="auto"/>
              <w:rPr>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项目名称：</w:t>
            </w:r>
          </w:p>
        </w:tc>
        <w:tc>
          <w:tcPr>
            <w:tcW w:w="6209" w:type="dxa"/>
            <w:vAlign w:val="center"/>
          </w:tcPr>
          <w:p>
            <w:pPr>
              <w:spacing w:line="360" w:lineRule="auto"/>
              <w:rPr>
                <w:color w:val="000000" w:themeColor="text1"/>
                <w:sz w:val="32"/>
                <w:szCs w:val="32"/>
                <w14:textFill>
                  <w14:solidFill>
                    <w14:schemeClr w14:val="tx1"/>
                  </w14:solidFill>
                </w14:textFill>
              </w:rPr>
            </w:pPr>
            <w:r>
              <w:rPr>
                <w:rFonts w:hint="eastAsia"/>
                <w:b/>
                <w:bCs/>
                <w:color w:val="000000" w:themeColor="text1"/>
                <w:sz w:val="32"/>
                <w:szCs w:val="32"/>
                <w:u w:val="single"/>
                <w14:textFill>
                  <w14:solidFill>
                    <w14:schemeClr w14:val="tx1"/>
                  </w14:solidFill>
                </w14:textFill>
              </w:rPr>
              <w:t xml:space="preserve">宣汉县第三人民医院迁建项目住院部外迁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9" w:hRule="atLeast"/>
          <w:jc w:val="center"/>
        </w:trPr>
        <w:tc>
          <w:tcPr>
            <w:tcW w:w="1776" w:type="dxa"/>
            <w:vAlign w:val="center"/>
          </w:tcPr>
          <w:p>
            <w:pPr>
              <w:spacing w:line="360" w:lineRule="auto"/>
              <w:rPr>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建设单位</w:t>
            </w:r>
            <w:r>
              <w:rPr>
                <w:b/>
                <w:bCs/>
                <w:color w:val="000000" w:themeColor="text1"/>
                <w:sz w:val="32"/>
                <w:szCs w:val="32"/>
                <w14:textFill>
                  <w14:solidFill>
                    <w14:schemeClr w14:val="tx1"/>
                  </w14:solidFill>
                </w14:textFill>
              </w:rPr>
              <w:t>：</w:t>
            </w:r>
          </w:p>
        </w:tc>
        <w:tc>
          <w:tcPr>
            <w:tcW w:w="6209" w:type="dxa"/>
            <w:vAlign w:val="center"/>
          </w:tcPr>
          <w:p>
            <w:pPr>
              <w:spacing w:line="360" w:lineRule="auto"/>
              <w:rPr>
                <w:color w:val="000000" w:themeColor="text1"/>
                <w:sz w:val="32"/>
                <w:szCs w:val="32"/>
                <w:u w:val="single"/>
                <w14:textFill>
                  <w14:solidFill>
                    <w14:schemeClr w14:val="tx1"/>
                  </w14:solidFill>
                </w14:textFill>
              </w:rPr>
            </w:pPr>
            <w:r>
              <w:rPr>
                <w:rFonts w:hint="eastAsia"/>
                <w:b/>
                <w:bCs/>
                <w:color w:val="000000" w:themeColor="text1"/>
                <w:sz w:val="32"/>
                <w:szCs w:val="32"/>
                <w:u w:val="single"/>
                <w14:textFill>
                  <w14:solidFill>
                    <w14:schemeClr w14:val="tx1"/>
                  </w14:solidFill>
                </w14:textFill>
              </w:rPr>
              <w:t>宣汉县第三人民医院</w:t>
            </w:r>
            <w:r>
              <w:rPr>
                <w:b/>
                <w:bCs/>
                <w:color w:val="000000" w:themeColor="text1"/>
                <w:sz w:val="32"/>
                <w:szCs w:val="32"/>
                <w:u w:val="single"/>
                <w14:textFill>
                  <w14:solidFill>
                    <w14:schemeClr w14:val="tx1"/>
                  </w14:solidFill>
                </w14:textFill>
              </w:rPr>
              <w:t xml:space="preserve">      </w:t>
            </w:r>
            <w:r>
              <w:rPr>
                <w:rFonts w:hint="eastAsia"/>
                <w:b/>
                <w:bCs/>
                <w:color w:val="000000" w:themeColor="text1"/>
                <w:sz w:val="32"/>
                <w:szCs w:val="32"/>
                <w:u w:val="single"/>
                <w14:textFill>
                  <w14:solidFill>
                    <w14:schemeClr w14:val="tx1"/>
                  </w14:solidFill>
                </w14:textFill>
              </w:rPr>
              <w:t xml:space="preserve"> </w:t>
            </w:r>
            <w:r>
              <w:rPr>
                <w:b/>
                <w:bCs/>
                <w:color w:val="000000" w:themeColor="text1"/>
                <w:sz w:val="32"/>
                <w:szCs w:val="32"/>
                <w:u w:val="single"/>
                <w14:textFill>
                  <w14:solidFill>
                    <w14:schemeClr w14:val="tx1"/>
                  </w14:solidFill>
                </w14:textFill>
              </w:rPr>
              <w:t xml:space="preserve">  </w:t>
            </w:r>
            <w:r>
              <w:rPr>
                <w:rFonts w:hint="eastAsia"/>
                <w:b/>
                <w:bCs/>
                <w:color w:val="000000" w:themeColor="text1"/>
                <w:sz w:val="32"/>
                <w:szCs w:val="32"/>
                <w:u w:val="single"/>
                <w14:textFill>
                  <w14:solidFill>
                    <w14:schemeClr w14:val="tx1"/>
                  </w14:solidFill>
                </w14:textFill>
              </w:rPr>
              <w:t xml:space="preserve">       </w:t>
            </w:r>
            <w:r>
              <w:rPr>
                <w:b/>
                <w:bCs/>
                <w:color w:val="000000" w:themeColor="text1"/>
                <w:sz w:val="32"/>
                <w:szCs w:val="32"/>
                <w:u w:val="single"/>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9" w:hRule="atLeast"/>
          <w:jc w:val="center"/>
        </w:trPr>
        <w:tc>
          <w:tcPr>
            <w:tcW w:w="1776" w:type="dxa"/>
            <w:vAlign w:val="center"/>
          </w:tcPr>
          <w:p>
            <w:pPr>
              <w:spacing w:line="360" w:lineRule="auto"/>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编制日期：</w:t>
            </w:r>
          </w:p>
        </w:tc>
        <w:tc>
          <w:tcPr>
            <w:tcW w:w="6209" w:type="dxa"/>
            <w:vAlign w:val="center"/>
          </w:tcPr>
          <w:p>
            <w:pPr>
              <w:spacing w:line="360" w:lineRule="auto"/>
              <w:rPr>
                <w:b/>
                <w:bCs/>
                <w:color w:val="000000" w:themeColor="text1"/>
                <w:sz w:val="32"/>
                <w:szCs w:val="32"/>
                <w:u w:val="single"/>
                <w14:textFill>
                  <w14:solidFill>
                    <w14:schemeClr w14:val="tx1"/>
                  </w14:solidFill>
                </w14:textFill>
              </w:rPr>
            </w:pPr>
            <w:r>
              <w:rPr>
                <w:rFonts w:hint="eastAsia"/>
                <w:b/>
                <w:bCs/>
                <w:color w:val="000000" w:themeColor="text1"/>
                <w:sz w:val="32"/>
                <w:szCs w:val="32"/>
                <w:u w:val="single"/>
                <w14:textFill>
                  <w14:solidFill>
                    <w14:schemeClr w14:val="tx1"/>
                  </w14:solidFill>
                </w14:textFill>
              </w:rPr>
              <w:t>2022年</w:t>
            </w:r>
            <w:r>
              <w:rPr>
                <w:rFonts w:hint="eastAsia"/>
                <w:b/>
                <w:bCs/>
                <w:color w:val="000000" w:themeColor="text1"/>
                <w:sz w:val="32"/>
                <w:szCs w:val="32"/>
                <w:u w:val="single"/>
                <w:lang w:val="en-US" w:eastAsia="zh-CN"/>
                <w14:textFill>
                  <w14:solidFill>
                    <w14:schemeClr w14:val="tx1"/>
                  </w14:solidFill>
                </w14:textFill>
              </w:rPr>
              <w:t>4</w:t>
            </w:r>
            <w:r>
              <w:rPr>
                <w:rFonts w:hint="eastAsia"/>
                <w:b/>
                <w:bCs/>
                <w:color w:val="000000" w:themeColor="text1"/>
                <w:sz w:val="32"/>
                <w:szCs w:val="32"/>
                <w:u w:val="single"/>
                <w14:textFill>
                  <w14:solidFill>
                    <w14:schemeClr w14:val="tx1"/>
                  </w14:solidFill>
                </w14:textFill>
              </w:rPr>
              <w:t xml:space="preserve">月                             </w:t>
            </w:r>
          </w:p>
        </w:tc>
      </w:tr>
    </w:tbl>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bookmarkStart w:id="1" w:name="_Hlk57884087"/>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bookmarkEnd w:id="1"/>
    <w:p>
      <w:pPr>
        <w:adjustRightInd w:val="0"/>
        <w:snapToGrid w:val="0"/>
        <w:spacing w:line="288" w:lineRule="auto"/>
        <w:jc w:val="center"/>
        <w:rPr>
          <w:rFonts w:eastAsia="楷体_GB2312"/>
          <w:color w:val="000000" w:themeColor="text1"/>
          <w:sz w:val="36"/>
          <w:szCs w:val="36"/>
          <w14:textFill>
            <w14:solidFill>
              <w14:schemeClr w14:val="tx1"/>
            </w14:solidFill>
          </w14:textFill>
        </w:rPr>
      </w:pPr>
      <w:r>
        <w:rPr>
          <w:rFonts w:eastAsia="楷体_GB2312"/>
          <w:color w:val="000000" w:themeColor="text1"/>
          <w:sz w:val="36"/>
          <w:szCs w:val="36"/>
          <w14:textFill>
            <w14:solidFill>
              <w14:schemeClr w14:val="tx1"/>
            </w14:solidFill>
          </w14:textFill>
        </w:rPr>
        <w:t>中华人民共和国生态环境部制</w:t>
      </w:r>
    </w:p>
    <w:p>
      <w:pPr>
        <w:adjustRightInd w:val="0"/>
        <w:snapToGrid w:val="0"/>
        <w:spacing w:line="288" w:lineRule="auto"/>
        <w:ind w:firstLine="1040"/>
        <w:rPr>
          <w:rFonts w:eastAsia="仿宋_GB2312"/>
          <w:color w:val="000000" w:themeColor="text1"/>
          <w:sz w:val="36"/>
          <w:szCs w:val="36"/>
          <w14:textFill>
            <w14:solidFill>
              <w14:schemeClr w14:val="tx1"/>
            </w14:solidFill>
          </w14:textFill>
        </w:rPr>
        <w:sectPr>
          <w:footerReference r:id="rId3" w:type="default"/>
          <w:footerReference r:id="rId4" w:type="even"/>
          <w:pgSz w:w="11906" w:h="16838"/>
          <w:pgMar w:top="1440" w:right="1800" w:bottom="1440" w:left="1800" w:header="851" w:footer="1497" w:gutter="0"/>
          <w:pgNumType w:start="3"/>
          <w:cols w:space="720" w:num="1"/>
          <w:docGrid w:linePitch="312" w:charSpace="0"/>
        </w:sectPr>
      </w:pPr>
    </w:p>
    <w:p>
      <w:pPr>
        <w:spacing w:line="360" w:lineRule="auto"/>
        <w:jc w:val="center"/>
        <w:rPr>
          <w:b/>
          <w:bCs/>
          <w:color w:val="000000" w:themeColor="text1"/>
          <w:sz w:val="28"/>
          <w:szCs w:val="36"/>
          <w14:textFill>
            <w14:solidFill>
              <w14:schemeClr w14:val="tx1"/>
            </w14:solidFill>
          </w14:textFill>
        </w:rPr>
      </w:pPr>
      <w:r>
        <w:rPr>
          <w:rFonts w:ascii="宋体" w:hAnsi="宋体"/>
          <w:b/>
          <w:bCs/>
          <w:color w:val="000000" w:themeColor="text1"/>
          <w:sz w:val="28"/>
          <w:szCs w:val="36"/>
          <w14:textFill>
            <w14:solidFill>
              <w14:schemeClr w14:val="tx1"/>
            </w14:solidFill>
          </w14:textFill>
        </w:rPr>
        <w:t>目</w:t>
      </w:r>
      <w:r>
        <w:rPr>
          <w:rFonts w:hint="eastAsia" w:ascii="宋体" w:hAnsi="宋体"/>
          <w:b/>
          <w:bCs/>
          <w:color w:val="000000" w:themeColor="text1"/>
          <w:sz w:val="28"/>
          <w:szCs w:val="36"/>
          <w14:textFill>
            <w14:solidFill>
              <w14:schemeClr w14:val="tx1"/>
            </w14:solidFill>
          </w14:textFill>
        </w:rPr>
        <w:t xml:space="preserve">  </w:t>
      </w:r>
      <w:r>
        <w:rPr>
          <w:rFonts w:ascii="宋体" w:hAnsi="宋体"/>
          <w:b/>
          <w:bCs/>
          <w:color w:val="000000" w:themeColor="text1"/>
          <w:sz w:val="28"/>
          <w:szCs w:val="36"/>
          <w14:textFill>
            <w14:solidFill>
              <w14:schemeClr w14:val="tx1"/>
            </w14:solidFill>
          </w14:textFill>
        </w:rPr>
        <w:t>录</w:t>
      </w:r>
    </w:p>
    <w:p>
      <w:pPr>
        <w:pStyle w:val="15"/>
        <w:tabs>
          <w:tab w:val="right" w:leader="dot" w:pos="8306"/>
        </w:tabs>
        <w:rPr>
          <w:color w:val="000000" w:themeColor="text1"/>
          <w14:textFill>
            <w14:solidFill>
              <w14:schemeClr w14:val="tx1"/>
            </w14:solidFill>
          </w14:textFill>
        </w:rPr>
      </w:pPr>
      <w:r>
        <w:rPr>
          <w:b/>
          <w:color w:val="000000" w:themeColor="text1"/>
          <w:sz w:val="28"/>
          <w:szCs w:val="28"/>
          <w14:textFill>
            <w14:solidFill>
              <w14:schemeClr w14:val="tx1"/>
            </w14:solidFill>
          </w14:textFill>
        </w:rPr>
        <w:fldChar w:fldCharType="begin"/>
      </w:r>
      <w:r>
        <w:rPr>
          <w:b/>
          <w:color w:val="000000" w:themeColor="text1"/>
          <w:sz w:val="28"/>
          <w:szCs w:val="28"/>
          <w14:textFill>
            <w14:solidFill>
              <w14:schemeClr w14:val="tx1"/>
            </w14:solidFill>
          </w14:textFill>
        </w:rPr>
        <w:instrText xml:space="preserve">TOC \o "1-1" \h \u </w:instrText>
      </w:r>
      <w:r>
        <w:rPr>
          <w:b/>
          <w:color w:val="000000" w:themeColor="text1"/>
          <w:sz w:val="28"/>
          <w:szCs w:val="28"/>
          <w14:textFill>
            <w14:solidFill>
              <w14:schemeClr w14:val="tx1"/>
            </w14:solidFill>
          </w14:textFill>
        </w:rPr>
        <w:fldChar w:fldCharType="separate"/>
      </w:r>
      <w:r>
        <w:rPr>
          <w:color w:val="000000" w:themeColor="text1"/>
          <w:szCs w:val="28"/>
          <w14:textFill>
            <w14:solidFill>
              <w14:schemeClr w14:val="tx1"/>
            </w14:solidFill>
          </w14:textFill>
        </w:rPr>
        <w:fldChar w:fldCharType="begin"/>
      </w:r>
      <w:r>
        <w:rPr>
          <w:color w:val="000000" w:themeColor="text1"/>
          <w:szCs w:val="28"/>
          <w14:textFill>
            <w14:solidFill>
              <w14:schemeClr w14:val="tx1"/>
            </w14:solidFill>
          </w14:textFill>
        </w:rPr>
        <w:instrText xml:space="preserve"> HYPERLINK \l _Toc28732 </w:instrText>
      </w:r>
      <w:r>
        <w:rPr>
          <w:color w:val="000000" w:themeColor="text1"/>
          <w:szCs w:val="28"/>
          <w14:textFill>
            <w14:solidFill>
              <w14:schemeClr w14:val="tx1"/>
            </w14:solidFill>
          </w14:textFill>
        </w:rPr>
        <w:fldChar w:fldCharType="separate"/>
      </w:r>
      <w:r>
        <w:rPr>
          <w:color w:val="000000" w:themeColor="text1"/>
          <w14:textFill>
            <w14:solidFill>
              <w14:schemeClr w14:val="tx1"/>
            </w14:solidFill>
          </w14:textFill>
        </w:rPr>
        <w:t>一、建设项目基本情况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_Toc28732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szCs w:val="28"/>
          <w14:textFill>
            <w14:solidFill>
              <w14:schemeClr w14:val="tx1"/>
            </w14:solidFill>
          </w14:textFill>
        </w:rPr>
        <w:fldChar w:fldCharType="end"/>
      </w:r>
    </w:p>
    <w:p>
      <w:pPr>
        <w:pStyle w:val="15"/>
        <w:tabs>
          <w:tab w:val="right" w:leader="dot" w:pos="8306"/>
        </w:tabs>
        <w:rPr>
          <w:color w:val="000000" w:themeColor="text1"/>
          <w14:textFill>
            <w14:solidFill>
              <w14:schemeClr w14:val="tx1"/>
            </w14:solidFill>
          </w14:textFill>
        </w:rPr>
      </w:pPr>
      <w:r>
        <w:rPr>
          <w:color w:val="000000" w:themeColor="text1"/>
          <w:szCs w:val="28"/>
          <w14:textFill>
            <w14:solidFill>
              <w14:schemeClr w14:val="tx1"/>
            </w14:solidFill>
          </w14:textFill>
        </w:rPr>
        <w:fldChar w:fldCharType="begin"/>
      </w:r>
      <w:r>
        <w:rPr>
          <w:color w:val="000000" w:themeColor="text1"/>
          <w:szCs w:val="28"/>
          <w14:textFill>
            <w14:solidFill>
              <w14:schemeClr w14:val="tx1"/>
            </w14:solidFill>
          </w14:textFill>
        </w:rPr>
        <w:instrText xml:space="preserve"> HYPERLINK \l _Toc24977 </w:instrText>
      </w:r>
      <w:r>
        <w:rPr>
          <w:color w:val="000000" w:themeColor="text1"/>
          <w:szCs w:val="28"/>
          <w14:textFill>
            <w14:solidFill>
              <w14:schemeClr w14:val="tx1"/>
            </w14:solidFill>
          </w14:textFill>
        </w:rPr>
        <w:fldChar w:fldCharType="separate"/>
      </w:r>
      <w:r>
        <w:rPr>
          <w:color w:val="000000" w:themeColor="text1"/>
          <w14:textFill>
            <w14:solidFill>
              <w14:schemeClr w14:val="tx1"/>
            </w14:solidFill>
          </w14:textFill>
        </w:rPr>
        <w:t>二、建设项目工程分析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_Toc24977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color w:val="000000" w:themeColor="text1"/>
          <w:szCs w:val="28"/>
          <w14:textFill>
            <w14:solidFill>
              <w14:schemeClr w14:val="tx1"/>
            </w14:solidFill>
          </w14:textFill>
        </w:rPr>
        <w:fldChar w:fldCharType="end"/>
      </w:r>
    </w:p>
    <w:p>
      <w:pPr>
        <w:pStyle w:val="15"/>
        <w:tabs>
          <w:tab w:val="right" w:leader="dot" w:pos="8306"/>
        </w:tabs>
        <w:rPr>
          <w:color w:val="000000" w:themeColor="text1"/>
          <w14:textFill>
            <w14:solidFill>
              <w14:schemeClr w14:val="tx1"/>
            </w14:solidFill>
          </w14:textFill>
        </w:rPr>
      </w:pPr>
      <w:r>
        <w:rPr>
          <w:color w:val="000000" w:themeColor="text1"/>
          <w:szCs w:val="28"/>
          <w14:textFill>
            <w14:solidFill>
              <w14:schemeClr w14:val="tx1"/>
            </w14:solidFill>
          </w14:textFill>
        </w:rPr>
        <w:fldChar w:fldCharType="begin"/>
      </w:r>
      <w:r>
        <w:rPr>
          <w:color w:val="000000" w:themeColor="text1"/>
          <w:szCs w:val="28"/>
          <w14:textFill>
            <w14:solidFill>
              <w14:schemeClr w14:val="tx1"/>
            </w14:solidFill>
          </w14:textFill>
        </w:rPr>
        <w:instrText xml:space="preserve"> HYPERLINK \l _Toc30153 </w:instrText>
      </w:r>
      <w:r>
        <w:rPr>
          <w:color w:val="000000" w:themeColor="text1"/>
          <w:szCs w:val="28"/>
          <w14:textFill>
            <w14:solidFill>
              <w14:schemeClr w14:val="tx1"/>
            </w14:solidFill>
          </w14:textFill>
        </w:rPr>
        <w:fldChar w:fldCharType="separate"/>
      </w:r>
      <w:r>
        <w:rPr>
          <w:color w:val="000000" w:themeColor="text1"/>
          <w14:textFill>
            <w14:solidFill>
              <w14:schemeClr w14:val="tx1"/>
            </w14:solidFill>
          </w14:textFill>
        </w:rPr>
        <w:t>三、区域环境质量现状、环境保护目标及评价标准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_Toc30153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color w:val="000000" w:themeColor="text1"/>
          <w:szCs w:val="28"/>
          <w14:textFill>
            <w14:solidFill>
              <w14:schemeClr w14:val="tx1"/>
            </w14:solidFill>
          </w14:textFill>
        </w:rPr>
        <w:fldChar w:fldCharType="end"/>
      </w:r>
    </w:p>
    <w:p>
      <w:pPr>
        <w:pStyle w:val="15"/>
        <w:tabs>
          <w:tab w:val="right" w:leader="dot" w:pos="8306"/>
        </w:tabs>
        <w:rPr>
          <w:color w:val="000000" w:themeColor="text1"/>
          <w14:textFill>
            <w14:solidFill>
              <w14:schemeClr w14:val="tx1"/>
            </w14:solidFill>
          </w14:textFill>
        </w:rPr>
      </w:pPr>
      <w:r>
        <w:rPr>
          <w:color w:val="000000" w:themeColor="text1"/>
          <w:szCs w:val="28"/>
          <w14:textFill>
            <w14:solidFill>
              <w14:schemeClr w14:val="tx1"/>
            </w14:solidFill>
          </w14:textFill>
        </w:rPr>
        <w:fldChar w:fldCharType="begin"/>
      </w:r>
      <w:r>
        <w:rPr>
          <w:color w:val="000000" w:themeColor="text1"/>
          <w:szCs w:val="28"/>
          <w14:textFill>
            <w14:solidFill>
              <w14:schemeClr w14:val="tx1"/>
            </w14:solidFill>
          </w14:textFill>
        </w:rPr>
        <w:instrText xml:space="preserve"> HYPERLINK \l _Toc8620 </w:instrText>
      </w:r>
      <w:r>
        <w:rPr>
          <w:color w:val="000000" w:themeColor="text1"/>
          <w:szCs w:val="28"/>
          <w14:textFill>
            <w14:solidFill>
              <w14:schemeClr w14:val="tx1"/>
            </w14:solidFill>
          </w14:textFill>
        </w:rPr>
        <w:fldChar w:fldCharType="separate"/>
      </w:r>
      <w:r>
        <w:rPr>
          <w:color w:val="000000" w:themeColor="text1"/>
          <w14:textFill>
            <w14:solidFill>
              <w14:schemeClr w14:val="tx1"/>
            </w14:solidFill>
          </w14:textFill>
        </w:rPr>
        <w:t>四、主要环境影响和保护措施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_Toc8620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44</w:t>
      </w:r>
      <w:r>
        <w:rPr>
          <w:color w:val="000000" w:themeColor="text1"/>
          <w14:textFill>
            <w14:solidFill>
              <w14:schemeClr w14:val="tx1"/>
            </w14:solidFill>
          </w14:textFill>
        </w:rPr>
        <w:fldChar w:fldCharType="end"/>
      </w:r>
      <w:r>
        <w:rPr>
          <w:color w:val="000000" w:themeColor="text1"/>
          <w:szCs w:val="28"/>
          <w14:textFill>
            <w14:solidFill>
              <w14:schemeClr w14:val="tx1"/>
            </w14:solidFill>
          </w14:textFill>
        </w:rPr>
        <w:fldChar w:fldCharType="end"/>
      </w:r>
    </w:p>
    <w:p>
      <w:pPr>
        <w:pStyle w:val="15"/>
        <w:tabs>
          <w:tab w:val="right" w:leader="dot" w:pos="8306"/>
        </w:tabs>
        <w:rPr>
          <w:color w:val="000000" w:themeColor="text1"/>
          <w14:textFill>
            <w14:solidFill>
              <w14:schemeClr w14:val="tx1"/>
            </w14:solidFill>
          </w14:textFill>
        </w:rPr>
      </w:pPr>
      <w:r>
        <w:rPr>
          <w:color w:val="000000" w:themeColor="text1"/>
          <w:szCs w:val="28"/>
          <w14:textFill>
            <w14:solidFill>
              <w14:schemeClr w14:val="tx1"/>
            </w14:solidFill>
          </w14:textFill>
        </w:rPr>
        <w:fldChar w:fldCharType="begin"/>
      </w:r>
      <w:r>
        <w:rPr>
          <w:color w:val="000000" w:themeColor="text1"/>
          <w:szCs w:val="28"/>
          <w14:textFill>
            <w14:solidFill>
              <w14:schemeClr w14:val="tx1"/>
            </w14:solidFill>
          </w14:textFill>
        </w:rPr>
        <w:instrText xml:space="preserve"> HYPERLINK \l _Toc16591 </w:instrText>
      </w:r>
      <w:r>
        <w:rPr>
          <w:color w:val="000000" w:themeColor="text1"/>
          <w:szCs w:val="28"/>
          <w14:textFill>
            <w14:solidFill>
              <w14:schemeClr w14:val="tx1"/>
            </w14:solidFill>
          </w14:textFill>
        </w:rPr>
        <w:fldChar w:fldCharType="separate"/>
      </w:r>
      <w:r>
        <w:rPr>
          <w:color w:val="000000" w:themeColor="text1"/>
          <w14:textFill>
            <w14:solidFill>
              <w14:schemeClr w14:val="tx1"/>
            </w14:solidFill>
          </w14:textFill>
        </w:rPr>
        <w:t>五、环境保护措施监督检查清单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_Toc16591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72</w:t>
      </w:r>
      <w:r>
        <w:rPr>
          <w:color w:val="000000" w:themeColor="text1"/>
          <w14:textFill>
            <w14:solidFill>
              <w14:schemeClr w14:val="tx1"/>
            </w14:solidFill>
          </w14:textFill>
        </w:rPr>
        <w:fldChar w:fldCharType="end"/>
      </w:r>
      <w:r>
        <w:rPr>
          <w:color w:val="000000" w:themeColor="text1"/>
          <w:szCs w:val="28"/>
          <w14:textFill>
            <w14:solidFill>
              <w14:schemeClr w14:val="tx1"/>
            </w14:solidFill>
          </w14:textFill>
        </w:rPr>
        <w:fldChar w:fldCharType="end"/>
      </w:r>
    </w:p>
    <w:p>
      <w:pPr>
        <w:pStyle w:val="15"/>
        <w:tabs>
          <w:tab w:val="right" w:leader="dot" w:pos="8306"/>
        </w:tabs>
        <w:rPr>
          <w:color w:val="000000" w:themeColor="text1"/>
          <w14:textFill>
            <w14:solidFill>
              <w14:schemeClr w14:val="tx1"/>
            </w14:solidFill>
          </w14:textFill>
        </w:rPr>
      </w:pPr>
      <w:r>
        <w:rPr>
          <w:color w:val="000000" w:themeColor="text1"/>
          <w:szCs w:val="28"/>
          <w14:textFill>
            <w14:solidFill>
              <w14:schemeClr w14:val="tx1"/>
            </w14:solidFill>
          </w14:textFill>
        </w:rPr>
        <w:fldChar w:fldCharType="begin"/>
      </w:r>
      <w:r>
        <w:rPr>
          <w:color w:val="000000" w:themeColor="text1"/>
          <w:szCs w:val="28"/>
          <w14:textFill>
            <w14:solidFill>
              <w14:schemeClr w14:val="tx1"/>
            </w14:solidFill>
          </w14:textFill>
        </w:rPr>
        <w:instrText xml:space="preserve"> HYPERLINK \l _Toc9652 </w:instrText>
      </w:r>
      <w:r>
        <w:rPr>
          <w:color w:val="000000" w:themeColor="text1"/>
          <w:szCs w:val="28"/>
          <w14:textFill>
            <w14:solidFill>
              <w14:schemeClr w14:val="tx1"/>
            </w14:solidFill>
          </w14:textFill>
        </w:rPr>
        <w:fldChar w:fldCharType="separate"/>
      </w:r>
      <w:r>
        <w:rPr>
          <w:color w:val="000000" w:themeColor="text1"/>
          <w14:textFill>
            <w14:solidFill>
              <w14:schemeClr w14:val="tx1"/>
            </w14:solidFill>
          </w14:textFill>
        </w:rPr>
        <w:t>六、结论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_Toc9652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75</w:t>
      </w:r>
      <w:r>
        <w:rPr>
          <w:color w:val="000000" w:themeColor="text1"/>
          <w14:textFill>
            <w14:solidFill>
              <w14:schemeClr w14:val="tx1"/>
            </w14:solidFill>
          </w14:textFill>
        </w:rPr>
        <w:fldChar w:fldCharType="end"/>
      </w:r>
      <w:r>
        <w:rPr>
          <w:color w:val="000000" w:themeColor="text1"/>
          <w:szCs w:val="28"/>
          <w14:textFill>
            <w14:solidFill>
              <w14:schemeClr w14:val="tx1"/>
            </w14:solidFill>
          </w14:textFill>
        </w:rPr>
        <w:fldChar w:fldCharType="end"/>
      </w:r>
    </w:p>
    <w:p>
      <w:pPr>
        <w:pStyle w:val="15"/>
        <w:tabs>
          <w:tab w:val="right" w:leader="dot" w:pos="8306"/>
        </w:tabs>
        <w:rPr>
          <w:color w:val="000000" w:themeColor="text1"/>
          <w14:textFill>
            <w14:solidFill>
              <w14:schemeClr w14:val="tx1"/>
            </w14:solidFill>
          </w14:textFill>
        </w:rPr>
      </w:pPr>
      <w:r>
        <w:rPr>
          <w:color w:val="000000" w:themeColor="text1"/>
          <w:szCs w:val="28"/>
          <w14:textFill>
            <w14:solidFill>
              <w14:schemeClr w14:val="tx1"/>
            </w14:solidFill>
          </w14:textFill>
        </w:rPr>
        <w:fldChar w:fldCharType="begin"/>
      </w:r>
      <w:r>
        <w:rPr>
          <w:color w:val="000000" w:themeColor="text1"/>
          <w:szCs w:val="28"/>
          <w14:textFill>
            <w14:solidFill>
              <w14:schemeClr w14:val="tx1"/>
            </w14:solidFill>
          </w14:textFill>
        </w:rPr>
        <w:instrText xml:space="preserve"> HYPERLINK \l _Toc28680 </w:instrText>
      </w:r>
      <w:r>
        <w:rPr>
          <w:color w:val="000000" w:themeColor="text1"/>
          <w:szCs w:val="28"/>
          <w14:textFill>
            <w14:solidFill>
              <w14:schemeClr w14:val="tx1"/>
            </w14:solidFill>
          </w14:textFill>
        </w:rPr>
        <w:fldChar w:fldCharType="separate"/>
      </w:r>
      <w:r>
        <w:rPr>
          <w:color w:val="000000" w:themeColor="text1"/>
          <w14:textFill>
            <w14:solidFill>
              <w14:schemeClr w14:val="tx1"/>
            </w14:solidFill>
          </w14:textFill>
        </w:rPr>
        <w:t>附表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_Toc28680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76</w:t>
      </w:r>
      <w:r>
        <w:rPr>
          <w:color w:val="000000" w:themeColor="text1"/>
          <w14:textFill>
            <w14:solidFill>
              <w14:schemeClr w14:val="tx1"/>
            </w14:solidFill>
          </w14:textFill>
        </w:rPr>
        <w:fldChar w:fldCharType="end"/>
      </w:r>
      <w:r>
        <w:rPr>
          <w:color w:val="000000" w:themeColor="text1"/>
          <w:szCs w:val="28"/>
          <w14:textFill>
            <w14:solidFill>
              <w14:schemeClr w14:val="tx1"/>
            </w14:solidFill>
          </w14:textFill>
        </w:rPr>
        <w:fldChar w:fldCharType="end"/>
      </w:r>
    </w:p>
    <w:p>
      <w:pPr>
        <w:spacing w:line="360" w:lineRule="auto"/>
        <w:rPr>
          <w:rFonts w:ascii="宋体" w:hAnsi="宋体" w:cs="宋体"/>
          <w:b/>
          <w:color w:val="000000" w:themeColor="text1"/>
          <w:sz w:val="24"/>
          <w14:textFill>
            <w14:solidFill>
              <w14:schemeClr w14:val="tx1"/>
            </w14:solidFill>
          </w14:textFill>
        </w:rPr>
      </w:pPr>
      <w:r>
        <w:rPr>
          <w:color w:val="000000" w:themeColor="text1"/>
          <w:szCs w:val="28"/>
          <w14:textFill>
            <w14:solidFill>
              <w14:schemeClr w14:val="tx1"/>
            </w14:solidFill>
          </w14:textFill>
        </w:rPr>
        <w:fldChar w:fldCharType="end"/>
      </w:r>
    </w:p>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附图：</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附图1  项目地理位置图</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附图2  项目外环境关系图</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 xml:space="preserve">附图3  </w:t>
      </w:r>
      <w:r>
        <w:rPr>
          <w:rFonts w:hint="eastAsia"/>
          <w:bCs/>
          <w:color w:val="000000" w:themeColor="text1"/>
          <w:sz w:val="24"/>
          <w14:textFill>
            <w14:solidFill>
              <w14:schemeClr w14:val="tx1"/>
            </w14:solidFill>
          </w14:textFill>
        </w:rPr>
        <w:t>项目总体平面布置图</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附图4  项目平面布置图</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附图</w:t>
      </w:r>
      <w:r>
        <w:rPr>
          <w:rFonts w:hint="eastAsia"/>
          <w:bCs/>
          <w:color w:val="000000" w:themeColor="text1"/>
          <w:sz w:val="24"/>
          <w14:textFill>
            <w14:solidFill>
              <w14:schemeClr w14:val="tx1"/>
            </w14:solidFill>
          </w14:textFill>
        </w:rPr>
        <w:t>5</w:t>
      </w:r>
      <w:r>
        <w:rPr>
          <w:bCs/>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项目鸟瞰图</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 xml:space="preserve">附图6  </w:t>
      </w:r>
      <w:r>
        <w:rPr>
          <w:bCs/>
          <w:color w:val="000000" w:themeColor="text1"/>
          <w:sz w:val="24"/>
          <w14:textFill>
            <w14:solidFill>
              <w14:schemeClr w14:val="tx1"/>
            </w14:solidFill>
          </w14:textFill>
        </w:rPr>
        <w:t>监测布点图</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 xml:space="preserve">附图7  </w:t>
      </w:r>
      <w:r>
        <w:rPr>
          <w:bCs/>
          <w:color w:val="000000" w:themeColor="text1"/>
          <w:sz w:val="24"/>
          <w14:textFill>
            <w14:solidFill>
              <w14:schemeClr w14:val="tx1"/>
            </w14:solidFill>
          </w14:textFill>
        </w:rPr>
        <w:t>四川省生态保护红线分布图</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附图8  项目现场照片</w:t>
      </w:r>
    </w:p>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附件：</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附件1  环评委托书</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附件</w:t>
      </w:r>
      <w:r>
        <w:rPr>
          <w:rFonts w:hint="eastAsia"/>
          <w:bCs/>
          <w:color w:val="000000" w:themeColor="text1"/>
          <w:sz w:val="24"/>
          <w14:textFill>
            <w14:solidFill>
              <w14:schemeClr w14:val="tx1"/>
            </w14:solidFill>
          </w14:textFill>
        </w:rPr>
        <w:t>2</w:t>
      </w:r>
      <w:r>
        <w:rPr>
          <w:bCs/>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项目可行研究报告批复</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附件3  项目用地预审与选址意见书</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附件4  项目用地规划指标</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附件</w:t>
      </w:r>
      <w:r>
        <w:rPr>
          <w:rFonts w:hint="eastAsia"/>
          <w:bCs/>
          <w:color w:val="000000" w:themeColor="text1"/>
          <w:sz w:val="24"/>
          <w14:textFill>
            <w14:solidFill>
              <w14:schemeClr w14:val="tx1"/>
            </w14:solidFill>
          </w14:textFill>
        </w:rPr>
        <w:t>5</w:t>
      </w:r>
      <w:r>
        <w:rPr>
          <w:bCs/>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医疗机构执业许可证</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附件6  事业单位法人证书</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附件</w:t>
      </w:r>
      <w:r>
        <w:rPr>
          <w:rFonts w:hint="eastAsia"/>
          <w:bCs/>
          <w:color w:val="000000" w:themeColor="text1"/>
          <w:sz w:val="24"/>
          <w14:textFill>
            <w14:solidFill>
              <w14:schemeClr w14:val="tx1"/>
            </w14:solidFill>
          </w14:textFill>
        </w:rPr>
        <w:t>7  法人身份证明</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附件</w:t>
      </w:r>
      <w:r>
        <w:rPr>
          <w:rFonts w:hint="eastAsia"/>
          <w:bCs/>
          <w:color w:val="000000" w:themeColor="text1"/>
          <w:sz w:val="24"/>
          <w14:textFill>
            <w14:solidFill>
              <w14:schemeClr w14:val="tx1"/>
            </w14:solidFill>
          </w14:textFill>
        </w:rPr>
        <w:t>8</w:t>
      </w:r>
      <w:r>
        <w:rPr>
          <w:bCs/>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危废处置合同</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附件9  监测报告</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附件10  医院原环评批复</w:t>
      </w:r>
    </w:p>
    <w:p>
      <w:pPr>
        <w:pStyle w:val="22"/>
        <w:ind w:firstLine="480"/>
        <w:rPr>
          <w:color w:val="000000" w:themeColor="text1"/>
          <w14:textFill>
            <w14:solidFill>
              <w14:schemeClr w14:val="tx1"/>
            </w14:solidFill>
          </w14:textFill>
        </w:rPr>
        <w:sectPr>
          <w:headerReference r:id="rId5" w:type="default"/>
          <w:pgSz w:w="11906" w:h="16838"/>
          <w:pgMar w:top="1440" w:right="1800" w:bottom="1440" w:left="1800" w:header="851" w:footer="1077" w:gutter="0"/>
          <w:pgNumType w:start="3"/>
          <w:cols w:space="720" w:num="1"/>
          <w:docGrid w:linePitch="312" w:charSpace="0"/>
        </w:sectPr>
      </w:pPr>
    </w:p>
    <w:p>
      <w:pPr>
        <w:pStyle w:val="2"/>
        <w:rPr>
          <w:color w:val="000000" w:themeColor="text1"/>
          <w14:textFill>
            <w14:solidFill>
              <w14:schemeClr w14:val="tx1"/>
            </w14:solidFill>
          </w14:textFill>
        </w:rPr>
      </w:pPr>
      <w:bookmarkStart w:id="2" w:name="_Toc28732"/>
      <w:bookmarkStart w:id="3" w:name="_Toc5416"/>
      <w:bookmarkStart w:id="4" w:name="_Toc32453"/>
      <w:r>
        <w:rPr>
          <w:color w:val="000000" w:themeColor="text1"/>
          <w14:textFill>
            <w14:solidFill>
              <w14:schemeClr w14:val="tx1"/>
            </w14:solidFill>
          </w14:textFill>
        </w:rPr>
        <w:t>一、建设项目基本情况</w:t>
      </w:r>
      <w:bookmarkEnd w:id="2"/>
      <w:bookmarkEnd w:id="3"/>
    </w:p>
    <w:tbl>
      <w:tblPr>
        <w:tblStyle w:val="23"/>
        <w:tblW w:w="95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69"/>
        <w:gridCol w:w="2646"/>
        <w:gridCol w:w="2187"/>
        <w:gridCol w:w="30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9"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7855" w:type="dxa"/>
            <w:gridSpan w:val="3"/>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宣汉县第三人民医院迁建项目住院部外迁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9"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7855" w:type="dxa"/>
            <w:gridSpan w:val="3"/>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2020-511722-84-01-490883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9"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2646"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姚丕林</w:t>
            </w:r>
          </w:p>
        </w:tc>
        <w:tc>
          <w:tcPr>
            <w:tcW w:w="218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3022"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15883725366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9"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7855" w:type="dxa"/>
            <w:gridSpan w:val="3"/>
            <w:vAlign w:val="center"/>
          </w:tcPr>
          <w:p>
            <w:pPr>
              <w:adjustRightInd w:val="0"/>
              <w:snapToGrid w:val="0"/>
              <w:ind w:firstLine="240" w:firstLineChars="1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宣汉县</w:t>
            </w:r>
            <w:r>
              <w:rPr>
                <w:rFonts w:hint="eastAsia"/>
                <w:color w:val="000000" w:themeColor="text1"/>
                <w:sz w:val="24"/>
                <w:lang w:eastAsia="zh-CN"/>
                <w14:textFill>
                  <w14:solidFill>
                    <w14:schemeClr w14:val="tx1"/>
                  </w14:solidFill>
                </w14:textFill>
              </w:rPr>
              <w:t>蒲江</w:t>
            </w:r>
            <w:r>
              <w:rPr>
                <w:rFonts w:hint="eastAsia"/>
                <w:color w:val="000000" w:themeColor="text1"/>
                <w:sz w:val="24"/>
                <w14:textFill>
                  <w14:solidFill>
                    <w14:schemeClr w14:val="tx1"/>
                  </w14:solidFill>
                </w14:textFill>
              </w:rPr>
              <w:t>街道（巴人大道与长兴北路交汇处东北侧）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9"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7855" w:type="dxa"/>
            <w:gridSpan w:val="3"/>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经度107.714741°，纬度31.366632°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39" w:hRule="atLeast"/>
          <w:jc w:val="center"/>
        </w:trPr>
        <w:tc>
          <w:tcPr>
            <w:tcW w:w="1669"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国民经济行业类别</w:t>
            </w:r>
          </w:p>
        </w:tc>
        <w:tc>
          <w:tcPr>
            <w:tcW w:w="2646"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Q8411 综合医院</w:t>
            </w:r>
          </w:p>
        </w:tc>
        <w:tc>
          <w:tcPr>
            <w:tcW w:w="2187" w:type="dxa"/>
            <w:vAlign w:val="center"/>
          </w:tcPr>
          <w:p>
            <w:pPr>
              <w:adjustRightInd w:val="0"/>
              <w:snapToGrid w:val="0"/>
              <w:jc w:val="center"/>
              <w:rPr>
                <w:color w:val="000000" w:themeColor="text1"/>
                <w:sz w:val="24"/>
                <w14:textFill>
                  <w14:solidFill>
                    <w14:schemeClr w14:val="tx1"/>
                  </w14:solidFill>
                </w14:textFill>
              </w:rPr>
            </w:pPr>
            <w:bookmarkStart w:id="5" w:name="_Hlk49843745"/>
            <w:r>
              <w:rPr>
                <w:color w:val="000000" w:themeColor="text1"/>
                <w:sz w:val="24"/>
                <w14:textFill>
                  <w14:solidFill>
                    <w14:schemeClr w14:val="tx1"/>
                  </w14:solidFill>
                </w14:textFill>
              </w:rPr>
              <w:t>建设项目行业类别</w:t>
            </w:r>
            <w:bookmarkEnd w:id="5"/>
          </w:p>
        </w:tc>
        <w:tc>
          <w:tcPr>
            <w:tcW w:w="3022" w:type="dxa"/>
            <w:vAlign w:val="center"/>
          </w:tcPr>
          <w:p>
            <w:pPr>
              <w:adjustRightInd w:val="0"/>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四十九、卫生-108医院-其他（住院床位20张以下的除 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69"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2646" w:type="dxa"/>
            <w:vAlign w:val="center"/>
          </w:tcPr>
          <w:p>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新建（迁建）</w:t>
            </w:r>
          </w:p>
          <w:p>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改建</w:t>
            </w:r>
          </w:p>
          <w:p>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扩建</w:t>
            </w:r>
          </w:p>
          <w:p>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技术改造</w:t>
            </w:r>
          </w:p>
        </w:tc>
        <w:tc>
          <w:tcPr>
            <w:tcW w:w="218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3022" w:type="dxa"/>
            <w:vAlign w:val="center"/>
          </w:tcPr>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☑首次申报项目</w:t>
            </w:r>
          </w:p>
          <w:p>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不予批准后再次申报项目</w:t>
            </w:r>
          </w:p>
          <w:p>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超五年重新审核项目</w:t>
            </w:r>
          </w:p>
          <w:p>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69"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项目审批（核准/备案）部门（选填）</w:t>
            </w:r>
          </w:p>
        </w:tc>
        <w:tc>
          <w:tcPr>
            <w:tcW w:w="2646"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宣汉县发展和改革局</w:t>
            </w:r>
          </w:p>
        </w:tc>
        <w:tc>
          <w:tcPr>
            <w:tcW w:w="2187"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项目审批（核准/</w:t>
            </w:r>
          </w:p>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备案）文号（选填）</w:t>
            </w:r>
          </w:p>
        </w:tc>
        <w:tc>
          <w:tcPr>
            <w:tcW w:w="3022"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宣发改审〔2020〕149号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3" w:hRule="atLeast"/>
          <w:jc w:val="center"/>
        </w:trPr>
        <w:tc>
          <w:tcPr>
            <w:tcW w:w="1669"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2646"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7930</w:t>
            </w:r>
          </w:p>
        </w:tc>
        <w:tc>
          <w:tcPr>
            <w:tcW w:w="2187"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3022" w:type="dxa"/>
            <w:vAlign w:val="center"/>
          </w:tcPr>
          <w:p>
            <w:pPr>
              <w:adjustRightInd w:val="0"/>
              <w:snapToGrid w:val="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190.0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0" w:hRule="atLeast"/>
          <w:jc w:val="center"/>
        </w:trPr>
        <w:tc>
          <w:tcPr>
            <w:tcW w:w="1669"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2646" w:type="dxa"/>
            <w:vAlign w:val="center"/>
          </w:tcPr>
          <w:p>
            <w:pPr>
              <w:adjustRightInd w:val="0"/>
              <w:snapToGrid w:val="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2.40</w:t>
            </w:r>
          </w:p>
        </w:tc>
        <w:tc>
          <w:tcPr>
            <w:tcW w:w="2187"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3022"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12</w:t>
            </w:r>
            <w:r>
              <w:rPr>
                <w:color w:val="000000" w:themeColor="text1"/>
                <w:sz w:val="24"/>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9" w:hRule="atLeast"/>
          <w:jc w:val="center"/>
        </w:trPr>
        <w:tc>
          <w:tcPr>
            <w:tcW w:w="1669"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2646" w:type="dxa"/>
            <w:vAlign w:val="center"/>
          </w:tcPr>
          <w:p>
            <w:pPr>
              <w:adjustRightInd w:val="0"/>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否</w:t>
            </w:r>
          </w:p>
          <w:p>
            <w:pPr>
              <w:adjustRightInd w:val="0"/>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是：</w:t>
            </w:r>
            <w:r>
              <w:rPr>
                <w:rFonts w:hint="eastAsia"/>
                <w:color w:val="000000" w:themeColor="text1"/>
                <w:sz w:val="24"/>
                <w:u w:val="single"/>
                <w14:textFill>
                  <w14:solidFill>
                    <w14:schemeClr w14:val="tx1"/>
                  </w14:solidFill>
                </w14:textFill>
              </w:rPr>
              <w:t xml:space="preserve">               </w:t>
            </w:r>
          </w:p>
        </w:tc>
        <w:tc>
          <w:tcPr>
            <w:tcW w:w="2187"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用地面积（m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3022"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6747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669"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7855" w:type="dxa"/>
            <w:gridSpan w:val="3"/>
            <w:vAlign w:val="center"/>
          </w:tcPr>
          <w:p>
            <w:pPr>
              <w:numPr>
                <w:ilvl w:val="0"/>
                <w:numId w:val="3"/>
              </w:num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专项评价设置原则表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3240"/>
              <w:gridCol w:w="2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6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专项评价的类别</w:t>
                  </w:r>
                </w:p>
              </w:tc>
              <w:tc>
                <w:tcPr>
                  <w:tcW w:w="324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设置原则</w:t>
                  </w:r>
                </w:p>
              </w:tc>
              <w:tc>
                <w:tcPr>
                  <w:tcW w:w="2817" w:type="dxa"/>
                  <w:vAlign w:val="center"/>
                </w:tcPr>
                <w:p>
                  <w:pPr>
                    <w:adjustRightInd w:val="0"/>
                    <w:snapToGrid w:val="0"/>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本项目专项评价设置情况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26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w:t>
                  </w:r>
                </w:p>
              </w:tc>
              <w:tc>
                <w:tcPr>
                  <w:tcW w:w="324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排放废气含有毒有害污染物</w:t>
                  </w:r>
                  <w:r>
                    <w:rPr>
                      <w:color w:val="000000" w:themeColor="text1"/>
                      <w:szCs w:val="21"/>
                      <w:vertAlign w:val="superscript"/>
                      <w14:textFill>
                        <w14:solidFill>
                          <w14:schemeClr w14:val="tx1"/>
                        </w14:solidFill>
                      </w14:textFill>
                    </w:rPr>
                    <w:t>1</w:t>
                  </w:r>
                  <w:r>
                    <w:rPr>
                      <w:color w:val="000000" w:themeColor="text1"/>
                      <w:szCs w:val="21"/>
                      <w14:textFill>
                        <w14:solidFill>
                          <w14:schemeClr w14:val="tx1"/>
                        </w14:solidFill>
                      </w14:textFill>
                    </w:rPr>
                    <w:t>、二</w:t>
                  </w:r>
                  <w:r>
                    <w:rPr>
                      <w:rFonts w:hint="eastAsia"/>
                      <w:color w:val="000000" w:themeColor="text1"/>
                      <w:szCs w:val="21"/>
                      <w14:textFill>
                        <w14:solidFill>
                          <w14:schemeClr w14:val="tx1"/>
                        </w14:solidFill>
                      </w14:textFill>
                    </w:rPr>
                    <w:t>噁</w:t>
                  </w:r>
                  <w:r>
                    <w:rPr>
                      <w:color w:val="000000" w:themeColor="text1"/>
                      <w:szCs w:val="21"/>
                      <w14:textFill>
                        <w14:solidFill>
                          <w14:schemeClr w14:val="tx1"/>
                        </w14:solidFill>
                      </w14:textFill>
                    </w:rPr>
                    <w:t>英、苯并[a]芘、氰化物、氯气且厂界外500米范围内有环境空气保护目标</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的建设项目</w:t>
                  </w:r>
                </w:p>
              </w:tc>
              <w:tc>
                <w:tcPr>
                  <w:tcW w:w="2817"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本项目排放废气为医院产生的浊气，不涉及前述情况，不设置大气专项评价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26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w:t>
                  </w:r>
                </w:p>
              </w:tc>
              <w:tc>
                <w:tcPr>
                  <w:tcW w:w="324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新增工业废水直排建设项目</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槽罐车外送污水处理厂的除外</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；新增废水直排的污水集中处理厂</w:t>
                  </w:r>
                </w:p>
              </w:tc>
              <w:tc>
                <w:tcPr>
                  <w:tcW w:w="2817"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本项目为医院住院部建设，不涉及工业废水直排，不</w:t>
                  </w:r>
                  <w:r>
                    <w:rPr>
                      <w:color w:val="000000" w:themeColor="text1"/>
                      <w:szCs w:val="21"/>
                      <w14:textFill>
                        <w14:solidFill>
                          <w14:schemeClr w14:val="tx1"/>
                        </w14:solidFill>
                      </w14:textFill>
                    </w:rPr>
                    <w:t>设置地表水专项评价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26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w:t>
                  </w:r>
                </w:p>
              </w:tc>
              <w:tc>
                <w:tcPr>
                  <w:tcW w:w="324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有毒有害和易燃易爆危险物质存储量超过临界量</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的建设项目</w:t>
                  </w:r>
                </w:p>
              </w:tc>
              <w:tc>
                <w:tcPr>
                  <w:tcW w:w="281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本项目不涉及前述情况，</w:t>
                  </w:r>
                  <w:r>
                    <w:rPr>
                      <w:rFonts w:hint="eastAsia"/>
                      <w:color w:val="000000" w:themeColor="text1"/>
                      <w:szCs w:val="21"/>
                      <w14:textFill>
                        <w14:solidFill>
                          <w14:schemeClr w14:val="tx1"/>
                        </w14:solidFill>
                      </w14:textFill>
                    </w:rPr>
                    <w:t>不</w:t>
                  </w:r>
                  <w:r>
                    <w:rPr>
                      <w:color w:val="000000" w:themeColor="text1"/>
                      <w:szCs w:val="21"/>
                      <w14:textFill>
                        <w14:solidFill>
                          <w14:schemeClr w14:val="tx1"/>
                        </w14:solidFill>
                      </w14:textFill>
                    </w:rPr>
                    <w:t>设置环境风险专项评价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6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w:t>
                  </w:r>
                </w:p>
              </w:tc>
              <w:tc>
                <w:tcPr>
                  <w:tcW w:w="324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取水口下游500米范围内有重要水生生物的自然产卵场、索饵场、越冬场和洄游通道的新增河道取水的污染类建设项目</w:t>
                  </w:r>
                </w:p>
              </w:tc>
              <w:tc>
                <w:tcPr>
                  <w:tcW w:w="281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本项目供水全部来源于</w:t>
                  </w:r>
                  <w:r>
                    <w:rPr>
                      <w:rFonts w:hint="eastAsia"/>
                      <w:color w:val="000000" w:themeColor="text1"/>
                      <w:szCs w:val="21"/>
                      <w14:textFill>
                        <w14:solidFill>
                          <w14:schemeClr w14:val="tx1"/>
                        </w14:solidFill>
                      </w14:textFill>
                    </w:rPr>
                    <w:t>自来水，</w:t>
                  </w:r>
                  <w:r>
                    <w:rPr>
                      <w:color w:val="000000" w:themeColor="text1"/>
                      <w:szCs w:val="21"/>
                      <w14:textFill>
                        <w14:solidFill>
                          <w14:schemeClr w14:val="tx1"/>
                        </w14:solidFill>
                      </w14:textFill>
                    </w:rPr>
                    <w:t>不涉及河道取水，不设置生态专项评价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6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海洋</w:t>
                  </w:r>
                </w:p>
              </w:tc>
              <w:tc>
                <w:tcPr>
                  <w:tcW w:w="324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直接向海排放污染物的海洋工程建设项目</w:t>
                  </w:r>
                </w:p>
              </w:tc>
              <w:tc>
                <w:tcPr>
                  <w:tcW w:w="281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本项目不涉及向海洋排放污染物，不设置海洋专项评价</w:t>
                  </w:r>
                </w:p>
              </w:tc>
            </w:tr>
          </w:tbl>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注：1.废气中有毒有害污染物指纳入《有毒有害大气污染物名录》的污染物（不包括无排放标准的污染物）。</w:t>
            </w:r>
          </w:p>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2.环境空气保护目标指自然保护区、风景名胜区、居住区、文化区和农村地区中人群较集中的区域。</w:t>
            </w:r>
          </w:p>
          <w:p>
            <w:pPr>
              <w:adjustRightInd w:val="0"/>
              <w:snapToGrid w:val="0"/>
              <w:spacing w:line="360" w:lineRule="auto"/>
              <w:ind w:firstLine="420" w:firstLineChars="200"/>
              <w:rPr>
                <w:b/>
                <w:bCs/>
                <w:color w:val="000000" w:themeColor="text1"/>
                <w:kern w:val="0"/>
                <w:sz w:val="24"/>
                <w14:textFill>
                  <w14:solidFill>
                    <w14:schemeClr w14:val="tx1"/>
                  </w14:solidFill>
                </w14:textFill>
              </w:rPr>
            </w:pPr>
            <w:r>
              <w:rPr>
                <w:color w:val="000000" w:themeColor="text1"/>
                <w:szCs w:val="21"/>
                <w14:textFill>
                  <w14:solidFill>
                    <w14:schemeClr w14:val="tx1"/>
                  </w14:solidFill>
                </w14:textFill>
              </w:rPr>
              <w:t>3.临界量及其计算方法可参考《建设项目环境风险评价技术导则》（HJ 169）附录B、附录C。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669"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7855" w:type="dxa"/>
            <w:gridSpan w:val="3"/>
            <w:vAlign w:val="center"/>
          </w:tcPr>
          <w:p>
            <w:pPr>
              <w:ind w:firstLine="480" w:firstLineChars="200"/>
              <w:jc w:val="center"/>
              <w:rPr>
                <w:color w:val="000000" w:themeColor="text1"/>
                <w:lang w:bidi="ar"/>
                <w14:textFill>
                  <w14:solidFill>
                    <w14:schemeClr w14:val="tx1"/>
                  </w14:solidFill>
                </w14:textFill>
              </w:rPr>
            </w:pPr>
            <w:r>
              <w:rPr>
                <w:rFonts w:hint="eastAsia"/>
                <w:color w:val="000000" w:themeColor="text1"/>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669" w:type="dxa"/>
            <w:vAlign w:val="center"/>
          </w:tcPr>
          <w:p>
            <w:pPr>
              <w:pStyle w:val="6"/>
              <w:spacing w:line="240" w:lineRule="auto"/>
              <w:jc w:val="center"/>
              <w:rPr>
                <w:color w:val="000000" w:themeColor="text1"/>
                <w:sz w:val="24"/>
                <w:szCs w:val="24"/>
                <w:lang w:bidi="ar"/>
                <w14:textFill>
                  <w14:solidFill>
                    <w14:schemeClr w14:val="tx1"/>
                  </w14:solidFill>
                </w14:textFill>
              </w:rPr>
            </w:pPr>
            <w:r>
              <w:rPr>
                <w:rFonts w:hint="eastAsia"/>
                <w:color w:val="000000" w:themeColor="text1"/>
                <w:kern w:val="2"/>
                <w:sz w:val="24"/>
                <w:szCs w:val="24"/>
                <w14:textFill>
                  <w14:solidFill>
                    <w14:schemeClr w14:val="tx1"/>
                  </w14:solidFill>
                </w14:textFill>
              </w:rPr>
              <w:t>规划环境影响评价情况</w:t>
            </w:r>
          </w:p>
        </w:tc>
        <w:tc>
          <w:tcPr>
            <w:tcW w:w="7855" w:type="dxa"/>
            <w:gridSpan w:val="3"/>
            <w:vAlign w:val="center"/>
          </w:tcPr>
          <w:p>
            <w:pPr>
              <w:ind w:firstLine="480" w:firstLineChars="200"/>
              <w:jc w:val="center"/>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69"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规划及规划环境影响评价符合性分析</w:t>
            </w:r>
          </w:p>
        </w:tc>
        <w:tc>
          <w:tcPr>
            <w:tcW w:w="7855" w:type="dxa"/>
            <w:gridSpan w:val="3"/>
            <w:vAlign w:val="center"/>
          </w:tcPr>
          <w:p>
            <w:pPr>
              <w:autoSpaceDE w:val="0"/>
              <w:autoSpaceDN w:val="0"/>
              <w:adjustRightInd w:val="0"/>
              <w:snapToGrid w:val="0"/>
              <w:spacing w:line="360" w:lineRule="auto"/>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与当地规划符合性分析</w:t>
            </w:r>
          </w:p>
          <w:p>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经过宣汉县的不断发展，项目周边已经建成较为成熟的商住区，根据《宣汉县自然资源局关于宣汉县第三人民医院住院部外迁项目用地规划条件指标》（宣自然资规</w:t>
            </w:r>
            <w:r>
              <w:rPr>
                <w:rFonts w:hint="eastAsia" w:ascii="宋体" w:hAnsi="宋体" w:cs="宋体"/>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2021</w:t>
            </w:r>
            <w:r>
              <w:rPr>
                <w:rFonts w:hint="eastAsia" w:ascii="宋体" w:hAnsi="宋体" w:cs="宋体"/>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58号）文件（附件4），本项目用地性质为0806（医疗卫生用地），因此，项目建设符合宣汉县城市总体规划的要求。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69"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其他符合性分析</w:t>
            </w:r>
          </w:p>
        </w:tc>
        <w:tc>
          <w:tcPr>
            <w:tcW w:w="7855" w:type="dxa"/>
            <w:gridSpan w:val="3"/>
            <w:vAlign w:val="center"/>
          </w:tcPr>
          <w:p>
            <w:pPr>
              <w:pStyle w:val="21"/>
              <w:adjustRightInd w:val="0"/>
              <w:spacing w:before="0" w:after="0" w:line="360" w:lineRule="auto"/>
              <w:ind w:right="0" w:firstLine="0" w:firstLineChars="0"/>
              <w:rPr>
                <w:b/>
                <w:bCs/>
                <w:color w:val="000000" w:themeColor="text1"/>
                <w:sz w:val="24"/>
                <w:szCs w:val="24"/>
                <w:lang w:bidi="ar"/>
                <w14:textFill>
                  <w14:solidFill>
                    <w14:schemeClr w14:val="tx1"/>
                  </w14:solidFill>
                </w14:textFill>
              </w:rPr>
            </w:pPr>
            <w:r>
              <w:rPr>
                <w:b/>
                <w:bCs/>
                <w:color w:val="000000" w:themeColor="text1"/>
                <w:sz w:val="24"/>
                <w:szCs w:val="24"/>
                <w:lang w:bidi="ar"/>
                <w14:textFill>
                  <w14:solidFill>
                    <w14:schemeClr w14:val="tx1"/>
                  </w14:solidFill>
                </w14:textFill>
              </w:rPr>
              <w:t>1、与产业政策符合性分析</w:t>
            </w:r>
          </w:p>
          <w:p>
            <w:pPr>
              <w:pStyle w:val="21"/>
              <w:adjustRightInd w:val="0"/>
              <w:spacing w:before="0" w:after="0" w:line="360" w:lineRule="auto"/>
              <w:ind w:right="0" w:firstLine="480" w:firstLineChars="200"/>
              <w:rPr>
                <w:color w:val="000000" w:themeColor="text1"/>
                <w:sz w:val="24"/>
                <w:szCs w:val="24"/>
                <w:lang w:bidi="ar"/>
                <w14:textFill>
                  <w14:solidFill>
                    <w14:schemeClr w14:val="tx1"/>
                  </w14:solidFill>
                </w14:textFill>
              </w:rPr>
            </w:pPr>
            <w:r>
              <w:rPr>
                <w:color w:val="000000" w:themeColor="text1"/>
                <w:sz w:val="24"/>
                <w:szCs w:val="24"/>
                <w:lang w:bidi="ar"/>
                <w14:textFill>
                  <w14:solidFill>
                    <w14:schemeClr w14:val="tx1"/>
                  </w14:solidFill>
                </w14:textFill>
              </w:rPr>
              <w:t>根据《国民经济行业分类与代码》（GB/T4754-2017）及其修改单，本项目</w:t>
            </w:r>
            <w:r>
              <w:rPr>
                <w:rFonts w:hint="eastAsia"/>
                <w:color w:val="000000" w:themeColor="text1"/>
                <w:sz w:val="24"/>
                <w:szCs w:val="24"/>
                <w:lang w:bidi="ar"/>
                <w14:textFill>
                  <w14:solidFill>
                    <w14:schemeClr w14:val="tx1"/>
                  </w14:solidFill>
                </w14:textFill>
              </w:rPr>
              <w:t>属于Q8411 综合医院</w:t>
            </w:r>
            <w:r>
              <w:rPr>
                <w:color w:val="000000" w:themeColor="text1"/>
                <w:sz w:val="24"/>
                <w:szCs w:val="24"/>
                <w:lang w:bidi="ar"/>
                <w14:textFill>
                  <w14:solidFill>
                    <w14:schemeClr w14:val="tx1"/>
                  </w14:solidFill>
                </w14:textFill>
              </w:rPr>
              <w:t>。根据《产业结构调整指导目录（2019年本）》，</w:t>
            </w:r>
            <w:r>
              <w:rPr>
                <w:rFonts w:hint="eastAsia"/>
                <w:color w:val="000000" w:themeColor="text1"/>
                <w:sz w:val="24"/>
                <w:szCs w:val="24"/>
                <w:lang w:bidi="ar"/>
                <w14:textFill>
                  <w14:solidFill>
                    <w14:schemeClr w14:val="tx1"/>
                  </w14:solidFill>
                </w14:textFill>
              </w:rPr>
              <w:t>本项目属于第一类鼓励类中“三十七、卫生健康”中“5、医疗卫生服务设施建设”，是国家鼓励发展行业。</w:t>
            </w:r>
          </w:p>
          <w:p>
            <w:pPr>
              <w:pStyle w:val="21"/>
              <w:adjustRightInd w:val="0"/>
              <w:spacing w:before="0" w:after="0" w:line="360" w:lineRule="auto"/>
              <w:ind w:right="0" w:firstLine="480" w:firstLineChars="200"/>
              <w:rPr>
                <w:color w:val="000000" w:themeColor="text1"/>
                <w:sz w:val="24"/>
                <w:szCs w:val="24"/>
                <w:lang w:bidi="ar"/>
                <w14:textFill>
                  <w14:solidFill>
                    <w14:schemeClr w14:val="tx1"/>
                  </w14:solidFill>
                </w14:textFill>
              </w:rPr>
            </w:pPr>
            <w:r>
              <w:rPr>
                <w:rFonts w:hint="eastAsia"/>
                <w:color w:val="000000" w:themeColor="text1"/>
                <w:sz w:val="24"/>
                <w:szCs w:val="24"/>
                <w:lang w:bidi="ar"/>
                <w14:textFill>
                  <w14:solidFill>
                    <w14:schemeClr w14:val="tx1"/>
                  </w14:solidFill>
                </w14:textFill>
              </w:rPr>
              <w:t>建设单位于2020年3月20日延续取得了达州市卫生健康委员会出具的《医疗机构执业许可证》（登记号：513030442158510151）（见附件5）。</w:t>
            </w:r>
          </w:p>
          <w:p>
            <w:pPr>
              <w:pStyle w:val="21"/>
              <w:adjustRightInd w:val="0"/>
              <w:spacing w:before="0" w:after="0" w:line="360" w:lineRule="auto"/>
              <w:ind w:right="0" w:firstLine="480" w:firstLineChars="200"/>
              <w:rPr>
                <w:color w:val="000000" w:themeColor="text1"/>
                <w:sz w:val="24"/>
                <w:szCs w:val="24"/>
                <w:lang w:bidi="ar"/>
                <w14:textFill>
                  <w14:solidFill>
                    <w14:schemeClr w14:val="tx1"/>
                  </w14:solidFill>
                </w14:textFill>
              </w:rPr>
            </w:pPr>
            <w:r>
              <w:rPr>
                <w:rFonts w:hint="eastAsia"/>
                <w:color w:val="000000" w:themeColor="text1"/>
                <w:sz w:val="24"/>
                <w:szCs w:val="24"/>
                <w:lang w:bidi="ar"/>
                <w14:textFill>
                  <w14:solidFill>
                    <w14:schemeClr w14:val="tx1"/>
                  </w14:solidFill>
                </w14:textFill>
              </w:rPr>
              <w:t>因此，本项目符合国家相关产业政策。</w:t>
            </w:r>
          </w:p>
          <w:p>
            <w:pPr>
              <w:pStyle w:val="21"/>
              <w:numPr>
                <w:ilvl w:val="0"/>
                <w:numId w:val="4"/>
              </w:numPr>
              <w:adjustRightInd w:val="0"/>
              <w:spacing w:before="0" w:after="0" w:line="360" w:lineRule="auto"/>
              <w:ind w:right="0" w:firstLine="0" w:firstLineChars="0"/>
              <w:rPr>
                <w:b/>
                <w:bCs/>
                <w:color w:val="000000" w:themeColor="text1"/>
                <w:sz w:val="24"/>
                <w:szCs w:val="24"/>
                <w:lang w:bidi="ar"/>
                <w14:textFill>
                  <w14:solidFill>
                    <w14:schemeClr w14:val="tx1"/>
                  </w14:solidFill>
                </w14:textFill>
              </w:rPr>
            </w:pPr>
            <w:r>
              <w:rPr>
                <w:rFonts w:hint="eastAsia"/>
                <w:b/>
                <w:bCs/>
                <w:color w:val="000000" w:themeColor="text1"/>
                <w:sz w:val="24"/>
                <w:szCs w:val="24"/>
                <w:lang w:bidi="ar"/>
                <w14:textFill>
                  <w14:solidFill>
                    <w14:schemeClr w14:val="tx1"/>
                  </w14:solidFill>
                </w14:textFill>
              </w:rPr>
              <w:t>与《四川省长江经济带发展负面清单实施细则（试行）》（川长江办</w:t>
            </w:r>
            <w:r>
              <w:rPr>
                <w:rFonts w:hint="eastAsia" w:ascii="宋体" w:hAnsi="宋体" w:cs="宋体"/>
                <w:b/>
                <w:bCs/>
                <w:color w:val="000000" w:themeColor="text1"/>
                <w:sz w:val="24"/>
                <w:szCs w:val="24"/>
                <w:lang w:bidi="ar"/>
                <w14:textFill>
                  <w14:solidFill>
                    <w14:schemeClr w14:val="tx1"/>
                  </w14:solidFill>
                </w14:textFill>
              </w:rPr>
              <w:t>〔</w:t>
            </w:r>
            <w:r>
              <w:rPr>
                <w:rFonts w:hint="eastAsia"/>
                <w:b/>
                <w:bCs/>
                <w:color w:val="000000" w:themeColor="text1"/>
                <w:sz w:val="24"/>
                <w:szCs w:val="24"/>
                <w:lang w:bidi="ar"/>
                <w14:textFill>
                  <w14:solidFill>
                    <w14:schemeClr w14:val="tx1"/>
                  </w14:solidFill>
                </w14:textFill>
              </w:rPr>
              <w:t>2019</w:t>
            </w:r>
            <w:r>
              <w:rPr>
                <w:rFonts w:hint="eastAsia" w:ascii="宋体" w:hAnsi="宋体" w:cs="宋体"/>
                <w:b/>
                <w:bCs/>
                <w:color w:val="000000" w:themeColor="text1"/>
                <w:sz w:val="24"/>
                <w:szCs w:val="24"/>
                <w:lang w:bidi="ar"/>
                <w14:textFill>
                  <w14:solidFill>
                    <w14:schemeClr w14:val="tx1"/>
                  </w14:solidFill>
                </w14:textFill>
              </w:rPr>
              <w:t>〕</w:t>
            </w:r>
            <w:r>
              <w:rPr>
                <w:rFonts w:hint="eastAsia"/>
                <w:b/>
                <w:bCs/>
                <w:color w:val="000000" w:themeColor="text1"/>
                <w:sz w:val="24"/>
                <w:szCs w:val="24"/>
                <w:lang w:bidi="ar"/>
                <w14:textFill>
                  <w14:solidFill>
                    <w14:schemeClr w14:val="tx1"/>
                  </w14:solidFill>
                </w14:textFill>
              </w:rPr>
              <w:t>8号）符合性分析</w:t>
            </w:r>
          </w:p>
          <w:p>
            <w:pPr>
              <w:numPr>
                <w:ilvl w:val="0"/>
                <w:numId w:val="3"/>
              </w:num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与《四川省长江经济带发展负面清单实施细则（试行）》符合性</w:t>
            </w:r>
          </w:p>
          <w:tbl>
            <w:tblPr>
              <w:tblStyle w:val="24"/>
              <w:tblW w:w="76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35"/>
              <w:gridCol w:w="1918"/>
              <w:gridCol w:w="7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tblHeader/>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相关要求</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本项目情况</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9"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第六条 禁止新建、改建和扩建未纳入《全国内河航道与港口布局规划》等全国港口规划，以及《四川省内河水运发展规划》、《泸州—宜宾—乐山港口群布局规划》等省级港口布局规划及港口总体规划的码头项目。</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本项目为医疗卫生服务设施建设，不属于禁止</w:t>
                  </w:r>
                  <w:r>
                    <w:rPr>
                      <w:color w:val="000000" w:themeColor="text1"/>
                      <w:szCs w:val="21"/>
                      <w14:textFill>
                        <w14:solidFill>
                          <w14:schemeClr w14:val="tx1"/>
                        </w14:solidFill>
                      </w14:textFill>
                    </w:rPr>
                    <w:t>的码头项目</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第七条 禁止新建、改建和扩建不符合《长江干线过江通道布局规划》的过长江通道项目（含桥梁、隧道）。</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本项目为医疗卫生服务设施建设，不属于禁止</w:t>
                  </w:r>
                  <w:r>
                    <w:rPr>
                      <w:color w:val="000000" w:themeColor="text1"/>
                      <w:szCs w:val="21"/>
                      <w14:textFill>
                        <w14:solidFill>
                          <w14:schemeClr w14:val="tx1"/>
                        </w14:solidFill>
                      </w14:textFill>
                    </w:rPr>
                    <w:t>的过长江通道项目</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第八条 禁止在自然保护区核心区、缓冲区的岸线和河段范围内投资建设旅游和生产经营项目。禁止在自然保护区内进行砍伐、放牧、狩猎、捕捞、采药、开垦、烧荒、开矿、采石、挖沙等活动。</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本项目为医疗卫生服务设施建设，位于宣汉县</w:t>
                  </w:r>
                  <w:r>
                    <w:rPr>
                      <w:rFonts w:hint="eastAsia"/>
                      <w:color w:val="000000" w:themeColor="text1"/>
                      <w:szCs w:val="21"/>
                      <w:lang w:eastAsia="zh-CN"/>
                      <w14:textFill>
                        <w14:solidFill>
                          <w14:schemeClr w14:val="tx1"/>
                        </w14:solidFill>
                      </w14:textFill>
                    </w:rPr>
                    <w:t>蒲江</w:t>
                  </w:r>
                  <w:r>
                    <w:rPr>
                      <w:rFonts w:hint="eastAsia"/>
                      <w:color w:val="000000" w:themeColor="text1"/>
                      <w:szCs w:val="21"/>
                      <w14:textFill>
                        <w14:solidFill>
                          <w14:schemeClr w14:val="tx1"/>
                        </w14:solidFill>
                      </w14:textFill>
                    </w:rPr>
                    <w:t>街道（巴人大道与长兴北路交汇处东北侧），不涉及自然保护区及禁建项目</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第九条 禁止违反风景名胜区规划，在风景名胜区内设立各类开发区；禁止在风景名胜区核心景区的岸线和河段范围内建设宾馆、招待所、培训中心、疗养院以及与风景名胜资源保护无关的其他建筑物。</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本项目位于宣汉县</w:t>
                  </w:r>
                  <w:r>
                    <w:rPr>
                      <w:rFonts w:hint="eastAsia"/>
                      <w:color w:val="000000" w:themeColor="text1"/>
                      <w:szCs w:val="21"/>
                      <w:lang w:eastAsia="zh-CN"/>
                      <w14:textFill>
                        <w14:solidFill>
                          <w14:schemeClr w14:val="tx1"/>
                        </w14:solidFill>
                      </w14:textFill>
                    </w:rPr>
                    <w:t>蒲江</w:t>
                  </w:r>
                  <w:r>
                    <w:rPr>
                      <w:rFonts w:hint="eastAsia"/>
                      <w:color w:val="000000" w:themeColor="text1"/>
                      <w:szCs w:val="21"/>
                      <w14:textFill>
                        <w14:solidFill>
                          <w14:schemeClr w14:val="tx1"/>
                        </w14:solidFill>
                      </w14:textFill>
                    </w:rPr>
                    <w:t>街道（巴人大道与长兴北路交汇处东北侧），不涉及风景名胜区</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5"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第十条 禁止在饮用水水源准保护区的岸线和河段范围内新建、扩建对水体污染严重的建设项目；改建建设项目不得增加排污量。禁止在饮用水水源准保护区的岸线和河段范围内设置化工原料、矿物油类及有毒有害矿产品的贮存场所，以及生活垃圾、工业固体废物和危险废物的堆放场所和转运站。</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本项目为医疗卫生服务设施建设，位于宣汉县</w:t>
                  </w:r>
                  <w:r>
                    <w:rPr>
                      <w:rFonts w:hint="eastAsia"/>
                      <w:color w:val="000000" w:themeColor="text1"/>
                      <w:szCs w:val="21"/>
                      <w:lang w:eastAsia="zh-CN"/>
                      <w14:textFill>
                        <w14:solidFill>
                          <w14:schemeClr w14:val="tx1"/>
                        </w14:solidFill>
                      </w14:textFill>
                    </w:rPr>
                    <w:t>蒲江</w:t>
                  </w:r>
                  <w:r>
                    <w:rPr>
                      <w:rFonts w:hint="eastAsia"/>
                      <w:color w:val="000000" w:themeColor="text1"/>
                      <w:szCs w:val="21"/>
                      <w14:textFill>
                        <w14:solidFill>
                          <w14:schemeClr w14:val="tx1"/>
                        </w14:solidFill>
                      </w14:textFill>
                    </w:rPr>
                    <w:t>街道（巴人大道与长兴北路交汇处东北侧），不涉及饮用水源保护区及禁建项目</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第十一条 在饮用水水源二级保护区的岸线和河段范围内，除应遵守准保护区规定外，禁止新建、改建、扩建排放污染物的建设项目；禁止从事经营性取土和采石（砂）等活动；禁止从事网箱养殖、施肥养鱼等污染饮用水水体的活动；禁止铺设输送污水、油类、有毒有害物品的管道。</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本项目为医疗卫生服务设施建设，位于宣汉县</w:t>
                  </w:r>
                  <w:r>
                    <w:rPr>
                      <w:rFonts w:hint="eastAsia"/>
                      <w:color w:val="000000" w:themeColor="text1"/>
                      <w:szCs w:val="21"/>
                      <w:lang w:eastAsia="zh-CN"/>
                      <w14:textFill>
                        <w14:solidFill>
                          <w14:schemeClr w14:val="tx1"/>
                        </w14:solidFill>
                      </w14:textFill>
                    </w:rPr>
                    <w:t>蒲江</w:t>
                  </w:r>
                  <w:r>
                    <w:rPr>
                      <w:rFonts w:hint="eastAsia"/>
                      <w:color w:val="000000" w:themeColor="text1"/>
                      <w:szCs w:val="21"/>
                      <w14:textFill>
                        <w14:solidFill>
                          <w14:schemeClr w14:val="tx1"/>
                        </w14:solidFill>
                      </w14:textFill>
                    </w:rPr>
                    <w:t>街道（巴人大道与长兴北路交汇处东北侧），不涉及饮用水源保护区及禁建项目</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第十二条 饮用水水源一级保护区的岸线和河段范围内，除应遵守准保护区和二级保护区规定外，禁止新建、改建、扩建与供（取）水设施和保护水源无关的项目，以及网箱养殖、旅游等可能污染饮用水水体的投资建设项目；禁止设置畜禽养殖场。</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本项目为医疗卫生服务设施建设，位于宣汉县</w:t>
                  </w:r>
                  <w:r>
                    <w:rPr>
                      <w:rFonts w:hint="eastAsia"/>
                      <w:color w:val="000000" w:themeColor="text1"/>
                      <w:szCs w:val="21"/>
                      <w:lang w:eastAsia="zh-CN"/>
                      <w14:textFill>
                        <w14:solidFill>
                          <w14:schemeClr w14:val="tx1"/>
                        </w14:solidFill>
                      </w14:textFill>
                    </w:rPr>
                    <w:t>蒲江</w:t>
                  </w:r>
                  <w:r>
                    <w:rPr>
                      <w:rFonts w:hint="eastAsia"/>
                      <w:color w:val="000000" w:themeColor="text1"/>
                      <w:szCs w:val="21"/>
                      <w14:textFill>
                        <w14:solidFill>
                          <w14:schemeClr w14:val="tx1"/>
                        </w14:solidFill>
                      </w14:textFill>
                    </w:rPr>
                    <w:t>街道（巴人大道与长兴北路交汇处东北侧），不涉及饮用水源保护区及禁建项目</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第十三条 禁止在水产种质资源保护区的岸线和河段范围内新建排污口。</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本项目位于宣汉县</w:t>
                  </w:r>
                  <w:r>
                    <w:rPr>
                      <w:rFonts w:hint="eastAsia"/>
                      <w:color w:val="000000" w:themeColor="text1"/>
                      <w:szCs w:val="21"/>
                      <w:lang w:eastAsia="zh-CN"/>
                      <w14:textFill>
                        <w14:solidFill>
                          <w14:schemeClr w14:val="tx1"/>
                        </w14:solidFill>
                      </w14:textFill>
                    </w:rPr>
                    <w:t>蒲江</w:t>
                  </w:r>
                  <w:r>
                    <w:rPr>
                      <w:rFonts w:hint="eastAsia"/>
                      <w:color w:val="000000" w:themeColor="text1"/>
                      <w:szCs w:val="21"/>
                      <w14:textFill>
                        <w14:solidFill>
                          <w14:schemeClr w14:val="tx1"/>
                        </w14:solidFill>
                      </w14:textFill>
                    </w:rPr>
                    <w:t>街道（巴人大道与长兴北路交汇处东北侧），不新建排污口</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第十四条 禁止在水产种质资源保护区岸线和河段范围内围湖造田、围湖造地、挖沙采石。</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本项目位于宣汉县</w:t>
                  </w:r>
                  <w:r>
                    <w:rPr>
                      <w:rFonts w:hint="eastAsia"/>
                      <w:color w:val="000000" w:themeColor="text1"/>
                      <w:szCs w:val="21"/>
                      <w:lang w:eastAsia="zh-CN"/>
                      <w14:textFill>
                        <w14:solidFill>
                          <w14:schemeClr w14:val="tx1"/>
                        </w14:solidFill>
                      </w14:textFill>
                    </w:rPr>
                    <w:t>蒲江</w:t>
                  </w:r>
                  <w:r>
                    <w:rPr>
                      <w:rFonts w:hint="eastAsia"/>
                      <w:color w:val="000000" w:themeColor="text1"/>
                      <w:szCs w:val="21"/>
                      <w14:textFill>
                        <w14:solidFill>
                          <w14:schemeClr w14:val="tx1"/>
                        </w14:solidFill>
                      </w14:textFill>
                    </w:rPr>
                    <w:t>街道（巴人大道与长兴北路交汇处东北侧），不涉及前述情况</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0"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第十五条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滥采滥捕野生动植物，引入外来物种，擅自放牧、捕捞、取土、取水、排污、放生，以及其他破坏湿地及其生态功能的活动。</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本项目为医疗卫生服务设施建设，位于宣汉县</w:t>
                  </w:r>
                  <w:r>
                    <w:rPr>
                      <w:rFonts w:hint="eastAsia"/>
                      <w:color w:val="000000" w:themeColor="text1"/>
                      <w:szCs w:val="21"/>
                      <w:lang w:eastAsia="zh-CN"/>
                      <w14:textFill>
                        <w14:solidFill>
                          <w14:schemeClr w14:val="tx1"/>
                        </w14:solidFill>
                      </w14:textFill>
                    </w:rPr>
                    <w:t>蒲江</w:t>
                  </w:r>
                  <w:r>
                    <w:rPr>
                      <w:rFonts w:hint="eastAsia"/>
                      <w:color w:val="000000" w:themeColor="text1"/>
                      <w:szCs w:val="21"/>
                      <w14:textFill>
                        <w14:solidFill>
                          <w14:schemeClr w14:val="tx1"/>
                        </w14:solidFill>
                      </w14:textFill>
                    </w:rPr>
                    <w:t>街道（巴人大道与长兴北路交汇处东北侧），不属于禁止建设区域及</w:t>
                  </w:r>
                  <w:r>
                    <w:rPr>
                      <w:color w:val="000000" w:themeColor="text1"/>
                      <w:szCs w:val="21"/>
                      <w14:textFill>
                        <w14:solidFill>
                          <w14:schemeClr w14:val="tx1"/>
                        </w14:solidFill>
                      </w14:textFill>
                    </w:rPr>
                    <w:t>项目</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0"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第十六条 禁止在《长江岸线保护和开发利用总体规划》划定的岸线保护区内投资建设除保障防洪安全、河势稳定、供水安全以及保护生态环境、已建重要枢纽工程以外的项目。（一）为保障防洪安全和河势稳定划定的岸线保护区，禁止建设可能影响防洪安全、河势稳定的建设项目。（二）为保障供水安全划定的岸线保护区，区内禁止新建、扩建与供水设施和保护水源无关的建设项目。（三）为保护生态环境划定的岸线保护区，湿地范围内的岸线保护区禁止建设破坏湿地及其生态功能的项目。（四）为保护重要枢纽工程划定的岸线保护区，区内禁止建设可能影响其安全与正常运行的项目。</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本项目为医疗卫生服务设施建设，位于宣汉县</w:t>
                  </w:r>
                  <w:r>
                    <w:rPr>
                      <w:rFonts w:hint="eastAsia"/>
                      <w:color w:val="000000" w:themeColor="text1"/>
                      <w:szCs w:val="21"/>
                      <w:lang w:eastAsia="zh-CN"/>
                      <w14:textFill>
                        <w14:solidFill>
                          <w14:schemeClr w14:val="tx1"/>
                        </w14:solidFill>
                      </w14:textFill>
                    </w:rPr>
                    <w:t>蒲江</w:t>
                  </w:r>
                  <w:r>
                    <w:rPr>
                      <w:rFonts w:hint="eastAsia"/>
                      <w:color w:val="000000" w:themeColor="text1"/>
                      <w:szCs w:val="21"/>
                      <w14:textFill>
                        <w14:solidFill>
                          <w14:schemeClr w14:val="tx1"/>
                        </w14:solidFill>
                      </w14:textFill>
                    </w:rPr>
                    <w:t>街道（巴人大道与长兴北路交汇处东北侧），不属于禁止建设区域及</w:t>
                  </w:r>
                  <w:r>
                    <w:rPr>
                      <w:color w:val="000000" w:themeColor="text1"/>
                      <w:szCs w:val="21"/>
                      <w14:textFill>
                        <w14:solidFill>
                          <w14:schemeClr w14:val="tx1"/>
                        </w14:solidFill>
                      </w14:textFill>
                    </w:rPr>
                    <w:t>项目</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9"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第十七条 禁止在《长江岸线保护和开发利用总体规划》划定的岸线保留区内投资建设除保障防洪安全、河势稳定、供水安全、航道稳定以及保护生态环境以外的项目。（一）规划期内，因防洪安全、河势稳定、供水安全、航道稳定及经济社会发展需要必须建设的防洪护岸、河道治理、取水、航道整治、公共管理、生态环境治理、国省重要基础设施等工程，须经充分论证并严格按照法律法规要求履行相关许可程序。（二）因暂不具备开发利用条件划定的岸线保留区，待河势趋于稳定，具备岸线开发利用条件后，或在不影响后续防洪治理、河道治理及航道整治的前提下，方可开发利用。（三）为满足生活生态岸线开发需要划定的岸线保留区，除建设生态公园、江滩风光带等项目外，不得建设其他生产设施。（四）规划期内暂无开发利用需求划定的岸线保留区，因经济社会发展确需开发利用的，经充分论证并按照法律法规要求履行相关手续后，可参照岸线开发利用区或控制利用区管理。</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本项目为医疗卫生服务设施建设，位于宣汉县</w:t>
                  </w:r>
                  <w:r>
                    <w:rPr>
                      <w:rFonts w:hint="eastAsia"/>
                      <w:color w:val="000000" w:themeColor="text1"/>
                      <w:szCs w:val="21"/>
                      <w:lang w:eastAsia="zh-CN"/>
                      <w14:textFill>
                        <w14:solidFill>
                          <w14:schemeClr w14:val="tx1"/>
                        </w14:solidFill>
                      </w14:textFill>
                    </w:rPr>
                    <w:t>蒲江</w:t>
                  </w:r>
                  <w:r>
                    <w:rPr>
                      <w:rFonts w:hint="eastAsia"/>
                      <w:color w:val="000000" w:themeColor="text1"/>
                      <w:szCs w:val="21"/>
                      <w14:textFill>
                        <w14:solidFill>
                          <w14:schemeClr w14:val="tx1"/>
                        </w14:solidFill>
                      </w14:textFill>
                    </w:rPr>
                    <w:t>街道（巴人大道与长兴北路交汇处东北侧），不属于禁止建设区域及</w:t>
                  </w:r>
                  <w:r>
                    <w:rPr>
                      <w:color w:val="000000" w:themeColor="text1"/>
                      <w:szCs w:val="21"/>
                      <w14:textFill>
                        <w14:solidFill>
                          <w14:schemeClr w14:val="tx1"/>
                        </w14:solidFill>
                      </w14:textFill>
                    </w:rPr>
                    <w:t>项目</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第十八条 禁止在《全国重要江河湖泊水功能区划》划定的河段保护区、保留区内投资建设不利于水资源及自然生态保护的项目。</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本项目为医疗卫生服务设施建设，位于宣汉县</w:t>
                  </w:r>
                  <w:r>
                    <w:rPr>
                      <w:rFonts w:hint="eastAsia"/>
                      <w:color w:val="000000" w:themeColor="text1"/>
                      <w:szCs w:val="21"/>
                      <w:lang w:eastAsia="zh-CN"/>
                      <w14:textFill>
                        <w14:solidFill>
                          <w14:schemeClr w14:val="tx1"/>
                        </w14:solidFill>
                      </w14:textFill>
                    </w:rPr>
                    <w:t>蒲江</w:t>
                  </w:r>
                  <w:r>
                    <w:rPr>
                      <w:rFonts w:hint="eastAsia"/>
                      <w:color w:val="000000" w:themeColor="text1"/>
                      <w:szCs w:val="21"/>
                      <w14:textFill>
                        <w14:solidFill>
                          <w14:schemeClr w14:val="tx1"/>
                        </w14:solidFill>
                      </w14:textFill>
                    </w:rPr>
                    <w:t>街道（巴人大道与长兴北路交汇处东北侧），不属于禁止建设区域及</w:t>
                  </w:r>
                  <w:r>
                    <w:rPr>
                      <w:color w:val="000000" w:themeColor="text1"/>
                      <w:szCs w:val="21"/>
                      <w14:textFill>
                        <w14:solidFill>
                          <w14:schemeClr w14:val="tx1"/>
                        </w14:solidFill>
                      </w14:textFill>
                    </w:rPr>
                    <w:t>项目</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第十九条 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严禁不符合主体功能定位的各类开发活动，严禁任意改变用途。</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本项目为医疗卫生服务设施建设，位于宣汉县</w:t>
                  </w:r>
                  <w:r>
                    <w:rPr>
                      <w:rFonts w:hint="eastAsia"/>
                      <w:color w:val="000000" w:themeColor="text1"/>
                      <w:szCs w:val="21"/>
                      <w:lang w:eastAsia="zh-CN"/>
                      <w14:textFill>
                        <w14:solidFill>
                          <w14:schemeClr w14:val="tx1"/>
                        </w14:solidFill>
                      </w14:textFill>
                    </w:rPr>
                    <w:t>蒲江</w:t>
                  </w:r>
                  <w:r>
                    <w:rPr>
                      <w:rFonts w:hint="eastAsia"/>
                      <w:color w:val="000000" w:themeColor="text1"/>
                      <w:szCs w:val="21"/>
                      <w14:textFill>
                        <w14:solidFill>
                          <w14:schemeClr w14:val="tx1"/>
                        </w14:solidFill>
                      </w14:textFill>
                    </w:rPr>
                    <w:t>街道（巴人大道与长兴北路交汇处东北侧），不涉及生态保护红线</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第二十条 禁止占用永久基本农田，国家重大战略资源勘查、生态保护修复和环境治理、重大基础设施、军事国防以及农牧民基本生产生活等必要的民生项目（包括深度贫困地区、集中连片特困地区、国家扶贫开发工作重点县省级以下基础设施、易地扶贫搬迁、民生发展等建设项目），选址确实难以避让永久基本农田的，按程序严格论证后依法依规报批。</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本项目为医疗卫生服务设施建设，用地性质为建设用地，不涉及永久基本农田</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第二十一条 禁止在长江干流和主要支流（包括：岷江干流、沱江干流、赤水河干流、嘉陵江干流、雅砻江干流）1公里〔指长江干支流岸线边界（即水利部门河道管理范围边界）向陆域纵深1公里〕范围内新建、扩建化工园区和化工项目。</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本项目为医疗卫生服务设施建设，位于宣汉县</w:t>
                  </w:r>
                  <w:r>
                    <w:rPr>
                      <w:rFonts w:hint="eastAsia"/>
                      <w:color w:val="000000" w:themeColor="text1"/>
                      <w:szCs w:val="21"/>
                      <w:lang w:eastAsia="zh-CN"/>
                      <w14:textFill>
                        <w14:solidFill>
                          <w14:schemeClr w14:val="tx1"/>
                        </w14:solidFill>
                      </w14:textFill>
                    </w:rPr>
                    <w:t>蒲江</w:t>
                  </w:r>
                  <w:r>
                    <w:rPr>
                      <w:rFonts w:hint="eastAsia"/>
                      <w:color w:val="000000" w:themeColor="text1"/>
                      <w:szCs w:val="21"/>
                      <w14:textFill>
                        <w14:solidFill>
                          <w14:schemeClr w14:val="tx1"/>
                        </w14:solidFill>
                      </w14:textFill>
                    </w:rPr>
                    <w:t>街道（巴人大道与长兴北路交汇处东北侧），不属于禁止建设区域及</w:t>
                  </w:r>
                  <w:r>
                    <w:rPr>
                      <w:color w:val="000000" w:themeColor="text1"/>
                      <w:szCs w:val="21"/>
                      <w14:textFill>
                        <w14:solidFill>
                          <w14:schemeClr w14:val="tx1"/>
                        </w14:solidFill>
                      </w14:textFill>
                    </w:rPr>
                    <w:t>项目</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0"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第二十二条 禁止在合规园区外新建、扩建钢铁、石化、化工、焦化、建材、有色等高污染项目。合规园区指列入《中国开发区审核公告目录（2018年版）》或是由省级人民政府批准设立的园区。高污染项目应严格按照《环境保护综合名录（2017年版）》</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高污染</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产品名录执行。</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本项目为医疗卫生服务设施建设，不属于高污染项目</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0"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第二十三条 禁止新建、扩建不符合国家石化、现代煤化工等产业布局规划（包括但不限于《石化产业规划布局方案（修订版）》《现代煤化工产业创新发展布局方案》）的项目。（一）严格控制新增炼油项目，未列入《石化产业规划布局方案（修订版）》的新增炼油产能一律不得建设。（二）新建煤制烯烃、煤制芳烃项目必须列入《现代煤化工产业创新发展布局方案》，必须符合《现代煤化工建设项目环境准入条件（试行）》要求。</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本项目为医疗卫生服务设施建设，不属于石化</w:t>
                  </w:r>
                  <w:r>
                    <w:rPr>
                      <w:color w:val="000000" w:themeColor="text1"/>
                      <w:szCs w:val="21"/>
                      <w14:textFill>
                        <w14:solidFill>
                          <w14:schemeClr w14:val="tx1"/>
                        </w14:solidFill>
                      </w14:textFill>
                    </w:rPr>
                    <w:t>项目</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9"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第二十四条 新建乙烯、对二甲苯（PX）、二苯基甲烷二异氰酸酯（MDI）项目由省政府投资主管部门按照国家批准的石化产业规划布局方案核准。未列入国家批准的相关规划的新建乙烯、对二甲苯（PX）、二苯基甲烷二异氰酸酯（MDI）项目，禁止建设。</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本项目为医疗卫生服务设施建设</w:t>
                  </w: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，不属于前述禁建项目</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9"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第二十五条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本项目为医疗卫生服务设施建设，属于鼓励类项</w:t>
                  </w:r>
                  <w:r>
                    <w:rPr>
                      <w:color w:val="000000" w:themeColor="text1"/>
                      <w:szCs w:val="21"/>
                      <w14:textFill>
                        <w14:solidFill>
                          <w14:schemeClr w14:val="tx1"/>
                        </w14:solidFill>
                      </w14:textFill>
                    </w:rPr>
                    <w:t>目</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第二十六条 禁止新建、扩建不符合国家产能置换要求的严重过剩产能行业的项目。对于不符合国家产能置换要求的严重过剩产能行业，不得以其他任何名义、任何方式备案新增产能项目。</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本项目为医疗卫生服务设施建设，不属于严重过剩产能行业</w:t>
                  </w:r>
                  <w:r>
                    <w:rPr>
                      <w:color w:val="000000" w:themeColor="text1"/>
                      <w:szCs w:val="21"/>
                      <w14:textFill>
                        <w14:solidFill>
                          <w14:schemeClr w14:val="tx1"/>
                        </w14:solidFill>
                      </w14:textFill>
                    </w:rPr>
                    <w:t>的项目</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第二十七条 禁止新建和改扩建后产能低于30万吨</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年的煤矿。</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本项目为医疗卫生服务设施建设，不属于煤矿</w:t>
                  </w:r>
                  <w:r>
                    <w:rPr>
                      <w:color w:val="000000" w:themeColor="text1"/>
                      <w:szCs w:val="21"/>
                      <w14:textFill>
                        <w14:solidFill>
                          <w14:schemeClr w14:val="tx1"/>
                        </w14:solidFill>
                      </w14:textFill>
                    </w:rPr>
                    <w:t>项目</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9" w:hRule="atLeast"/>
                <w:jc w:val="center"/>
              </w:trPr>
              <w:tc>
                <w:tcPr>
                  <w:tcW w:w="493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第二十八条 禁止建设以下燃油汽车投资项目（不在中国境内销售产品的投资项目除外）：（一）新建独立燃油汽车企业；（二）现有汽车企业跨乘用车、商用车类别建设燃油汽车生产能力；（三）外省现有燃油汽车企业整体搬迁至本省（列入国家级区域发展规划或不改变企业股权结构的项目除外）；（四）对行业管理部门特别公示的燃油汽车企业进行投资（企业原有股东投资或将该企业转为非独立法人的投资项目除外）。</w:t>
                  </w:r>
                </w:p>
              </w:tc>
              <w:tc>
                <w:tcPr>
                  <w:tcW w:w="191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本项目为医疗卫生服务设施建设，不属于燃油汽车投资</w:t>
                  </w:r>
                  <w:r>
                    <w:rPr>
                      <w:color w:val="000000" w:themeColor="text1"/>
                      <w:szCs w:val="21"/>
                      <w14:textFill>
                        <w14:solidFill>
                          <w14:schemeClr w14:val="tx1"/>
                        </w14:solidFill>
                      </w14:textFill>
                    </w:rPr>
                    <w:t>项目</w:t>
                  </w:r>
                </w:p>
              </w:tc>
              <w:tc>
                <w:tcPr>
                  <w:tcW w:w="7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bl>
          <w:p>
            <w:pPr>
              <w:widowControl/>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经对比分析可知，本项目不属于《四川省长江经济带发展负面清单实施细则（试行）》（川长江办〔2019〕8号）禁止建设项目，符合相关要求。</w:t>
            </w:r>
          </w:p>
          <w:p>
            <w:pPr>
              <w:pStyle w:val="21"/>
              <w:numPr>
                <w:ilvl w:val="0"/>
                <w:numId w:val="4"/>
              </w:numPr>
              <w:adjustRightInd w:val="0"/>
              <w:spacing w:before="0" w:after="0" w:line="360" w:lineRule="auto"/>
              <w:ind w:right="0" w:firstLine="0" w:firstLineChars="0"/>
              <w:rPr>
                <w:b/>
                <w:bCs/>
                <w:color w:val="000000" w:themeColor="text1"/>
                <w:sz w:val="24"/>
                <w:szCs w:val="24"/>
                <w:lang w:bidi="ar"/>
                <w14:textFill>
                  <w14:solidFill>
                    <w14:schemeClr w14:val="tx1"/>
                  </w14:solidFill>
                </w14:textFill>
              </w:rPr>
            </w:pPr>
            <w:r>
              <w:rPr>
                <w:b/>
                <w:bCs/>
                <w:color w:val="000000" w:themeColor="text1"/>
                <w:sz w:val="24"/>
                <w:szCs w:val="24"/>
                <w:lang w:bidi="ar"/>
                <w14:textFill>
                  <w14:solidFill>
                    <w14:schemeClr w14:val="tx1"/>
                  </w14:solidFill>
                </w14:textFill>
              </w:rPr>
              <w:t>与</w:t>
            </w:r>
            <w:r>
              <w:rPr>
                <w:rFonts w:hint="eastAsia"/>
                <w:b/>
                <w:bCs/>
                <w:color w:val="000000" w:themeColor="text1"/>
                <w:sz w:val="24"/>
                <w:szCs w:val="24"/>
                <w:lang w:bidi="ar"/>
                <w14:textFill>
                  <w14:solidFill>
                    <w14:schemeClr w14:val="tx1"/>
                  </w14:solidFill>
                </w14:textFill>
              </w:rPr>
              <w:t>“三线一单”</w:t>
            </w:r>
            <w:r>
              <w:rPr>
                <w:b/>
                <w:bCs/>
                <w:color w:val="000000" w:themeColor="text1"/>
                <w:sz w:val="24"/>
                <w:szCs w:val="24"/>
                <w:lang w:bidi="ar"/>
                <w14:textFill>
                  <w14:solidFill>
                    <w14:schemeClr w14:val="tx1"/>
                  </w14:solidFill>
                </w14:textFill>
              </w:rPr>
              <w:t>符合性</w:t>
            </w:r>
          </w:p>
          <w:p>
            <w:pPr>
              <w:widowControl/>
              <w:spacing w:line="360" w:lineRule="auto"/>
              <w:ind w:firstLine="480" w:firstLineChars="200"/>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环保部于2016年10月27日印发了《关于以改善环境质量为核心加强环境影响评价管理的通知》（环评〔2016〕150号），该通知明确要求切实加强环境影响评价管理，落实</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生态保护红线、环境质量底线、资源利用上线和环境准入负面清单</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约束，建立项目环评审批与规划环评、现有项目环境管理、区域环境质量联动机制，更好地发挥环评制度从源头防范环境污染和生态破坏的作用，加快推进改善环境质量。本项目与其符合性分析如下。</w:t>
            </w:r>
          </w:p>
          <w:p>
            <w:pPr>
              <w:widowControl/>
              <w:spacing w:line="360" w:lineRule="auto"/>
              <w:rPr>
                <w:b/>
                <w:bCs/>
                <w:color w:val="000000" w:themeColor="text1"/>
                <w:sz w:val="24"/>
                <w14:textFill>
                  <w14:solidFill>
                    <w14:schemeClr w14:val="tx1"/>
                  </w14:solidFill>
                </w14:textFill>
              </w:rPr>
            </w:pPr>
            <w:r>
              <w:rPr>
                <w:b/>
                <w:bCs/>
                <w:color w:val="000000" w:themeColor="text1"/>
                <w:kern w:val="0"/>
                <w:sz w:val="24"/>
                <w:lang w:bidi="ar"/>
                <w14:textFill>
                  <w14:solidFill>
                    <w14:schemeClr w14:val="tx1"/>
                  </w14:solidFill>
                </w14:textFill>
              </w:rPr>
              <w:t>（1）生态保护红线</w:t>
            </w:r>
          </w:p>
          <w:p>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的矿产开发项目的环评文件。需依法在重点生态功能区、生态环境敏感区和脆弱区等区域划定的严格管控边界，是国家和区域生态安全的底线，对于维护生态安全格局、保障生态服务功能、支撑经济社会可持续发展具有重要作用</w:t>
            </w:r>
            <w:r>
              <w:rPr>
                <w:rFonts w:hint="eastAsia"/>
                <w:color w:val="000000" w:themeColor="text1"/>
                <w:kern w:val="0"/>
                <w:sz w:val="24"/>
                <w:lang w:bidi="ar"/>
                <w14:textFill>
                  <w14:solidFill>
                    <w14:schemeClr w14:val="tx1"/>
                  </w14:solidFill>
                </w14:textFill>
              </w:rPr>
              <w:t>。</w:t>
            </w:r>
          </w:p>
          <w:p>
            <w:pPr>
              <w:pStyle w:val="22"/>
              <w:adjustRightInd w:val="0"/>
              <w:snapToGrid w:val="0"/>
              <w:spacing w:after="0" w:line="360" w:lineRule="auto"/>
              <w:ind w:firstLine="482"/>
              <w:rPr>
                <w:b/>
                <w:bCs/>
                <w:color w:val="000000" w:themeColor="text1"/>
                <w:lang w:bidi="ar"/>
                <w14:textFill>
                  <w14:solidFill>
                    <w14:schemeClr w14:val="tx1"/>
                  </w14:solidFill>
                </w14:textFill>
              </w:rPr>
            </w:pPr>
            <w:r>
              <w:rPr>
                <w:rFonts w:hint="eastAsia"/>
                <w:b/>
                <w:bCs/>
                <w:color w:val="000000" w:themeColor="text1"/>
                <w:lang w:bidi="ar"/>
                <w14:textFill>
                  <w14:solidFill>
                    <w14:schemeClr w14:val="tx1"/>
                  </w14:solidFill>
                </w14:textFill>
              </w:rPr>
              <w:t>1）与《关于印发四川省生态保护红线方案的通知》（川府发〔2018〕24号）符合性分析</w:t>
            </w:r>
          </w:p>
          <w:p>
            <w:pPr>
              <w:pStyle w:val="22"/>
              <w:adjustRightInd w:val="0"/>
              <w:snapToGrid w:val="0"/>
              <w:spacing w:after="0" w:line="360" w:lineRule="auto"/>
              <w:ind w:firstLine="48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四川省人民政府《关于印发四川省生态保护红线方案的通知》（川府发〔2018〕24号）中指出：“四川省生态保护红线总面积14.80万平方公里，占全省幅员面积的30.45%，主要分布于川西高山高原、川西南山地和盆周山地，分布格局为“四轴九核”。“四轴”指大巴山、金沙江下游干热河谷、川东南山地以及盆中丘陵区，呈带状分布；“九核”指若尔盖湿地（黄河源）、雅砻江源、大渡河源以及大雪山、沙鲁里山、岷山、邛崃山、凉山—相岭、锦屏山，以水系、山系为骨架集中成片分布。根据该《通知》，达州市宣汉县、万源市的部分地区涉及“大巴山生物多样性维护—水源涵养生态保护红线”；大竹县的部分地区涉及“川东南石漠化敏感生态保护红线”；达州市及其区县的城市饮用水源保护区和零散分布于四川盆地的自然保护区、风景名胜区、湿地公园、地质公园等各类生态保护重要区域为“盆中城市饮用水源—水土保持生态保护红线”。</w:t>
            </w:r>
          </w:p>
          <w:p>
            <w:pPr>
              <w:pStyle w:val="22"/>
              <w:adjustRightInd w:val="0"/>
              <w:snapToGrid w:val="0"/>
              <w:spacing w:after="0" w:line="360" w:lineRule="auto"/>
              <w:ind w:firstLine="48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本项目选址位于宣汉县</w:t>
            </w:r>
            <w:r>
              <w:rPr>
                <w:rFonts w:hint="eastAsia"/>
                <w:color w:val="000000" w:themeColor="text1"/>
                <w:lang w:eastAsia="zh-CN" w:bidi="ar"/>
                <w14:textFill>
                  <w14:solidFill>
                    <w14:schemeClr w14:val="tx1"/>
                  </w14:solidFill>
                </w14:textFill>
              </w:rPr>
              <w:t>蒲江</w:t>
            </w:r>
            <w:r>
              <w:rPr>
                <w:rFonts w:hint="eastAsia"/>
                <w:color w:val="000000" w:themeColor="text1"/>
                <w:lang w:bidi="ar"/>
                <w14:textFill>
                  <w14:solidFill>
                    <w14:schemeClr w14:val="tx1"/>
                  </w14:solidFill>
                </w14:textFill>
              </w:rPr>
              <w:t>街道（巴人大道与长兴北路交汇处东北侧），不属于《关于印发四川省生态保护红线方案的通知》（川府发〔2018〕24号）中划定的生态红线区。</w:t>
            </w:r>
          </w:p>
          <w:p>
            <w:pPr>
              <w:pStyle w:val="22"/>
              <w:adjustRightInd w:val="0"/>
              <w:snapToGrid w:val="0"/>
              <w:spacing w:after="0" w:line="360" w:lineRule="auto"/>
              <w:ind w:firstLine="482"/>
              <w:rPr>
                <w:color w:val="000000" w:themeColor="text1"/>
                <w:lang w:bidi="ar"/>
                <w14:textFill>
                  <w14:solidFill>
                    <w14:schemeClr w14:val="tx1"/>
                  </w14:solidFill>
                </w14:textFill>
              </w:rPr>
            </w:pPr>
            <w:r>
              <w:rPr>
                <w:rFonts w:hint="eastAsia"/>
                <w:b/>
                <w:bCs/>
                <w:color w:val="000000" w:themeColor="text1"/>
                <w:lang w:bidi="ar"/>
                <w14:textFill>
                  <w14:solidFill>
                    <w14:schemeClr w14:val="tx1"/>
                  </w14:solidFill>
                </w14:textFill>
              </w:rPr>
              <w:t>2）与《四川省达州市“三线一单”生态环境分区管控优化完善成果》符合性分析</w:t>
            </w:r>
          </w:p>
          <w:p>
            <w:pPr>
              <w:pStyle w:val="22"/>
              <w:adjustRightInd w:val="0"/>
              <w:snapToGrid w:val="0"/>
              <w:spacing w:after="0" w:line="360" w:lineRule="auto"/>
              <w:ind w:firstLine="48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生态保护红线是生态空间范围内具有特殊重要生态功能必须实行强制性严格保护的区域。</w:t>
            </w:r>
          </w:p>
          <w:p>
            <w:pPr>
              <w:pStyle w:val="22"/>
              <w:adjustRightInd w:val="0"/>
              <w:snapToGrid w:val="0"/>
              <w:spacing w:after="0" w:line="360" w:lineRule="auto"/>
              <w:ind w:firstLine="480"/>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目前，达州市生态环境局主持编制了《四川省达州市“三线一单”生态环境分区管控优化完善成果》（征求意见），其中涉及宣汉县生态管控单元共计7处，包括后河特有鱼类国家级水产种质资源保护区、四川蜂桶山省级自然保护区、四川省东林山森林自然公园（跨县）、四川省千口岭森林自然公园（跨县）、四川省宣汉白马山森林自然公园、四川宣汉国家森林自然公园、四川宣汉县百里峡自然保护区，均划入生态保护红线设施严格保</w:t>
            </w:r>
            <w:r>
              <w:rPr>
                <w:rFonts w:hint="eastAsia"/>
                <w:color w:val="000000" w:themeColor="text1"/>
                <w14:textFill>
                  <w14:solidFill>
                    <w14:schemeClr w14:val="tx1"/>
                  </w14:solidFill>
                </w14:textFill>
              </w:rPr>
              <w:t>护，管控单位分类为优先保护。</w:t>
            </w:r>
          </w:p>
          <w:p>
            <w:pPr>
              <w:spacing w:line="360" w:lineRule="auto"/>
              <w:jc w:val="center"/>
              <w:rPr>
                <w:b/>
                <w:bCs/>
                <w:color w:val="000000" w:themeColor="text1"/>
                <w:sz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2625090</wp:posOffset>
                      </wp:positionH>
                      <wp:positionV relativeFrom="paragraph">
                        <wp:posOffset>2578100</wp:posOffset>
                      </wp:positionV>
                      <wp:extent cx="867410" cy="440055"/>
                      <wp:effectExtent l="493395" t="6350" r="10795" b="10795"/>
                      <wp:wrapNone/>
                      <wp:docPr id="1" name="矩形标注 1"/>
                      <wp:cNvGraphicFramePr/>
                      <a:graphic xmlns:a="http://schemas.openxmlformats.org/drawingml/2006/main">
                        <a:graphicData uri="http://schemas.microsoft.com/office/word/2010/wordprocessingShape">
                          <wps:wsp>
                            <wps:cNvSpPr/>
                            <wps:spPr>
                              <a:xfrm>
                                <a:off x="4123690" y="6997065"/>
                                <a:ext cx="867410" cy="440055"/>
                              </a:xfrm>
                              <a:prstGeom prst="wedgeRectCallout">
                                <a:avLst>
                                  <a:gd name="adj1" fmla="val -101098"/>
                                  <a:gd name="adj2" fmla="val 699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sz w:val="28"/>
                                      <w:szCs w:val="36"/>
                                    </w:rPr>
                                  </w:pPr>
                                  <w:r>
                                    <w:rPr>
                                      <w:rFonts w:hint="eastAsia"/>
                                      <w:b/>
                                      <w:bCs/>
                                      <w:color w:val="FF0000"/>
                                      <w:sz w:val="28"/>
                                      <w:szCs w:val="36"/>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6.7pt;margin-top:203pt;height:34.65pt;width:68.3pt;z-index:251661312;v-text-anchor:middle;mso-width-relative:page;mso-height-relative:page;" filled="f" stroked="t" coordsize="21600,21600" o:gfxdata="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ZvZZU2gAAAAsBAAAPAAAAAAAAAAEAIAAAACIA&#10;AABkcnMvZG93bnJldi54bWxQSwECFAAUAAAACACHTuJAg1UQHbICAABFBQAADgAAAAAAAAABACAA&#10;AAApAQAAZHJzL2Uyb0RvYy54bWxQSwUGAAAAAAYABgBZAQAATQYAAAAA&#10;" adj="-11037,12312">
                      <v:fill on="f" focussize="0,0"/>
                      <v:stroke weight="1pt" color="#FF0000 [3204]" miterlimit="8" joinstyle="miter"/>
                      <v:imagedata o:title=""/>
                      <o:lock v:ext="edit" aspectratio="f"/>
                      <v:textbox>
                        <w:txbxContent>
                          <w:p>
                            <w:pPr>
                              <w:jc w:val="center"/>
                              <w:rPr>
                                <w:b/>
                                <w:bCs/>
                                <w:color w:val="FF0000"/>
                                <w:sz w:val="28"/>
                                <w:szCs w:val="36"/>
                              </w:rPr>
                            </w:pPr>
                            <w:r>
                              <w:rPr>
                                <w:rFonts w:hint="eastAsia"/>
                                <w:b/>
                                <w:bCs/>
                                <w:color w:val="FF0000"/>
                                <w:sz w:val="28"/>
                                <w:szCs w:val="36"/>
                              </w:rPr>
                              <w:t>本项目</w:t>
                            </w:r>
                          </w:p>
                        </w:txbxContent>
                      </v:textbox>
                    </v:shape>
                  </w:pict>
                </mc:Fallback>
              </mc:AlternateContent>
            </w:r>
            <w:r>
              <w:rPr>
                <w:color w:val="000000" w:themeColor="text1"/>
                <w14:textFill>
                  <w14:solidFill>
                    <w14:schemeClr w14:val="tx1"/>
                  </w14:solidFill>
                </w14:textFill>
              </w:rPr>
              <w:drawing>
                <wp:inline distT="0" distB="0" distL="114300" distR="114300">
                  <wp:extent cx="4835525" cy="5535295"/>
                  <wp:effectExtent l="0" t="0" r="3175" b="8255"/>
                  <wp:docPr id="10" name="图片 2" descr="260c8818f6235606e94313f695a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260c8818f6235606e94313f695a4b8c"/>
                          <pic:cNvPicPr>
                            <a:picLocks noChangeAspect="1"/>
                          </pic:cNvPicPr>
                        </pic:nvPicPr>
                        <pic:blipFill>
                          <a:blip r:embed="rId9"/>
                          <a:stretch>
                            <a:fillRect/>
                          </a:stretch>
                        </pic:blipFill>
                        <pic:spPr>
                          <a:xfrm>
                            <a:off x="0" y="0"/>
                            <a:ext cx="4835525" cy="5535295"/>
                          </a:xfrm>
                          <a:prstGeom prst="rect">
                            <a:avLst/>
                          </a:prstGeom>
                          <a:noFill/>
                          <a:ln>
                            <a:noFill/>
                          </a:ln>
                        </pic:spPr>
                      </pic:pic>
                    </a:graphicData>
                  </a:graphic>
                </wp:inline>
              </w:drawing>
            </w:r>
          </w:p>
          <w:p>
            <w:pPr>
              <w:spacing w:line="36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图1</w:t>
            </w:r>
            <w:r>
              <w:rPr>
                <w:b/>
                <w:bCs/>
                <w:color w:val="000000" w:themeColor="text1"/>
                <w:sz w:val="24"/>
                <w14:textFill>
                  <w14:solidFill>
                    <w14:schemeClr w14:val="tx1"/>
                  </w14:solidFill>
                </w14:textFill>
              </w:rPr>
              <w:noBreakHyphen/>
            </w:r>
            <w:r>
              <w:rPr>
                <w:b/>
                <w:bCs/>
                <w:color w:val="000000" w:themeColor="text1"/>
                <w:sz w:val="24"/>
                <w14:textFill>
                  <w14:solidFill>
                    <w14:schemeClr w14:val="tx1"/>
                  </w14:solidFill>
                </w14:textFill>
              </w:rPr>
              <w:t xml:space="preserve">1  </w:t>
            </w:r>
            <w:r>
              <w:rPr>
                <w:rFonts w:hint="eastAsia"/>
                <w:b/>
                <w:bCs/>
                <w:color w:val="000000" w:themeColor="text1"/>
                <w:sz w:val="24"/>
                <w14:textFill>
                  <w14:solidFill>
                    <w14:schemeClr w14:val="tx1"/>
                  </w14:solidFill>
                </w14:textFill>
              </w:rPr>
              <w:t>达州市</w:t>
            </w:r>
            <w:r>
              <w:rPr>
                <w:b/>
                <w:bCs/>
                <w:color w:val="000000" w:themeColor="text1"/>
                <w:sz w:val="24"/>
                <w14:textFill>
                  <w14:solidFill>
                    <w14:schemeClr w14:val="tx1"/>
                  </w14:solidFill>
                </w14:textFill>
              </w:rPr>
              <w:t>环境管控单元分布图</w:t>
            </w:r>
          </w:p>
          <w:p>
            <w:pPr>
              <w:pStyle w:val="22"/>
              <w:adjustRightInd w:val="0"/>
              <w:snapToGrid w:val="0"/>
              <w:spacing w:after="0"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w:t>
            </w:r>
            <w:r>
              <w:rPr>
                <w:rFonts w:hint="eastAsia"/>
                <w:color w:val="000000" w:themeColor="text1"/>
                <w:lang w:bidi="ar"/>
                <w14:textFill>
                  <w14:solidFill>
                    <w14:schemeClr w14:val="tx1"/>
                  </w14:solidFill>
                </w14:textFill>
              </w:rPr>
              <w:t>宣汉县</w:t>
            </w:r>
            <w:r>
              <w:rPr>
                <w:rFonts w:hint="eastAsia"/>
                <w:color w:val="000000" w:themeColor="text1"/>
                <w:lang w:eastAsia="zh-CN" w:bidi="ar"/>
                <w14:textFill>
                  <w14:solidFill>
                    <w14:schemeClr w14:val="tx1"/>
                  </w14:solidFill>
                </w14:textFill>
              </w:rPr>
              <w:t>蒲江</w:t>
            </w:r>
            <w:r>
              <w:rPr>
                <w:rFonts w:hint="eastAsia"/>
                <w:color w:val="000000" w:themeColor="text1"/>
                <w:lang w:bidi="ar"/>
                <w14:textFill>
                  <w14:solidFill>
                    <w14:schemeClr w14:val="tx1"/>
                  </w14:solidFill>
                </w14:textFill>
              </w:rPr>
              <w:t>街道（巴人大道与长兴北路交汇处东北侧）</w:t>
            </w:r>
            <w:r>
              <w:rPr>
                <w:rFonts w:hint="eastAsia"/>
                <w:color w:val="000000" w:themeColor="text1"/>
                <w14:textFill>
                  <w14:solidFill>
                    <w14:schemeClr w14:val="tx1"/>
                  </w14:solidFill>
                </w14:textFill>
              </w:rPr>
              <w:t>，根据四川政务网“三线一单”符合性分析，项目所在区域不涉及上述7个生态管控单元，为城镇重点管控单元，其环境管控单元要求见下表。</w:t>
            </w:r>
          </w:p>
          <w:p>
            <w:pPr>
              <w:numPr>
                <w:ilvl w:val="0"/>
                <w:numId w:val="3"/>
              </w:numPr>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达州市宣汉县城市重点管控单元要求</w:t>
            </w:r>
          </w:p>
          <w:tbl>
            <w:tblPr>
              <w:tblStyle w:val="52"/>
              <w:tblW w:w="7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561"/>
              <w:gridCol w:w="1980"/>
              <w:gridCol w:w="956"/>
              <w:gridCol w:w="830"/>
              <w:gridCol w:w="476"/>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tblHeader/>
                <w:jc w:val="center"/>
              </w:trPr>
              <w:tc>
                <w:tcPr>
                  <w:tcW w:w="55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环境管控单元编码</w:t>
                  </w:r>
                </w:p>
              </w:tc>
              <w:tc>
                <w:tcPr>
                  <w:tcW w:w="561"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环境管控单元名称</w:t>
                  </w:r>
                </w:p>
              </w:tc>
              <w:tc>
                <w:tcPr>
                  <w:tcW w:w="198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全省总体管控要求</w:t>
                  </w:r>
                </w:p>
              </w:tc>
              <w:tc>
                <w:tcPr>
                  <w:tcW w:w="95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川东北经济区总体管控要求</w:t>
                  </w:r>
                </w:p>
              </w:tc>
              <w:tc>
                <w:tcPr>
                  <w:tcW w:w="83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达州市总体管控要求</w:t>
                  </w:r>
                </w:p>
              </w:tc>
              <w:tc>
                <w:tcPr>
                  <w:tcW w:w="476"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管控类别</w:t>
                  </w:r>
                </w:p>
              </w:tc>
              <w:tc>
                <w:tcPr>
                  <w:tcW w:w="1984"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单元特性管控要求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2" w:hRule="atLeast"/>
                <w:jc w:val="center"/>
              </w:trPr>
              <w:tc>
                <w:tcPr>
                  <w:tcW w:w="550" w:type="dxa"/>
                  <w:vMerge w:val="restart"/>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ZH51172220001</w:t>
                  </w:r>
                </w:p>
              </w:tc>
              <w:tc>
                <w:tcPr>
                  <w:tcW w:w="561" w:type="dxa"/>
                  <w:vMerge w:val="restart"/>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宣汉县中心城区</w:t>
                  </w:r>
                </w:p>
              </w:tc>
              <w:tc>
                <w:tcPr>
                  <w:tcW w:w="1980" w:type="dxa"/>
                  <w:vMerge w:val="restart"/>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一般管控单元中，执行区域生态环境保护的基本要求；对其中的永久基本农田实施永久特殊保护，不得擅自占用或者改变用途；对其中要素重点管控区提出水和大气污染重点管控要求。</w:t>
                  </w:r>
                </w:p>
              </w:tc>
              <w:tc>
                <w:tcPr>
                  <w:tcW w:w="956" w:type="dxa"/>
                  <w:vMerge w:val="restart"/>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控制农村面源污染，提高污水收集处理率，加快乡镇污水处理基础设施建设。建设流域水环境风险联防联控体系。提高大气污染治理水平。</w:t>
                  </w:r>
                </w:p>
              </w:tc>
              <w:tc>
                <w:tcPr>
                  <w:tcW w:w="830" w:type="dxa"/>
                  <w:vMerge w:val="restart"/>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476"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1984"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禁止开发建设活动的要求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执行达州市城镇重点管控单元总体要求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限制开发建设活动的要求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执行达州市城镇重点管控单元总体要求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允许开发建设活动的要求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不符合空间布局要求活动的退出要求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执行达州市城镇重点管控单元总体要求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其他空间布局约束要求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2" w:hRule="atLeast"/>
                <w:jc w:val="center"/>
              </w:trPr>
              <w:tc>
                <w:tcPr>
                  <w:tcW w:w="550"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ZH51172220001</w:t>
                  </w:r>
                </w:p>
              </w:tc>
              <w:tc>
                <w:tcPr>
                  <w:tcW w:w="561"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宣汉县中心城区</w:t>
                  </w:r>
                </w:p>
              </w:tc>
              <w:tc>
                <w:tcPr>
                  <w:tcW w:w="1980"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一般管控单元中，执行区域生态环境保护的基本要求；对其中的永久基本农田实施永久特殊保护，不得擅自占用或者改变用途；对其中要素重点管控区提出水和大气污染重点管控要求。</w:t>
                  </w:r>
                </w:p>
              </w:tc>
              <w:tc>
                <w:tcPr>
                  <w:tcW w:w="956"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控制农村面源污染，提高污水收集处理率，加快乡镇污水处理基础设施建设。建设流域水环境风险联防联控体系。提高大气污染治理水平。</w:t>
                  </w:r>
                </w:p>
              </w:tc>
              <w:tc>
                <w:tcPr>
                  <w:tcW w:w="830" w:type="dxa"/>
                  <w:vMerge w:val="continue"/>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476"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1984"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现有源提标升级改造</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执行达州市城镇重点管控单元总体要求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新增源等量或倍量替代</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执行达州市城镇重点管控单元总体要求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新增源排放标准限值</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执行达州市城镇重点管控单元总体要求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污染物排放绩效水平准入要求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执行达州市城镇重点管控单元总体要求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其他污染物排放管控要求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9" w:hRule="atLeast"/>
                <w:jc w:val="center"/>
              </w:trPr>
              <w:tc>
                <w:tcPr>
                  <w:tcW w:w="550"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ZH51172220001</w:t>
                  </w:r>
                </w:p>
              </w:tc>
              <w:tc>
                <w:tcPr>
                  <w:tcW w:w="561"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宣汉县中心城区</w:t>
                  </w:r>
                </w:p>
              </w:tc>
              <w:tc>
                <w:tcPr>
                  <w:tcW w:w="1980"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一般管控单元中，执行区域生态环境保护的基本要求；对其中的永久基本农田实施永久特殊保护，不得擅自占用或者改变用途；对其中要素重点管控区提出水和大气污染重点管控要求。</w:t>
                  </w:r>
                </w:p>
              </w:tc>
              <w:tc>
                <w:tcPr>
                  <w:tcW w:w="956"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控制农村面源污染，提高污水收集处理率，加快乡镇污水处理基础设施建设。建设流域水环境风险联防联控体系。提高大气污染治理水平。</w:t>
                  </w:r>
                </w:p>
              </w:tc>
              <w:tc>
                <w:tcPr>
                  <w:tcW w:w="830" w:type="dxa"/>
                  <w:vMerge w:val="continue"/>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476"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环境风险防控</w:t>
                  </w:r>
                </w:p>
              </w:tc>
              <w:tc>
                <w:tcPr>
                  <w:tcW w:w="1984"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严格管控类农用地管控要求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城镇开发边界的划定避让永久基本农田红线和生态保护红线，避开蓄滞洪区、地质灾害易发区等</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安全利用类农用地管控要求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有一定危险性仓库用地远离市区，按有关规范选址和建设，留够防护距离，原则上安排在城市北部宣双公路外侧山谷之中。其他同达州市城镇重点总体准入要求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污染地块管控要求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执行达州市城镇重点管控单元总体要求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园区环境风险防控要求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企业环境风险防控要求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执行达州市城镇重点管控单元总体要求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其他环境风险防控要求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0" w:hRule="atLeast"/>
                <w:jc w:val="center"/>
              </w:trPr>
              <w:tc>
                <w:tcPr>
                  <w:tcW w:w="550"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ZH51172220001</w:t>
                  </w:r>
                </w:p>
              </w:tc>
              <w:tc>
                <w:tcPr>
                  <w:tcW w:w="561"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宣汉县中心城区</w:t>
                  </w:r>
                </w:p>
              </w:tc>
              <w:tc>
                <w:tcPr>
                  <w:tcW w:w="1980"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一般管控单元中，执行区域生态环境保护的基本要求；对其中的永久基本农田实施永久特殊保护，不得擅自占用或者改变用途；对其中要素重点管控区提出水和大气污染重点管控要求。</w:t>
                  </w:r>
                </w:p>
              </w:tc>
              <w:tc>
                <w:tcPr>
                  <w:tcW w:w="956"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控制农村面源污染，提高污水收集处理率，加快乡镇污水处理基础设施建设。建设流域水环境风险联防联控体系。提高大气污染治理水平。</w:t>
                  </w:r>
                </w:p>
              </w:tc>
              <w:tc>
                <w:tcPr>
                  <w:tcW w:w="830" w:type="dxa"/>
                  <w:vMerge w:val="continue"/>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476"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资源开发效率要求</w:t>
                  </w:r>
                </w:p>
              </w:tc>
              <w:tc>
                <w:tcPr>
                  <w:tcW w:w="1984"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水资源利用效率要求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执行达州市城镇重点管控单元总体要求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地下水开采要求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执行达州市城镇重点管控单元总体要求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能源利用效率要求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执行达州市城镇重点管控单元总体要求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其他资源利用效率要求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2" w:hRule="atLeast"/>
                <w:jc w:val="center"/>
              </w:trPr>
              <w:tc>
                <w:tcPr>
                  <w:tcW w:w="550" w:type="dxa"/>
                  <w:vMerge w:val="restart"/>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YS5117222220001</w:t>
                  </w:r>
                </w:p>
              </w:tc>
              <w:tc>
                <w:tcPr>
                  <w:tcW w:w="561" w:type="dxa"/>
                  <w:vMerge w:val="restart"/>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州河宣汉县张鼓坪控制单元</w:t>
                  </w:r>
                </w:p>
              </w:tc>
              <w:tc>
                <w:tcPr>
                  <w:tcW w:w="1980" w:type="dxa"/>
                  <w:vMerge w:val="restart"/>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一般管控单元中，执行区域生态环境保护的基本要求；对其中的永久基本农田实施永久特殊保护，不得擅自占用或者改变用途；对其中要素重点管控区提出水和大气污染重点管控要求。</w:t>
                  </w:r>
                </w:p>
              </w:tc>
              <w:tc>
                <w:tcPr>
                  <w:tcW w:w="956" w:type="dxa"/>
                  <w:vMerge w:val="restart"/>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控制农村面源污染，提高污水收集处理率，加快乡镇污水处理基础设施建设。建设流域水环境风险联防联控体系。提高大气污染治理水平。</w:t>
                  </w:r>
                </w:p>
              </w:tc>
              <w:tc>
                <w:tcPr>
                  <w:tcW w:w="830" w:type="dxa"/>
                  <w:vMerge w:val="restart"/>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476"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1984"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禁止开发建设活动的要求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限制开发建设活动的要求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允许开发建设活动的要求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不符合空间布局要求活动的退出要求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其他空间布局约束要求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4" w:hRule="atLeast"/>
                <w:jc w:val="center"/>
              </w:trPr>
              <w:tc>
                <w:tcPr>
                  <w:tcW w:w="550"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YS5117222220001</w:t>
                  </w:r>
                </w:p>
              </w:tc>
              <w:tc>
                <w:tcPr>
                  <w:tcW w:w="561"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州河宣汉县张鼓坪控制单元</w:t>
                  </w:r>
                </w:p>
              </w:tc>
              <w:tc>
                <w:tcPr>
                  <w:tcW w:w="1980"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一般管控单元中，执行区域生态环境保护的基本要求；对其中的永久基本农田实施永久特殊保护，不得擅自占用或者改变用途；对其中要素重点管控区提出水和大气污染重点管控要求。</w:t>
                  </w:r>
                </w:p>
              </w:tc>
              <w:tc>
                <w:tcPr>
                  <w:tcW w:w="956"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控制农村面源污染，提高污水收集处理率，加快乡镇污水处理基础设施建设。建设流域水环境风险联防联控体系。提高大气污染治理水平。</w:t>
                  </w:r>
                </w:p>
              </w:tc>
              <w:tc>
                <w:tcPr>
                  <w:tcW w:w="830" w:type="dxa"/>
                  <w:vMerge w:val="continue"/>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476"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1984"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城镇污水污染控制措施要求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强化生活污水治理，以尾水排放去向确定排放标准，因地制宜选取治理技术及方法，加快污水处理设施建设运行，城污水城镇生活污水处理厂出水达到《城镇污水处理厂污染物排放标准》（GB18927）要求；鼓励农村生活污水实行资源化利用，排放的尾水达到《农村生活污水处理设施水污染物排放标准》要求。强化生活垃圾收集处理，推广生活垃圾分类收集处理，从源头减少处理处置量。</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工业废水污染控制措施要求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农业面源水污染控制措施要求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船舶港口水污染控制措施要求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饮用水水源和其它特殊水体保护要求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7" w:hRule="atLeast"/>
                <w:jc w:val="center"/>
              </w:trPr>
              <w:tc>
                <w:tcPr>
                  <w:tcW w:w="550"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YS5117222220001</w:t>
                  </w:r>
                </w:p>
              </w:tc>
              <w:tc>
                <w:tcPr>
                  <w:tcW w:w="561"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州河宣汉县张鼓坪控制单元</w:t>
                  </w:r>
                </w:p>
              </w:tc>
              <w:tc>
                <w:tcPr>
                  <w:tcW w:w="1980"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一般管控单元中，执行区域生态环境保护的基本要求；对其中的永久基本农田实施永久特殊保护，不得擅自占用或者改变用途；对其中要素重点管控区提出水和大气污染重点管控要求。</w:t>
                  </w:r>
                </w:p>
              </w:tc>
              <w:tc>
                <w:tcPr>
                  <w:tcW w:w="956"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控制农村面源污染，提高污水收集处理率，加快乡镇污水处理基础设施建设。建设流域水环境风险联防联控体系。提高大气污染治理水平。</w:t>
                  </w:r>
                </w:p>
              </w:tc>
              <w:tc>
                <w:tcPr>
                  <w:tcW w:w="830" w:type="dxa"/>
                  <w:vMerge w:val="continue"/>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476"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环境风险防控</w:t>
                  </w:r>
                </w:p>
              </w:tc>
              <w:tc>
                <w:tcPr>
                  <w:tcW w:w="1984"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550"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YS5117222220001</w:t>
                  </w:r>
                </w:p>
              </w:tc>
              <w:tc>
                <w:tcPr>
                  <w:tcW w:w="561"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州河宣汉县张鼓坪控制单元</w:t>
                  </w:r>
                </w:p>
              </w:tc>
              <w:tc>
                <w:tcPr>
                  <w:tcW w:w="1980"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一般管控单元中，执行区域生态环境保护的基本要求；对其中的永久基本农田实施永久特殊保护，不得擅自占用或者改变用途；对其中要素重点管控区提出水和大气污染重点管控要求。</w:t>
                  </w:r>
                </w:p>
              </w:tc>
              <w:tc>
                <w:tcPr>
                  <w:tcW w:w="956"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控制农村面源污染，提高污水收集处理率，加快乡镇污水处理基础设施建设。建设流域水环境风险联防联控体系。提高大气污染治理水平。</w:t>
                  </w:r>
                </w:p>
              </w:tc>
              <w:tc>
                <w:tcPr>
                  <w:tcW w:w="830" w:type="dxa"/>
                  <w:vMerge w:val="continue"/>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476"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资源开发效率要求</w:t>
                  </w:r>
                </w:p>
              </w:tc>
              <w:tc>
                <w:tcPr>
                  <w:tcW w:w="1984"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2" w:hRule="atLeast"/>
                <w:jc w:val="center"/>
              </w:trPr>
              <w:tc>
                <w:tcPr>
                  <w:tcW w:w="550" w:type="dxa"/>
                  <w:vMerge w:val="restart"/>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YS5117222340007</w:t>
                  </w:r>
                </w:p>
              </w:tc>
              <w:tc>
                <w:tcPr>
                  <w:tcW w:w="561" w:type="dxa"/>
                  <w:vMerge w:val="restart"/>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宣汉县中心城区</w:t>
                  </w:r>
                </w:p>
              </w:tc>
              <w:tc>
                <w:tcPr>
                  <w:tcW w:w="1980" w:type="dxa"/>
                  <w:vMerge w:val="restart"/>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一般管控单元中，执行区域生态环境保护的基本要求；对其中的永久基本农田实施永久特殊保护，不得擅自占用或者改变用途；对其中要素重点管控区提出水和大气污染重点管控要求。</w:t>
                  </w:r>
                </w:p>
              </w:tc>
              <w:tc>
                <w:tcPr>
                  <w:tcW w:w="956" w:type="dxa"/>
                  <w:vMerge w:val="restart"/>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控制农村面源污染，提高污水收集处理率，加快乡镇污水处理基础设施建设。建设流域水环境风险联防联控体系。提高大气污染治理水平。</w:t>
                  </w:r>
                </w:p>
              </w:tc>
              <w:tc>
                <w:tcPr>
                  <w:tcW w:w="830" w:type="dxa"/>
                  <w:vMerge w:val="restart"/>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476"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1984"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禁止开发建设活动的要求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限制开发建设活动的要求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允许开发建设活动的要求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不符合空间布局要求活动的退出要求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其他空间布局约束要求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0" w:hRule="atLeast"/>
                <w:jc w:val="center"/>
              </w:trPr>
              <w:tc>
                <w:tcPr>
                  <w:tcW w:w="550"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YS5117222340007</w:t>
                  </w:r>
                </w:p>
              </w:tc>
              <w:tc>
                <w:tcPr>
                  <w:tcW w:w="561"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宣汉县中心城区</w:t>
                  </w:r>
                </w:p>
              </w:tc>
              <w:tc>
                <w:tcPr>
                  <w:tcW w:w="1980"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一般管控单元中，执行区域生态环境保护的基本要求；对其中的永久基本农田实施永久特殊保护，不得擅自占用或者改变用途；对其中要素重点管控区提出水和大气污染重点管控要求。</w:t>
                  </w:r>
                </w:p>
              </w:tc>
              <w:tc>
                <w:tcPr>
                  <w:tcW w:w="956"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控制农村面源污染，提高污水收集处理率，加快乡镇污水处理基础设施建设。建设流域水环境风险联防联控体系。提高大气污染治理水平。</w:t>
                  </w:r>
                </w:p>
              </w:tc>
              <w:tc>
                <w:tcPr>
                  <w:tcW w:w="830" w:type="dxa"/>
                  <w:vMerge w:val="continue"/>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476"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1984"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大气环境质量执行标准</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《环境空气质量标准》（GB3095-2012）：二级</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区域大气污染物削减/替代要求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新增大气污染物排放的建设项目实施总量削减替代。</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燃煤和其他能源大气污染控制要求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工业废气污染控制要求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机动车船大气污染控制要求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扬尘污染控制要求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农业生产经营活动大气污染控制要求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重点行业企业专项治理要求</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其他大气污染物排放管控要求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jc w:val="center"/>
              </w:trPr>
              <w:tc>
                <w:tcPr>
                  <w:tcW w:w="550"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YS5117222340007</w:t>
                  </w:r>
                </w:p>
              </w:tc>
              <w:tc>
                <w:tcPr>
                  <w:tcW w:w="561"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宣汉县中心城区</w:t>
                  </w:r>
                </w:p>
              </w:tc>
              <w:tc>
                <w:tcPr>
                  <w:tcW w:w="1980"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一般管控单元中，执行区域生态环境保护的基本要求；对其中的永久基本农田实施永久特殊保护，不得擅自占用或者改变用途；对其中要素重点管控区提出水和大气污染重点管控要求。</w:t>
                  </w:r>
                </w:p>
              </w:tc>
              <w:tc>
                <w:tcPr>
                  <w:tcW w:w="956"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控制农村面源污染，提高污水收集处理率，加快乡镇污水处理基础设施建设。建设流域水环境风险联防联控体系。提高大气污染治理水平。</w:t>
                  </w:r>
                </w:p>
              </w:tc>
              <w:tc>
                <w:tcPr>
                  <w:tcW w:w="830" w:type="dxa"/>
                  <w:vMerge w:val="continue"/>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476"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环境风险防控</w:t>
                  </w:r>
                </w:p>
              </w:tc>
              <w:tc>
                <w:tcPr>
                  <w:tcW w:w="1984"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现有涉及五类重金属的企业，不得新增污染物排放，限期退城入园或关停；工业企业退出用地，须经评估、修复满足相应用地功能后，方可改变用途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jc w:val="center"/>
              </w:trPr>
              <w:tc>
                <w:tcPr>
                  <w:tcW w:w="550"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YS5117222340007</w:t>
                  </w:r>
                </w:p>
              </w:tc>
              <w:tc>
                <w:tcPr>
                  <w:tcW w:w="561"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宣汉县中心城区</w:t>
                  </w:r>
                </w:p>
              </w:tc>
              <w:tc>
                <w:tcPr>
                  <w:tcW w:w="1980"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一般管控单元中，执行区域生态环境保护的基本要求；对其中的永久基本农田实施永久特殊保护，不得擅自占用或者改变用途；对其中要素重点管控区提出水和大气污染重点管控要求。</w:t>
                  </w:r>
                </w:p>
              </w:tc>
              <w:tc>
                <w:tcPr>
                  <w:tcW w:w="956" w:type="dxa"/>
                  <w:vMerge w:val="continue"/>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控制农村面源污染，提高污水收集处理率，加快乡镇污水处理基础设施建设。建设流域水环境风险联防联控体系。提高大气污染治理水平。</w:t>
                  </w:r>
                </w:p>
              </w:tc>
              <w:tc>
                <w:tcPr>
                  <w:tcW w:w="830" w:type="dxa"/>
                  <w:vMerge w:val="continue"/>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对能源化工、钢铁等重点发展的产业提出严格资源环境绩效水平要求；达钢等高污染企业限期退城入园；普光气田开发污染防治和环境管理等方面要达国内先进水平。严控产业转移环境准入；对拟引入的造纸等产业污染治理和环境管理应达到国内先进水平。</w:t>
                  </w:r>
                </w:p>
              </w:tc>
              <w:tc>
                <w:tcPr>
                  <w:tcW w:w="476"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资源开发效率要求</w:t>
                  </w:r>
                </w:p>
              </w:tc>
              <w:tc>
                <w:tcPr>
                  <w:tcW w:w="1984" w:type="dxa"/>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r>
          </w:tbl>
          <w:p>
            <w:pPr>
              <w:widowControl/>
              <w:adjustRightInd w:val="0"/>
              <w:snapToGrid w:val="0"/>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综上分析，</w:t>
            </w:r>
            <w:r>
              <w:rPr>
                <w:rFonts w:hint="eastAsia"/>
                <w:color w:val="000000" w:themeColor="text1"/>
                <w:kern w:val="0"/>
                <w:sz w:val="24"/>
                <w:lang w:bidi="ar"/>
                <w14:textFill>
                  <w14:solidFill>
                    <w14:schemeClr w14:val="tx1"/>
                  </w14:solidFill>
                </w14:textFill>
              </w:rPr>
              <w:t>本</w:t>
            </w:r>
            <w:r>
              <w:rPr>
                <w:color w:val="000000" w:themeColor="text1"/>
                <w:kern w:val="0"/>
                <w:sz w:val="24"/>
                <w:lang w:bidi="ar"/>
                <w14:textFill>
                  <w14:solidFill>
                    <w14:schemeClr w14:val="tx1"/>
                  </w14:solidFill>
                </w14:textFill>
              </w:rPr>
              <w:t>项目</w:t>
            </w:r>
            <w:r>
              <w:rPr>
                <w:rFonts w:hint="eastAsia"/>
                <w:color w:val="000000" w:themeColor="text1"/>
                <w:kern w:val="0"/>
                <w:sz w:val="24"/>
                <w:lang w:bidi="ar"/>
                <w14:textFill>
                  <w14:solidFill>
                    <w14:schemeClr w14:val="tx1"/>
                  </w14:solidFill>
                </w14:textFill>
              </w:rPr>
              <w:t>满足《四川省达州市“三线一单”生态环境分区管控优化完善成果》相关生态保护要求。</w:t>
            </w:r>
          </w:p>
          <w:p>
            <w:pPr>
              <w:widowControl/>
              <w:adjustRightInd w:val="0"/>
              <w:snapToGrid w:val="0"/>
              <w:spacing w:line="360" w:lineRule="auto"/>
              <w:rPr>
                <w:b/>
                <w:bCs/>
                <w:color w:val="000000" w:themeColor="text1"/>
                <w:sz w:val="24"/>
                <w14:textFill>
                  <w14:solidFill>
                    <w14:schemeClr w14:val="tx1"/>
                  </w14:solidFill>
                </w14:textFill>
              </w:rPr>
            </w:pPr>
            <w:r>
              <w:rPr>
                <w:b/>
                <w:bCs/>
                <w:color w:val="000000" w:themeColor="text1"/>
                <w:kern w:val="0"/>
                <w:sz w:val="24"/>
                <w:lang w:bidi="ar"/>
                <w14:textFill>
                  <w14:solidFill>
                    <w14:schemeClr w14:val="tx1"/>
                  </w14:solidFill>
                </w14:textFill>
              </w:rPr>
              <w:t>（2）环境质量底线</w:t>
            </w:r>
          </w:p>
          <w:p>
            <w:pPr>
              <w:widowControl/>
              <w:adjustRightInd w:val="0"/>
              <w:snapToGrid w:val="0"/>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环境质量底线是国家和地方设置的大气、水和土壤环境质量目标，也是改善环境质量的基准线。环境质量事关民生幸福，环境质量的底线就是以人民群众身体健康和生命财产安全为目标，维护人类生存基本环境质量需求的底线和保障线。具体而言，环境质量底线应涵盖以下3方面的基本要求。一是必须消除己有的劣质化环境；二是严格遵守执行环境质量</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只能更好、不能变坏</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的基本要求；三是保障环境风险控制在安全范围内。</w:t>
            </w:r>
          </w:p>
          <w:p>
            <w:pPr>
              <w:widowControl/>
              <w:adjustRightInd w:val="0"/>
              <w:snapToGrid w:val="0"/>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项目区域空气环境质量标准执行《环境空气质量标准》（GB3095-2012）中的二级标准；地表水环境质量标准执行《地表水环境质量标准》（GB3838-2002）中Ⅲ类水域标准；声环境质量标准执行《声环境质量标准》（GB3096-2008）中的</w:t>
            </w:r>
            <w:r>
              <w:rPr>
                <w:rFonts w:hint="eastAsia"/>
                <w:color w:val="000000" w:themeColor="text1"/>
                <w:kern w:val="0"/>
                <w:sz w:val="24"/>
                <w:lang w:bidi="ar"/>
                <w14:textFill>
                  <w14:solidFill>
                    <w14:schemeClr w14:val="tx1"/>
                  </w14:solidFill>
                </w14:textFill>
              </w:rPr>
              <w:t>2</w:t>
            </w:r>
            <w:r>
              <w:rPr>
                <w:color w:val="000000" w:themeColor="text1"/>
                <w:kern w:val="0"/>
                <w:sz w:val="24"/>
                <w:lang w:bidi="ar"/>
                <w14:textFill>
                  <w14:solidFill>
                    <w14:schemeClr w14:val="tx1"/>
                  </w14:solidFill>
                </w14:textFill>
              </w:rPr>
              <w:t>类声环境功能区标准。</w:t>
            </w:r>
          </w:p>
          <w:p>
            <w:pPr>
              <w:widowControl/>
              <w:adjustRightInd w:val="0"/>
              <w:snapToGrid w:val="0"/>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根据达州市生态环境局于2021年6月5日公开发布的《2020年达州市生态环境状况公报》：2020年全市空气质量日均值达标率为93.3%，较上年提高2.0个百分点。市城区及各县（市）空气质量达标率为89.3%-97.5%，其中，</w:t>
            </w:r>
            <w:r>
              <w:rPr>
                <w:rFonts w:hint="eastAsia"/>
                <w:b/>
                <w:bCs/>
                <w:color w:val="000000" w:themeColor="text1"/>
                <w:kern w:val="0"/>
                <w:sz w:val="24"/>
                <w:lang w:bidi="ar"/>
                <w14:textFill>
                  <w14:solidFill>
                    <w14:schemeClr w14:val="tx1"/>
                  </w14:solidFill>
                </w14:textFill>
              </w:rPr>
              <w:t>宣汉县94.3%</w:t>
            </w:r>
            <w:r>
              <w:rPr>
                <w:rFonts w:hint="eastAsia"/>
                <w:color w:val="000000" w:themeColor="text1"/>
                <w:kern w:val="0"/>
                <w:sz w:val="24"/>
                <w:lang w:bidi="ar"/>
                <w14:textFill>
                  <w14:solidFill>
                    <w14:schemeClr w14:val="tx1"/>
                  </w14:solidFill>
                </w14:textFill>
              </w:rPr>
              <w:t>，万源市97.5%，开江县95.1%，渠县93.4%，大竹县90.2%，市城区89.3%。全市环境空气中主要污染物PM</w:t>
            </w:r>
            <w:r>
              <w:rPr>
                <w:rFonts w:hint="eastAsia"/>
                <w:color w:val="000000" w:themeColor="text1"/>
                <w:kern w:val="0"/>
                <w:sz w:val="24"/>
                <w:vertAlign w:val="subscript"/>
                <w:lang w:bidi="ar"/>
                <w14:textFill>
                  <w14:solidFill>
                    <w14:schemeClr w14:val="tx1"/>
                  </w14:solidFill>
                </w14:textFill>
              </w:rPr>
              <w:t>10</w:t>
            </w:r>
            <w:r>
              <w:rPr>
                <w:rFonts w:hint="eastAsia"/>
                <w:color w:val="000000" w:themeColor="text1"/>
                <w:kern w:val="0"/>
                <w:sz w:val="24"/>
                <w:lang w:bidi="ar"/>
                <w14:textFill>
                  <w14:solidFill>
                    <w14:schemeClr w14:val="tx1"/>
                  </w14:solidFill>
                </w14:textFill>
              </w:rPr>
              <w:t>、PM</w:t>
            </w:r>
            <w:r>
              <w:rPr>
                <w:rFonts w:hint="eastAsia"/>
                <w:color w:val="000000" w:themeColor="text1"/>
                <w:kern w:val="0"/>
                <w:sz w:val="24"/>
                <w:vertAlign w:val="subscript"/>
                <w:lang w:bidi="ar"/>
                <w14:textFill>
                  <w14:solidFill>
                    <w14:schemeClr w14:val="tx1"/>
                  </w14:solidFill>
                </w14:textFill>
              </w:rPr>
              <w:t>2.5</w:t>
            </w:r>
            <w:r>
              <w:rPr>
                <w:rFonts w:hint="eastAsia"/>
                <w:color w:val="000000" w:themeColor="text1"/>
                <w:kern w:val="0"/>
                <w:sz w:val="24"/>
                <w:lang w:bidi="ar"/>
                <w14:textFill>
                  <w14:solidFill>
                    <w14:schemeClr w14:val="tx1"/>
                  </w14:solidFill>
                </w14:textFill>
              </w:rPr>
              <w:t>和O</w:t>
            </w:r>
            <w:r>
              <w:rPr>
                <w:rFonts w:hint="eastAsia"/>
                <w:color w:val="000000" w:themeColor="text1"/>
                <w:kern w:val="0"/>
                <w:sz w:val="24"/>
                <w:vertAlign w:val="subscript"/>
                <w:lang w:bidi="ar"/>
                <w14:textFill>
                  <w14:solidFill>
                    <w14:schemeClr w14:val="tx1"/>
                  </w14:solidFill>
                </w14:textFill>
              </w:rPr>
              <w:t>3</w:t>
            </w:r>
            <w:r>
              <w:rPr>
                <w:rFonts w:hint="eastAsia"/>
                <w:color w:val="000000" w:themeColor="text1"/>
                <w:kern w:val="0"/>
                <w:sz w:val="24"/>
                <w:lang w:bidi="ar"/>
                <w14:textFill>
                  <w14:solidFill>
                    <w14:schemeClr w14:val="tx1"/>
                  </w14:solidFill>
                </w14:textFill>
              </w:rPr>
              <w:t>。市城区SO</w:t>
            </w:r>
            <w:r>
              <w:rPr>
                <w:rFonts w:hint="eastAsia"/>
                <w:color w:val="000000" w:themeColor="text1"/>
                <w:kern w:val="0"/>
                <w:sz w:val="24"/>
                <w:vertAlign w:val="subscript"/>
                <w:lang w:bidi="ar"/>
                <w14:textFill>
                  <w14:solidFill>
                    <w14:schemeClr w14:val="tx1"/>
                  </w14:solidFill>
                </w14:textFill>
              </w:rPr>
              <w:t>2</w:t>
            </w:r>
            <w:r>
              <w:rPr>
                <w:rFonts w:hint="eastAsia"/>
                <w:color w:val="000000" w:themeColor="text1"/>
                <w:kern w:val="0"/>
                <w:sz w:val="24"/>
                <w:lang w:bidi="ar"/>
                <w14:textFill>
                  <w14:solidFill>
                    <w14:schemeClr w14:val="tx1"/>
                  </w14:solidFill>
                </w14:textFill>
              </w:rPr>
              <w:t>、NO</w:t>
            </w:r>
            <w:r>
              <w:rPr>
                <w:rFonts w:hint="eastAsia"/>
                <w:color w:val="000000" w:themeColor="text1"/>
                <w:kern w:val="0"/>
                <w:sz w:val="24"/>
                <w:vertAlign w:val="subscript"/>
                <w:lang w:bidi="ar"/>
                <w14:textFill>
                  <w14:solidFill>
                    <w14:schemeClr w14:val="tx1"/>
                  </w14:solidFill>
                </w14:textFill>
              </w:rPr>
              <w:t>2</w:t>
            </w:r>
            <w:r>
              <w:rPr>
                <w:rFonts w:hint="eastAsia"/>
                <w:color w:val="000000" w:themeColor="text1"/>
                <w:kern w:val="0"/>
                <w:sz w:val="24"/>
                <w:lang w:bidi="ar"/>
                <w14:textFill>
                  <w14:solidFill>
                    <w14:schemeClr w14:val="tx1"/>
                  </w14:solidFill>
                </w14:textFill>
              </w:rPr>
              <w:t>、PM</w:t>
            </w:r>
            <w:r>
              <w:rPr>
                <w:rFonts w:hint="eastAsia"/>
                <w:color w:val="000000" w:themeColor="text1"/>
                <w:kern w:val="0"/>
                <w:sz w:val="24"/>
                <w:vertAlign w:val="subscript"/>
                <w:lang w:bidi="ar"/>
                <w14:textFill>
                  <w14:solidFill>
                    <w14:schemeClr w14:val="tx1"/>
                  </w14:solidFill>
                </w14:textFill>
              </w:rPr>
              <w:t>10</w:t>
            </w:r>
            <w:r>
              <w:rPr>
                <w:rFonts w:hint="eastAsia"/>
                <w:color w:val="000000" w:themeColor="text1"/>
                <w:kern w:val="0"/>
                <w:sz w:val="24"/>
                <w:lang w:bidi="ar"/>
                <w14:textFill>
                  <w14:solidFill>
                    <w14:schemeClr w14:val="tx1"/>
                  </w14:solidFill>
                </w14:textFill>
              </w:rPr>
              <w:t>、CO和O</w:t>
            </w:r>
            <w:r>
              <w:rPr>
                <w:rFonts w:hint="eastAsia"/>
                <w:color w:val="000000" w:themeColor="text1"/>
                <w:kern w:val="0"/>
                <w:sz w:val="24"/>
                <w:vertAlign w:val="subscript"/>
                <w:lang w:bidi="ar"/>
                <w14:textFill>
                  <w14:solidFill>
                    <w14:schemeClr w14:val="tx1"/>
                  </w14:solidFill>
                </w14:textFill>
              </w:rPr>
              <w:t>3</w:t>
            </w:r>
            <w:r>
              <w:rPr>
                <w:rFonts w:hint="eastAsia"/>
                <w:color w:val="000000" w:themeColor="text1"/>
                <w:kern w:val="0"/>
                <w:sz w:val="24"/>
                <w:lang w:bidi="ar"/>
                <w14:textFill>
                  <w14:solidFill>
                    <w14:schemeClr w14:val="tx1"/>
                  </w14:solidFill>
                </w14:textFill>
              </w:rPr>
              <w:t>年评价结果达标，PM</w:t>
            </w:r>
            <w:r>
              <w:rPr>
                <w:rFonts w:hint="eastAsia"/>
                <w:color w:val="000000" w:themeColor="text1"/>
                <w:kern w:val="0"/>
                <w:sz w:val="24"/>
                <w:vertAlign w:val="subscript"/>
                <w:lang w:bidi="ar"/>
                <w14:textFill>
                  <w14:solidFill>
                    <w14:schemeClr w14:val="tx1"/>
                  </w14:solidFill>
                </w14:textFill>
              </w:rPr>
              <w:t>2.5</w:t>
            </w:r>
            <w:r>
              <w:rPr>
                <w:rFonts w:hint="eastAsia"/>
                <w:color w:val="000000" w:themeColor="text1"/>
                <w:kern w:val="0"/>
                <w:sz w:val="24"/>
                <w:lang w:bidi="ar"/>
                <w14:textFill>
                  <w14:solidFill>
                    <w14:schemeClr w14:val="tx1"/>
                  </w14:solidFill>
                </w14:textFill>
              </w:rPr>
              <w:t>年评价结果超标，超标倍数为0.11倍；各县（市）SO</w:t>
            </w:r>
            <w:r>
              <w:rPr>
                <w:rFonts w:hint="eastAsia"/>
                <w:color w:val="000000" w:themeColor="text1"/>
                <w:kern w:val="0"/>
                <w:sz w:val="24"/>
                <w:vertAlign w:val="subscript"/>
                <w:lang w:bidi="ar"/>
                <w14:textFill>
                  <w14:solidFill>
                    <w14:schemeClr w14:val="tx1"/>
                  </w14:solidFill>
                </w14:textFill>
              </w:rPr>
              <w:t>2</w:t>
            </w:r>
            <w:r>
              <w:rPr>
                <w:rFonts w:hint="eastAsia"/>
                <w:color w:val="000000" w:themeColor="text1"/>
                <w:kern w:val="0"/>
                <w:sz w:val="24"/>
                <w:lang w:bidi="ar"/>
                <w14:textFill>
                  <w14:solidFill>
                    <w14:schemeClr w14:val="tx1"/>
                  </w14:solidFill>
                </w14:textFill>
              </w:rPr>
              <w:t>、NO</w:t>
            </w:r>
            <w:r>
              <w:rPr>
                <w:rFonts w:hint="eastAsia"/>
                <w:color w:val="000000" w:themeColor="text1"/>
                <w:kern w:val="0"/>
                <w:sz w:val="24"/>
                <w:vertAlign w:val="subscript"/>
                <w:lang w:bidi="ar"/>
                <w14:textFill>
                  <w14:solidFill>
                    <w14:schemeClr w14:val="tx1"/>
                  </w14:solidFill>
                </w14:textFill>
              </w:rPr>
              <w:t>2</w:t>
            </w:r>
            <w:r>
              <w:rPr>
                <w:rFonts w:hint="eastAsia"/>
                <w:color w:val="000000" w:themeColor="text1"/>
                <w:kern w:val="0"/>
                <w:sz w:val="24"/>
                <w:lang w:bidi="ar"/>
                <w14:textFill>
                  <w14:solidFill>
                    <w14:schemeClr w14:val="tx1"/>
                  </w14:solidFill>
                </w14:textFill>
              </w:rPr>
              <w:t>、PM</w:t>
            </w:r>
            <w:r>
              <w:rPr>
                <w:rFonts w:hint="eastAsia"/>
                <w:color w:val="000000" w:themeColor="text1"/>
                <w:kern w:val="0"/>
                <w:sz w:val="24"/>
                <w:vertAlign w:val="subscript"/>
                <w:lang w:bidi="ar"/>
                <w14:textFill>
                  <w14:solidFill>
                    <w14:schemeClr w14:val="tx1"/>
                  </w14:solidFill>
                </w14:textFill>
              </w:rPr>
              <w:t>10</w:t>
            </w:r>
            <w:r>
              <w:rPr>
                <w:rFonts w:hint="eastAsia"/>
                <w:color w:val="000000" w:themeColor="text1"/>
                <w:kern w:val="0"/>
                <w:sz w:val="24"/>
                <w:lang w:bidi="ar"/>
                <w14:textFill>
                  <w14:solidFill>
                    <w14:schemeClr w14:val="tx1"/>
                  </w14:solidFill>
                </w14:textFill>
              </w:rPr>
              <w:t>、CO、O</w:t>
            </w:r>
            <w:r>
              <w:rPr>
                <w:rFonts w:hint="eastAsia"/>
                <w:color w:val="000000" w:themeColor="text1"/>
                <w:kern w:val="0"/>
                <w:sz w:val="24"/>
                <w:vertAlign w:val="subscript"/>
                <w:lang w:bidi="ar"/>
                <w14:textFill>
                  <w14:solidFill>
                    <w14:schemeClr w14:val="tx1"/>
                  </w14:solidFill>
                </w14:textFill>
              </w:rPr>
              <w:t>3</w:t>
            </w:r>
            <w:r>
              <w:rPr>
                <w:rFonts w:hint="eastAsia"/>
                <w:color w:val="000000" w:themeColor="text1"/>
                <w:kern w:val="0"/>
                <w:sz w:val="24"/>
                <w:lang w:bidi="ar"/>
                <w14:textFill>
                  <w14:solidFill>
                    <w14:schemeClr w14:val="tx1"/>
                  </w14:solidFill>
                </w14:textFill>
              </w:rPr>
              <w:t>和PM</w:t>
            </w:r>
            <w:r>
              <w:rPr>
                <w:rFonts w:hint="eastAsia"/>
                <w:color w:val="000000" w:themeColor="text1"/>
                <w:kern w:val="0"/>
                <w:sz w:val="24"/>
                <w:vertAlign w:val="subscript"/>
                <w:lang w:bidi="ar"/>
                <w14:textFill>
                  <w14:solidFill>
                    <w14:schemeClr w14:val="tx1"/>
                  </w14:solidFill>
                </w14:textFill>
              </w:rPr>
              <w:t>2.5</w:t>
            </w:r>
            <w:r>
              <w:rPr>
                <w:rFonts w:hint="eastAsia"/>
                <w:color w:val="000000" w:themeColor="text1"/>
                <w:kern w:val="0"/>
                <w:sz w:val="24"/>
                <w:lang w:bidi="ar"/>
                <w14:textFill>
                  <w14:solidFill>
                    <w14:schemeClr w14:val="tx1"/>
                  </w14:solidFill>
                </w14:textFill>
              </w:rPr>
              <w:t>年评价结果均达标。</w:t>
            </w:r>
          </w:p>
          <w:p>
            <w:pPr>
              <w:widowControl/>
              <w:adjustRightInd w:val="0"/>
              <w:snapToGrid w:val="0"/>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本项目</w:t>
            </w:r>
            <w:r>
              <w:rPr>
                <w:rFonts w:hint="eastAsia"/>
                <w:color w:val="000000" w:themeColor="text1"/>
                <w:kern w:val="0"/>
                <w:sz w:val="24"/>
                <w14:textFill>
                  <w14:solidFill>
                    <w14:schemeClr w14:val="tx1"/>
                  </w14:solidFill>
                </w14:textFill>
              </w:rPr>
              <w:t>位于</w:t>
            </w:r>
            <w:r>
              <w:rPr>
                <w:rFonts w:hint="eastAsia"/>
                <w:color w:val="000000" w:themeColor="text1"/>
                <w:kern w:val="0"/>
                <w:sz w:val="24"/>
                <w:lang w:bidi="ar"/>
                <w14:textFill>
                  <w14:solidFill>
                    <w14:schemeClr w14:val="tx1"/>
                  </w14:solidFill>
                </w14:textFill>
              </w:rPr>
              <w:t>宣汉县</w:t>
            </w:r>
            <w:r>
              <w:rPr>
                <w:rFonts w:hint="eastAsia"/>
                <w:color w:val="000000" w:themeColor="text1"/>
                <w:kern w:val="0"/>
                <w:sz w:val="24"/>
                <w:lang w:eastAsia="zh-CN" w:bidi="ar"/>
                <w14:textFill>
                  <w14:solidFill>
                    <w14:schemeClr w14:val="tx1"/>
                  </w14:solidFill>
                </w14:textFill>
              </w:rPr>
              <w:t>蒲江</w:t>
            </w:r>
            <w:r>
              <w:rPr>
                <w:rFonts w:hint="eastAsia"/>
                <w:color w:val="000000" w:themeColor="text1"/>
                <w:kern w:val="0"/>
                <w:sz w:val="24"/>
                <w:lang w:bidi="ar"/>
                <w14:textFill>
                  <w14:solidFill>
                    <w14:schemeClr w14:val="tx1"/>
                  </w14:solidFill>
                </w14:textFill>
              </w:rPr>
              <w:t>街道（巴人大道与长兴北路交汇处东北侧），所在区域为环境空气质量达标区。本项目属于医疗卫生服务设施建设，</w:t>
            </w:r>
            <w:r>
              <w:rPr>
                <w:color w:val="000000" w:themeColor="text1"/>
                <w:kern w:val="0"/>
                <w:sz w:val="24"/>
                <w:lang w:bidi="ar"/>
                <w14:textFill>
                  <w14:solidFill>
                    <w14:schemeClr w14:val="tx1"/>
                  </w14:solidFill>
                </w14:textFill>
              </w:rPr>
              <w:t>项目采取有针对性的环保治理措施后能实现达标排放，对区域环境影响较小</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不会改变区域环境功能，对周围环境影响有限，符合环境质量底线要求。</w:t>
            </w:r>
          </w:p>
          <w:p>
            <w:pPr>
              <w:widowControl/>
              <w:adjustRightInd w:val="0"/>
              <w:snapToGrid w:val="0"/>
              <w:spacing w:line="360" w:lineRule="auto"/>
              <w:rPr>
                <w:b/>
                <w:bCs/>
                <w:color w:val="000000" w:themeColor="text1"/>
                <w:sz w:val="24"/>
                <w14:textFill>
                  <w14:solidFill>
                    <w14:schemeClr w14:val="tx1"/>
                  </w14:solidFill>
                </w14:textFill>
              </w:rPr>
            </w:pPr>
            <w:r>
              <w:rPr>
                <w:b/>
                <w:bCs/>
                <w:color w:val="000000" w:themeColor="text1"/>
                <w:kern w:val="0"/>
                <w:sz w:val="24"/>
                <w:lang w:bidi="ar"/>
                <w14:textFill>
                  <w14:solidFill>
                    <w14:schemeClr w14:val="tx1"/>
                  </w14:solidFill>
                </w14:textFill>
              </w:rPr>
              <w:t>（3）资源利用上线</w:t>
            </w:r>
          </w:p>
          <w:p>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资源是环境的载体，</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资源利用上线</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是地区能源、水、土地等资源消耗不得突破的</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天花板</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pPr>
              <w:widowControl/>
              <w:spacing w:line="360" w:lineRule="auto"/>
              <w:ind w:firstLine="480" w:firstLineChars="200"/>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本项目属于</w:t>
            </w:r>
            <w:r>
              <w:rPr>
                <w:rFonts w:hint="eastAsia"/>
                <w:color w:val="000000" w:themeColor="text1"/>
                <w:kern w:val="0"/>
                <w:sz w:val="24"/>
                <w:lang w:bidi="ar"/>
                <w14:textFill>
                  <w14:solidFill>
                    <w14:schemeClr w14:val="tx1"/>
                  </w14:solidFill>
                </w14:textFill>
              </w:rPr>
              <w:t>医疗卫生服务设施建设</w:t>
            </w:r>
            <w:r>
              <w:rPr>
                <w:color w:val="000000" w:themeColor="text1"/>
                <w:kern w:val="0"/>
                <w:sz w:val="24"/>
                <w:lang w:bidi="ar"/>
                <w14:textFill>
                  <w14:solidFill>
                    <w14:schemeClr w14:val="tx1"/>
                  </w14:solidFill>
                </w14:textFill>
              </w:rPr>
              <w:t>项目，</w:t>
            </w:r>
            <w:r>
              <w:rPr>
                <w:rFonts w:hint="eastAsia"/>
                <w:color w:val="000000" w:themeColor="text1"/>
                <w:kern w:val="0"/>
                <w:sz w:val="24"/>
                <w:lang w:bidi="ar"/>
                <w14:textFill>
                  <w14:solidFill>
                    <w14:schemeClr w14:val="tx1"/>
                  </w14:solidFill>
                </w14:textFill>
              </w:rPr>
              <w:t>营运期涉及能源消耗主要为电能、水资源消耗，不属于重大耗能项目</w:t>
            </w:r>
            <w:r>
              <w:rPr>
                <w:color w:val="000000" w:themeColor="text1"/>
                <w:kern w:val="0"/>
                <w:sz w:val="24"/>
                <w:lang w:bidi="ar"/>
                <w14:textFill>
                  <w14:solidFill>
                    <w14:schemeClr w14:val="tx1"/>
                  </w14:solidFill>
                </w14:textFill>
              </w:rPr>
              <w:t>。同时，项目在落实环评中提出的相关建议后，项目运营期</w:t>
            </w:r>
            <w:r>
              <w:rPr>
                <w:rFonts w:hint="eastAsia"/>
                <w:color w:val="000000" w:themeColor="text1"/>
                <w:kern w:val="0"/>
                <w:sz w:val="24"/>
                <w:lang w:bidi="ar"/>
                <w14:textFill>
                  <w14:solidFill>
                    <w14:schemeClr w14:val="tx1"/>
                  </w14:solidFill>
                </w14:textFill>
              </w:rPr>
              <w:t>废水、</w:t>
            </w:r>
            <w:r>
              <w:rPr>
                <w:color w:val="000000" w:themeColor="text1"/>
                <w:kern w:val="0"/>
                <w:sz w:val="24"/>
                <w:lang w:bidi="ar"/>
                <w14:textFill>
                  <w14:solidFill>
                    <w14:schemeClr w14:val="tx1"/>
                  </w14:solidFill>
                </w14:textFill>
              </w:rPr>
              <w:t>固废、废气、噪声等污染物</w:t>
            </w:r>
            <w:r>
              <w:rPr>
                <w:rFonts w:hint="eastAsia"/>
                <w:color w:val="000000" w:themeColor="text1"/>
                <w:kern w:val="0"/>
                <w:sz w:val="24"/>
                <w:lang w:bidi="ar"/>
                <w14:textFill>
                  <w14:solidFill>
                    <w14:schemeClr w14:val="tx1"/>
                  </w14:solidFill>
                </w14:textFill>
              </w:rPr>
              <w:t>均能实现达标</w:t>
            </w:r>
            <w:r>
              <w:rPr>
                <w:color w:val="000000" w:themeColor="text1"/>
                <w:kern w:val="0"/>
                <w:sz w:val="24"/>
                <w:lang w:bidi="ar"/>
                <w14:textFill>
                  <w14:solidFill>
                    <w14:schemeClr w14:val="tx1"/>
                  </w14:solidFill>
                </w14:textFill>
              </w:rPr>
              <w:t>排放</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不会改变区域环境质量现状，区域自然资源和环境容量足以支撑项目的建设。本项目的建设</w:t>
            </w:r>
            <w:r>
              <w:rPr>
                <w:rFonts w:hint="eastAsia"/>
                <w:color w:val="000000" w:themeColor="text1"/>
                <w:kern w:val="0"/>
                <w:sz w:val="24"/>
                <w:lang w:bidi="ar"/>
                <w14:textFill>
                  <w14:solidFill>
                    <w14:schemeClr w14:val="tx1"/>
                  </w14:solidFill>
                </w14:textFill>
              </w:rPr>
              <w:t>将进一步推进宣汉县医院的规范化建设，提高医疗卫生队伍服务能力</w:t>
            </w:r>
            <w:r>
              <w:rPr>
                <w:color w:val="000000" w:themeColor="text1"/>
                <w:kern w:val="0"/>
                <w:sz w:val="24"/>
                <w:lang w:bidi="ar"/>
                <w14:textFill>
                  <w14:solidFill>
                    <w14:schemeClr w14:val="tx1"/>
                  </w14:solidFill>
                </w14:textFill>
              </w:rPr>
              <w:t>，</w:t>
            </w:r>
            <w:r>
              <w:rPr>
                <w:rFonts w:hint="eastAsia"/>
                <w:color w:val="000000" w:themeColor="text1"/>
                <w:kern w:val="0"/>
                <w:sz w:val="24"/>
                <w:lang w:bidi="ar"/>
                <w14:textFill>
                  <w14:solidFill>
                    <w14:schemeClr w14:val="tx1"/>
                  </w14:solidFill>
                </w14:textFill>
              </w:rPr>
              <w:t>因此，本项目建设</w:t>
            </w:r>
            <w:r>
              <w:rPr>
                <w:color w:val="000000" w:themeColor="text1"/>
                <w:kern w:val="0"/>
                <w:sz w:val="24"/>
                <w:lang w:bidi="ar"/>
                <w14:textFill>
                  <w14:solidFill>
                    <w14:schemeClr w14:val="tx1"/>
                  </w14:solidFill>
                </w14:textFill>
              </w:rPr>
              <w:t>符合资源利用上线相关要求。</w:t>
            </w:r>
          </w:p>
          <w:p>
            <w:pPr>
              <w:widowControl/>
              <w:spacing w:line="360" w:lineRule="auto"/>
              <w:rPr>
                <w:b/>
                <w:bCs/>
                <w:color w:val="000000" w:themeColor="text1"/>
                <w:sz w:val="24"/>
                <w14:textFill>
                  <w14:solidFill>
                    <w14:schemeClr w14:val="tx1"/>
                  </w14:solidFill>
                </w14:textFill>
              </w:rPr>
            </w:pPr>
            <w:r>
              <w:rPr>
                <w:b/>
                <w:bCs/>
                <w:color w:val="000000" w:themeColor="text1"/>
                <w:kern w:val="0"/>
                <w:sz w:val="24"/>
                <w:lang w:bidi="ar"/>
                <w14:textFill>
                  <w14:solidFill>
                    <w14:schemeClr w14:val="tx1"/>
                  </w14:solidFill>
                </w14:textFill>
              </w:rPr>
              <w:t>（4）环境准入负面清单</w:t>
            </w:r>
          </w:p>
          <w:p>
            <w:pPr>
              <w:tabs>
                <w:tab w:val="left" w:pos="3330"/>
              </w:tabs>
              <w:spacing w:line="360" w:lineRule="auto"/>
              <w:ind w:firstLine="56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环境准入负面清单是基于生态保护红线、环境质量底线和资源利用上线，以清单方式列出的禁止、限制等差别化环境准入条件和要求。</w:t>
            </w:r>
          </w:p>
          <w:p>
            <w:pPr>
              <w:tabs>
                <w:tab w:val="left" w:pos="3330"/>
              </w:tabs>
              <w:spacing w:line="360" w:lineRule="auto"/>
              <w:ind w:firstLine="56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根据四川省发展改革委印发的</w:t>
            </w:r>
            <w:r>
              <w:rPr>
                <w:color w:val="000000" w:themeColor="text1"/>
                <w:sz w:val="24"/>
                <w14:textFill>
                  <w14:solidFill>
                    <w14:schemeClr w14:val="tx1"/>
                  </w14:solidFill>
                </w14:textFill>
              </w:rPr>
              <w:t>《四川省国家重点生态功能区产业准入负面清单（第一批）（试行）》、《四川省重点生态功能区产业准入负面清单（第二批）（试行）》</w:t>
            </w:r>
            <w:r>
              <w:rPr>
                <w:rFonts w:hint="eastAsia"/>
                <w:color w:val="000000" w:themeColor="text1"/>
                <w:sz w:val="24"/>
                <w14:textFill>
                  <w14:solidFill>
                    <w14:schemeClr w14:val="tx1"/>
                  </w14:solidFill>
                </w14:textFill>
              </w:rPr>
              <w:t>、《长江经济带发展负面清单指南（试行）》</w:t>
            </w:r>
            <w:r>
              <w:rPr>
                <w:rFonts w:hint="eastAsia"/>
                <w:color w:val="000000" w:themeColor="text1"/>
                <w:kern w:val="0"/>
                <w:sz w:val="24"/>
                <w:lang w:bidi="ar"/>
                <w14:textFill>
                  <w14:solidFill>
                    <w14:schemeClr w14:val="tx1"/>
                  </w14:solidFill>
                </w14:textFill>
              </w:rPr>
              <w:t>，达州市宣汉县不在其所列区县之列。本项目属于医疗卫生服务设施建设，不属于环境准入负面清单之列。</w:t>
            </w:r>
          </w:p>
          <w:p>
            <w:pPr>
              <w:tabs>
                <w:tab w:val="left" w:pos="3330"/>
              </w:tabs>
              <w:spacing w:line="360" w:lineRule="auto"/>
              <w:ind w:firstLine="56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综上，本项目位于宣汉县</w:t>
            </w:r>
            <w:r>
              <w:rPr>
                <w:rFonts w:hint="eastAsia"/>
                <w:color w:val="000000" w:themeColor="text1"/>
                <w:kern w:val="0"/>
                <w:sz w:val="24"/>
                <w:lang w:eastAsia="zh-CN" w:bidi="ar"/>
                <w14:textFill>
                  <w14:solidFill>
                    <w14:schemeClr w14:val="tx1"/>
                  </w14:solidFill>
                </w14:textFill>
              </w:rPr>
              <w:t>蒲江</w:t>
            </w:r>
            <w:r>
              <w:rPr>
                <w:rFonts w:hint="eastAsia"/>
                <w:color w:val="000000" w:themeColor="text1"/>
                <w:kern w:val="0"/>
                <w:sz w:val="24"/>
                <w:lang w:bidi="ar"/>
                <w14:textFill>
                  <w14:solidFill>
                    <w14:schemeClr w14:val="tx1"/>
                  </w14:solidFill>
                </w14:textFill>
              </w:rPr>
              <w:t>街道（巴人大道与长兴北路交汇处东北侧），不在饮用水源保护区、自然保护区、风景名胜区、湿地公园、地质公园等各类生态保护重要区域。结合《四川省生态保护红线分布图》分析，项目选址与《四川省生态保护红线方案》是相协调的，项目与“三线一单”相符。</w:t>
            </w:r>
          </w:p>
          <w:p>
            <w:pPr>
              <w:pStyle w:val="21"/>
              <w:numPr>
                <w:ilvl w:val="0"/>
                <w:numId w:val="4"/>
              </w:numPr>
              <w:adjustRightInd w:val="0"/>
              <w:spacing w:before="0" w:after="0" w:line="360" w:lineRule="auto"/>
              <w:ind w:right="0" w:firstLine="0" w:firstLineChars="0"/>
              <w:rPr>
                <w:b/>
                <w:bCs/>
                <w:color w:val="000000" w:themeColor="text1"/>
                <w:sz w:val="24"/>
                <w:szCs w:val="24"/>
                <w:lang w:bidi="ar"/>
                <w14:textFill>
                  <w14:solidFill>
                    <w14:schemeClr w14:val="tx1"/>
                  </w14:solidFill>
                </w14:textFill>
              </w:rPr>
            </w:pPr>
            <w:r>
              <w:rPr>
                <w:rFonts w:hint="eastAsia"/>
                <w:b/>
                <w:bCs/>
                <w:color w:val="000000" w:themeColor="text1"/>
                <w:sz w:val="24"/>
                <w:szCs w:val="24"/>
                <w:lang w:bidi="ar"/>
                <w14:textFill>
                  <w14:solidFill>
                    <w14:schemeClr w14:val="tx1"/>
                  </w14:solidFill>
                </w14:textFill>
              </w:rPr>
              <w:t>项目选址可行性分析</w:t>
            </w:r>
          </w:p>
          <w:p>
            <w:pPr>
              <w:pStyle w:val="21"/>
              <w:adjustRightInd w:val="0"/>
              <w:spacing w:before="0" w:after="0" w:line="360" w:lineRule="auto"/>
              <w:ind w:right="0" w:firstLine="480" w:firstLineChars="200"/>
              <w:rPr>
                <w:color w:val="000000" w:themeColor="text1"/>
                <w:sz w:val="24"/>
                <w:szCs w:val="24"/>
                <w:lang w:bidi="ar"/>
                <w14:textFill>
                  <w14:solidFill>
                    <w14:schemeClr w14:val="tx1"/>
                  </w14:solidFill>
                </w14:textFill>
              </w:rPr>
            </w:pPr>
            <w:r>
              <w:rPr>
                <w:rFonts w:hint="eastAsia"/>
                <w:color w:val="000000" w:themeColor="text1"/>
                <w:sz w:val="24"/>
                <w:szCs w:val="24"/>
                <w:lang w:bidi="ar"/>
                <w14:textFill>
                  <w14:solidFill>
                    <w14:schemeClr w14:val="tx1"/>
                  </w14:solidFill>
                </w14:textFill>
              </w:rPr>
              <w:t>（1）建设条件分析</w:t>
            </w:r>
          </w:p>
          <w:p>
            <w:pPr>
              <w:pStyle w:val="21"/>
              <w:adjustRightInd w:val="0"/>
              <w:spacing w:before="0" w:after="0" w:line="360" w:lineRule="auto"/>
              <w:ind w:right="0" w:firstLine="480" w:firstLineChars="200"/>
              <w:rPr>
                <w:color w:val="000000" w:themeColor="text1"/>
                <w:sz w:val="24"/>
                <w:szCs w:val="24"/>
                <w:lang w:bidi="ar"/>
                <w14:textFill>
                  <w14:solidFill>
                    <w14:schemeClr w14:val="tx1"/>
                  </w14:solidFill>
                </w14:textFill>
              </w:rPr>
            </w:pPr>
            <w:r>
              <w:rPr>
                <w:rFonts w:hint="eastAsia"/>
                <w:color w:val="000000" w:themeColor="text1"/>
                <w:sz w:val="24"/>
                <w:szCs w:val="24"/>
                <w:lang w:bidi="ar"/>
                <w14:textFill>
                  <w14:solidFill>
                    <w14:schemeClr w14:val="tx1"/>
                  </w14:solidFill>
                </w14:textFill>
              </w:rPr>
              <w:t>本项目位于宣汉县</w:t>
            </w:r>
            <w:r>
              <w:rPr>
                <w:rFonts w:hint="eastAsia"/>
                <w:color w:val="000000" w:themeColor="text1"/>
                <w:sz w:val="24"/>
                <w:szCs w:val="24"/>
                <w:lang w:eastAsia="zh-CN" w:bidi="ar"/>
                <w14:textFill>
                  <w14:solidFill>
                    <w14:schemeClr w14:val="tx1"/>
                  </w14:solidFill>
                </w14:textFill>
              </w:rPr>
              <w:t>蒲江</w:t>
            </w:r>
            <w:r>
              <w:rPr>
                <w:rFonts w:hint="eastAsia"/>
                <w:color w:val="000000" w:themeColor="text1"/>
                <w:sz w:val="24"/>
                <w:szCs w:val="24"/>
                <w:lang w:bidi="ar"/>
                <w14:textFill>
                  <w14:solidFill>
                    <w14:schemeClr w14:val="tx1"/>
                  </w14:solidFill>
                </w14:textFill>
              </w:rPr>
              <w:t>街道（巴人大道与长兴北路交汇处东北侧），</w:t>
            </w:r>
            <w:r>
              <w:rPr>
                <w:rFonts w:hint="eastAsia"/>
                <w:color w:val="000000" w:themeColor="text1"/>
                <w:sz w:val="24"/>
                <w:szCs w:val="32"/>
                <w14:textFill>
                  <w14:solidFill>
                    <w14:schemeClr w14:val="tx1"/>
                  </w14:solidFill>
                </w14:textFill>
              </w:rPr>
              <w:t>属于宣汉城区，</w:t>
            </w:r>
            <w:r>
              <w:rPr>
                <w:rFonts w:hint="eastAsia"/>
                <w:color w:val="000000" w:themeColor="text1"/>
                <w:sz w:val="24"/>
                <w:szCs w:val="24"/>
                <w:lang w:bidi="ar"/>
                <w14:textFill>
                  <w14:solidFill>
                    <w14:schemeClr w14:val="tx1"/>
                  </w14:solidFill>
                </w14:textFill>
              </w:rPr>
              <w:t>项目西侧紧邻巴人大道，南侧紧邻长兴北路，项目区交通便利，利于车辆通行。</w:t>
            </w:r>
          </w:p>
          <w:p>
            <w:pPr>
              <w:pStyle w:val="21"/>
              <w:adjustRightInd w:val="0"/>
              <w:spacing w:before="0" w:after="0" w:line="360" w:lineRule="auto"/>
              <w:ind w:right="0" w:firstLine="480" w:firstLineChars="200"/>
              <w:rPr>
                <w:color w:val="000000" w:themeColor="text1"/>
                <w:sz w:val="24"/>
                <w:szCs w:val="24"/>
                <w:lang w:bidi="ar"/>
                <w14:textFill>
                  <w14:solidFill>
                    <w14:schemeClr w14:val="tx1"/>
                  </w14:solidFill>
                </w14:textFill>
              </w:rPr>
            </w:pPr>
            <w:r>
              <w:rPr>
                <w:rFonts w:hint="eastAsia"/>
                <w:color w:val="000000" w:themeColor="text1"/>
                <w:sz w:val="24"/>
                <w:szCs w:val="24"/>
                <w:lang w:bidi="ar"/>
                <w14:textFill>
                  <w14:solidFill>
                    <w14:schemeClr w14:val="tx1"/>
                  </w14:solidFill>
                </w14:textFill>
              </w:rPr>
              <w:t>（2）环保合理性分析</w:t>
            </w:r>
          </w:p>
          <w:p>
            <w:pPr>
              <w:pStyle w:val="21"/>
              <w:adjustRightInd w:val="0"/>
              <w:spacing w:before="0" w:after="0" w:line="360" w:lineRule="auto"/>
              <w:ind w:right="0" w:firstLine="480" w:firstLineChars="200"/>
              <w:rPr>
                <w:color w:val="000000" w:themeColor="text1"/>
                <w:sz w:val="24"/>
                <w:szCs w:val="24"/>
                <w:lang w:bidi="ar"/>
                <w14:textFill>
                  <w14:solidFill>
                    <w14:schemeClr w14:val="tx1"/>
                  </w14:solidFill>
                </w14:textFill>
              </w:rPr>
            </w:pPr>
            <w:r>
              <w:rPr>
                <w:rFonts w:hint="eastAsia"/>
                <w:color w:val="000000" w:themeColor="text1"/>
                <w:sz w:val="24"/>
                <w:szCs w:val="24"/>
                <w:lang w:bidi="ar"/>
                <w14:textFill>
                  <w14:solidFill>
                    <w14:schemeClr w14:val="tx1"/>
                  </w14:solidFill>
                </w14:textFill>
              </w:rPr>
              <w:t>根据环境功能区划分，本项目所在区域大气环境质量为二类区，厂址周围地表水环境质量为III类区，声学环境质量属于2类区。据现场调查</w:t>
            </w:r>
            <w:r>
              <w:rPr>
                <w:rFonts w:hint="eastAsia"/>
                <w:color w:val="000000" w:themeColor="text1"/>
                <w:sz w:val="24"/>
                <w:szCs w:val="32"/>
                <w14:textFill>
                  <w14:solidFill>
                    <w14:schemeClr w14:val="tx1"/>
                  </w14:solidFill>
                </w14:textFill>
              </w:rPr>
              <w:t>本项目所在地属于宣汉城区，周边为商业、居民、机关事业单位混住区</w:t>
            </w:r>
            <w:r>
              <w:rPr>
                <w:rFonts w:hint="eastAsia"/>
                <w:color w:val="000000" w:themeColor="text1"/>
                <w:sz w:val="24"/>
                <w:szCs w:val="24"/>
                <w:lang w:bidi="ar"/>
                <w14:textFill>
                  <w14:solidFill>
                    <w14:schemeClr w14:val="tx1"/>
                  </w14:solidFill>
                </w14:textFill>
              </w:rPr>
              <w:t>，评价区域内无自然保护区，无风景名胜区，无需特殊保护的名木古树及珍稀动植物。项目外环境关系较简单。故本项目选址建设的地点无明显外环境制约因素。</w:t>
            </w:r>
          </w:p>
          <w:p>
            <w:pPr>
              <w:pStyle w:val="21"/>
              <w:adjustRightInd w:val="0"/>
              <w:spacing w:before="0" w:after="0" w:line="360" w:lineRule="auto"/>
              <w:ind w:right="0" w:firstLine="480" w:firstLineChars="200"/>
              <w:rPr>
                <w:color w:val="000000" w:themeColor="text1"/>
                <w:sz w:val="24"/>
                <w:szCs w:val="24"/>
                <w:lang w:bidi="ar"/>
                <w14:textFill>
                  <w14:solidFill>
                    <w14:schemeClr w14:val="tx1"/>
                  </w14:solidFill>
                </w14:textFill>
              </w:rPr>
            </w:pPr>
            <w:r>
              <w:rPr>
                <w:rFonts w:hint="eastAsia"/>
                <w:color w:val="000000" w:themeColor="text1"/>
                <w:sz w:val="24"/>
                <w:szCs w:val="24"/>
                <w:lang w:bidi="ar"/>
                <w14:textFill>
                  <w14:solidFill>
                    <w14:schemeClr w14:val="tx1"/>
                  </w14:solidFill>
                </w14:textFill>
              </w:rPr>
              <w:t>（3）项目污染影响分析</w:t>
            </w:r>
          </w:p>
          <w:p>
            <w:pPr>
              <w:pStyle w:val="21"/>
              <w:adjustRightInd w:val="0"/>
              <w:spacing w:before="0" w:after="0" w:line="360" w:lineRule="auto"/>
              <w:ind w:right="0" w:firstLine="480" w:firstLineChars="200"/>
              <w:rPr>
                <w:color w:val="000000" w:themeColor="text1"/>
                <w:sz w:val="24"/>
                <w:szCs w:val="24"/>
                <w:lang w:bidi="ar"/>
                <w14:textFill>
                  <w14:solidFill>
                    <w14:schemeClr w14:val="tx1"/>
                  </w14:solidFill>
                </w14:textFill>
              </w:rPr>
            </w:pPr>
            <w:r>
              <w:rPr>
                <w:rFonts w:hint="eastAsia"/>
                <w:color w:val="000000" w:themeColor="text1"/>
                <w:sz w:val="24"/>
                <w:szCs w:val="24"/>
                <w:lang w:bidi="ar"/>
                <w14:textFill>
                  <w14:solidFill>
                    <w14:schemeClr w14:val="tx1"/>
                  </w14:solidFill>
                </w14:textFill>
              </w:rPr>
              <w:t>本项目污染主要有废气、废水及噪声等。本项目为医疗卫生服务设施建设，废气主要为医院医护人员及就医人员产生浊气，通过消毒通风，降低对周边环境影响；项目产生的废水经污水处理设施预处理达到《医疗机构水污染物排放标准》（GB18466-2005）表2中预处理标准后进入市政污水管网；噪声源主要为机械设备、空调等设施，在采取基础减震、房间隔声等措施，经距离衰减之后对周围的声环境影响轻微；项目在采取合理污染防治措施的情况下，对周边环境影响较小，可为环境接受。</w:t>
            </w:r>
          </w:p>
          <w:p>
            <w:pPr>
              <w:adjustRightInd w:val="0"/>
              <w:snapToGrid w:val="0"/>
              <w:spacing w:line="360" w:lineRule="auto"/>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（4）项目外环境分析</w:t>
            </w:r>
          </w:p>
          <w:p>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sz w:val="24"/>
                <w:szCs w:val="32"/>
                <w14:textFill>
                  <w14:solidFill>
                    <w14:schemeClr w14:val="tx1"/>
                  </w14:solidFill>
                </w14:textFill>
              </w:rPr>
              <w:t>项目位于宣汉县</w:t>
            </w:r>
            <w:r>
              <w:rPr>
                <w:rFonts w:hint="eastAsia"/>
                <w:color w:val="000000" w:themeColor="text1"/>
                <w:sz w:val="24"/>
                <w:szCs w:val="32"/>
                <w:lang w:eastAsia="zh-CN"/>
                <w14:textFill>
                  <w14:solidFill>
                    <w14:schemeClr w14:val="tx1"/>
                  </w14:solidFill>
                </w14:textFill>
              </w:rPr>
              <w:t>蒲江</w:t>
            </w:r>
            <w:r>
              <w:rPr>
                <w:rFonts w:hint="eastAsia"/>
                <w:color w:val="000000" w:themeColor="text1"/>
                <w:sz w:val="24"/>
                <w:szCs w:val="32"/>
                <w14:textFill>
                  <w14:solidFill>
                    <w14:schemeClr w14:val="tx1"/>
                  </w14:solidFill>
                </w14:textFill>
              </w:rPr>
              <w:t>街道（巴人大道与长兴北路交汇处东北侧），经现场踏勘，本项目所在地属于宣汉城区，周边为商业、居民、机关事业单位混住区。项目西侧紧邻巴人大道，西侧80~380m为待建空置地，空置地西侧为亿联国际商贸城；西北侧100~420m为达州科技职业技术学校；北侧220~430m为宣汉客运站；北侧直距430~580m为宣汉国有林场棚改小区、宣汉县廉租房B区；东北侧260~800m为永安村居民区；东侧180~650m为商住区，东侧680m为州河；南侧紧邻长兴北路，50~240m为巴人大道廉租房惠民小区，230~450m为宣汉中学</w:t>
            </w:r>
            <w:r>
              <w:rPr>
                <w:rFonts w:hint="eastAsia"/>
                <w:color w:val="000000" w:themeColor="text1"/>
                <w:sz w:val="24"/>
                <w:szCs w:val="32"/>
                <w:lang w:eastAsia="zh-CN"/>
                <w14:textFill>
                  <w14:solidFill>
                    <w14:schemeClr w14:val="tx1"/>
                  </w14:solidFill>
                </w14:textFill>
              </w:rPr>
              <w:t>蒲江</w:t>
            </w:r>
            <w:r>
              <w:rPr>
                <w:rFonts w:hint="eastAsia"/>
                <w:color w:val="000000" w:themeColor="text1"/>
                <w:sz w:val="24"/>
                <w:szCs w:val="32"/>
                <w14:textFill>
                  <w14:solidFill>
                    <w14:schemeClr w14:val="tx1"/>
                  </w14:solidFill>
                </w14:textFill>
              </w:rPr>
              <w:t>学校，项目南侧450m外为商住区；项目周边1km范围内不涉及任何存在明显污染物排放的工业企业，主要为商住区，不会对本项目正常医疗活动产生影响，不会对本项目的实施形成环境制约，项目建设后，也不会对外环境造成不利影响。项目</w:t>
            </w:r>
            <w:r>
              <w:rPr>
                <w:rFonts w:hint="eastAsia"/>
                <w:color w:val="000000" w:themeColor="text1"/>
                <w:sz w:val="24"/>
                <w:lang w:bidi="ar"/>
                <w14:textFill>
                  <w14:solidFill>
                    <w14:schemeClr w14:val="tx1"/>
                  </w14:solidFill>
                </w14:textFill>
              </w:rPr>
              <w:t>选址从环保角度而言是可行的。</w:t>
            </w:r>
          </w:p>
        </w:tc>
      </w:tr>
    </w:tbl>
    <w:p>
      <w:pPr>
        <w:spacing w:line="360" w:lineRule="auto"/>
        <w:rPr>
          <w:rFonts w:eastAsia="黑体"/>
          <w:color w:val="000000" w:themeColor="text1"/>
          <w:sz w:val="30"/>
          <w14:textFill>
            <w14:solidFill>
              <w14:schemeClr w14:val="tx1"/>
            </w14:solidFill>
          </w14:textFill>
        </w:rPr>
        <w:sectPr>
          <w:footerReference r:id="rId6" w:type="default"/>
          <w:pgSz w:w="11906" w:h="16838"/>
          <w:pgMar w:top="1440" w:right="1800" w:bottom="1440" w:left="1800" w:header="851" w:footer="1134" w:gutter="0"/>
          <w:pgNumType w:start="1"/>
          <w:cols w:space="720" w:num="1"/>
          <w:docGrid w:linePitch="312" w:charSpace="0"/>
        </w:sectPr>
      </w:pPr>
    </w:p>
    <w:p>
      <w:pPr>
        <w:pStyle w:val="2"/>
        <w:rPr>
          <w:color w:val="000000" w:themeColor="text1"/>
          <w14:textFill>
            <w14:solidFill>
              <w14:schemeClr w14:val="tx1"/>
            </w14:solidFill>
          </w14:textFill>
        </w:rPr>
      </w:pPr>
      <w:bookmarkStart w:id="6" w:name="_Toc24977"/>
      <w:r>
        <w:rPr>
          <w:color w:val="000000" w:themeColor="text1"/>
          <w14:textFill>
            <w14:solidFill>
              <w14:schemeClr w14:val="tx1"/>
            </w14:solidFill>
          </w14:textFill>
        </w:rPr>
        <w:t>二、建设项目工程分析</w:t>
      </w:r>
      <w:bookmarkEnd w:id="4"/>
      <w:bookmarkEnd w:id="6"/>
    </w:p>
    <w:tbl>
      <w:tblPr>
        <w:tblStyle w:val="23"/>
        <w:tblW w:w="95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4"/>
        <w:gridCol w:w="86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vAlign w:val="center"/>
          </w:tcPr>
          <w:p>
            <w:pPr>
              <w:pStyle w:val="19"/>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建设内容</w:t>
            </w:r>
          </w:p>
        </w:tc>
        <w:tc>
          <w:tcPr>
            <w:tcW w:w="8161" w:type="dxa"/>
          </w:tcPr>
          <w:p>
            <w:pPr>
              <w:numPr>
                <w:ilvl w:val="0"/>
                <w:numId w:val="5"/>
              </w:numPr>
              <w:adjustRightInd w:val="0"/>
              <w:snapToGrid w:val="0"/>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项目</w:t>
            </w:r>
            <w:r>
              <w:rPr>
                <w:rFonts w:hint="eastAsia"/>
                <w:b/>
                <w:bCs/>
                <w:color w:val="000000" w:themeColor="text1"/>
                <w:sz w:val="24"/>
                <w14:textFill>
                  <w14:solidFill>
                    <w14:schemeClr w14:val="tx1"/>
                  </w14:solidFill>
                </w14:textFill>
              </w:rPr>
              <w:t>由来</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宣汉县第三人民医院是一家集医疗、教学、科研、急诊急救康复为一体的国家二级综合医院，医院编制床位200张，现有职工300余人，主任医师、副主任医师等高级职称30余人，本科及以上学历200余人。医疗设备先进，业务科室设置齐全：有普外科、泌尿外科、骨外科、肛肠外科、妇产科、眼耳鼻喉科、心血管内科、呼吸内科、消化内科、内分泌科、康复医学科、儿科、口腔科、皮肤性病科、急诊科、重症医学科、麻醉科、超声科、检验科、放射科、胃肠镜科等30余个一、二级临床科室。</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宣汉县第三人民医院于2003年由宣汉县卫校附属医院更名而成，宣汉县卫校附属医院于1998年建成，为满足当地民众就医需求于2020年投资670万元，</w:t>
            </w:r>
            <w:r>
              <w:rPr>
                <w:rFonts w:hint="eastAsia"/>
                <w:color w:val="000000" w:themeColor="text1"/>
                <w:sz w:val="24"/>
                <w:lang w:val="en-US" w:eastAsia="zh-CN"/>
                <w14:textFill>
                  <w14:solidFill>
                    <w14:schemeClr w14:val="tx1"/>
                  </w14:solidFill>
                </w14:textFill>
              </w:rPr>
              <w:t>政府同意</w:t>
            </w:r>
            <w:r>
              <w:rPr>
                <w:rFonts w:hint="eastAsia"/>
                <w:color w:val="000000" w:themeColor="text1"/>
                <w:sz w:val="24"/>
                <w14:textFill>
                  <w14:solidFill>
                    <w14:schemeClr w14:val="tx1"/>
                  </w14:solidFill>
                </w14:textFill>
              </w:rPr>
              <w:t>宣汉县机关事务管理局所属的原环境监测站全部</w:t>
            </w: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6F作为本医院康复中心使用（主要设置疗养病床、检验科及消毒供应室等），原环保局第5F作为本项目行政办公使用，使用内容主要为重新装修及设备安装，同时对现有1~3F综合楼进行布局调整。除前述内容外，医院其他设施均未发生变化，</w:t>
            </w:r>
            <w:r>
              <w:rPr>
                <w:rFonts w:hint="eastAsia"/>
                <w:color w:val="000000" w:themeColor="text1"/>
                <w:sz w:val="24"/>
                <w:lang w:val="en-US" w:eastAsia="zh-CN"/>
                <w14:textFill>
                  <w14:solidFill>
                    <w14:schemeClr w14:val="tx1"/>
                  </w14:solidFill>
                </w14:textFill>
              </w:rPr>
              <w:t>编制</w:t>
            </w:r>
            <w:r>
              <w:rPr>
                <w:rFonts w:hint="eastAsia"/>
                <w:color w:val="000000" w:themeColor="text1"/>
                <w:sz w:val="24"/>
                <w14:textFill>
                  <w14:solidFill>
                    <w14:schemeClr w14:val="tx1"/>
                  </w14:solidFill>
                </w14:textFill>
              </w:rPr>
              <w:t>床位数量仍为200张。</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目前，宣汉县第三人民医院仅能满足日常的门诊及住院使用，随着宣汉县第三人民医院服务功能、服务水平、人才结构、医疗设备等软硬件实力的逐年提升，现状门诊及住院病人的逐步饱和，由于这些因素，宣汉县第三人民医院公共卫生服务水平极度压缩，公共卫生服务水平严重不足，区域的服务功能、服务流程完全达不到国家基本公共卫生服务的基本要求，特别是面对重大突发公共医疗事件时。宣汉县第三人民医院处于宣汉县老城区内，受地理环境制约，不具备扩能建设条件，为此，特提出医院整体外迁，扩建医院以满足需求的现状。</w:t>
            </w:r>
          </w:p>
          <w:p>
            <w:pPr>
              <w:adjustRightInd w:val="0"/>
              <w:snapToGrid w:val="0"/>
              <w:spacing w:line="360" w:lineRule="auto"/>
              <w:ind w:firstLine="480" w:firstLineChars="200"/>
              <w:rPr>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宣汉县第三人民医院迁建项目由两部分组成，第一部分为宣汉县第三人民医院迁建项目住院部外迁（以下简称本项目），规划净用地面积6747m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，建设一栋住院楼及其相关附属工程，建设单位为宣汉县第三人民医院；第二部分为万达开川渝统筹发展示范区宣汉县乡村振兴医疗能力提升项目（一期）（以下简称二期项目），规划净用地面积9918m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，建设门诊医技楼、发热门诊及其相关附属工程，建设单位为宣汉县城乡建设发展有限公司。本次评价内容为宣汉县第三人民医院迁建项目住院部外迁，项目不涉及传染科（不接收传染病人），</w:t>
            </w:r>
            <w:r>
              <w:rPr>
                <w:rFonts w:hint="eastAsia"/>
                <w:b/>
                <w:bCs/>
                <w:color w:val="000000" w:themeColor="text1"/>
                <w:sz w:val="24"/>
                <w14:textFill>
                  <w14:solidFill>
                    <w14:schemeClr w14:val="tx1"/>
                  </w14:solidFill>
                </w14:textFill>
              </w:rPr>
              <w:t>本次评价不含放射科及辐射等相关内容，项目放射科及辐射等内容需委托有资质的单位另行环评，得到相关主管部门的批准之后，方能正式投入运行。</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中华人民共和国环境保护法》、《中华人民共和国环境影响评价法》以及《建设项目环境保护管理条例》的要求，该项目应进行环境影响评价。依据《建设项目环境影响评价分类管理目录》（生态环境部令第16号），本项目属于名录中“四十九、卫生-108医院-其他（住院床位20张以下的除外）”应编制环境影响报告表。为此，宣汉县第三人民医院项目委托我公司（四川岷源科技有限公司）承担该项目的环境影响评价工作。我单位接受委托后，立即组织技术人员对该项目进行了详细现场踏勘和资料收集，在对建设项目进行了工程分析及相关环境要素分析后，编制了本环境影响报告表，待审批后作为开展项目建设环保设计及主管部门环境管理工作的依据。</w:t>
            </w:r>
          </w:p>
          <w:p>
            <w:pPr>
              <w:numPr>
                <w:ilvl w:val="0"/>
                <w:numId w:val="5"/>
              </w:numPr>
              <w:adjustRightInd w:val="0"/>
              <w:snapToGrid w:val="0"/>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项目概况</w:t>
            </w:r>
          </w:p>
          <w:p>
            <w:pPr>
              <w:adjustRightInd w:val="0"/>
              <w:snapToGrid w:val="0"/>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项目名称：</w:t>
            </w:r>
            <w:r>
              <w:rPr>
                <w:rFonts w:hint="eastAsia"/>
                <w:color w:val="000000" w:themeColor="text1"/>
                <w:sz w:val="24"/>
                <w14:textFill>
                  <w14:solidFill>
                    <w14:schemeClr w14:val="tx1"/>
                  </w14:solidFill>
                </w14:textFill>
              </w:rPr>
              <w:t>宣汉县第三人民医院迁建项目住院部外迁</w:t>
            </w:r>
          </w:p>
          <w:p>
            <w:pPr>
              <w:adjustRightInd w:val="0"/>
              <w:snapToGrid w:val="0"/>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建设单位：</w:t>
            </w:r>
            <w:r>
              <w:rPr>
                <w:rFonts w:hint="eastAsia"/>
                <w:color w:val="000000" w:themeColor="text1"/>
                <w:sz w:val="24"/>
                <w14:textFill>
                  <w14:solidFill>
                    <w14:schemeClr w14:val="tx1"/>
                  </w14:solidFill>
                </w14:textFill>
              </w:rPr>
              <w:t>宣汉县第三人民医院</w:t>
            </w:r>
          </w:p>
          <w:p>
            <w:pPr>
              <w:adjustRightInd w:val="0"/>
              <w:snapToGrid w:val="0"/>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建设地点：</w:t>
            </w:r>
            <w:r>
              <w:rPr>
                <w:rFonts w:hint="eastAsia"/>
                <w:color w:val="000000" w:themeColor="text1"/>
                <w:sz w:val="24"/>
                <w14:textFill>
                  <w14:solidFill>
                    <w14:schemeClr w14:val="tx1"/>
                  </w14:solidFill>
                </w14:textFill>
              </w:rPr>
              <w:t>宣汉县</w:t>
            </w:r>
            <w:r>
              <w:rPr>
                <w:rFonts w:hint="eastAsia"/>
                <w:color w:val="000000" w:themeColor="text1"/>
                <w:sz w:val="24"/>
                <w:lang w:val="en-US" w:eastAsia="zh-CN"/>
                <w14:textFill>
                  <w14:solidFill>
                    <w14:schemeClr w14:val="tx1"/>
                  </w14:solidFill>
                </w14:textFill>
              </w:rPr>
              <w:t>蒲</w:t>
            </w:r>
            <w:r>
              <w:rPr>
                <w:rFonts w:hint="eastAsia"/>
                <w:color w:val="000000" w:themeColor="text1"/>
                <w:sz w:val="24"/>
                <w14:textFill>
                  <w14:solidFill>
                    <w14:schemeClr w14:val="tx1"/>
                  </w14:solidFill>
                </w14:textFill>
              </w:rPr>
              <w:t>江街道（巴人大道与长兴北路交汇处东北侧）</w:t>
            </w:r>
          </w:p>
          <w:p>
            <w:pPr>
              <w:adjustRightInd w:val="0"/>
              <w:snapToGrid w:val="0"/>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占地面积：</w:t>
            </w:r>
            <w:r>
              <w:rPr>
                <w:rFonts w:hint="eastAsia"/>
                <w:color w:val="000000" w:themeColor="text1"/>
                <w:sz w:val="24"/>
                <w14:textFill>
                  <w14:solidFill>
                    <w14:schemeClr w14:val="tx1"/>
                  </w14:solidFill>
                </w14:textFill>
              </w:rPr>
              <w:t>6747m</w:t>
            </w:r>
            <w:r>
              <w:rPr>
                <w:rFonts w:hint="eastAsia"/>
                <w:color w:val="000000" w:themeColor="text1"/>
                <w:sz w:val="24"/>
                <w:vertAlign w:val="superscript"/>
                <w14:textFill>
                  <w14:solidFill>
                    <w14:schemeClr w14:val="tx1"/>
                  </w14:solidFill>
                </w14:textFill>
              </w:rPr>
              <w:t>2</w:t>
            </w:r>
          </w:p>
          <w:p>
            <w:pPr>
              <w:adjustRightInd w:val="0"/>
              <w:snapToGrid w:val="0"/>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工程总投资</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7930万</w:t>
            </w:r>
            <w:r>
              <w:rPr>
                <w:color w:val="000000" w:themeColor="text1"/>
                <w:sz w:val="24"/>
                <w14:textFill>
                  <w14:solidFill>
                    <w14:schemeClr w14:val="tx1"/>
                  </w14:solidFill>
                </w14:textFill>
              </w:rPr>
              <w:t>元</w:t>
            </w:r>
          </w:p>
          <w:p>
            <w:pPr>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kern w:val="0"/>
                <w:sz w:val="24"/>
                <w:lang w:bidi="ar"/>
                <w14:textFill>
                  <w14:solidFill>
                    <w14:schemeClr w14:val="tx1"/>
                  </w14:solidFill>
                </w14:textFill>
              </w:rPr>
              <w:t>建设</w:t>
            </w:r>
            <w:r>
              <w:rPr>
                <w:b/>
                <w:bCs/>
                <w:color w:val="000000" w:themeColor="text1"/>
                <w:kern w:val="0"/>
                <w:sz w:val="24"/>
                <w:lang w:bidi="ar"/>
                <w14:textFill>
                  <w14:solidFill>
                    <w14:schemeClr w14:val="tx1"/>
                  </w14:solidFill>
                </w14:textFill>
              </w:rPr>
              <w:t>内容及规模</w:t>
            </w:r>
            <w:r>
              <w:rPr>
                <w:rFonts w:hint="eastAsia"/>
                <w:b/>
                <w:bCs/>
                <w:color w:val="000000" w:themeColor="text1"/>
                <w:kern w:val="0"/>
                <w:sz w:val="24"/>
                <w:lang w:bidi="ar"/>
                <w14:textFill>
                  <w14:solidFill>
                    <w14:schemeClr w14:val="tx1"/>
                  </w14:solidFill>
                </w14:textFill>
              </w:rPr>
              <w:t>：</w:t>
            </w:r>
            <w:r>
              <w:rPr>
                <w:rFonts w:hint="eastAsia"/>
                <w:color w:val="000000" w:themeColor="text1"/>
                <w:sz w:val="24"/>
                <w14:textFill>
                  <w14:solidFill>
                    <w14:schemeClr w14:val="tx1"/>
                  </w14:solidFill>
                </w14:textFill>
              </w:rPr>
              <w:t>新建住院大楼一栋，占地面积6747m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，总建筑面积15861m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w:t>
            </w:r>
            <w:r>
              <w:rPr>
                <w:rFonts w:hint="eastAsia"/>
                <w:color w:val="000000" w:themeColor="text1"/>
                <w:sz w:val="24"/>
                <w:szCs w:val="32"/>
                <w14:textFill>
                  <w14:solidFill>
                    <w14:schemeClr w14:val="tx1"/>
                  </w14:solidFill>
                </w14:textFill>
              </w:rPr>
              <w:t>包括土建、装饰、给排水、强弱电及暖通等工程。项目设有急诊科、妇产科、新生儿科、普通住院科室、ICU、手术中心、放射科、检验科、</w:t>
            </w:r>
            <w:r>
              <w:rPr>
                <w:color w:val="000000" w:themeColor="text1"/>
                <w:sz w:val="24"/>
                <w:szCs w:val="32"/>
                <w14:textFill>
                  <w14:solidFill>
                    <w14:schemeClr w14:val="tx1"/>
                  </w14:solidFill>
                </w14:textFill>
              </w:rPr>
              <w:t>医废暂存间</w:t>
            </w:r>
            <w:r>
              <w:rPr>
                <w:rFonts w:hint="eastAsia"/>
                <w:color w:val="000000" w:themeColor="text1"/>
                <w:sz w:val="24"/>
                <w:szCs w:val="32"/>
                <w14:textFill>
                  <w14:solidFill>
                    <w14:schemeClr w14:val="tx1"/>
                  </w14:solidFill>
                </w14:textFill>
              </w:rPr>
              <w:t>等</w:t>
            </w:r>
            <w:r>
              <w:rPr>
                <w:color w:val="000000" w:themeColor="text1"/>
                <w:sz w:val="24"/>
                <w:szCs w:val="32"/>
                <w14:textFill>
                  <w14:solidFill>
                    <w14:schemeClr w14:val="tx1"/>
                  </w14:solidFill>
                </w14:textFill>
              </w:rPr>
              <w:t>相关辅助用房</w:t>
            </w:r>
            <w:r>
              <w:rPr>
                <w:rFonts w:hint="eastAsia"/>
                <w:color w:val="000000" w:themeColor="text1"/>
                <w:sz w:val="24"/>
                <w:szCs w:val="32"/>
                <w14:textFill>
                  <w14:solidFill>
                    <w14:schemeClr w14:val="tx1"/>
                  </w14:solidFill>
                </w14:textFill>
              </w:rPr>
              <w:t>，项目建成后编制床位400床，年接诊约12000人次，妇产科年接诊约600人次，新生儿科年接诊约300人次，</w:t>
            </w:r>
            <w:r>
              <w:rPr>
                <w:rFonts w:hint="eastAsia"/>
                <w:color w:val="000000" w:themeColor="text1"/>
                <w:sz w:val="24"/>
                <w14:textFill>
                  <w14:solidFill>
                    <w14:schemeClr w14:val="tx1"/>
                  </w14:solidFill>
                </w14:textFill>
              </w:rPr>
              <w:t>项目不涉及传染科（不接收传染病人）</w:t>
            </w:r>
            <w:r>
              <w:rPr>
                <w:rFonts w:hint="eastAsia"/>
                <w:color w:val="000000" w:themeColor="text1"/>
                <w:sz w:val="24"/>
                <w:szCs w:val="32"/>
                <w14:textFill>
                  <w14:solidFill>
                    <w14:schemeClr w14:val="tx1"/>
                  </w14:solidFill>
                </w14:textFill>
              </w:rPr>
              <w:t>。</w:t>
            </w:r>
            <w:r>
              <w:rPr>
                <w:rFonts w:hint="eastAsia"/>
                <w:b/>
                <w:bCs/>
                <w:color w:val="000000" w:themeColor="text1"/>
                <w:sz w:val="24"/>
                <w14:textFill>
                  <w14:solidFill>
                    <w14:schemeClr w14:val="tx1"/>
                  </w14:solidFill>
                </w14:textFill>
              </w:rPr>
              <w:t>项目放射科及辐射等内容不在本次评价范围内，需委托有资质的单位另行环评，得到相关主管部门的批准之后，方能正式投入运行。</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项目组成及主要环境问题见下表：</w:t>
            </w:r>
          </w:p>
          <w:p>
            <w:pPr>
              <w:numPr>
                <w:ilvl w:val="0"/>
                <w:numId w:val="6"/>
              </w:num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项目主要组成表</w:t>
            </w:r>
          </w:p>
          <w:tbl>
            <w:tblPr>
              <w:tblStyle w:val="23"/>
              <w:tblW w:w="83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7"/>
              <w:gridCol w:w="636"/>
              <w:gridCol w:w="766"/>
              <w:gridCol w:w="1194"/>
              <w:gridCol w:w="3310"/>
              <w:gridCol w:w="1021"/>
              <w:gridCol w:w="7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53" w:hRule="atLeast"/>
                <w:jc w:val="center"/>
              </w:trPr>
              <w:tc>
                <w:tcPr>
                  <w:tcW w:w="73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5906" w:type="dxa"/>
                  <w:gridSpan w:val="4"/>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建设内容及规模</w:t>
                  </w:r>
                </w:p>
              </w:tc>
              <w:tc>
                <w:tcPr>
                  <w:tcW w:w="102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营运期</w:t>
                  </w:r>
                  <w:r>
                    <w:rPr>
                      <w:rFonts w:hint="eastAsia"/>
                      <w:color w:val="000000" w:themeColor="text1"/>
                      <w:szCs w:val="21"/>
                      <w14:textFill>
                        <w14:solidFill>
                          <w14:schemeClr w14:val="tx1"/>
                        </w14:solidFill>
                      </w14:textFill>
                    </w:rPr>
                    <w:t>主要</w:t>
                  </w:r>
                  <w:r>
                    <w:rPr>
                      <w:color w:val="000000" w:themeColor="text1"/>
                      <w:szCs w:val="21"/>
                      <w14:textFill>
                        <w14:solidFill>
                          <w14:schemeClr w14:val="tx1"/>
                        </w14:solidFill>
                      </w14:textFill>
                    </w:rPr>
                    <w:t>环境问题</w:t>
                  </w:r>
                </w:p>
              </w:tc>
              <w:tc>
                <w:tcPr>
                  <w:tcW w:w="7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737"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主体工程</w:t>
                  </w:r>
                </w:p>
              </w:tc>
              <w:tc>
                <w:tcPr>
                  <w:tcW w:w="636" w:type="dxa"/>
                  <w:vMerge w:val="restart"/>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住院综合楼</w:t>
                  </w:r>
                </w:p>
              </w:tc>
              <w:tc>
                <w:tcPr>
                  <w:tcW w:w="766"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1F</w:t>
                  </w:r>
                </w:p>
              </w:tc>
              <w:tc>
                <w:tcPr>
                  <w:tcW w:w="4504"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设置放射科、急诊科、</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急诊检验、</w:t>
                  </w:r>
                  <w:r>
                    <w:rPr>
                      <w:rFonts w:hint="eastAsia"/>
                      <w:color w:val="000000" w:themeColor="text1"/>
                      <w:szCs w:val="21"/>
                      <w14:textFill>
                        <w14:solidFill>
                          <w14:schemeClr w14:val="tx1"/>
                        </w14:solidFill>
                      </w14:textFill>
                    </w:rPr>
                    <w:t>住院药房、出入院办理、危废暂存间及洗消中心</w:t>
                  </w:r>
                </w:p>
              </w:tc>
              <w:tc>
                <w:tcPr>
                  <w:tcW w:w="1021" w:type="dxa"/>
                  <w:vMerge w:val="restart"/>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生活污水、生活垃圾、医疗垃圾、医疗废水、医疗固废</w:t>
                  </w:r>
                </w:p>
              </w:tc>
              <w:tc>
                <w:tcPr>
                  <w:tcW w:w="734"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continue"/>
                  <w:vAlign w:val="center"/>
                </w:tcPr>
                <w:p>
                  <w:pPr>
                    <w:jc w:val="center"/>
                    <w:rPr>
                      <w:bCs/>
                      <w:color w:val="000000" w:themeColor="text1"/>
                      <w:szCs w:val="21"/>
                      <w14:textFill>
                        <w14:solidFill>
                          <w14:schemeClr w14:val="tx1"/>
                        </w14:solidFill>
                      </w14:textFill>
                    </w:rPr>
                  </w:pPr>
                </w:p>
              </w:tc>
              <w:tc>
                <w:tcPr>
                  <w:tcW w:w="766"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2F</w:t>
                  </w:r>
                </w:p>
              </w:tc>
              <w:tc>
                <w:tcPr>
                  <w:tcW w:w="4504"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产妇科门诊及病房、人流手术室、产房及医辅用房</w:t>
                  </w:r>
                </w:p>
              </w:tc>
              <w:tc>
                <w:tcPr>
                  <w:tcW w:w="1021" w:type="dxa"/>
                  <w:vMerge w:val="continue"/>
                  <w:vAlign w:val="center"/>
                </w:tcPr>
                <w:p>
                  <w:pPr>
                    <w:jc w:val="center"/>
                    <w:rPr>
                      <w:color w:val="000000" w:themeColor="text1"/>
                      <w:szCs w:val="21"/>
                      <w14:textFill>
                        <w14:solidFill>
                          <w14:schemeClr w14:val="tx1"/>
                        </w14:solidFill>
                      </w14:textFill>
                    </w:rPr>
                  </w:pPr>
                </w:p>
              </w:tc>
              <w:tc>
                <w:tcPr>
                  <w:tcW w:w="734"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continue"/>
                  <w:vAlign w:val="center"/>
                </w:tcPr>
                <w:p>
                  <w:pPr>
                    <w:jc w:val="center"/>
                    <w:rPr>
                      <w:bCs/>
                      <w:color w:val="000000" w:themeColor="text1"/>
                      <w:szCs w:val="21"/>
                      <w14:textFill>
                        <w14:solidFill>
                          <w14:schemeClr w14:val="tx1"/>
                        </w14:solidFill>
                      </w14:textFill>
                    </w:rPr>
                  </w:pPr>
                </w:p>
              </w:tc>
              <w:tc>
                <w:tcPr>
                  <w:tcW w:w="766"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3F</w:t>
                  </w:r>
                </w:p>
              </w:tc>
              <w:tc>
                <w:tcPr>
                  <w:tcW w:w="4504"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ICU、手术中心、ICU医辅用房</w:t>
                  </w:r>
                </w:p>
              </w:tc>
              <w:tc>
                <w:tcPr>
                  <w:tcW w:w="1021" w:type="dxa"/>
                  <w:vMerge w:val="continue"/>
                  <w:vAlign w:val="center"/>
                </w:tcPr>
                <w:p>
                  <w:pPr>
                    <w:jc w:val="center"/>
                    <w:rPr>
                      <w:color w:val="000000" w:themeColor="text1"/>
                      <w:szCs w:val="21"/>
                      <w14:textFill>
                        <w14:solidFill>
                          <w14:schemeClr w14:val="tx1"/>
                        </w14:solidFill>
                      </w14:textFill>
                    </w:rPr>
                  </w:pPr>
                </w:p>
              </w:tc>
              <w:tc>
                <w:tcPr>
                  <w:tcW w:w="734"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continue"/>
                  <w:vAlign w:val="center"/>
                </w:tcPr>
                <w:p>
                  <w:pPr>
                    <w:jc w:val="center"/>
                    <w:rPr>
                      <w:bCs/>
                      <w:color w:val="000000" w:themeColor="text1"/>
                      <w:szCs w:val="21"/>
                      <w14:textFill>
                        <w14:solidFill>
                          <w14:schemeClr w14:val="tx1"/>
                        </w14:solidFill>
                      </w14:textFill>
                    </w:rPr>
                  </w:pPr>
                </w:p>
              </w:tc>
              <w:tc>
                <w:tcPr>
                  <w:tcW w:w="766"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4F</w:t>
                  </w:r>
                </w:p>
              </w:tc>
              <w:tc>
                <w:tcPr>
                  <w:tcW w:w="4504"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信息机房、输血科、住院病房、新生儿科、医辅用房</w:t>
                  </w:r>
                </w:p>
              </w:tc>
              <w:tc>
                <w:tcPr>
                  <w:tcW w:w="1021" w:type="dxa"/>
                  <w:vMerge w:val="continue"/>
                  <w:vAlign w:val="center"/>
                </w:tcPr>
                <w:p>
                  <w:pPr>
                    <w:jc w:val="center"/>
                    <w:rPr>
                      <w:color w:val="000000" w:themeColor="text1"/>
                      <w:szCs w:val="21"/>
                      <w14:textFill>
                        <w14:solidFill>
                          <w14:schemeClr w14:val="tx1"/>
                        </w14:solidFill>
                      </w14:textFill>
                    </w:rPr>
                  </w:pPr>
                </w:p>
              </w:tc>
              <w:tc>
                <w:tcPr>
                  <w:tcW w:w="734"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continue"/>
                  <w:vAlign w:val="center"/>
                </w:tcPr>
                <w:p>
                  <w:pPr>
                    <w:jc w:val="center"/>
                    <w:rPr>
                      <w:bCs/>
                      <w:color w:val="000000" w:themeColor="text1"/>
                      <w:szCs w:val="21"/>
                      <w14:textFill>
                        <w14:solidFill>
                          <w14:schemeClr w14:val="tx1"/>
                        </w14:solidFill>
                      </w14:textFill>
                    </w:rPr>
                  </w:pPr>
                </w:p>
              </w:tc>
              <w:tc>
                <w:tcPr>
                  <w:tcW w:w="766"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5F~9F</w:t>
                  </w:r>
                </w:p>
              </w:tc>
              <w:tc>
                <w:tcPr>
                  <w:tcW w:w="4504"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住院病房、医辅用房</w:t>
                  </w:r>
                </w:p>
              </w:tc>
              <w:tc>
                <w:tcPr>
                  <w:tcW w:w="1021" w:type="dxa"/>
                  <w:vMerge w:val="continue"/>
                  <w:vAlign w:val="center"/>
                </w:tcPr>
                <w:p>
                  <w:pPr>
                    <w:jc w:val="center"/>
                    <w:rPr>
                      <w:color w:val="000000" w:themeColor="text1"/>
                      <w:szCs w:val="21"/>
                      <w14:textFill>
                        <w14:solidFill>
                          <w14:schemeClr w14:val="tx1"/>
                        </w14:solidFill>
                      </w14:textFill>
                    </w:rPr>
                  </w:pPr>
                </w:p>
              </w:tc>
              <w:tc>
                <w:tcPr>
                  <w:tcW w:w="734"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13" w:hRule="atLeast"/>
                <w:jc w:val="center"/>
              </w:trPr>
              <w:tc>
                <w:tcPr>
                  <w:tcW w:w="737"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公辅工程</w:t>
                  </w:r>
                </w:p>
              </w:tc>
              <w:tc>
                <w:tcPr>
                  <w:tcW w:w="1402"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供水</w:t>
                  </w:r>
                </w:p>
              </w:tc>
              <w:tc>
                <w:tcPr>
                  <w:tcW w:w="4504"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从西侧、南侧的市政道路各引入一根DN200mm给水管，并在室外布置成环，环状管网管DN150mm</w:t>
                  </w:r>
                </w:p>
              </w:tc>
              <w:tc>
                <w:tcPr>
                  <w:tcW w:w="10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05"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1402"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供电</w:t>
                  </w:r>
                </w:p>
              </w:tc>
              <w:tc>
                <w:tcPr>
                  <w:tcW w:w="4504"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由城市电网不同区域变电站引来两路独立10KV电源供电，两路电源同时工作，互为备用。两路独立10KV电源引入新建住院综合楼地下室10KV配电所</w:t>
                  </w:r>
                </w:p>
              </w:tc>
              <w:tc>
                <w:tcPr>
                  <w:tcW w:w="10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w:t>
                  </w:r>
                </w:p>
              </w:tc>
              <w:tc>
                <w:tcPr>
                  <w:tcW w:w="7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1402"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备用电源</w:t>
                  </w:r>
                </w:p>
              </w:tc>
              <w:tc>
                <w:tcPr>
                  <w:tcW w:w="4504"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二期项目发热门诊地下室设置自启动柴油发电机组</w:t>
                  </w:r>
                </w:p>
              </w:tc>
              <w:tc>
                <w:tcPr>
                  <w:tcW w:w="10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噪声、废气</w:t>
                  </w:r>
                </w:p>
              </w:tc>
              <w:tc>
                <w:tcPr>
                  <w:tcW w:w="7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79"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1402"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热水供应</w:t>
                  </w:r>
                </w:p>
              </w:tc>
              <w:tc>
                <w:tcPr>
                  <w:tcW w:w="4504"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采用集中热水供应系统（60℃），依托设置在门诊楼地下室锅炉房内半容积式换热器（水-水换热），热源采用燃气热水锅炉，系统采用机械循环方式，循环泵启停由各自系统的回水温度控制</w:t>
                  </w:r>
                </w:p>
              </w:tc>
              <w:tc>
                <w:tcPr>
                  <w:tcW w:w="10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废气、噪声、废水</w:t>
                  </w:r>
                </w:p>
              </w:tc>
              <w:tc>
                <w:tcPr>
                  <w:tcW w:w="7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1402"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氧气供应</w:t>
                  </w:r>
                </w:p>
              </w:tc>
              <w:tc>
                <w:tcPr>
                  <w:tcW w:w="4504"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依托二期项目东北侧</w:t>
                  </w:r>
                  <w:r>
                    <w:rPr>
                      <w:rFonts w:hint="eastAsia"/>
                      <w:color w:val="000000" w:themeColor="text1"/>
                      <w:szCs w:val="21"/>
                      <w:lang w:eastAsia="zh-CN"/>
                      <w14:textFill>
                        <w14:solidFill>
                          <w14:schemeClr w14:val="tx1"/>
                        </w14:solidFill>
                      </w14:textFill>
                    </w:rPr>
                    <w:t>供氧中心</w:t>
                  </w:r>
                  <w:r>
                    <w:rPr>
                      <w:rFonts w:hint="eastAsia"/>
                      <w:color w:val="000000" w:themeColor="text1"/>
                      <w:szCs w:val="21"/>
                      <w14:textFill>
                        <w14:solidFill>
                          <w14:schemeClr w14:val="tx1"/>
                        </w14:solidFill>
                      </w14:textFill>
                    </w:rPr>
                    <w:t>集中供应</w:t>
                  </w:r>
                </w:p>
              </w:tc>
              <w:tc>
                <w:tcPr>
                  <w:tcW w:w="10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w:t>
                  </w:r>
                </w:p>
              </w:tc>
              <w:tc>
                <w:tcPr>
                  <w:tcW w:w="7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05"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1402"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空调系统</w:t>
                  </w:r>
                </w:p>
              </w:tc>
              <w:tc>
                <w:tcPr>
                  <w:tcW w:w="4504"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无特殊要求区域采用风冷热泵+风机盘管的集中空调系统；放射科等房间设置变冷媒流量空调系统；信息中心、阴凉库设置恒温恒湿的空调机组</w:t>
                  </w:r>
                </w:p>
              </w:tc>
              <w:tc>
                <w:tcPr>
                  <w:tcW w:w="10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w:t>
                  </w:r>
                </w:p>
              </w:tc>
              <w:tc>
                <w:tcPr>
                  <w:tcW w:w="7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1402"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消防设施</w:t>
                  </w:r>
                </w:p>
              </w:tc>
              <w:tc>
                <w:tcPr>
                  <w:tcW w:w="4504"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设置有室外、室内消防给水系统、自动喷水灭火系统，配置足够数量的手提式灭火器</w:t>
                  </w:r>
                </w:p>
              </w:tc>
              <w:tc>
                <w:tcPr>
                  <w:tcW w:w="10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31"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1402"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办公区</w:t>
                  </w:r>
                </w:p>
              </w:tc>
              <w:tc>
                <w:tcPr>
                  <w:tcW w:w="4504" w:type="dxa"/>
                  <w:gridSpan w:val="2"/>
                  <w:vAlign w:val="center"/>
                </w:tcPr>
                <w:p>
                  <w:pPr>
                    <w:jc w:val="center"/>
                    <w:rPr>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各楼层医辅用房设置有医护人员办公室</w:t>
                  </w:r>
                </w:p>
              </w:tc>
              <w:tc>
                <w:tcPr>
                  <w:tcW w:w="10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生活垃圾、生活废水</w:t>
                  </w:r>
                </w:p>
              </w:tc>
              <w:tc>
                <w:tcPr>
                  <w:tcW w:w="7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91" w:hRule="atLeast"/>
                <w:jc w:val="center"/>
              </w:trPr>
              <w:tc>
                <w:tcPr>
                  <w:tcW w:w="737"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环保工程</w:t>
                  </w:r>
                </w:p>
              </w:tc>
              <w:tc>
                <w:tcPr>
                  <w:tcW w:w="636" w:type="dxa"/>
                  <w:vMerge w:val="restart"/>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766" w:type="dxa"/>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施工期</w:t>
                  </w:r>
                </w:p>
              </w:tc>
              <w:tc>
                <w:tcPr>
                  <w:tcW w:w="1194" w:type="dxa"/>
                  <w:vAlign w:val="center"/>
                </w:tcPr>
                <w:p>
                  <w:pPr>
                    <w:autoSpaceDE w:val="0"/>
                    <w:autoSpaceDN w:val="0"/>
                    <w:adjustRightInd w:val="0"/>
                    <w:jc w:val="left"/>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生产废水</w:t>
                  </w:r>
                </w:p>
              </w:tc>
              <w:tc>
                <w:tcPr>
                  <w:tcW w:w="3310" w:type="dxa"/>
                  <w:vAlign w:val="center"/>
                </w:tcPr>
                <w:p>
                  <w:pPr>
                    <w:autoSpaceDE w:val="0"/>
                    <w:autoSpaceDN w:val="0"/>
                    <w:adjustRightInd w:val="0"/>
                    <w:jc w:val="left"/>
                    <w:rPr>
                      <w:bCs/>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场址内设置沉淀池（5m</w:t>
                  </w:r>
                  <w:r>
                    <w:rPr>
                      <w:rFonts w:hint="eastAsia"/>
                      <w:color w:val="000000" w:themeColor="text1"/>
                      <w:kern w:val="0"/>
                      <w:szCs w:val="21"/>
                      <w:vertAlign w:val="superscript"/>
                      <w14:textFill>
                        <w14:solidFill>
                          <w14:schemeClr w14:val="tx1"/>
                        </w14:solidFill>
                      </w14:textFill>
                    </w:rPr>
                    <w:t>3</w:t>
                  </w:r>
                  <w:r>
                    <w:rPr>
                      <w:rFonts w:hint="eastAsia"/>
                      <w:color w:val="000000" w:themeColor="text1"/>
                      <w:kern w:val="0"/>
                      <w:szCs w:val="21"/>
                      <w14:textFill>
                        <w14:solidFill>
                          <w14:schemeClr w14:val="tx1"/>
                        </w14:solidFill>
                      </w14:textFill>
                    </w:rPr>
                    <w:t>）处理后用于场地洒水扬尘或施工用水</w:t>
                  </w:r>
                </w:p>
              </w:tc>
              <w:tc>
                <w:tcPr>
                  <w:tcW w:w="10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05"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766" w:type="dxa"/>
                  <w:vMerge w:val="restart"/>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运营期</w:t>
                  </w:r>
                </w:p>
              </w:tc>
              <w:tc>
                <w:tcPr>
                  <w:tcW w:w="1194" w:type="dxa"/>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检验废液</w:t>
                  </w:r>
                </w:p>
              </w:tc>
              <w:tc>
                <w:tcPr>
                  <w:tcW w:w="3310" w:type="dxa"/>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检验室使用后的检验废液作为危险废物处置，采用专用容器分类收集后，暂存于医疗废物暂存间，委托资质单位处置</w:t>
                  </w:r>
                </w:p>
              </w:tc>
              <w:tc>
                <w:tcPr>
                  <w:tcW w:w="1021"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危废</w:t>
                  </w:r>
                </w:p>
              </w:tc>
              <w:tc>
                <w:tcPr>
                  <w:tcW w:w="734"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外委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31"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76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1194" w:type="dxa"/>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检验废水</w:t>
                  </w:r>
                </w:p>
              </w:tc>
              <w:tc>
                <w:tcPr>
                  <w:tcW w:w="3310" w:type="dxa"/>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检验人员及检验室清洁产生的废水经化粪池预处理后进入二期项目污水处理设施处理</w:t>
                  </w:r>
                </w:p>
              </w:tc>
              <w:tc>
                <w:tcPr>
                  <w:tcW w:w="1021"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废水</w:t>
                  </w:r>
                </w:p>
              </w:tc>
              <w:tc>
                <w:tcPr>
                  <w:tcW w:w="734"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31"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76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1194" w:type="dxa"/>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医疗废水</w:t>
                  </w:r>
                </w:p>
              </w:tc>
              <w:tc>
                <w:tcPr>
                  <w:tcW w:w="3310" w:type="dxa"/>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住院、门诊、手术、洗消中心产生的医疗废水经化粪池预处理后进入二期项目污水处理站</w:t>
                  </w:r>
                </w:p>
              </w:tc>
              <w:tc>
                <w:tcPr>
                  <w:tcW w:w="1021"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废水</w:t>
                  </w:r>
                </w:p>
              </w:tc>
              <w:tc>
                <w:tcPr>
                  <w:tcW w:w="734"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76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1194" w:type="dxa"/>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生活污水</w:t>
                  </w:r>
                </w:p>
              </w:tc>
              <w:tc>
                <w:tcPr>
                  <w:tcW w:w="3310" w:type="dxa"/>
                  <w:vAlign w:val="center"/>
                </w:tcPr>
                <w:p>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经</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300m</w:t>
                  </w:r>
                  <w:r>
                    <w:rPr>
                      <w:rFonts w:hint="default" w:ascii="Times New Roman" w:hAnsi="Times New Roman" w:eastAsia="宋体" w:cs="Times New Roman"/>
                      <w:i w:val="0"/>
                      <w:iCs w:val="0"/>
                      <w:color w:val="000000" w:themeColor="text1"/>
                      <w:kern w:val="0"/>
                      <w:sz w:val="21"/>
                      <w:szCs w:val="21"/>
                      <w:u w:val="none"/>
                      <w:vertAlign w:val="superscript"/>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化粪池预处理后进入二期项目污水处理站</w:t>
                  </w:r>
                </w:p>
              </w:tc>
              <w:tc>
                <w:tcPr>
                  <w:tcW w:w="1021"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生活污水</w:t>
                  </w:r>
                </w:p>
              </w:tc>
              <w:tc>
                <w:tcPr>
                  <w:tcW w:w="734"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31"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restart"/>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766" w:type="dxa"/>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施工期</w:t>
                  </w:r>
                </w:p>
              </w:tc>
              <w:tc>
                <w:tcPr>
                  <w:tcW w:w="1194" w:type="dxa"/>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施工扬尘、装饰有机废气</w:t>
                  </w:r>
                </w:p>
              </w:tc>
              <w:tc>
                <w:tcPr>
                  <w:tcW w:w="3310" w:type="dxa"/>
                  <w:vAlign w:val="center"/>
                </w:tcPr>
                <w:p>
                  <w:pPr>
                    <w:autoSpaceDE w:val="0"/>
                    <w:autoSpaceDN w:val="0"/>
                    <w:adjustRightInd w:val="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安排专人洒水降尘，选用环保型涂料，加强通风换气</w:t>
                  </w:r>
                </w:p>
              </w:tc>
              <w:tc>
                <w:tcPr>
                  <w:tcW w:w="10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w:t>
                  </w:r>
                </w:p>
              </w:tc>
              <w:tc>
                <w:tcPr>
                  <w:tcW w:w="7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766" w:type="dxa"/>
                  <w:vMerge w:val="restart"/>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运营期</w:t>
                  </w:r>
                </w:p>
              </w:tc>
              <w:tc>
                <w:tcPr>
                  <w:tcW w:w="1194"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医院浑浊空气</w:t>
                  </w:r>
                </w:p>
              </w:tc>
              <w:tc>
                <w:tcPr>
                  <w:tcW w:w="3310" w:type="dxa"/>
                  <w:vAlign w:val="center"/>
                </w:tcPr>
                <w:p>
                  <w:pPr>
                    <w:keepNext w:val="0"/>
                    <w:keepLines w:val="0"/>
                    <w:widowControl/>
                    <w:suppressLineNumbers w:val="0"/>
                    <w:jc w:val="center"/>
                    <w:textAlignment w:val="center"/>
                    <w:rPr>
                      <w:bCs/>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采用</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500mg/L</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的含氯消毒剂溶液等常规消毒措施，加强通风</w:t>
                  </w:r>
                </w:p>
              </w:tc>
              <w:tc>
                <w:tcPr>
                  <w:tcW w:w="10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w:t>
                  </w:r>
                </w:p>
              </w:tc>
              <w:tc>
                <w:tcPr>
                  <w:tcW w:w="7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76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1194" w:type="dxa"/>
                  <w:vAlign w:val="center"/>
                </w:tcPr>
                <w:p>
                  <w:pPr>
                    <w:keepNext w:val="0"/>
                    <w:keepLines w:val="0"/>
                    <w:widowControl/>
                    <w:suppressLineNumbers w:val="0"/>
                    <w:jc w:val="center"/>
                    <w:textAlignment w:val="center"/>
                    <w:rPr>
                      <w:rFonts w:hint="eastAsia"/>
                      <w:bCs/>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检验废气</w:t>
                  </w:r>
                </w:p>
              </w:tc>
              <w:tc>
                <w:tcPr>
                  <w:tcW w:w="3310" w:type="dxa"/>
                  <w:vAlign w:val="center"/>
                </w:tcPr>
                <w:p>
                  <w:pPr>
                    <w:keepNext w:val="0"/>
                    <w:keepLines w:val="0"/>
                    <w:widowControl/>
                    <w:suppressLineNumbers w:val="0"/>
                    <w:jc w:val="center"/>
                    <w:textAlignment w:val="center"/>
                    <w:rPr>
                      <w:rFonts w:hint="eastAsia"/>
                      <w:bCs/>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室内加强通风和消毒</w:t>
                  </w:r>
                </w:p>
              </w:tc>
              <w:tc>
                <w:tcPr>
                  <w:tcW w:w="1021"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w:t>
                  </w:r>
                </w:p>
              </w:tc>
              <w:tc>
                <w:tcPr>
                  <w:tcW w:w="734"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76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1194" w:type="dxa"/>
                  <w:vAlign w:val="center"/>
                </w:tcPr>
                <w:p>
                  <w:pPr>
                    <w:keepNext w:val="0"/>
                    <w:keepLines w:val="0"/>
                    <w:widowControl/>
                    <w:suppressLineNumbers w:val="0"/>
                    <w:jc w:val="center"/>
                    <w:textAlignment w:val="center"/>
                    <w:rPr>
                      <w:rFonts w:hint="eastAsia"/>
                      <w:bCs/>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医疗废物间恶臭</w:t>
                  </w:r>
                </w:p>
              </w:tc>
              <w:tc>
                <w:tcPr>
                  <w:tcW w:w="3310" w:type="dxa"/>
                  <w:vAlign w:val="center"/>
                </w:tcPr>
                <w:p>
                  <w:pPr>
                    <w:keepNext w:val="0"/>
                    <w:keepLines w:val="0"/>
                    <w:widowControl/>
                    <w:suppressLineNumbers w:val="0"/>
                    <w:jc w:val="center"/>
                    <w:textAlignment w:val="center"/>
                    <w:rPr>
                      <w:rFonts w:hint="eastAsia"/>
                      <w:bCs/>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医疗废物密封储存，加强管理，定期清运，加强消毒</w:t>
                  </w:r>
                </w:p>
              </w:tc>
              <w:tc>
                <w:tcPr>
                  <w:tcW w:w="1021"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w:t>
                  </w:r>
                </w:p>
              </w:tc>
              <w:tc>
                <w:tcPr>
                  <w:tcW w:w="734"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76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1194" w:type="dxa"/>
                  <w:vAlign w:val="center"/>
                </w:tcPr>
                <w:p>
                  <w:pPr>
                    <w:keepNext w:val="0"/>
                    <w:keepLines w:val="0"/>
                    <w:widowControl/>
                    <w:suppressLineNumbers w:val="0"/>
                    <w:jc w:val="center"/>
                    <w:textAlignment w:val="center"/>
                    <w:rPr>
                      <w:rFonts w:hint="eastAsia"/>
                      <w:bCs/>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吸引设备废气</w:t>
                  </w:r>
                </w:p>
              </w:tc>
              <w:tc>
                <w:tcPr>
                  <w:tcW w:w="3310" w:type="dxa"/>
                  <w:vAlign w:val="center"/>
                </w:tcPr>
                <w:p>
                  <w:pPr>
                    <w:keepNext w:val="0"/>
                    <w:keepLines w:val="0"/>
                    <w:widowControl/>
                    <w:suppressLineNumbers w:val="0"/>
                    <w:jc w:val="center"/>
                    <w:textAlignment w:val="center"/>
                    <w:rPr>
                      <w:rFonts w:hint="eastAsia"/>
                      <w:bCs/>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经自带消毒装置消毒后自然排放</w:t>
                  </w:r>
                </w:p>
              </w:tc>
              <w:tc>
                <w:tcPr>
                  <w:tcW w:w="1021"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w:t>
                  </w:r>
                </w:p>
              </w:tc>
              <w:tc>
                <w:tcPr>
                  <w:tcW w:w="734"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04"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76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1194" w:type="dxa"/>
                  <w:vAlign w:val="center"/>
                </w:tcPr>
                <w:p>
                  <w:pPr>
                    <w:keepNext w:val="0"/>
                    <w:keepLines w:val="0"/>
                    <w:widowControl/>
                    <w:suppressLineNumbers w:val="0"/>
                    <w:jc w:val="center"/>
                    <w:textAlignment w:val="center"/>
                    <w:rPr>
                      <w:rFonts w:hint="eastAsia"/>
                      <w:bCs/>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洗消中心废气</w:t>
                  </w:r>
                </w:p>
              </w:tc>
              <w:tc>
                <w:tcPr>
                  <w:tcW w:w="3310" w:type="dxa"/>
                  <w:vAlign w:val="center"/>
                </w:tcPr>
                <w:p>
                  <w:pPr>
                    <w:keepNext w:val="0"/>
                    <w:keepLines w:val="0"/>
                    <w:widowControl/>
                    <w:suppressLineNumbers w:val="0"/>
                    <w:jc w:val="center"/>
                    <w:textAlignment w:val="center"/>
                    <w:rPr>
                      <w:rFonts w:hint="eastAsia"/>
                      <w:bCs/>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采用</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500mg/L</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的含氯消毒剂溶液等常规消毒措施，同时加强通风</w:t>
                  </w:r>
                </w:p>
              </w:tc>
              <w:tc>
                <w:tcPr>
                  <w:tcW w:w="1021"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w:t>
                  </w:r>
                </w:p>
              </w:tc>
              <w:tc>
                <w:tcPr>
                  <w:tcW w:w="734"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76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1194" w:type="dxa"/>
                  <w:vAlign w:val="center"/>
                </w:tcPr>
                <w:p>
                  <w:pPr>
                    <w:keepNext w:val="0"/>
                    <w:keepLines w:val="0"/>
                    <w:widowControl/>
                    <w:suppressLineNumbers w:val="0"/>
                    <w:jc w:val="center"/>
                    <w:textAlignment w:val="center"/>
                    <w:rPr>
                      <w:rFonts w:hint="eastAsia"/>
                      <w:bCs/>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汽车尾气</w:t>
                  </w:r>
                </w:p>
              </w:tc>
              <w:tc>
                <w:tcPr>
                  <w:tcW w:w="3310" w:type="dxa"/>
                  <w:vAlign w:val="center"/>
                </w:tcPr>
                <w:p>
                  <w:pPr>
                    <w:keepNext w:val="0"/>
                    <w:keepLines w:val="0"/>
                    <w:widowControl/>
                    <w:suppressLineNumbers w:val="0"/>
                    <w:jc w:val="center"/>
                    <w:textAlignment w:val="center"/>
                    <w:rPr>
                      <w:rFonts w:hint="eastAsia"/>
                      <w:bCs/>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自然扩散，加强管理，加强周边绿化</w:t>
                  </w:r>
                </w:p>
              </w:tc>
              <w:tc>
                <w:tcPr>
                  <w:tcW w:w="1021"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w:t>
                  </w:r>
                </w:p>
              </w:tc>
              <w:tc>
                <w:tcPr>
                  <w:tcW w:w="734"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31"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76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1194" w:type="dxa"/>
                  <w:vAlign w:val="center"/>
                </w:tcPr>
                <w:p>
                  <w:pPr>
                    <w:keepNext w:val="0"/>
                    <w:keepLines w:val="0"/>
                    <w:widowControl/>
                    <w:suppressLineNumbers w:val="0"/>
                    <w:jc w:val="center"/>
                    <w:textAlignment w:val="center"/>
                    <w:rPr>
                      <w:rFonts w:hint="eastAsia"/>
                      <w:bCs/>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污水处理站恶臭气体</w:t>
                  </w:r>
                </w:p>
              </w:tc>
              <w:tc>
                <w:tcPr>
                  <w:tcW w:w="3310" w:type="dxa"/>
                  <w:vAlign w:val="center"/>
                </w:tcPr>
                <w:p>
                  <w:pPr>
                    <w:keepNext w:val="0"/>
                    <w:keepLines w:val="0"/>
                    <w:widowControl/>
                    <w:suppressLineNumbers w:val="0"/>
                    <w:jc w:val="center"/>
                    <w:textAlignment w:val="center"/>
                    <w:rPr>
                      <w:rFonts w:hint="eastAsia"/>
                      <w:bCs/>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采用地埋式，合理布局，周边加强绿化</w:t>
                  </w:r>
                </w:p>
              </w:tc>
              <w:tc>
                <w:tcPr>
                  <w:tcW w:w="1021"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w:t>
                  </w:r>
                </w:p>
              </w:tc>
              <w:tc>
                <w:tcPr>
                  <w:tcW w:w="734"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依托二期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restart"/>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w:t>
                  </w:r>
                </w:p>
              </w:tc>
              <w:tc>
                <w:tcPr>
                  <w:tcW w:w="766" w:type="dxa"/>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施工期</w:t>
                  </w:r>
                </w:p>
              </w:tc>
              <w:tc>
                <w:tcPr>
                  <w:tcW w:w="4504" w:type="dxa"/>
                  <w:gridSpan w:val="2"/>
                  <w:vAlign w:val="center"/>
                </w:tcPr>
                <w:p>
                  <w:pPr>
                    <w:autoSpaceDE w:val="0"/>
                    <w:autoSpaceDN w:val="0"/>
                    <w:adjustRightInd w:val="0"/>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加强管理，合理安排施工时间等</w:t>
                  </w:r>
                </w:p>
              </w:tc>
              <w:tc>
                <w:tcPr>
                  <w:tcW w:w="10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w:t>
                  </w:r>
                </w:p>
              </w:tc>
              <w:tc>
                <w:tcPr>
                  <w:tcW w:w="7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31"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766" w:type="dxa"/>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运营期</w:t>
                  </w:r>
                </w:p>
              </w:tc>
              <w:tc>
                <w:tcPr>
                  <w:tcW w:w="4504" w:type="dxa"/>
                  <w:gridSpan w:val="2"/>
                  <w:vAlign w:val="center"/>
                </w:tcPr>
                <w:p>
                  <w:pPr>
                    <w:autoSpaceDE w:val="0"/>
                    <w:autoSpaceDN w:val="0"/>
                    <w:adjustRightInd w:val="0"/>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选用低噪声设备，设备基座减振，建筑隔声</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加强管理，设置“禁止喧哗”、“保持安静”和“静”等标志</w:t>
                  </w:r>
                </w:p>
              </w:tc>
              <w:tc>
                <w:tcPr>
                  <w:tcW w:w="1021"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设备</w:t>
                  </w:r>
                  <w:r>
                    <w:rPr>
                      <w:rFonts w:hint="eastAsia"/>
                      <w:color w:val="000000" w:themeColor="text1"/>
                      <w:szCs w:val="21"/>
                      <w14:textFill>
                        <w14:solidFill>
                          <w14:schemeClr w14:val="tx1"/>
                        </w14:solidFill>
                      </w14:textFill>
                    </w:rPr>
                    <w:t>噪声</w:t>
                  </w:r>
                  <w:r>
                    <w:rPr>
                      <w:rFonts w:hint="eastAsia"/>
                      <w:color w:val="000000" w:themeColor="text1"/>
                      <w:szCs w:val="21"/>
                      <w:lang w:val="en-US" w:eastAsia="zh-CN"/>
                      <w14:textFill>
                        <w14:solidFill>
                          <w14:schemeClr w14:val="tx1"/>
                        </w14:solidFill>
                      </w14:textFill>
                    </w:rPr>
                    <w:t>生活噪声</w:t>
                  </w:r>
                </w:p>
              </w:tc>
              <w:tc>
                <w:tcPr>
                  <w:tcW w:w="7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31"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restart"/>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766" w:type="dxa"/>
                  <w:vMerge w:val="restart"/>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施工期</w:t>
                  </w:r>
                </w:p>
              </w:tc>
              <w:tc>
                <w:tcPr>
                  <w:tcW w:w="1194" w:type="dxa"/>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施工建筑垃圾</w:t>
                  </w:r>
                </w:p>
              </w:tc>
              <w:tc>
                <w:tcPr>
                  <w:tcW w:w="3310" w:type="dxa"/>
                  <w:vAlign w:val="center"/>
                </w:tcPr>
                <w:p>
                  <w:pPr>
                    <w:autoSpaceDE w:val="0"/>
                    <w:autoSpaceDN w:val="0"/>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建筑垃圾可利用部分外售废品回收站，不可利用部分运至市政指定建筑垃圾处置场处置</w:t>
                  </w:r>
                </w:p>
              </w:tc>
              <w:tc>
                <w:tcPr>
                  <w:tcW w:w="10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固废</w:t>
                  </w:r>
                </w:p>
              </w:tc>
              <w:tc>
                <w:tcPr>
                  <w:tcW w:w="7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76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1194" w:type="dxa"/>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w:t>
                  </w:r>
                </w:p>
              </w:tc>
              <w:tc>
                <w:tcPr>
                  <w:tcW w:w="3310" w:type="dxa"/>
                  <w:vAlign w:val="center"/>
                </w:tcPr>
                <w:p>
                  <w:pPr>
                    <w:autoSpaceDE w:val="0"/>
                    <w:autoSpaceDN w:val="0"/>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生活垃圾交由环卫部门收集处理</w:t>
                  </w:r>
                </w:p>
              </w:tc>
              <w:tc>
                <w:tcPr>
                  <w:tcW w:w="10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固废</w:t>
                  </w:r>
                </w:p>
              </w:tc>
              <w:tc>
                <w:tcPr>
                  <w:tcW w:w="7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31"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766" w:type="dxa"/>
                  <w:vMerge w:val="restart"/>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运营期</w:t>
                  </w:r>
                </w:p>
              </w:tc>
              <w:tc>
                <w:tcPr>
                  <w:tcW w:w="1194" w:type="dxa"/>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w:t>
                  </w:r>
                </w:p>
              </w:tc>
              <w:tc>
                <w:tcPr>
                  <w:tcW w:w="3310" w:type="dxa"/>
                  <w:vAlign w:val="center"/>
                </w:tcPr>
                <w:p>
                  <w:pPr>
                    <w:autoSpaceDE w:val="0"/>
                    <w:autoSpaceDN w:val="0"/>
                    <w:adjustRightInd w:val="0"/>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在各楼层设置垃圾桶用于收集医护人员及就医人员产生的生活垃圾，交环卫部门处理</w:t>
                  </w:r>
                </w:p>
              </w:tc>
              <w:tc>
                <w:tcPr>
                  <w:tcW w:w="10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固废</w:t>
                  </w:r>
                </w:p>
              </w:tc>
              <w:tc>
                <w:tcPr>
                  <w:tcW w:w="7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22"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76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1194" w:type="dxa"/>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医疗废物</w:t>
                  </w:r>
                </w:p>
              </w:tc>
              <w:tc>
                <w:tcPr>
                  <w:tcW w:w="3310" w:type="dxa"/>
                  <w:vAlign w:val="center"/>
                </w:tcPr>
                <w:p>
                  <w:pPr>
                    <w:autoSpaceDE w:val="0"/>
                    <w:autoSpaceDN w:val="0"/>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各楼层设置医疗废物收集专用桶，住院综合楼1F南侧设置一间医废暂存间，建筑面积80m</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地面及墙裙做防腐防渗处理，并配套安装空调、冰柜、摄像头等设施。其中感染性和损伤性废物定期交由达州佳境医疗废物处理有限公司外运处理，化学性和药物性经专用容器分类收集后，交由资质单位处理，病理性废物定期清运至宣汉县殡仪馆。</w:t>
                  </w:r>
                </w:p>
              </w:tc>
              <w:tc>
                <w:tcPr>
                  <w:tcW w:w="10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固废</w:t>
                  </w:r>
                </w:p>
              </w:tc>
              <w:tc>
                <w:tcPr>
                  <w:tcW w:w="7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31"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76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1194" w:type="dxa"/>
                  <w:vAlign w:val="center"/>
                </w:tcPr>
                <w:p>
                  <w:pPr>
                    <w:autoSpaceDE w:val="0"/>
                    <w:autoSpaceDN w:val="0"/>
                    <w:adjustRightIn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未感染的输液瓶（袋）</w:t>
                  </w:r>
                </w:p>
              </w:tc>
              <w:tc>
                <w:tcPr>
                  <w:tcW w:w="3310" w:type="dxa"/>
                  <w:vAlign w:val="center"/>
                </w:tcPr>
                <w:p>
                  <w:pPr>
                    <w:autoSpaceDE w:val="0"/>
                    <w:autoSpaceDN w:val="0"/>
                    <w:adjustRightIn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经统一容器收集后，定期交由有资质的回收单位，并建立管理台账</w:t>
                  </w:r>
                </w:p>
              </w:tc>
              <w:tc>
                <w:tcPr>
                  <w:tcW w:w="1021" w:type="dxa"/>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固废</w:t>
                  </w:r>
                </w:p>
              </w:tc>
              <w:tc>
                <w:tcPr>
                  <w:tcW w:w="734" w:type="dxa"/>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外委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737" w:type="dxa"/>
                  <w:vMerge w:val="continue"/>
                  <w:vAlign w:val="center"/>
                </w:tcPr>
                <w:p>
                  <w:pPr>
                    <w:jc w:val="center"/>
                    <w:rPr>
                      <w:color w:val="000000" w:themeColor="text1"/>
                      <w:szCs w:val="21"/>
                      <w14:textFill>
                        <w14:solidFill>
                          <w14:schemeClr w14:val="tx1"/>
                        </w14:solidFill>
                      </w14:textFill>
                    </w:rPr>
                  </w:pPr>
                </w:p>
              </w:tc>
              <w:tc>
                <w:tcPr>
                  <w:tcW w:w="63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76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1194" w:type="dxa"/>
                  <w:vAlign w:val="center"/>
                </w:tcPr>
                <w:p>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污水处理站污泥</w:t>
                  </w:r>
                </w:p>
              </w:tc>
              <w:tc>
                <w:tcPr>
                  <w:tcW w:w="3310" w:type="dxa"/>
                  <w:vAlign w:val="center"/>
                </w:tcPr>
                <w:p>
                  <w:pPr>
                    <w:keepNext w:val="0"/>
                    <w:keepLines w:val="0"/>
                    <w:widowControl/>
                    <w:suppressLineNumbers w:val="0"/>
                    <w:jc w:val="center"/>
                    <w:textAlignment w:val="center"/>
                    <w:rPr>
                      <w:bCs/>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委托有资质单位对污水处理系统产生的污泥定期清掏处理，不在场区暂存处理</w:t>
                  </w:r>
                </w:p>
              </w:tc>
              <w:tc>
                <w:tcPr>
                  <w:tcW w:w="10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固废</w:t>
                  </w:r>
                </w:p>
              </w:tc>
              <w:tc>
                <w:tcPr>
                  <w:tcW w:w="7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外委</w:t>
                  </w:r>
                </w:p>
              </w:tc>
            </w:tr>
          </w:tbl>
          <w:p>
            <w:pPr>
              <w:numPr>
                <w:ilvl w:val="0"/>
                <w:numId w:val="5"/>
              </w:numPr>
              <w:adjustRightInd w:val="0"/>
              <w:snapToGrid w:val="0"/>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主要原辅料、动力消耗及来源</w:t>
            </w:r>
          </w:p>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本项目主要原辅料用量及能耗情况见</w:t>
            </w:r>
            <w:r>
              <w:rPr>
                <w:rFonts w:hint="eastAsia"/>
                <w:color w:val="000000" w:themeColor="text1"/>
                <w:sz w:val="24"/>
                <w14:textFill>
                  <w14:solidFill>
                    <w14:schemeClr w14:val="tx1"/>
                  </w14:solidFill>
                </w14:textFill>
              </w:rPr>
              <w:t>下</w:t>
            </w:r>
            <w:r>
              <w:rPr>
                <w:color w:val="000000" w:themeColor="text1"/>
                <w:sz w:val="24"/>
                <w14:textFill>
                  <w14:solidFill>
                    <w14:schemeClr w14:val="tx1"/>
                  </w14:solidFill>
                </w14:textFill>
              </w:rPr>
              <w:t>表</w:t>
            </w:r>
            <w:r>
              <w:rPr>
                <w:rFonts w:hint="eastAsia"/>
                <w:color w:val="000000" w:themeColor="text1"/>
                <w:sz w:val="24"/>
                <w14:textFill>
                  <w14:solidFill>
                    <w14:schemeClr w14:val="tx1"/>
                  </w14:solidFill>
                </w14:textFill>
              </w:rPr>
              <w:t>。</w:t>
            </w:r>
          </w:p>
          <w:p>
            <w:pPr>
              <w:numPr>
                <w:ilvl w:val="0"/>
                <w:numId w:val="6"/>
              </w:num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主要原辅料及能耗情况表</w:t>
            </w:r>
          </w:p>
          <w:tbl>
            <w:tblPr>
              <w:tblStyle w:val="23"/>
              <w:tblW w:w="78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2440"/>
              <w:gridCol w:w="1135"/>
              <w:gridCol w:w="1566"/>
              <w:gridCol w:w="16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9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w:t>
                  </w:r>
                </w:p>
              </w:tc>
              <w:tc>
                <w:tcPr>
                  <w:tcW w:w="244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原辅材料名称</w:t>
                  </w:r>
                </w:p>
              </w:tc>
              <w:tc>
                <w:tcPr>
                  <w:tcW w:w="113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包装方式</w:t>
                  </w:r>
                </w:p>
              </w:tc>
              <w:tc>
                <w:tcPr>
                  <w:tcW w:w="15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年用量</w:t>
                  </w:r>
                </w:p>
              </w:tc>
              <w:tc>
                <w:tcPr>
                  <w:tcW w:w="160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药品</w:t>
                  </w:r>
                </w:p>
              </w:tc>
              <w:tc>
                <w:tcPr>
                  <w:tcW w:w="2440" w:type="dxa"/>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枸橼酸莫沙必利胶囊</w:t>
                  </w:r>
                </w:p>
              </w:tc>
              <w:tc>
                <w:tcPr>
                  <w:tcW w:w="1135"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盒</w:t>
                  </w:r>
                </w:p>
              </w:tc>
              <w:tc>
                <w:tcPr>
                  <w:tcW w:w="1566"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150</w:t>
                  </w:r>
                </w:p>
              </w:tc>
              <w:tc>
                <w:tcPr>
                  <w:tcW w:w="1606"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continue"/>
                  <w:vAlign w:val="center"/>
                </w:tcPr>
                <w:p>
                  <w:pPr>
                    <w:jc w:val="center"/>
                    <w:rPr>
                      <w:color w:val="000000" w:themeColor="text1"/>
                      <w:szCs w:val="21"/>
                      <w14:textFill>
                        <w14:solidFill>
                          <w14:schemeClr w14:val="tx1"/>
                        </w14:solidFill>
                      </w14:textFill>
                    </w:rPr>
                  </w:pPr>
                </w:p>
              </w:tc>
              <w:tc>
                <w:tcPr>
                  <w:tcW w:w="244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乳癖消胶囊</w:t>
                  </w:r>
                </w:p>
              </w:tc>
              <w:tc>
                <w:tcPr>
                  <w:tcW w:w="113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盒</w:t>
                  </w:r>
                </w:p>
              </w:tc>
              <w:tc>
                <w:tcPr>
                  <w:tcW w:w="15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606" w:type="dxa"/>
                  <w:vAlign w:val="center"/>
                </w:tcPr>
                <w:p>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continue"/>
                  <w:vAlign w:val="center"/>
                </w:tcPr>
                <w:p>
                  <w:pPr>
                    <w:jc w:val="center"/>
                    <w:rPr>
                      <w:color w:val="000000" w:themeColor="text1"/>
                      <w:szCs w:val="21"/>
                      <w14:textFill>
                        <w14:solidFill>
                          <w14:schemeClr w14:val="tx1"/>
                        </w14:solidFill>
                      </w14:textFill>
                    </w:rPr>
                  </w:pPr>
                </w:p>
              </w:tc>
              <w:tc>
                <w:tcPr>
                  <w:tcW w:w="244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非洛地平缓释片</w:t>
                  </w:r>
                </w:p>
              </w:tc>
              <w:tc>
                <w:tcPr>
                  <w:tcW w:w="113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盒</w:t>
                  </w:r>
                </w:p>
              </w:tc>
              <w:tc>
                <w:tcPr>
                  <w:tcW w:w="15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606" w:type="dxa"/>
                  <w:vAlign w:val="center"/>
                </w:tcPr>
                <w:p>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continue"/>
                  <w:vAlign w:val="center"/>
                </w:tcPr>
                <w:p>
                  <w:pPr>
                    <w:jc w:val="center"/>
                    <w:rPr>
                      <w:color w:val="000000" w:themeColor="text1"/>
                      <w:szCs w:val="21"/>
                      <w14:textFill>
                        <w14:solidFill>
                          <w14:schemeClr w14:val="tx1"/>
                        </w14:solidFill>
                      </w14:textFill>
                    </w:rPr>
                  </w:pPr>
                </w:p>
              </w:tc>
              <w:tc>
                <w:tcPr>
                  <w:tcW w:w="244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通窍鼻炎颗粒</w:t>
                  </w:r>
                </w:p>
              </w:tc>
              <w:tc>
                <w:tcPr>
                  <w:tcW w:w="113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盒</w:t>
                  </w:r>
                </w:p>
              </w:tc>
              <w:tc>
                <w:tcPr>
                  <w:tcW w:w="15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w:t>
                  </w:r>
                </w:p>
              </w:tc>
              <w:tc>
                <w:tcPr>
                  <w:tcW w:w="1606" w:type="dxa"/>
                  <w:vAlign w:val="center"/>
                </w:tcPr>
                <w:p>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continue"/>
                  <w:vAlign w:val="center"/>
                </w:tcPr>
                <w:p>
                  <w:pPr>
                    <w:jc w:val="center"/>
                    <w:rPr>
                      <w:color w:val="000000" w:themeColor="text1"/>
                      <w:szCs w:val="21"/>
                      <w14:textFill>
                        <w14:solidFill>
                          <w14:schemeClr w14:val="tx1"/>
                        </w14:solidFill>
                      </w14:textFill>
                    </w:rPr>
                  </w:pPr>
                </w:p>
              </w:tc>
              <w:tc>
                <w:tcPr>
                  <w:tcW w:w="244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盐酸异丙嗪注射液</w:t>
                  </w:r>
                </w:p>
              </w:tc>
              <w:tc>
                <w:tcPr>
                  <w:tcW w:w="113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盒</w:t>
                  </w:r>
                </w:p>
              </w:tc>
              <w:tc>
                <w:tcPr>
                  <w:tcW w:w="15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606" w:type="dxa"/>
                  <w:vAlign w:val="center"/>
                </w:tcPr>
                <w:p>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continue"/>
                  <w:vAlign w:val="center"/>
                </w:tcPr>
                <w:p>
                  <w:pPr>
                    <w:jc w:val="center"/>
                    <w:rPr>
                      <w:color w:val="000000" w:themeColor="text1"/>
                      <w:szCs w:val="21"/>
                      <w14:textFill>
                        <w14:solidFill>
                          <w14:schemeClr w14:val="tx1"/>
                        </w14:solidFill>
                      </w14:textFill>
                    </w:rPr>
                  </w:pPr>
                </w:p>
              </w:tc>
              <w:tc>
                <w:tcPr>
                  <w:tcW w:w="244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补中益气丸</w:t>
                  </w:r>
                </w:p>
              </w:tc>
              <w:tc>
                <w:tcPr>
                  <w:tcW w:w="113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瓶</w:t>
                  </w:r>
                </w:p>
              </w:tc>
              <w:tc>
                <w:tcPr>
                  <w:tcW w:w="15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1606" w:type="dxa"/>
                  <w:vAlign w:val="center"/>
                </w:tcPr>
                <w:p>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continue"/>
                  <w:vAlign w:val="center"/>
                </w:tcPr>
                <w:p>
                  <w:pPr>
                    <w:jc w:val="center"/>
                    <w:rPr>
                      <w:color w:val="000000" w:themeColor="text1"/>
                      <w:szCs w:val="21"/>
                      <w14:textFill>
                        <w14:solidFill>
                          <w14:schemeClr w14:val="tx1"/>
                        </w14:solidFill>
                      </w14:textFill>
                    </w:rPr>
                  </w:pPr>
                </w:p>
              </w:tc>
              <w:tc>
                <w:tcPr>
                  <w:tcW w:w="244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注射用血栓通（冻干）</w:t>
                  </w:r>
                </w:p>
              </w:tc>
              <w:tc>
                <w:tcPr>
                  <w:tcW w:w="113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盒</w:t>
                  </w:r>
                </w:p>
              </w:tc>
              <w:tc>
                <w:tcPr>
                  <w:tcW w:w="15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w:t>
                  </w:r>
                </w:p>
              </w:tc>
              <w:tc>
                <w:tcPr>
                  <w:tcW w:w="1606" w:type="dxa"/>
                  <w:vAlign w:val="center"/>
                </w:tcPr>
                <w:p>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continue"/>
                  <w:vAlign w:val="center"/>
                </w:tcPr>
                <w:p>
                  <w:pPr>
                    <w:jc w:val="center"/>
                    <w:rPr>
                      <w:color w:val="000000" w:themeColor="text1"/>
                      <w:szCs w:val="21"/>
                      <w14:textFill>
                        <w14:solidFill>
                          <w14:schemeClr w14:val="tx1"/>
                        </w14:solidFill>
                      </w14:textFill>
                    </w:rPr>
                  </w:pPr>
                </w:p>
              </w:tc>
              <w:tc>
                <w:tcPr>
                  <w:tcW w:w="244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氢氯噻嗪片</w:t>
                  </w:r>
                </w:p>
              </w:tc>
              <w:tc>
                <w:tcPr>
                  <w:tcW w:w="113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瓶</w:t>
                  </w:r>
                </w:p>
              </w:tc>
              <w:tc>
                <w:tcPr>
                  <w:tcW w:w="15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1606" w:type="dxa"/>
                  <w:vAlign w:val="center"/>
                </w:tcPr>
                <w:p>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continue"/>
                  <w:vAlign w:val="center"/>
                </w:tcPr>
                <w:p>
                  <w:pPr>
                    <w:jc w:val="center"/>
                    <w:rPr>
                      <w:color w:val="000000" w:themeColor="text1"/>
                      <w:szCs w:val="21"/>
                      <w14:textFill>
                        <w14:solidFill>
                          <w14:schemeClr w14:val="tx1"/>
                        </w14:solidFill>
                      </w14:textFill>
                    </w:rPr>
                  </w:pPr>
                </w:p>
              </w:tc>
              <w:tc>
                <w:tcPr>
                  <w:tcW w:w="244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阿莫西林胶囊</w:t>
                  </w:r>
                </w:p>
              </w:tc>
              <w:tc>
                <w:tcPr>
                  <w:tcW w:w="113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盒</w:t>
                  </w:r>
                </w:p>
              </w:tc>
              <w:tc>
                <w:tcPr>
                  <w:tcW w:w="15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w:t>
                  </w:r>
                </w:p>
              </w:tc>
              <w:tc>
                <w:tcPr>
                  <w:tcW w:w="1606" w:type="dxa"/>
                  <w:vAlign w:val="center"/>
                </w:tcPr>
                <w:p>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90" w:type="dxa"/>
                  <w:vMerge w:val="continue"/>
                  <w:vAlign w:val="center"/>
                </w:tcPr>
                <w:p>
                  <w:pPr>
                    <w:jc w:val="center"/>
                    <w:rPr>
                      <w:color w:val="000000" w:themeColor="text1"/>
                      <w:szCs w:val="21"/>
                      <w14:textFill>
                        <w14:solidFill>
                          <w14:schemeClr w14:val="tx1"/>
                        </w14:solidFill>
                      </w14:textFill>
                    </w:rPr>
                  </w:pPr>
                </w:p>
              </w:tc>
              <w:tc>
                <w:tcPr>
                  <w:tcW w:w="244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感冒清片</w:t>
                  </w:r>
                </w:p>
              </w:tc>
              <w:tc>
                <w:tcPr>
                  <w:tcW w:w="113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瓶</w:t>
                  </w:r>
                </w:p>
              </w:tc>
              <w:tc>
                <w:tcPr>
                  <w:tcW w:w="15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w:t>
                  </w:r>
                </w:p>
              </w:tc>
              <w:tc>
                <w:tcPr>
                  <w:tcW w:w="1606" w:type="dxa"/>
                  <w:vAlign w:val="center"/>
                </w:tcPr>
                <w:p>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continue"/>
                  <w:vAlign w:val="center"/>
                </w:tcPr>
                <w:p>
                  <w:pPr>
                    <w:jc w:val="center"/>
                    <w:rPr>
                      <w:color w:val="000000" w:themeColor="text1"/>
                      <w:szCs w:val="21"/>
                      <w14:textFill>
                        <w14:solidFill>
                          <w14:schemeClr w14:val="tx1"/>
                        </w14:solidFill>
                      </w14:textFill>
                    </w:rPr>
                  </w:pPr>
                </w:p>
              </w:tc>
              <w:tc>
                <w:tcPr>
                  <w:tcW w:w="244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硫酸镁注射液</w:t>
                  </w:r>
                </w:p>
              </w:tc>
              <w:tc>
                <w:tcPr>
                  <w:tcW w:w="113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盒</w:t>
                  </w:r>
                </w:p>
              </w:tc>
              <w:tc>
                <w:tcPr>
                  <w:tcW w:w="15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606" w:type="dxa"/>
                  <w:vAlign w:val="center"/>
                </w:tcPr>
                <w:p>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continue"/>
                  <w:vAlign w:val="center"/>
                </w:tcPr>
                <w:p>
                  <w:pPr>
                    <w:jc w:val="center"/>
                    <w:rPr>
                      <w:color w:val="000000" w:themeColor="text1"/>
                      <w:szCs w:val="21"/>
                      <w14:textFill>
                        <w14:solidFill>
                          <w14:schemeClr w14:val="tx1"/>
                        </w14:solidFill>
                      </w14:textFill>
                    </w:rPr>
                  </w:pPr>
                </w:p>
              </w:tc>
              <w:tc>
                <w:tcPr>
                  <w:tcW w:w="5141" w:type="dxa"/>
                  <w:gridSpan w:val="3"/>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另其他药品若干种</w:t>
                  </w:r>
                </w:p>
              </w:tc>
              <w:tc>
                <w:tcPr>
                  <w:tcW w:w="1606" w:type="dxa"/>
                  <w:vAlign w:val="center"/>
                </w:tcPr>
                <w:p>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restart"/>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辅料</w:t>
                  </w:r>
                </w:p>
              </w:tc>
              <w:tc>
                <w:tcPr>
                  <w:tcW w:w="24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一次性针管</w:t>
                  </w:r>
                </w:p>
              </w:tc>
              <w:tc>
                <w:tcPr>
                  <w:tcW w:w="113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p>
              </w:tc>
              <w:tc>
                <w:tcPr>
                  <w:tcW w:w="15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w:t>
                  </w:r>
                </w:p>
              </w:tc>
              <w:tc>
                <w:tcPr>
                  <w:tcW w:w="1606" w:type="dxa"/>
                  <w:vAlign w:val="center"/>
                </w:tcPr>
                <w:p>
                  <w:pPr>
                    <w:jc w:val="center"/>
                    <w:rPr>
                      <w:bCs/>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continue"/>
                  <w:vAlign w:val="center"/>
                </w:tcPr>
                <w:p>
                  <w:pPr>
                    <w:jc w:val="center"/>
                    <w:rPr>
                      <w:bCs/>
                      <w:color w:val="000000" w:themeColor="text1"/>
                      <w:szCs w:val="21"/>
                      <w14:textFill>
                        <w14:solidFill>
                          <w14:schemeClr w14:val="tx1"/>
                        </w14:solidFill>
                      </w14:textFill>
                    </w:rPr>
                  </w:pPr>
                </w:p>
              </w:tc>
              <w:tc>
                <w:tcPr>
                  <w:tcW w:w="2440"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一次性输液管</w:t>
                  </w:r>
                </w:p>
              </w:tc>
              <w:tc>
                <w:tcPr>
                  <w:tcW w:w="1135" w:type="dxa"/>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袋装</w:t>
                  </w:r>
                </w:p>
              </w:tc>
              <w:tc>
                <w:tcPr>
                  <w:tcW w:w="1566"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w:t>
                  </w:r>
                </w:p>
              </w:tc>
              <w:tc>
                <w:tcPr>
                  <w:tcW w:w="1606"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continue"/>
                  <w:vAlign w:val="center"/>
                </w:tcPr>
                <w:p>
                  <w:pPr>
                    <w:jc w:val="center"/>
                    <w:rPr>
                      <w:bCs/>
                      <w:color w:val="000000" w:themeColor="text1"/>
                      <w:szCs w:val="21"/>
                      <w14:textFill>
                        <w14:solidFill>
                          <w14:schemeClr w14:val="tx1"/>
                        </w14:solidFill>
                      </w14:textFill>
                    </w:rPr>
                  </w:pPr>
                </w:p>
              </w:tc>
              <w:tc>
                <w:tcPr>
                  <w:tcW w:w="2440"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一次性手套</w:t>
                  </w:r>
                </w:p>
              </w:tc>
              <w:tc>
                <w:tcPr>
                  <w:tcW w:w="1135"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p>
              </w:tc>
              <w:tc>
                <w:tcPr>
                  <w:tcW w:w="1566"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606"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continue"/>
                  <w:vAlign w:val="center"/>
                </w:tcPr>
                <w:p>
                  <w:pPr>
                    <w:jc w:val="center"/>
                    <w:rPr>
                      <w:bCs/>
                      <w:color w:val="000000" w:themeColor="text1"/>
                      <w:szCs w:val="21"/>
                      <w14:textFill>
                        <w14:solidFill>
                          <w14:schemeClr w14:val="tx1"/>
                        </w14:solidFill>
                      </w14:textFill>
                    </w:rPr>
                  </w:pPr>
                </w:p>
              </w:tc>
              <w:tc>
                <w:tcPr>
                  <w:tcW w:w="2440"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一次性棉签</w:t>
                  </w:r>
                </w:p>
              </w:tc>
              <w:tc>
                <w:tcPr>
                  <w:tcW w:w="1135"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p>
              </w:tc>
              <w:tc>
                <w:tcPr>
                  <w:tcW w:w="1566"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606"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continue"/>
                  <w:vAlign w:val="center"/>
                </w:tcPr>
                <w:p>
                  <w:pPr>
                    <w:jc w:val="center"/>
                    <w:rPr>
                      <w:bCs/>
                      <w:color w:val="000000" w:themeColor="text1"/>
                      <w:szCs w:val="21"/>
                      <w14:textFill>
                        <w14:solidFill>
                          <w14:schemeClr w14:val="tx1"/>
                        </w14:solidFill>
                      </w14:textFill>
                    </w:rPr>
                  </w:pPr>
                </w:p>
              </w:tc>
              <w:tc>
                <w:tcPr>
                  <w:tcW w:w="2440"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一次性纱布</w:t>
                  </w:r>
                </w:p>
              </w:tc>
              <w:tc>
                <w:tcPr>
                  <w:tcW w:w="1135"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p>
              </w:tc>
              <w:tc>
                <w:tcPr>
                  <w:tcW w:w="1566"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1606"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continue"/>
                  <w:vAlign w:val="center"/>
                </w:tcPr>
                <w:p>
                  <w:pPr>
                    <w:jc w:val="center"/>
                    <w:rPr>
                      <w:bCs/>
                      <w:color w:val="000000" w:themeColor="text1"/>
                      <w:szCs w:val="21"/>
                      <w14:textFill>
                        <w14:solidFill>
                          <w14:schemeClr w14:val="tx1"/>
                        </w14:solidFill>
                      </w14:textFill>
                    </w:rPr>
                  </w:pPr>
                </w:p>
              </w:tc>
              <w:tc>
                <w:tcPr>
                  <w:tcW w:w="2440"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医用脱脂纱布</w:t>
                  </w:r>
                </w:p>
              </w:tc>
              <w:tc>
                <w:tcPr>
                  <w:tcW w:w="1135"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p>
              </w:tc>
              <w:tc>
                <w:tcPr>
                  <w:tcW w:w="1566"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1606"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continue"/>
                  <w:vAlign w:val="center"/>
                </w:tcPr>
                <w:p>
                  <w:pPr>
                    <w:jc w:val="center"/>
                    <w:rPr>
                      <w:bCs/>
                      <w:color w:val="000000" w:themeColor="text1"/>
                      <w:szCs w:val="21"/>
                      <w14:textFill>
                        <w14:solidFill>
                          <w14:schemeClr w14:val="tx1"/>
                        </w14:solidFill>
                      </w14:textFill>
                    </w:rPr>
                  </w:pPr>
                </w:p>
              </w:tc>
              <w:tc>
                <w:tcPr>
                  <w:tcW w:w="2440"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一次性使用输液贴</w:t>
                  </w:r>
                </w:p>
              </w:tc>
              <w:tc>
                <w:tcPr>
                  <w:tcW w:w="1135"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p>
              </w:tc>
              <w:tc>
                <w:tcPr>
                  <w:tcW w:w="1566"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1606"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continue"/>
                  <w:vAlign w:val="center"/>
                </w:tcPr>
                <w:p>
                  <w:pPr>
                    <w:jc w:val="center"/>
                    <w:rPr>
                      <w:bCs/>
                      <w:color w:val="000000" w:themeColor="text1"/>
                      <w:szCs w:val="21"/>
                      <w14:textFill>
                        <w14:solidFill>
                          <w14:schemeClr w14:val="tx1"/>
                        </w14:solidFill>
                      </w14:textFill>
                    </w:rPr>
                  </w:pPr>
                </w:p>
              </w:tc>
              <w:tc>
                <w:tcPr>
                  <w:tcW w:w="2440"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一次性使用口罩</w:t>
                  </w:r>
                </w:p>
              </w:tc>
              <w:tc>
                <w:tcPr>
                  <w:tcW w:w="1135"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p>
              </w:tc>
              <w:tc>
                <w:tcPr>
                  <w:tcW w:w="1566"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w:t>
                  </w:r>
                </w:p>
              </w:tc>
              <w:tc>
                <w:tcPr>
                  <w:tcW w:w="1606"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continue"/>
                  <w:vAlign w:val="center"/>
                </w:tcPr>
                <w:p>
                  <w:pPr>
                    <w:jc w:val="center"/>
                    <w:rPr>
                      <w:bCs/>
                      <w:color w:val="000000" w:themeColor="text1"/>
                      <w:szCs w:val="21"/>
                      <w14:textFill>
                        <w14:solidFill>
                          <w14:schemeClr w14:val="tx1"/>
                        </w14:solidFill>
                      </w14:textFill>
                    </w:rPr>
                  </w:pPr>
                </w:p>
              </w:tc>
              <w:tc>
                <w:tcPr>
                  <w:tcW w:w="2440"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一次性使用清创缝合包</w:t>
                  </w:r>
                </w:p>
              </w:tc>
              <w:tc>
                <w:tcPr>
                  <w:tcW w:w="1135"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p>
              </w:tc>
              <w:tc>
                <w:tcPr>
                  <w:tcW w:w="1566"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w:t>
                  </w:r>
                </w:p>
              </w:tc>
              <w:tc>
                <w:tcPr>
                  <w:tcW w:w="1606"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continue"/>
                  <w:vAlign w:val="center"/>
                </w:tcPr>
                <w:p>
                  <w:pPr>
                    <w:jc w:val="center"/>
                    <w:rPr>
                      <w:bCs/>
                      <w:color w:val="000000" w:themeColor="text1"/>
                      <w:szCs w:val="21"/>
                      <w14:textFill>
                        <w14:solidFill>
                          <w14:schemeClr w14:val="tx1"/>
                        </w14:solidFill>
                      </w14:textFill>
                    </w:rPr>
                  </w:pPr>
                </w:p>
              </w:tc>
              <w:tc>
                <w:tcPr>
                  <w:tcW w:w="2440"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酒精消毒液</w:t>
                  </w:r>
                </w:p>
              </w:tc>
              <w:tc>
                <w:tcPr>
                  <w:tcW w:w="1135"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瓶装</w:t>
                  </w:r>
                </w:p>
              </w:tc>
              <w:tc>
                <w:tcPr>
                  <w:tcW w:w="1566"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w:t>
                  </w:r>
                </w:p>
              </w:tc>
              <w:tc>
                <w:tcPr>
                  <w:tcW w:w="1606"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continue"/>
                  <w:vAlign w:val="center"/>
                </w:tcPr>
                <w:p>
                  <w:pPr>
                    <w:jc w:val="center"/>
                    <w:rPr>
                      <w:bCs/>
                      <w:color w:val="000000" w:themeColor="text1"/>
                      <w:szCs w:val="21"/>
                      <w14:textFill>
                        <w14:solidFill>
                          <w14:schemeClr w14:val="tx1"/>
                        </w14:solidFill>
                      </w14:textFill>
                    </w:rPr>
                  </w:pPr>
                </w:p>
              </w:tc>
              <w:tc>
                <w:tcPr>
                  <w:tcW w:w="2440"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碘伏消毒液</w:t>
                  </w:r>
                </w:p>
              </w:tc>
              <w:tc>
                <w:tcPr>
                  <w:tcW w:w="1135"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瓶装</w:t>
                  </w:r>
                </w:p>
              </w:tc>
              <w:tc>
                <w:tcPr>
                  <w:tcW w:w="1566"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606"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医药公司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continue"/>
                  <w:vAlign w:val="center"/>
                </w:tcPr>
                <w:p>
                  <w:pPr>
                    <w:jc w:val="center"/>
                    <w:rPr>
                      <w:bCs/>
                      <w:color w:val="000000" w:themeColor="text1"/>
                      <w:szCs w:val="21"/>
                      <w14:textFill>
                        <w14:solidFill>
                          <w14:schemeClr w14:val="tx1"/>
                        </w14:solidFill>
                      </w14:textFill>
                    </w:rPr>
                  </w:pPr>
                </w:p>
              </w:tc>
              <w:tc>
                <w:tcPr>
                  <w:tcW w:w="2440" w:type="dxa"/>
                  <w:vAlign w:val="center"/>
                </w:tcPr>
                <w:p>
                  <w:pPr>
                    <w:widowControl/>
                    <w:jc w:val="center"/>
                    <w:textAlignment w:val="center"/>
                    <w:rPr>
                      <w:color w:val="000000" w:themeColor="text1"/>
                      <w:szCs w:val="21"/>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泡腾含氯消毒片</w:t>
                  </w:r>
                </w:p>
              </w:tc>
              <w:tc>
                <w:tcPr>
                  <w:tcW w:w="1135" w:type="dxa"/>
                  <w:vAlign w:val="center"/>
                </w:tcPr>
                <w:p>
                  <w:pPr>
                    <w:widowControl/>
                    <w:jc w:val="center"/>
                    <w:textAlignment w:val="center"/>
                    <w:rPr>
                      <w:color w:val="000000" w:themeColor="text1"/>
                      <w:szCs w:val="21"/>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瓶装</w:t>
                  </w:r>
                </w:p>
              </w:tc>
              <w:tc>
                <w:tcPr>
                  <w:tcW w:w="1566"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0.8t</w:t>
                  </w:r>
                </w:p>
              </w:tc>
              <w:tc>
                <w:tcPr>
                  <w:tcW w:w="1606" w:type="dxa"/>
                  <w:vAlign w:val="center"/>
                </w:tcPr>
                <w:p>
                  <w:pPr>
                    <w:jc w:val="center"/>
                    <w:rPr>
                      <w:color w:val="000000" w:themeColor="text1"/>
                      <w:kern w:val="0"/>
                      <w:szCs w:val="21"/>
                      <w14:textFill>
                        <w14:solidFill>
                          <w14:schemeClr w14:val="tx1"/>
                        </w14:solidFill>
                      </w14:textFill>
                    </w:rPr>
                  </w:pPr>
                  <w:r>
                    <w:rPr>
                      <w:rFonts w:hint="eastAsia"/>
                      <w:b w:val="0"/>
                      <w:bCs w:val="0"/>
                      <w:color w:val="000000" w:themeColor="text1"/>
                      <w:kern w:val="0"/>
                      <w:szCs w:val="21"/>
                      <w:lang w:val="en-US" w:eastAsia="zh-CN"/>
                      <w14:textFill>
                        <w14:solidFill>
                          <w14:schemeClr w14:val="tx1"/>
                        </w14:solidFill>
                      </w14:textFill>
                    </w:rPr>
                    <w:t>市场外购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restart"/>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能源</w:t>
                  </w:r>
                </w:p>
              </w:tc>
              <w:tc>
                <w:tcPr>
                  <w:tcW w:w="2440"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电</w:t>
                  </w:r>
                </w:p>
              </w:tc>
              <w:tc>
                <w:tcPr>
                  <w:tcW w:w="1135" w:type="dxa"/>
                  <w:vAlign w:val="center"/>
                </w:tcPr>
                <w:p>
                  <w:pPr>
                    <w:jc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w:t>
                  </w:r>
                </w:p>
              </w:tc>
              <w:tc>
                <w:tcPr>
                  <w:tcW w:w="1566" w:type="dxa"/>
                  <w:vAlign w:val="center"/>
                </w:tcPr>
                <w:p>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35000kw.h/a</w:t>
                  </w:r>
                </w:p>
              </w:tc>
              <w:tc>
                <w:tcPr>
                  <w:tcW w:w="1606" w:type="dxa"/>
                  <w:vAlign w:val="center"/>
                </w:tcPr>
                <w:p>
                  <w:pPr>
                    <w:jc w:val="center"/>
                    <w:rPr>
                      <w:bCs/>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市政电网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90" w:type="dxa"/>
                  <w:vMerge w:val="continue"/>
                  <w:vAlign w:val="center"/>
                </w:tcPr>
                <w:p>
                  <w:pPr>
                    <w:jc w:val="center"/>
                    <w:rPr>
                      <w:bCs/>
                      <w:color w:val="000000" w:themeColor="text1"/>
                      <w:szCs w:val="21"/>
                      <w14:textFill>
                        <w14:solidFill>
                          <w14:schemeClr w14:val="tx1"/>
                        </w14:solidFill>
                      </w14:textFill>
                    </w:rPr>
                  </w:pPr>
                </w:p>
              </w:tc>
              <w:tc>
                <w:tcPr>
                  <w:tcW w:w="2440"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水</w:t>
                  </w:r>
                </w:p>
              </w:tc>
              <w:tc>
                <w:tcPr>
                  <w:tcW w:w="1135" w:type="dxa"/>
                  <w:vAlign w:val="center"/>
                </w:tcPr>
                <w:p>
                  <w:pPr>
                    <w:jc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w:t>
                  </w:r>
                </w:p>
              </w:tc>
              <w:tc>
                <w:tcPr>
                  <w:tcW w:w="1566" w:type="dxa"/>
                  <w:vAlign w:val="center"/>
                </w:tcPr>
                <w:p>
                  <w:pPr>
                    <w:jc w:val="center"/>
                    <w:rPr>
                      <w:bCs/>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149800.38</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/a</w:t>
                  </w:r>
                </w:p>
              </w:tc>
              <w:tc>
                <w:tcPr>
                  <w:tcW w:w="1606" w:type="dxa"/>
                  <w:vAlign w:val="center"/>
                </w:tcPr>
                <w:p>
                  <w:pPr>
                    <w:jc w:val="center"/>
                    <w:rPr>
                      <w:bCs/>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市政自来水</w:t>
                  </w:r>
                </w:p>
              </w:tc>
            </w:tr>
          </w:tbl>
          <w:p>
            <w:pPr>
              <w:numPr>
                <w:ilvl w:val="0"/>
                <w:numId w:val="5"/>
              </w:numPr>
              <w:adjustRightInd w:val="0"/>
              <w:snapToGrid w:val="0"/>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项目主要</w:t>
            </w:r>
            <w:r>
              <w:rPr>
                <w:rFonts w:hint="eastAsia"/>
                <w:b/>
                <w:bCs/>
                <w:color w:val="000000" w:themeColor="text1"/>
                <w:sz w:val="24"/>
                <w14:textFill>
                  <w14:solidFill>
                    <w14:schemeClr w14:val="tx1"/>
                  </w14:solidFill>
                </w14:textFill>
              </w:rPr>
              <w:t>医疗设备</w:t>
            </w:r>
            <w:r>
              <w:rPr>
                <w:b/>
                <w:bCs/>
                <w:color w:val="000000" w:themeColor="text1"/>
                <w:sz w:val="24"/>
                <w14:textFill>
                  <w14:solidFill>
                    <w14:schemeClr w14:val="tx1"/>
                  </w14:solidFill>
                </w14:textFill>
              </w:rPr>
              <w:t>见下表。</w:t>
            </w:r>
          </w:p>
          <w:p>
            <w:pPr>
              <w:numPr>
                <w:ilvl w:val="0"/>
                <w:numId w:val="6"/>
              </w:numPr>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项目主要医疗设备一览表</w:t>
            </w:r>
          </w:p>
          <w:tbl>
            <w:tblPr>
              <w:tblStyle w:val="23"/>
              <w:tblW w:w="694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9"/>
              <w:gridCol w:w="2819"/>
              <w:gridCol w:w="1201"/>
              <w:gridCol w:w="1086"/>
              <w:gridCol w:w="9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8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2819"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设备名称</w:t>
                  </w:r>
                </w:p>
              </w:tc>
              <w:tc>
                <w:tcPr>
                  <w:tcW w:w="1201"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型号</w:t>
                  </w:r>
                </w:p>
              </w:tc>
              <w:tc>
                <w:tcPr>
                  <w:tcW w:w="108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单位</w:t>
                  </w:r>
                </w:p>
              </w:tc>
              <w:tc>
                <w:tcPr>
                  <w:tcW w:w="948"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彩色超声多普勒3800型</w:t>
                  </w:r>
                </w:p>
              </w:tc>
              <w:tc>
                <w:tcPr>
                  <w:tcW w:w="1201" w:type="dxa"/>
                  <w:shd w:val="clear" w:color="auto" w:fill="auto"/>
                  <w:vAlign w:val="center"/>
                </w:tcPr>
                <w:p>
                  <w:pPr>
                    <w:widowControl/>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widowControl/>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widowControl/>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全自动生化分析仪ES-480型</w:t>
                  </w:r>
                </w:p>
              </w:tc>
              <w:tc>
                <w:tcPr>
                  <w:tcW w:w="1201" w:type="dxa"/>
                  <w:shd w:val="clear" w:color="auto" w:fill="auto"/>
                  <w:vAlign w:val="center"/>
                </w:tcPr>
                <w:p>
                  <w:pPr>
                    <w:widowControl/>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widowControl/>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widowControl/>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胃镜数字系统EME-200型</w:t>
                  </w:r>
                </w:p>
              </w:tc>
              <w:tc>
                <w:tcPr>
                  <w:tcW w:w="1201" w:type="dxa"/>
                  <w:shd w:val="clear" w:color="auto" w:fill="auto"/>
                  <w:vAlign w:val="center"/>
                </w:tcPr>
                <w:p>
                  <w:pPr>
                    <w:widowControl/>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全自动血球分析仪</w:t>
                  </w:r>
                </w:p>
              </w:tc>
              <w:tc>
                <w:tcPr>
                  <w:tcW w:w="1201"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心电图机十二导联</w:t>
                  </w:r>
                </w:p>
              </w:tc>
              <w:tc>
                <w:tcPr>
                  <w:tcW w:w="1201"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病床监护仪</w:t>
                  </w:r>
                </w:p>
              </w:tc>
              <w:tc>
                <w:tcPr>
                  <w:tcW w:w="1201"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显微镜（双电光源）</w:t>
                  </w:r>
                </w:p>
              </w:tc>
              <w:tc>
                <w:tcPr>
                  <w:tcW w:w="1201"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麻醉机</w:t>
                  </w:r>
                </w:p>
              </w:tc>
              <w:tc>
                <w:tcPr>
                  <w:tcW w:w="1201"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手术床</w:t>
                  </w:r>
                </w:p>
              </w:tc>
              <w:tc>
                <w:tcPr>
                  <w:tcW w:w="1201"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无影灯</w:t>
                  </w:r>
                </w:p>
              </w:tc>
              <w:tc>
                <w:tcPr>
                  <w:tcW w:w="1201"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平板推车</w:t>
                  </w:r>
                </w:p>
              </w:tc>
              <w:tc>
                <w:tcPr>
                  <w:tcW w:w="1201"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洗疗车</w:t>
                  </w:r>
                </w:p>
              </w:tc>
              <w:tc>
                <w:tcPr>
                  <w:tcW w:w="1201"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高压蒸汽灭菌锅</w:t>
                  </w:r>
                </w:p>
              </w:tc>
              <w:tc>
                <w:tcPr>
                  <w:tcW w:w="1201"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电动吸引器</w:t>
                  </w:r>
                </w:p>
              </w:tc>
              <w:tc>
                <w:tcPr>
                  <w:tcW w:w="1201"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血压计（立式）</w:t>
                  </w:r>
                </w:p>
              </w:tc>
              <w:tc>
                <w:tcPr>
                  <w:tcW w:w="1201"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血压计（台式）</w:t>
                  </w:r>
                </w:p>
              </w:tc>
              <w:tc>
                <w:tcPr>
                  <w:tcW w:w="1201"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ABS床单元</w:t>
                  </w:r>
                </w:p>
              </w:tc>
              <w:tc>
                <w:tcPr>
                  <w:tcW w:w="1201"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妇科检验床</w:t>
                  </w:r>
                </w:p>
              </w:tc>
              <w:tc>
                <w:tcPr>
                  <w:tcW w:w="1201"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产科产床</w:t>
                  </w:r>
                </w:p>
              </w:tc>
              <w:tc>
                <w:tcPr>
                  <w:tcW w:w="1201"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中频治疗仪</w:t>
                  </w:r>
                </w:p>
              </w:tc>
              <w:tc>
                <w:tcPr>
                  <w:tcW w:w="1201"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多用牵引床</w:t>
                  </w:r>
                </w:p>
              </w:tc>
              <w:tc>
                <w:tcPr>
                  <w:tcW w:w="1201"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红外线灯</w:t>
                  </w:r>
                </w:p>
              </w:tc>
              <w:tc>
                <w:tcPr>
                  <w:tcW w:w="1201"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8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三氧消毒机</w:t>
                  </w:r>
                </w:p>
              </w:tc>
              <w:tc>
                <w:tcPr>
                  <w:tcW w:w="1201"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88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w:t>
                  </w:r>
                </w:p>
              </w:tc>
              <w:tc>
                <w:tcPr>
                  <w:tcW w:w="2819"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激光治疗仪</w:t>
                  </w:r>
                </w:p>
              </w:tc>
              <w:tc>
                <w:tcPr>
                  <w:tcW w:w="1201"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086" w:type="dxa"/>
                  <w:shd w:val="clear" w:color="auto" w:fill="auto"/>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台</w:t>
                  </w:r>
                </w:p>
              </w:tc>
              <w:tc>
                <w:tcPr>
                  <w:tcW w:w="948"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r>
          </w:tbl>
          <w:p>
            <w:pPr>
              <w:numPr>
                <w:ilvl w:val="0"/>
                <w:numId w:val="5"/>
              </w:numPr>
              <w:adjustRightInd w:val="0"/>
              <w:snapToGrid w:val="0"/>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劳动定员及工作制度</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劳动定员：本项目设置员工</w:t>
            </w:r>
            <w:r>
              <w:rPr>
                <w:rFonts w:hint="eastAsia"/>
                <w:color w:val="000000" w:themeColor="text1"/>
                <w:sz w:val="24"/>
                <w:lang w:eastAsia="zh-CN"/>
                <w14:textFill>
                  <w14:solidFill>
                    <w14:schemeClr w14:val="tx1"/>
                  </w14:solidFill>
                </w14:textFill>
              </w:rPr>
              <w:t>500</w:t>
            </w:r>
            <w:r>
              <w:rPr>
                <w:rFonts w:hint="eastAsia"/>
                <w:color w:val="000000" w:themeColor="text1"/>
                <w:sz w:val="24"/>
                <w14:textFill>
                  <w14:solidFill>
                    <w14:schemeClr w14:val="tx1"/>
                  </w14:solidFill>
                </w14:textFill>
              </w:rPr>
              <w:t>人。</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工作制度：全年工作365天，3班制，每班8h。</w:t>
            </w:r>
          </w:p>
          <w:p>
            <w:pPr>
              <w:numPr>
                <w:ilvl w:val="0"/>
                <w:numId w:val="5"/>
              </w:numPr>
              <w:adjustRightInd w:val="0"/>
              <w:snapToGrid w:val="0"/>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公辅工程</w:t>
            </w:r>
          </w:p>
          <w:p>
            <w:pPr>
              <w:pStyle w:val="21"/>
              <w:adjustRightInd w:val="0"/>
              <w:spacing w:before="0" w:after="0" w:line="360" w:lineRule="auto"/>
              <w:ind w:right="0" w:firstLine="0" w:firstLine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6.1给排水系统</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1、给水系统</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用水来自市政给水管网，从西侧、南侧的市政道路各引入一根DN200mm给水管，并在室外布置成环，环状管网管DN150mm，本项目主要用水单元为医疗用水、生活用水、绿化用水及未预见用水，本项目营运期用水情况详见下表。</w:t>
            </w:r>
          </w:p>
          <w:p>
            <w:pPr>
              <w:numPr>
                <w:ilvl w:val="0"/>
                <w:numId w:val="6"/>
              </w:numPr>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项目运营期用水一览表</w:t>
            </w:r>
          </w:p>
          <w:tbl>
            <w:tblPr>
              <w:tblStyle w:val="23"/>
              <w:tblW w:w="81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802"/>
              <w:gridCol w:w="926"/>
              <w:gridCol w:w="1397"/>
              <w:gridCol w:w="1465"/>
              <w:gridCol w:w="16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14" w:type="dxa"/>
                  <w:vAlign w:val="center"/>
                </w:tcPr>
                <w:p>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类别</w:t>
                  </w:r>
                </w:p>
              </w:tc>
              <w:tc>
                <w:tcPr>
                  <w:tcW w:w="1802" w:type="dxa"/>
                  <w:shd w:val="clear" w:color="auto" w:fill="auto"/>
                  <w:vAlign w:val="center"/>
                </w:tcPr>
                <w:p>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用水对象</w:t>
                  </w:r>
                </w:p>
              </w:tc>
              <w:tc>
                <w:tcPr>
                  <w:tcW w:w="926" w:type="dxa"/>
                  <w:shd w:val="clear" w:color="auto" w:fill="auto"/>
                  <w:vAlign w:val="center"/>
                </w:tcPr>
                <w:p>
                  <w:pPr>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规模</w:t>
                  </w:r>
                </w:p>
              </w:tc>
              <w:tc>
                <w:tcPr>
                  <w:tcW w:w="1397" w:type="dxa"/>
                  <w:shd w:val="clear" w:color="auto" w:fill="auto"/>
                  <w:vAlign w:val="center"/>
                </w:tcPr>
                <w:p>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用水定额</w:t>
                  </w:r>
                </w:p>
              </w:tc>
              <w:tc>
                <w:tcPr>
                  <w:tcW w:w="1465" w:type="dxa"/>
                  <w:shd w:val="clear" w:color="auto" w:fill="auto"/>
                  <w:vAlign w:val="center"/>
                </w:tcPr>
                <w:p>
                  <w:pPr>
                    <w:jc w:val="center"/>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用水量m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w:t>
                  </w:r>
                </w:p>
              </w:tc>
              <w:tc>
                <w:tcPr>
                  <w:tcW w:w="1618" w:type="dxa"/>
                  <w:shd w:val="clear" w:color="auto" w:fill="auto"/>
                  <w:vAlign w:val="center"/>
                </w:tcPr>
                <w:p>
                  <w:pPr>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14" w:type="dxa"/>
                  <w:vMerge w:val="restart"/>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t>医疗用水</w:t>
                  </w:r>
                </w:p>
              </w:tc>
              <w:tc>
                <w:tcPr>
                  <w:tcW w:w="180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住院用水（含陪护人员）</w:t>
                  </w:r>
                </w:p>
              </w:tc>
              <w:tc>
                <w:tcPr>
                  <w:tcW w:w="926"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400床</w:t>
                  </w:r>
                </w:p>
              </w:tc>
              <w:tc>
                <w:tcPr>
                  <w:tcW w:w="1397" w:type="dxa"/>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650L/床.d</w:t>
                  </w:r>
                </w:p>
              </w:tc>
              <w:tc>
                <w:tcPr>
                  <w:tcW w:w="146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260.00</w:t>
                  </w:r>
                </w:p>
              </w:tc>
              <w:tc>
                <w:tcPr>
                  <w:tcW w:w="1618"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含医疗住院和陪护人员用水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914" w:type="dxa"/>
                  <w:vMerge w:val="continue"/>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p>
              </w:tc>
              <w:tc>
                <w:tcPr>
                  <w:tcW w:w="180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门诊用水</w:t>
                  </w:r>
                </w:p>
              </w:tc>
              <w:tc>
                <w:tcPr>
                  <w:tcW w:w="926"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32人</w:t>
                  </w:r>
                </w:p>
              </w:tc>
              <w:tc>
                <w:tcPr>
                  <w:tcW w:w="1397" w:type="dxa"/>
                  <w:shd w:val="clear" w:color="auto" w:fill="auto"/>
                  <w:vAlign w:val="center"/>
                </w:tcPr>
                <w:p>
                  <w:pPr>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en-US"/>
                      <w14:textFill>
                        <w14:solidFill>
                          <w14:schemeClr w14:val="tx1"/>
                        </w14:solidFill>
                      </w14:textFill>
                    </w:rPr>
                    <w:t>15L/</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人.次</w:t>
                  </w:r>
                </w:p>
              </w:tc>
              <w:tc>
                <w:tcPr>
                  <w:tcW w:w="146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0.48</w:t>
                  </w:r>
                </w:p>
              </w:tc>
              <w:tc>
                <w:tcPr>
                  <w:tcW w:w="1618"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年接诊1.2万人次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14" w:type="dxa"/>
                  <w:vMerge w:val="continue"/>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p>
              </w:tc>
              <w:tc>
                <w:tcPr>
                  <w:tcW w:w="180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手术、消毒等医疗用水</w:t>
                  </w:r>
                </w:p>
              </w:tc>
              <w:tc>
                <w:tcPr>
                  <w:tcW w:w="926"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11人</w:t>
                  </w:r>
                </w:p>
              </w:tc>
              <w:tc>
                <w:tcPr>
                  <w:tcW w:w="1397" w:type="dxa"/>
                  <w:shd w:val="clear" w:color="auto" w:fill="auto"/>
                  <w:vAlign w:val="center"/>
                </w:tcPr>
                <w:p>
                  <w:pPr>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cs="Times New Roman"/>
                      <w:bCs/>
                      <w:color w:val="000000" w:themeColor="text1"/>
                      <w:kern w:val="0"/>
                      <w:sz w:val="21"/>
                      <w:szCs w:val="21"/>
                      <w:lang w:val="en-US" w:eastAsia="zh-CN"/>
                      <w14:textFill>
                        <w14:solidFill>
                          <w14:schemeClr w14:val="tx1"/>
                        </w14:solidFill>
                      </w14:textFill>
                    </w:rPr>
                    <w:t>150</w:t>
                  </w:r>
                  <w:r>
                    <w:rPr>
                      <w:rFonts w:hint="default" w:ascii="Times New Roman" w:hAnsi="Times New Roman" w:eastAsia="宋体" w:cs="Times New Roman"/>
                      <w:bCs/>
                      <w:color w:val="000000" w:themeColor="text1"/>
                      <w:kern w:val="0"/>
                      <w:sz w:val="21"/>
                      <w:szCs w:val="21"/>
                      <w:lang w:val="en-US" w:eastAsia="en-US"/>
                      <w14:textFill>
                        <w14:solidFill>
                          <w14:schemeClr w14:val="tx1"/>
                        </w14:solidFill>
                      </w14:textFill>
                    </w:rPr>
                    <w:t>L/</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人.次</w:t>
                  </w:r>
                </w:p>
              </w:tc>
              <w:tc>
                <w:tcPr>
                  <w:tcW w:w="146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1.65</w:t>
                  </w:r>
                </w:p>
              </w:tc>
              <w:tc>
                <w:tcPr>
                  <w:tcW w:w="1618" w:type="dxa"/>
                  <w:shd w:val="clear" w:color="auto" w:fill="auto"/>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914" w:type="dxa"/>
                  <w:vMerge w:val="continue"/>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p>
              </w:tc>
              <w:tc>
                <w:tcPr>
                  <w:tcW w:w="180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洗消中心用水</w:t>
                  </w:r>
                </w:p>
              </w:tc>
              <w:tc>
                <w:tcPr>
                  <w:tcW w:w="926"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15kg</w:t>
                  </w:r>
                </w:p>
              </w:tc>
              <w:tc>
                <w:tcPr>
                  <w:tcW w:w="1397" w:type="dxa"/>
                  <w:shd w:val="clear" w:color="auto" w:fill="auto"/>
                  <w:vAlign w:val="center"/>
                </w:tcPr>
                <w:p>
                  <w:pPr>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w:t>
                  </w:r>
                  <w:r>
                    <w:rPr>
                      <w:rFonts w:hint="default" w:ascii="Times New Roman" w:hAnsi="Times New Roman" w:eastAsia="宋体" w:cs="Times New Roman"/>
                      <w:i w:val="0"/>
                      <w:iCs w:val="0"/>
                      <w:color w:val="000000" w:themeColor="text1"/>
                      <w:kern w:val="0"/>
                      <w:sz w:val="21"/>
                      <w:szCs w:val="21"/>
                      <w:u w:val="none"/>
                      <w:lang w:val="en-US" w:eastAsia="en-US" w:bidi="ar"/>
                      <w14:textFill>
                        <w14:solidFill>
                          <w14:schemeClr w14:val="tx1"/>
                        </w14:solidFill>
                      </w14:textFill>
                    </w:rPr>
                    <w:t>L/kg</w:t>
                  </w:r>
                </w:p>
              </w:tc>
              <w:tc>
                <w:tcPr>
                  <w:tcW w:w="146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0.75</w:t>
                  </w:r>
                </w:p>
              </w:tc>
              <w:tc>
                <w:tcPr>
                  <w:tcW w:w="1618"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仅对拖布、抹布进行清洗、消毒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14" w:type="dxa"/>
                  <w:vMerge w:val="continue"/>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p>
              </w:tc>
              <w:tc>
                <w:tcPr>
                  <w:tcW w:w="180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检验室</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用水</w:t>
                  </w:r>
                </w:p>
              </w:tc>
              <w:tc>
                <w:tcPr>
                  <w:tcW w:w="926"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11人</w:t>
                  </w:r>
                </w:p>
              </w:tc>
              <w:tc>
                <w:tcPr>
                  <w:tcW w:w="1397" w:type="dxa"/>
                  <w:shd w:val="clear" w:color="auto" w:fill="auto"/>
                  <w:vAlign w:val="center"/>
                </w:tcPr>
                <w:p>
                  <w:pPr>
                    <w:jc w:val="center"/>
                    <w:rPr>
                      <w:rFonts w:hint="default" w:ascii="Times New Roman" w:hAnsi="Times New Roman" w:eastAsia="宋体" w:cs="Times New Roman"/>
                      <w:i w:val="0"/>
                      <w:iCs w:val="0"/>
                      <w:color w:val="000000" w:themeColor="text1"/>
                      <w:kern w:val="0"/>
                      <w:sz w:val="21"/>
                      <w:szCs w:val="21"/>
                      <w:u w:val="none"/>
                      <w:lang w:val="en-US" w:eastAsia="en-US" w:bidi="ar"/>
                      <w14:textFill>
                        <w14:solidFill>
                          <w14:schemeClr w14:val="tx1"/>
                        </w14:solidFill>
                      </w14:textFill>
                    </w:rPr>
                  </w:pPr>
                  <w:r>
                    <w:rPr>
                      <w:rFonts w:hint="eastAsia" w:cs="Times New Roman"/>
                      <w:bCs/>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bCs/>
                      <w:color w:val="000000" w:themeColor="text1"/>
                      <w:kern w:val="0"/>
                      <w:sz w:val="21"/>
                      <w:szCs w:val="21"/>
                      <w:lang w:val="en-US" w:eastAsia="en-US"/>
                      <w14:textFill>
                        <w14:solidFill>
                          <w14:schemeClr w14:val="tx1"/>
                        </w14:solidFill>
                      </w14:textFill>
                    </w:rPr>
                    <w:t>L/</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人.次</w:t>
                  </w:r>
                </w:p>
              </w:tc>
              <w:tc>
                <w:tcPr>
                  <w:tcW w:w="146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0.02</w:t>
                  </w:r>
                </w:p>
              </w:tc>
              <w:tc>
                <w:tcPr>
                  <w:tcW w:w="1618" w:type="dxa"/>
                  <w:shd w:val="clear" w:color="auto" w:fill="auto"/>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检验人员及检验室清洁产生的废水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14" w:type="dxa"/>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t>生活用水</w:t>
                  </w:r>
                </w:p>
              </w:tc>
              <w:tc>
                <w:tcPr>
                  <w:tcW w:w="180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医护人员用水</w:t>
                  </w:r>
                </w:p>
              </w:tc>
              <w:tc>
                <w:tcPr>
                  <w:tcW w:w="926"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500</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人</w:t>
                  </w:r>
                </w:p>
              </w:tc>
              <w:tc>
                <w:tcPr>
                  <w:tcW w:w="1397" w:type="dxa"/>
                  <w:shd w:val="clear" w:color="auto" w:fill="auto"/>
                  <w:vAlign w:val="center"/>
                </w:tcPr>
                <w:p>
                  <w:pPr>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250</w:t>
                  </w:r>
                  <w:r>
                    <w:rPr>
                      <w:rFonts w:hint="default" w:ascii="Times New Roman" w:hAnsi="Times New Roman" w:eastAsia="宋体" w:cs="Times New Roman"/>
                      <w:bCs/>
                      <w:color w:val="000000" w:themeColor="text1"/>
                      <w:kern w:val="0"/>
                      <w:sz w:val="21"/>
                      <w:szCs w:val="21"/>
                      <w:lang w:val="en-US" w:eastAsia="en-US"/>
                      <w14:textFill>
                        <w14:solidFill>
                          <w14:schemeClr w14:val="tx1"/>
                        </w14:solidFill>
                      </w14:textFill>
                    </w:rPr>
                    <w:t>L/</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人.d</w:t>
                  </w:r>
                </w:p>
              </w:tc>
              <w:tc>
                <w:tcPr>
                  <w:tcW w:w="146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125.00</w:t>
                  </w:r>
                </w:p>
              </w:tc>
              <w:tc>
                <w:tcPr>
                  <w:tcW w:w="1618"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14" w:type="dxa"/>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t>绿化用水</w:t>
                  </w:r>
                </w:p>
              </w:tc>
              <w:tc>
                <w:tcPr>
                  <w:tcW w:w="180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场区绿地</w:t>
                  </w:r>
                </w:p>
              </w:tc>
              <w:tc>
                <w:tcPr>
                  <w:tcW w:w="926"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1407.14m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2</w:t>
                  </w:r>
                </w:p>
              </w:tc>
              <w:tc>
                <w:tcPr>
                  <w:tcW w:w="1397"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0.77m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·a）</w:t>
                  </w:r>
                </w:p>
              </w:tc>
              <w:tc>
                <w:tcPr>
                  <w:tcW w:w="1465"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2.97</w:t>
                  </w:r>
                </w:p>
              </w:tc>
              <w:tc>
                <w:tcPr>
                  <w:tcW w:w="1618"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按365d折算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716" w:type="dxa"/>
                  <w:gridSpan w:val="2"/>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t>未预见用水</w:t>
                  </w:r>
                </w:p>
              </w:tc>
              <w:tc>
                <w:tcPr>
                  <w:tcW w:w="2323" w:type="dxa"/>
                  <w:gridSpan w:val="2"/>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按上述用水5%计</w:t>
                  </w:r>
                </w:p>
              </w:tc>
              <w:tc>
                <w:tcPr>
                  <w:tcW w:w="146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19.54</w:t>
                  </w:r>
                </w:p>
              </w:tc>
              <w:tc>
                <w:tcPr>
                  <w:tcW w:w="1618"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039" w:type="dxa"/>
                  <w:gridSpan w:val="4"/>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t>合计</w:t>
                  </w:r>
                </w:p>
              </w:tc>
              <w:tc>
                <w:tcPr>
                  <w:tcW w:w="146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410.41</w:t>
                  </w:r>
                </w:p>
              </w:tc>
              <w:tc>
                <w:tcPr>
                  <w:tcW w:w="1618" w:type="dxa"/>
                  <w:shd w:val="clear" w:color="auto" w:fill="auto"/>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bl>
          <w:p>
            <w:pPr>
              <w:pStyle w:val="21"/>
              <w:adjustRightInd w:val="0"/>
              <w:spacing w:before="0" w:after="0" w:line="360" w:lineRule="auto"/>
              <w:ind w:right="0" w:firstLineChars="200"/>
              <w:rPr>
                <w:color w:val="000000" w:themeColor="text1"/>
                <w:szCs w:val="16"/>
                <w14:textFill>
                  <w14:solidFill>
                    <w14:schemeClr w14:val="tx1"/>
                  </w14:solidFill>
                </w14:textFill>
              </w:rPr>
            </w:pPr>
            <w:r>
              <w:rPr>
                <w:rFonts w:hint="eastAsia"/>
                <w:color w:val="000000" w:themeColor="text1"/>
                <w:szCs w:val="16"/>
                <w14:textFill>
                  <w14:solidFill>
                    <w14:schemeClr w14:val="tx1"/>
                  </w14:solidFill>
                </w14:textFill>
              </w:rPr>
              <w:t>备注：住院病人用水量标准参考《四川省用水定额》（川府函〔2021〕8号）二级医院按每床位每日650L，门诊</w:t>
            </w:r>
            <w:r>
              <w:rPr>
                <w:rFonts w:hint="eastAsia"/>
                <w:color w:val="000000" w:themeColor="text1"/>
                <w:szCs w:val="16"/>
                <w:lang w:val="en-US" w:eastAsia="zh-CN"/>
                <w14:textFill>
                  <w14:solidFill>
                    <w14:schemeClr w14:val="tx1"/>
                  </w14:solidFill>
                </w14:textFill>
              </w:rPr>
              <w:t>部</w:t>
            </w:r>
            <w:r>
              <w:rPr>
                <w:rFonts w:hint="eastAsia"/>
                <w:color w:val="000000" w:themeColor="text1"/>
                <w:szCs w:val="16"/>
                <w14:textFill>
                  <w14:solidFill>
                    <w14:schemeClr w14:val="tx1"/>
                  </w14:solidFill>
                </w14:textFill>
              </w:rPr>
              <w:t>用水量标准</w:t>
            </w:r>
            <w:r>
              <w:rPr>
                <w:rFonts w:hint="eastAsia"/>
                <w:color w:val="000000" w:themeColor="text1"/>
                <w:szCs w:val="16"/>
                <w:lang w:val="en-US" w:eastAsia="zh-CN"/>
                <w14:textFill>
                  <w14:solidFill>
                    <w14:schemeClr w14:val="tx1"/>
                  </w14:solidFill>
                </w14:textFill>
              </w:rPr>
              <w:t>15</w:t>
            </w:r>
            <w:r>
              <w:rPr>
                <w:rFonts w:hint="eastAsia"/>
                <w:color w:val="000000" w:themeColor="text1"/>
                <w:szCs w:val="16"/>
                <w14:textFill>
                  <w14:solidFill>
                    <w14:schemeClr w14:val="tx1"/>
                  </w14:solidFill>
                </w14:textFill>
              </w:rPr>
              <w:t>L</w:t>
            </w:r>
            <w:r>
              <w:rPr>
                <w:rFonts w:hint="eastAsia"/>
                <w:color w:val="000000" w:themeColor="text1"/>
                <w:szCs w:val="16"/>
                <w:lang w:val="en-US" w:eastAsia="zh-CN"/>
                <w14:textFill>
                  <w14:solidFill>
                    <w14:schemeClr w14:val="tx1"/>
                  </w14:solidFill>
                </w14:textFill>
              </w:rPr>
              <w:t>/人.次</w:t>
            </w:r>
            <w:r>
              <w:rPr>
                <w:rFonts w:hint="eastAsia"/>
                <w:color w:val="000000" w:themeColor="text1"/>
                <w:szCs w:val="16"/>
                <w14:textFill>
                  <w14:solidFill>
                    <w14:schemeClr w14:val="tx1"/>
                  </w14:solidFill>
                </w14:textFill>
              </w:rPr>
              <w:t>计，因《四川省用水定额》中无医务人员用水定额，故医务人员用水参照《建筑给水排水设计标准》（GB 50015-2019）中医院住院部医务人员用水定额每</w:t>
            </w:r>
            <w:r>
              <w:rPr>
                <w:rFonts w:hint="eastAsia"/>
                <w:color w:val="000000" w:themeColor="text1"/>
                <w:szCs w:val="16"/>
                <w:lang w:val="en-US" w:eastAsia="zh-CN"/>
                <w14:textFill>
                  <w14:solidFill>
                    <w14:schemeClr w14:val="tx1"/>
                  </w14:solidFill>
                </w14:textFill>
              </w:rPr>
              <w:t>人</w:t>
            </w:r>
            <w:r>
              <w:rPr>
                <w:rFonts w:hint="eastAsia"/>
                <w:color w:val="000000" w:themeColor="text1"/>
                <w:szCs w:val="16"/>
                <w14:textFill>
                  <w14:solidFill>
                    <w14:schemeClr w14:val="tx1"/>
                  </w14:solidFill>
                </w14:textFill>
              </w:rPr>
              <w:t>每班150-250L计</w:t>
            </w:r>
            <w:r>
              <w:rPr>
                <w:rFonts w:hint="eastAsia"/>
                <w:color w:val="000000" w:themeColor="text1"/>
                <w:szCs w:val="16"/>
                <w:lang w:eastAsia="zh-CN"/>
                <w14:textFill>
                  <w14:solidFill>
                    <w14:schemeClr w14:val="tx1"/>
                  </w14:solidFill>
                </w14:textFill>
              </w:rPr>
              <w:t>，</w:t>
            </w:r>
            <w:r>
              <w:rPr>
                <w:rFonts w:hint="eastAsia"/>
                <w:color w:val="000000" w:themeColor="text1"/>
                <w:szCs w:val="16"/>
                <w14:textFill>
                  <w14:solidFill>
                    <w14:schemeClr w14:val="tx1"/>
                  </w14:solidFill>
                </w14:textFill>
              </w:rPr>
              <w:t>本环评取最大值进行计算。</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2、排水系统</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项目排水实行“雨污分流”制度。雨水通过室外道路边、绿化最低点雨水口，排入市政雨污水管。</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废水主要为医疗废水和生活污水，生活污水、医疗废水经化粪池预处理后进入二期项目污水处理设施处理达《医疗机构水污染物排放标准》（GB18466-2005）表2中的预处理标准后，排入市政污水管网，最终进入宣汉县城市生活污水处理厂处理达《城镇污水处理厂污染物排放标准》（GB18918-2002）—级A标后，尾水排入州河。</w:t>
            </w:r>
          </w:p>
          <w:p>
            <w:pPr>
              <w:pStyle w:val="21"/>
              <w:adjustRightInd w:val="0"/>
              <w:spacing w:before="0" w:after="0" w:line="360" w:lineRule="auto"/>
              <w:ind w:right="0" w:firstLine="0" w:firstLine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6.2供电</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根据本工程负荷性质及负荷量，由城市电网不同区域变电站引来两路独立10KV电源供电，两路电源同时工作，互为备用，能满足用电负荷。</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为确保一级负荷中心特别重要负荷、消防设备以及特殊用电要求，在二期项目发热门诊地下室设置自启动柴油发电机组，并配套设置1m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日用油箱，为了保证发电机24小时的额定用油量，在室外设置油车接驳井，连通室内油箱；发电机启动后，输油接驳车应在2小时内到达医院。信息中心、监控中心设备、手术室等重要负荷，还按区域集中设置不间断电源装置（UPS）作为应急电源：另设置集中应急电源装置EPS或灯带电池作为应急照明的备用电源。</w:t>
            </w:r>
          </w:p>
          <w:p>
            <w:pPr>
              <w:pStyle w:val="21"/>
              <w:adjustRightInd w:val="0"/>
              <w:spacing w:before="0" w:after="0" w:line="360" w:lineRule="auto"/>
              <w:ind w:right="0" w:firstLine="0" w:firstLine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6.3消防</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本项目消防设计按《建筑设计防火规范》（GB50016-2014）（2018 年版）相关要求进行设计。消防用水第一供水水源为市政供水，第二供水水源为消防水池，消防水池设置二期门诊医技楼地下设备层，水池储存室内外消防及自动喷水灭火系统用水量。</w:t>
            </w:r>
          </w:p>
          <w:p>
            <w:pPr>
              <w:pStyle w:val="21"/>
              <w:adjustRightInd w:val="0"/>
              <w:spacing w:before="0" w:after="0" w:line="360" w:lineRule="auto"/>
              <w:ind w:right="0" w:firstLine="0" w:firstLine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6.4通风排烟系统</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1、通风系统</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1）变压器房，高低压配电房等设置气体灭火装置的房间设置事故后通风系统。通过该房间隔墙的通风管设</w:t>
            </w:r>
            <w:r>
              <w:rPr>
                <w:color w:val="000000" w:themeColor="text1"/>
                <w:sz w:val="24"/>
                <w14:textFill>
                  <w14:solidFill>
                    <w14:schemeClr w14:val="tx1"/>
                  </w14:solidFill>
                </w14:textFill>
              </w:rPr>
              <w:t>70℃</w:t>
            </w:r>
            <w:r>
              <w:rPr>
                <w:rFonts w:hint="eastAsia"/>
                <w:color w:val="000000" w:themeColor="text1"/>
                <w:sz w:val="24"/>
                <w14:textFill>
                  <w14:solidFill>
                    <w14:schemeClr w14:val="tx1"/>
                  </w14:solidFill>
                </w14:textFill>
              </w:rPr>
              <w:t>电动防火阀（房间外），在火灾灭火时自动关闭，以保持该类房间的密闭灭火状态。待灭火完成后，电动或手动打开该阀门及排风机，以排除室内废气。气体灭火后通风设置相应的检测报警及控制系统，手动控制装置应在室内及靠近外门的外墙上。</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机械通风量按房间内设备散热量计算,并保持室内温度不高于40</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。补风量取排风量的100%计算。</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二期项目中的发电机房、储油间设置机械排风系统（进风井自然进风），排风机选用防爆风机。发电机房储油间的油箱及供油系统由发电机供货厂商配套完成。发电机房风机、风管及法兰跨接等均采取防静电接地措施，不应采用容易积聚静电的绝缘材料。储油间的油箱应密闭，通向室外的通气管应设置带阻火器的呼吸阀或阻火透气帽，通气管在穿楼板处应预埋防水管。油箱下部设置防止油品流散的设施，在进入建筑物前和设备间内的管道上均应设置自动和手动切断阀。柴油发电机烟气经烟管经保温处理后通过竖井在屋顶高空排放。</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3）使用燃气场所的事故通风系统，当室内燃气浓度超过额定标准时，事故通风机开启，同时切断紧急供气阀门。采用防爆风机，风机及风管采取防静电接地措施。</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4）其他设备用房如水泵房、弱电机房、配电间等均设机械通风系统。</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5）各房间通风换气次数详见主要设备房间平时通风换气次数。</w:t>
            </w:r>
          </w:p>
          <w:p>
            <w:pPr>
              <w:numPr>
                <w:ilvl w:val="0"/>
                <w:numId w:val="6"/>
              </w:numPr>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项目主要设备房间平时通风换气次数一览表</w:t>
            </w:r>
          </w:p>
          <w:tbl>
            <w:tblPr>
              <w:tblStyle w:val="23"/>
              <w:tblW w:w="78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64"/>
              <w:gridCol w:w="1964"/>
              <w:gridCol w:w="1964"/>
              <w:gridCol w:w="19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6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设备房间名称</w:t>
                  </w:r>
                </w:p>
              </w:tc>
              <w:tc>
                <w:tcPr>
                  <w:tcW w:w="1964"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系统类别</w:t>
                  </w:r>
                </w:p>
              </w:tc>
              <w:tc>
                <w:tcPr>
                  <w:tcW w:w="1964"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换气次数（次/h）</w:t>
                  </w:r>
                </w:p>
              </w:tc>
              <w:tc>
                <w:tcPr>
                  <w:tcW w:w="1966"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6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公共卫生间</w:t>
                  </w:r>
                </w:p>
              </w:tc>
              <w:tc>
                <w:tcPr>
                  <w:tcW w:w="1964"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平时通风</w:t>
                  </w:r>
                </w:p>
              </w:tc>
              <w:tc>
                <w:tcPr>
                  <w:tcW w:w="1964" w:type="dxa"/>
                  <w:shd w:val="clear" w:color="auto" w:fill="auto"/>
                  <w:vAlign w:val="center"/>
                </w:tcPr>
                <w:p>
                  <w:pPr>
                    <w:widowControl/>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10</w:t>
                  </w:r>
                </w:p>
              </w:tc>
              <w:tc>
                <w:tcPr>
                  <w:tcW w:w="1966" w:type="dxa"/>
                  <w:shd w:val="clear" w:color="auto" w:fill="auto"/>
                  <w:vAlign w:val="center"/>
                </w:tcPr>
                <w:p>
                  <w:pPr>
                    <w:widowControl/>
                    <w:jc w:val="center"/>
                    <w:rPr>
                      <w:bCs/>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6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一般设备用房</w:t>
                  </w:r>
                </w:p>
              </w:tc>
              <w:tc>
                <w:tcPr>
                  <w:tcW w:w="1964"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平时通风</w:t>
                  </w:r>
                </w:p>
              </w:tc>
              <w:tc>
                <w:tcPr>
                  <w:tcW w:w="1964" w:type="dxa"/>
                  <w:shd w:val="clear" w:color="auto" w:fill="auto"/>
                  <w:vAlign w:val="center"/>
                </w:tcPr>
                <w:p>
                  <w:pPr>
                    <w:widowControl/>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6</w:t>
                  </w:r>
                </w:p>
              </w:tc>
              <w:tc>
                <w:tcPr>
                  <w:tcW w:w="1966" w:type="dxa"/>
                  <w:shd w:val="clear" w:color="auto" w:fill="auto"/>
                  <w:vAlign w:val="center"/>
                </w:tcPr>
                <w:p>
                  <w:pPr>
                    <w:widowControl/>
                    <w:jc w:val="center"/>
                    <w:rPr>
                      <w:bCs/>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6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低压配电房</w:t>
                  </w:r>
                </w:p>
              </w:tc>
              <w:tc>
                <w:tcPr>
                  <w:tcW w:w="1964"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平时/事故通风（气体灭火）</w:t>
                  </w:r>
                </w:p>
              </w:tc>
              <w:tc>
                <w:tcPr>
                  <w:tcW w:w="1964" w:type="dxa"/>
                  <w:shd w:val="clear" w:color="auto" w:fill="auto"/>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根据发热量进行计算，且不小于12</w:t>
                  </w:r>
                </w:p>
              </w:tc>
              <w:tc>
                <w:tcPr>
                  <w:tcW w:w="196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室温不超40°C</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平时通风兼事故后通风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6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高压配电房</w:t>
                  </w:r>
                </w:p>
              </w:tc>
              <w:tc>
                <w:tcPr>
                  <w:tcW w:w="1964"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平时/事故通风（气体灭火）</w:t>
                  </w:r>
                </w:p>
              </w:tc>
              <w:tc>
                <w:tcPr>
                  <w:tcW w:w="1964" w:type="dxa"/>
                  <w:shd w:val="clear" w:color="auto" w:fill="auto"/>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根据发热量进行计算，且不小于12</w:t>
                  </w:r>
                </w:p>
              </w:tc>
              <w:tc>
                <w:tcPr>
                  <w:tcW w:w="196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室温不超40°C</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平时通风兼事故后通风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6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更衣室</w:t>
                  </w:r>
                </w:p>
              </w:tc>
              <w:tc>
                <w:tcPr>
                  <w:tcW w:w="1964"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平时通风</w:t>
                  </w:r>
                </w:p>
              </w:tc>
              <w:tc>
                <w:tcPr>
                  <w:tcW w:w="1964"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966" w:type="dxa"/>
                  <w:shd w:val="clear" w:color="auto" w:fill="auto"/>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6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发电机房</w:t>
                  </w:r>
                </w:p>
              </w:tc>
              <w:tc>
                <w:tcPr>
                  <w:tcW w:w="1964"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平时通风</w:t>
                  </w:r>
                </w:p>
              </w:tc>
              <w:tc>
                <w:tcPr>
                  <w:tcW w:w="1964"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966"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防爆风机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64" w:type="dxa"/>
                  <w:vAlign w:val="center"/>
                </w:tcPr>
                <w:p>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检修间</w:t>
                  </w:r>
                </w:p>
              </w:tc>
              <w:tc>
                <w:tcPr>
                  <w:tcW w:w="1964" w:type="dxa"/>
                  <w:shd w:val="clear" w:color="auto" w:fill="auto"/>
                  <w:vAlign w:val="center"/>
                </w:tcPr>
                <w:p>
                  <w:pPr>
                    <w:jc w:val="center"/>
                    <w:rPr>
                      <w:bCs/>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平时通风</w:t>
                  </w:r>
                </w:p>
              </w:tc>
              <w:tc>
                <w:tcPr>
                  <w:tcW w:w="1964"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4</w:t>
                  </w:r>
                </w:p>
              </w:tc>
              <w:tc>
                <w:tcPr>
                  <w:tcW w:w="1966" w:type="dxa"/>
                  <w:shd w:val="clear" w:color="auto" w:fill="auto"/>
                  <w:vAlign w:val="center"/>
                </w:tcPr>
                <w:p>
                  <w:pPr>
                    <w:jc w:val="center"/>
                    <w:rPr>
                      <w:color w:val="000000" w:themeColor="text1"/>
                      <w:szCs w:val="21"/>
                      <w14:textFill>
                        <w14:solidFill>
                          <w14:schemeClr w14:val="tx1"/>
                        </w14:solidFill>
                      </w14:textFill>
                    </w:rPr>
                  </w:pPr>
                </w:p>
              </w:tc>
            </w:tr>
          </w:tbl>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6）防爆通风系统应采取可靠的防静电接地措施，非金属法兰应采用导线串接，事故通风机应在房间室内外合适位置均设置电气开关。</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7）各平时通风设备均采用低噪音风机，排气扇采用静音型排气扇。</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8）病房层污洗、污收设机械排风系统，自然补风系统。</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9）治疗配药室、处置室、换药室设置自然进风、机械排风系统。</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2、排烟设计</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地上房间面积大于等于100平米的房间采用自然排烟，自然排烟窗大于最小清晰高度的计入有效开启面积，有效开启面积不小于房间面积的2%，房间内任一点与最近的自然排烟窗水平距离不大于30m，自然排烟窗设置手动开启装置，装置距地面高度1.3m~1.5m。</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2）当公共建筑仅需在走道或者回廊设置排烟时，其机械排烟量不应小于13000m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/h，或在走道两侧均设置面积不小于2m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的自然排烟窗且两侧自然排烟窗的距离不应小于走道长度的2/3。</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3）当公共建筑房间内走道或回廊均需设置排烟时，自走到或回廊的机械排烟量可按60m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/（h.m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）计算且不小于13000m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/h，或设置有效面积不小于走道、回廊建筑面积2%的自然排烟窗。</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4）中庭排烟量满足《建筑防烟排烟系统技术标准》表4.6.5要求。</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5）除地上建筑的走道或建筑面积小于500m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的房间外，设置排烟系统的场所设置补风系统。补风系统直接从室外引入空气，补风量不小于排烟量的50%。</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6）挡烟垂壁根据《挡烟垂壁》（GA533-2012），采用防火玻璃或其他不然材料划分防烟分区，设置深度不应小于《建筑防排烟系统技术标准》4.6.2条规定的储烟仓厚度。</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3、空调系统</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1）集中空调冷热源</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①根据冷热负荷及建筑特点，冷热源选用风冷热泵+风机盘管的集中空调系统。</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②放射科等房间设置变冷媒流量空调系统；UPS、电梯机房、消防控制室预留分体空调位置及电量；信息中心、阴凉库设置恒温恒湿的空调机组。</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2）集中空调水系统</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①集中空调水系统供回水总管上设压差旁路控制，通过压差控制器恒定系统供回水压差。根据室内总负荷变化，空调末端水系统作变流量运行和调节。</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②组合式空调器、新风机的风机、电动水阀及电动新风阀进行电气联锁，启动顺序为水阀--电动新风阀--风机，停机时顺序相反。</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新风机组的控制由设于送风管处的温度传感器、比例积分电动调节阀（等百分比特性）、温控器组成，温控器根据送风温度与设定值差值比较自动调节电动调节阀开度来调节冷冻水流量，从而实现对送风温度控制。电动调节阀的理想流量特性为等百分比特性。</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④所有风机盘管均设有三档风速开关，回水支管上设电动两通阀，它们与室内温度控制器组成独立的控制单元，自成系统。电动二通阀采用双位式，弹簧复位。</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⑤悬挂在外墙的风冷空调室外机冬季化霜水应有组织排放，由给排水专业预留排水管。</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3）集中空调风系统</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空调风系统包括：组合式空气处理机组的单风道全空气系统；风机盘管加新风的空调系统；变冷媒流量加新风的空调系统。</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大空间区域采用组合式空气处理机组低风速单风道全空气系统，机组变频控制，在过渡季节或者特殊情况可节能按需运行。新风通过新风竖井或直接从室外引入，与回风混合后，经粗中效过滤、冷却/加热、加湿处理后送入室内空调区域。风管回风，回风管装消声器。新风管和回风管上均装有电动对开多叶调节阀，可根据室内需要及季节变化调节多叶调节阀的开度，过渡季节或者特殊情况可将新风管电动对开多叶调节阀全开，关闭回风管电动对开多叶调节阀，实现全新风运行。</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②采用风机盘管加独立新风系统，新风经空调机组处理后直接送入室内，新风机组设置于空调机房或房间吊顶内。新风通过新风竖井或直接从室外引入，经粗中效过滤、冷却/加热（加湿）等处理后送入室内。</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设置变冷媒流量空调系统加独立新风系统，新风经空调机组处理后直接送入室内，新风机组设置于空调机房或房间吊顶内。新风通过新风竖井或直接从室外引入，经粗中效过滤、冷却/加热（加湿）等处理后送入室内。</w:t>
            </w:r>
          </w:p>
          <w:p>
            <w:pPr>
              <w:pStyle w:val="21"/>
              <w:adjustRightInd w:val="0"/>
              <w:spacing w:before="0" w:after="0" w:line="360" w:lineRule="auto"/>
              <w:ind w:right="0" w:firstLine="0" w:firstLine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6.5压缩空气系统</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医疗空气主要用于在手术过程中推动呼吸机，并于使用麻醉机时与麻醉气体混合及药物的雾化治疗时使用。空气终端设置在手术室、产房、ICU监护病房、急诊、抢救室、生理检验、内窥镜室等需要供应空气的地点。器械空气用于供应中央供应室灭菌锅及麻醉废气排除射流动力源。真空吸引泵及压缩空气主机采三部并联配置，其中一台备用，每部各15-20Hp，轮流启动运转兼互相备援。</w:t>
            </w:r>
          </w:p>
          <w:p>
            <w:pPr>
              <w:pStyle w:val="21"/>
              <w:adjustRightInd w:val="0"/>
              <w:spacing w:before="0" w:after="0" w:line="360" w:lineRule="auto"/>
              <w:ind w:right="0" w:firstLine="0" w:firstLine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6.6氧气供应系统</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氧气由医院二期项目的</w:t>
            </w:r>
            <w:r>
              <w:rPr>
                <w:rFonts w:hint="eastAsia"/>
                <w:color w:val="000000" w:themeColor="text1"/>
                <w:sz w:val="24"/>
                <w:lang w:eastAsia="zh-CN"/>
                <w14:textFill>
                  <w14:solidFill>
                    <w14:schemeClr w14:val="tx1"/>
                  </w14:solidFill>
                </w14:textFill>
              </w:rPr>
              <w:t>供氧中心</w:t>
            </w:r>
            <w:r>
              <w:rPr>
                <w:rFonts w:hint="eastAsia"/>
                <w:color w:val="000000" w:themeColor="text1"/>
                <w:sz w:val="24"/>
                <w14:textFill>
                  <w14:solidFill>
                    <w14:schemeClr w14:val="tx1"/>
                  </w14:solidFill>
                </w14:textFill>
              </w:rPr>
              <w:t>集中供给。氧气主要供给手术部、各病房、抢救观察使用。真空吸引主要供应手术部、各病房、抢救观察。压缩空气主要手术部。主要用于病人吸氧治疗及药物的雾化治疗时使用。</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氧气终端设置在手术室、产房、ICU监护病房、急诊、抢救室、治疗室、生理检验、普通病房等需要供应氧气的地点。</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除储氧站另设有紧急备用氧气钢瓶汇流排、中断供氧的报警装置及紧急切换阀。液态氧气采用10吨级储筒。医用氧气根据用氧气的重要程度分为一级供氧负荷、二级供氧负荷。一级供氧负荷供应手术部、重症监护病房和门诊急救；医院其他用氧为二级供氧负荷。系统供氧设置中断供氧的报警装置。</w:t>
            </w:r>
          </w:p>
          <w:p>
            <w:pPr>
              <w:pStyle w:val="21"/>
              <w:adjustRightInd w:val="0"/>
              <w:spacing w:before="0" w:after="0" w:line="360" w:lineRule="auto"/>
              <w:ind w:right="0" w:firstLine="0" w:firstLine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6.7消毒方式</w:t>
            </w:r>
          </w:p>
          <w:p>
            <w:pPr>
              <w:pStyle w:val="21"/>
              <w:numPr>
                <w:ilvl w:val="0"/>
                <w:numId w:val="0"/>
              </w:numPr>
              <w:adjustRightInd w:val="0"/>
              <w:spacing w:before="0" w:after="0" w:line="360" w:lineRule="auto"/>
              <w:ind w:right="0" w:rightChars="0" w:firstLine="480" w:firstLineChars="200"/>
              <w:rPr>
                <w:rFonts w:hint="eastAsia"/>
                <w:b w:val="0"/>
                <w:bCs w:val="0"/>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本项目采用的消毒方式：对医疗器械送</w:t>
            </w:r>
            <w:r>
              <w:rPr>
                <w:rFonts w:hint="eastAsia"/>
                <w:b w:val="0"/>
                <w:bCs w:val="0"/>
                <w:color w:val="000000" w:themeColor="text1"/>
                <w:sz w:val="24"/>
                <w:lang w:eastAsia="zh-CN"/>
                <w14:textFill>
                  <w14:solidFill>
                    <w14:schemeClr w14:val="tx1"/>
                  </w14:solidFill>
                </w14:textFill>
              </w:rPr>
              <w:t>原消毒供应室</w:t>
            </w:r>
            <w:r>
              <w:rPr>
                <w:rFonts w:hint="eastAsia"/>
                <w:b w:val="0"/>
                <w:bCs w:val="0"/>
                <w:color w:val="000000" w:themeColor="text1"/>
                <w:sz w:val="24"/>
                <w14:textFill>
                  <w14:solidFill>
                    <w14:schemeClr w14:val="tx1"/>
                  </w14:solidFill>
                </w14:textFill>
              </w:rPr>
              <w:t>处理</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14:textFill>
                  <w14:solidFill>
                    <w14:schemeClr w14:val="tx1"/>
                  </w14:solidFill>
                </w14:textFill>
              </w:rPr>
              <w:t>病人床单、病服等</w:t>
            </w:r>
            <w:r>
              <w:rPr>
                <w:rFonts w:hint="eastAsia"/>
                <w:b w:val="0"/>
                <w:bCs w:val="0"/>
                <w:color w:val="000000" w:themeColor="text1"/>
                <w:sz w:val="24"/>
                <w:lang w:eastAsia="zh-CN"/>
                <w14:textFill>
                  <w14:solidFill>
                    <w14:schemeClr w14:val="tx1"/>
                  </w14:solidFill>
                </w14:textFill>
              </w:rPr>
              <w:t>委托外单位进行清洗、消毒，</w:t>
            </w:r>
            <w:r>
              <w:rPr>
                <w:rFonts w:hint="eastAsia"/>
                <w:b w:val="0"/>
                <w:bCs w:val="0"/>
                <w:color w:val="000000" w:themeColor="text1"/>
                <w:sz w:val="24"/>
                <w:lang w:val="en-US" w:eastAsia="zh-CN"/>
                <w14:textFill>
                  <w14:solidFill>
                    <w14:schemeClr w14:val="tx1"/>
                  </w14:solidFill>
                </w14:textFill>
              </w:rPr>
              <w:t>医院卫生清洁使用拖布、抹布在洗消中心清洗、消毒，</w:t>
            </w:r>
            <w:r>
              <w:rPr>
                <w:rFonts w:hint="eastAsia"/>
                <w:b w:val="0"/>
                <w:bCs w:val="0"/>
                <w:color w:val="000000" w:themeColor="text1"/>
                <w:sz w:val="24"/>
                <w14:textFill>
                  <w14:solidFill>
                    <w14:schemeClr w14:val="tx1"/>
                  </w14:solidFill>
                </w14:textFill>
              </w:rPr>
              <w:t>对医院地面</w:t>
            </w:r>
            <w:r>
              <w:rPr>
                <w:rFonts w:hint="eastAsia"/>
                <w:b w:val="0"/>
                <w:bCs w:val="0"/>
                <w:color w:val="000000" w:themeColor="text1"/>
                <w:sz w:val="24"/>
                <w:lang w:val="en-US" w:eastAsia="zh-CN"/>
                <w14:textFill>
                  <w14:solidFill>
                    <w14:schemeClr w14:val="tx1"/>
                  </w14:solidFill>
                </w14:textFill>
              </w:rPr>
              <w:t>采用含氯消毒剂拖布拖地、</w:t>
            </w:r>
            <w:r>
              <w:rPr>
                <w:rFonts w:hint="eastAsia"/>
                <w:b w:val="0"/>
                <w:bCs w:val="0"/>
                <w:color w:val="000000" w:themeColor="text1"/>
                <w:sz w:val="24"/>
                <w14:textFill>
                  <w14:solidFill>
                    <w14:schemeClr w14:val="tx1"/>
                  </w14:solidFill>
                </w14:textFill>
              </w:rPr>
              <w:t>房间</w:t>
            </w:r>
            <w:r>
              <w:rPr>
                <w:rFonts w:hint="eastAsia"/>
                <w:b w:val="0"/>
                <w:bCs w:val="0"/>
                <w:color w:val="000000" w:themeColor="text1"/>
                <w:sz w:val="24"/>
                <w:lang w:val="en-US" w:eastAsia="zh-CN"/>
                <w14:textFill>
                  <w14:solidFill>
                    <w14:schemeClr w14:val="tx1"/>
                  </w14:solidFill>
                </w14:textFill>
              </w:rPr>
              <w:t>物表采用含氯消毒液抹布擦拭</w:t>
            </w:r>
            <w:r>
              <w:rPr>
                <w:rFonts w:hint="eastAsia"/>
                <w:b w:val="0"/>
                <w:bCs w:val="0"/>
                <w:color w:val="000000" w:themeColor="text1"/>
                <w:sz w:val="24"/>
                <w14:textFill>
                  <w14:solidFill>
                    <w14:schemeClr w14:val="tx1"/>
                  </w14:solidFill>
                </w14:textFill>
              </w:rPr>
              <w:t>等</w:t>
            </w:r>
            <w:r>
              <w:rPr>
                <w:rFonts w:hint="eastAsia"/>
                <w:b w:val="0"/>
                <w:bCs w:val="0"/>
                <w:color w:val="000000" w:themeColor="text1"/>
                <w:sz w:val="24"/>
                <w:lang w:eastAsia="zh-CN"/>
                <w14:textFill>
                  <w14:solidFill>
                    <w14:schemeClr w14:val="tx1"/>
                  </w14:solidFill>
                </w14:textFill>
              </w:rPr>
              <w:t>。</w:t>
            </w:r>
          </w:p>
          <w:p>
            <w:pPr>
              <w:numPr>
                <w:ilvl w:val="0"/>
                <w:numId w:val="6"/>
              </w:numPr>
              <w:ind w:left="0" w:leftChars="0" w:firstLine="0" w:firstLineChars="0"/>
              <w:jc w:val="center"/>
              <w:rPr>
                <w:rFonts w:hint="eastAsia"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sz w:val="24"/>
                <w14:textFill>
                  <w14:solidFill>
                    <w14:schemeClr w14:val="tx1"/>
                  </w14:solidFill>
                </w14:textFill>
              </w:rPr>
              <w:t>医院消毒方式方法</w:t>
            </w:r>
          </w:p>
          <w:tbl>
            <w:tblPr>
              <w:tblStyle w:val="23"/>
              <w:tblW w:w="8358"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78"/>
              <w:gridCol w:w="1445"/>
              <w:gridCol w:w="2328"/>
              <w:gridCol w:w="32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378" w:type="dxa"/>
                  <w:tcBorders>
                    <w:top w:val="single" w:color="000000" w:sz="12" w:space="0"/>
                    <w:left w:val="nil"/>
                    <w:bottom w:val="single" w:color="000000" w:sz="8" w:space="0"/>
                    <w:right w:val="single" w:color="000000" w:sz="8" w:space="0"/>
                  </w:tcBorders>
                  <w:shd w:val="clear" w:color="auto" w:fill="auto"/>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消毒方式</w:t>
                  </w:r>
                </w:p>
              </w:tc>
              <w:tc>
                <w:tcPr>
                  <w:tcW w:w="1445" w:type="dxa"/>
                  <w:tcBorders>
                    <w:top w:val="single" w:color="000000" w:sz="12" w:space="0"/>
                    <w:left w:val="single" w:color="000000" w:sz="8" w:space="0"/>
                    <w:bottom w:val="single" w:color="000000" w:sz="8" w:space="0"/>
                    <w:right w:val="single" w:color="000000" w:sz="8" w:space="0"/>
                  </w:tcBorders>
                  <w:shd w:val="clear" w:color="auto" w:fill="auto"/>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对象</w:t>
                  </w:r>
                </w:p>
              </w:tc>
              <w:tc>
                <w:tcPr>
                  <w:tcW w:w="2328" w:type="dxa"/>
                  <w:tcBorders>
                    <w:top w:val="single" w:color="000000" w:sz="12" w:space="0"/>
                    <w:left w:val="single" w:color="000000" w:sz="8" w:space="0"/>
                    <w:bottom w:val="single" w:color="000000" w:sz="8" w:space="0"/>
                    <w:right w:val="single" w:color="000000" w:sz="8" w:space="0"/>
                  </w:tcBorders>
                  <w:shd w:val="clear" w:color="auto" w:fill="auto"/>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种类</w:t>
                  </w:r>
                </w:p>
              </w:tc>
              <w:tc>
                <w:tcPr>
                  <w:tcW w:w="3207" w:type="dxa"/>
                  <w:tcBorders>
                    <w:top w:val="single" w:color="000000" w:sz="12" w:space="0"/>
                    <w:left w:val="single" w:color="000000" w:sz="8" w:space="0"/>
                    <w:bottom w:val="single" w:color="000000" w:sz="8" w:space="0"/>
                    <w:right w:val="nil"/>
                  </w:tcBorders>
                  <w:shd w:val="clear" w:color="auto" w:fill="auto"/>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操作方法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 w:hRule="atLeast"/>
              </w:trPr>
              <w:tc>
                <w:tcPr>
                  <w:tcW w:w="1378" w:type="dxa"/>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送原消毒供应室处理</w:t>
                  </w:r>
                </w:p>
              </w:tc>
              <w:tc>
                <w:tcPr>
                  <w:tcW w:w="1445"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医疗器械等</w:t>
                  </w:r>
                </w:p>
              </w:tc>
              <w:tc>
                <w:tcPr>
                  <w:tcW w:w="2328"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低温等离子灭菌器、环氧乙烷灭菌器、动脉高温蒸汽灭菌器</w:t>
                  </w:r>
                </w:p>
              </w:tc>
              <w:tc>
                <w:tcPr>
                  <w:tcW w:w="3207" w:type="dxa"/>
                  <w:tcBorders>
                    <w:top w:val="single" w:color="000000" w:sz="8" w:space="0"/>
                    <w:left w:val="single" w:color="000000" w:sz="8" w:space="0"/>
                    <w:bottom w:val="single" w:color="000000" w:sz="8" w:space="0"/>
                    <w:right w:val="nil"/>
                  </w:tcBorders>
                  <w:shd w:val="clear" w:color="auto" w:fill="auto"/>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统一由消毒供应室进行消毒处理后，再进行灭菌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trPr>
              <w:tc>
                <w:tcPr>
                  <w:tcW w:w="1378" w:type="dxa"/>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紫外线</w:t>
                  </w:r>
                </w:p>
              </w:tc>
              <w:tc>
                <w:tcPr>
                  <w:tcW w:w="1445"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医废暂存间、库房等</w:t>
                  </w:r>
                </w:p>
              </w:tc>
              <w:tc>
                <w:tcPr>
                  <w:tcW w:w="2328"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紫外线</w:t>
                  </w:r>
                </w:p>
              </w:tc>
              <w:tc>
                <w:tcPr>
                  <w:tcW w:w="3207" w:type="dxa"/>
                  <w:tcBorders>
                    <w:top w:val="single" w:color="000000" w:sz="8" w:space="0"/>
                    <w:left w:val="single" w:color="000000" w:sz="8" w:space="0"/>
                    <w:bottom w:val="single" w:color="000000" w:sz="8" w:space="0"/>
                    <w:right w:val="nil"/>
                  </w:tcBorders>
                  <w:shd w:val="clear" w:color="auto" w:fill="auto"/>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紫外线灯管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1378" w:type="dxa"/>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喷洒</w:t>
                  </w:r>
                </w:p>
              </w:tc>
              <w:tc>
                <w:tcPr>
                  <w:tcW w:w="1445"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地面、物表等消毒</w:t>
                  </w:r>
                </w:p>
              </w:tc>
              <w:tc>
                <w:tcPr>
                  <w:tcW w:w="2328"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含氯消毒剂</w:t>
                  </w:r>
                </w:p>
              </w:tc>
              <w:tc>
                <w:tcPr>
                  <w:tcW w:w="3207" w:type="dxa"/>
                  <w:tcBorders>
                    <w:top w:val="single" w:color="000000" w:sz="8" w:space="0"/>
                    <w:left w:val="single" w:color="000000" w:sz="8" w:space="0"/>
                    <w:bottom w:val="single" w:color="000000" w:sz="8" w:space="0"/>
                    <w:right w:val="nil"/>
                  </w:tcBorders>
                  <w:shd w:val="clear" w:color="auto" w:fill="auto"/>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病房各类物品表面采用</w:t>
                  </w:r>
                  <w:r>
                    <w:rPr>
                      <w:rFonts w:hint="default" w:cs="Times New Roman"/>
                      <w:color w:val="000000" w:themeColor="text1"/>
                      <w:szCs w:val="21"/>
                      <w:lang w:val="en-US" w:eastAsia="zh-CN"/>
                      <w14:textFill>
                        <w14:solidFill>
                          <w14:schemeClr w14:val="tx1"/>
                        </w14:solidFill>
                      </w14:textFill>
                    </w:rPr>
                    <w:t>500mg/L</w:t>
                  </w:r>
                  <w:r>
                    <w:rPr>
                      <w:rFonts w:hint="eastAsia" w:cs="Times New Roman"/>
                      <w:color w:val="000000" w:themeColor="text1"/>
                      <w:szCs w:val="21"/>
                      <w:lang w:val="en-US" w:eastAsia="zh-CN"/>
                      <w14:textFill>
                        <w14:solidFill>
                          <w14:schemeClr w14:val="tx1"/>
                        </w14:solidFill>
                      </w14:textFill>
                    </w:rPr>
                    <w:t>的含氯消毒剂溶液擦抹，对地面进行喷洒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378" w:type="dxa"/>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浸泡</w:t>
                  </w:r>
                </w:p>
              </w:tc>
              <w:tc>
                <w:tcPr>
                  <w:tcW w:w="1445"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拖布、抹布</w:t>
                  </w:r>
                </w:p>
              </w:tc>
              <w:tc>
                <w:tcPr>
                  <w:tcW w:w="2328"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含氯消毒剂</w:t>
                  </w:r>
                </w:p>
              </w:tc>
              <w:tc>
                <w:tcPr>
                  <w:tcW w:w="3207" w:type="dxa"/>
                  <w:tcBorders>
                    <w:top w:val="single" w:color="000000" w:sz="8" w:space="0"/>
                    <w:left w:val="single" w:color="000000" w:sz="8" w:space="0"/>
                    <w:bottom w:val="single" w:color="000000" w:sz="8" w:space="0"/>
                    <w:right w:val="nil"/>
                  </w:tcBorders>
                  <w:shd w:val="clear" w:color="auto" w:fill="auto"/>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采用</w:t>
                  </w:r>
                  <w:r>
                    <w:rPr>
                      <w:rFonts w:hint="default" w:cs="Times New Roman"/>
                      <w:color w:val="000000" w:themeColor="text1"/>
                      <w:szCs w:val="21"/>
                      <w:lang w:val="en-US" w:eastAsia="zh-CN"/>
                      <w14:textFill>
                        <w14:solidFill>
                          <w14:schemeClr w14:val="tx1"/>
                        </w14:solidFill>
                      </w14:textFill>
                    </w:rPr>
                    <w:t>500mg/L</w:t>
                  </w:r>
                  <w:r>
                    <w:rPr>
                      <w:rFonts w:hint="eastAsia" w:cs="Times New Roman"/>
                      <w:color w:val="000000" w:themeColor="text1"/>
                      <w:szCs w:val="21"/>
                      <w:lang w:val="en-US" w:eastAsia="zh-CN"/>
                      <w14:textFill>
                        <w14:solidFill>
                          <w14:schemeClr w14:val="tx1"/>
                        </w14:solidFill>
                      </w14:textFill>
                    </w:rPr>
                    <w:t>的含氯消毒剂溶液浸泡</w:t>
                  </w:r>
                  <w:r>
                    <w:rPr>
                      <w:rFonts w:hint="default" w:cs="Times New Roman"/>
                      <w:color w:val="000000" w:themeColor="text1"/>
                      <w:szCs w:val="21"/>
                      <w:lang w:val="en-US" w:eastAsia="zh-CN"/>
                      <w14:textFill>
                        <w14:solidFill>
                          <w14:schemeClr w14:val="tx1"/>
                        </w14:solidFill>
                      </w14:textFill>
                    </w:rPr>
                    <w:t>30min</w:t>
                  </w:r>
                  <w:r>
                    <w:rPr>
                      <w:rFonts w:hint="eastAsia" w:cs="Times New Roman"/>
                      <w:color w:val="000000" w:themeColor="text1"/>
                      <w:szCs w:val="21"/>
                      <w:lang w:val="en-US" w:eastAsia="zh-CN"/>
                      <w14:textFill>
                        <w14:solidFill>
                          <w14:schemeClr w14:val="tx1"/>
                        </w14:solidFill>
                      </w14:textFill>
                    </w:rPr>
                    <w:t>，清洗干净，晒干备用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378" w:type="dxa"/>
                  <w:tcBorders>
                    <w:top w:val="single" w:color="000000" w:sz="8" w:space="0"/>
                    <w:left w:val="nil"/>
                    <w:bottom w:val="single" w:color="000000" w:sz="12" w:space="0"/>
                    <w:right w:val="single" w:color="000000" w:sz="8" w:space="0"/>
                  </w:tcBorders>
                  <w:shd w:val="clear" w:color="auto" w:fill="auto"/>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空气消毒机消毒</w:t>
                  </w:r>
                </w:p>
              </w:tc>
              <w:tc>
                <w:tcPr>
                  <w:tcW w:w="1445" w:type="dxa"/>
                  <w:tcBorders>
                    <w:top w:val="single" w:color="000000" w:sz="8" w:space="0"/>
                    <w:left w:val="single" w:color="000000" w:sz="8" w:space="0"/>
                    <w:bottom w:val="single" w:color="000000" w:sz="12" w:space="0"/>
                    <w:right w:val="single" w:color="000000" w:sz="8" w:space="0"/>
                  </w:tcBorders>
                  <w:shd w:val="clear" w:color="auto" w:fill="auto"/>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病房</w:t>
                  </w:r>
                </w:p>
              </w:tc>
              <w:tc>
                <w:tcPr>
                  <w:tcW w:w="2328" w:type="dxa"/>
                  <w:tcBorders>
                    <w:top w:val="single" w:color="000000" w:sz="8" w:space="0"/>
                    <w:left w:val="single" w:color="000000" w:sz="8" w:space="0"/>
                    <w:bottom w:val="single" w:color="000000" w:sz="12" w:space="0"/>
                    <w:right w:val="single" w:color="000000" w:sz="8" w:space="0"/>
                  </w:tcBorders>
                  <w:shd w:val="clear" w:color="auto" w:fill="auto"/>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空气消毒机</w:t>
                  </w:r>
                </w:p>
              </w:tc>
              <w:tc>
                <w:tcPr>
                  <w:tcW w:w="3207" w:type="dxa"/>
                  <w:tcBorders>
                    <w:top w:val="single" w:color="000000" w:sz="8" w:space="0"/>
                    <w:left w:val="single" w:color="000000" w:sz="8" w:space="0"/>
                    <w:bottom w:val="single" w:color="000000" w:sz="12" w:space="0"/>
                    <w:right w:val="nil"/>
                  </w:tcBorders>
                  <w:shd w:val="clear" w:color="auto" w:fill="auto"/>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人机共存空气消毒机</w:t>
                  </w:r>
                </w:p>
              </w:tc>
            </w:tr>
          </w:tbl>
          <w:p>
            <w:pPr>
              <w:pStyle w:val="21"/>
              <w:numPr>
                <w:ilvl w:val="0"/>
                <w:numId w:val="0"/>
              </w:numPr>
              <w:adjustRightInd w:val="0"/>
              <w:spacing w:before="0" w:after="0" w:line="360" w:lineRule="auto"/>
              <w:ind w:right="0" w:rightChars="0" w:firstLine="480" w:firstLineChars="200"/>
              <w:rPr>
                <w:rFonts w:hint="eastAsia"/>
                <w:b w:val="0"/>
                <w:bCs w:val="0"/>
                <w:color w:val="000000" w:themeColor="text1"/>
                <w:sz w:val="24"/>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依据业主提供资料本项目拟用含氯消毒剂为</w:t>
            </w:r>
            <w:r>
              <w:rPr>
                <w:rFonts w:hint="eastAsia"/>
                <w:b w:val="0"/>
                <w:bCs w:val="0"/>
                <w:color w:val="000000" w:themeColor="text1"/>
                <w:sz w:val="24"/>
                <w14:textFill>
                  <w14:solidFill>
                    <w14:schemeClr w14:val="tx1"/>
                  </w14:solidFill>
                </w14:textFill>
              </w:rPr>
              <w:t>中光牌</w:t>
            </w:r>
            <w:r>
              <w:rPr>
                <w:rFonts w:hint="eastAsia"/>
                <w:b w:val="0"/>
                <w:bCs w:val="0"/>
                <w:color w:val="000000" w:themeColor="text1"/>
                <w:sz w:val="24"/>
                <w:lang w:val="en-US" w:eastAsia="zh-CN"/>
                <w14:textFill>
                  <w14:solidFill>
                    <w14:schemeClr w14:val="tx1"/>
                  </w14:solidFill>
                </w14:textFill>
              </w:rPr>
              <w:t>泡腾含氯消毒片（净含量1g×100片），</w:t>
            </w:r>
            <w:r>
              <w:rPr>
                <w:rFonts w:hint="eastAsia"/>
                <w:b w:val="0"/>
                <w:bCs w:val="0"/>
                <w:color w:val="000000" w:themeColor="text1"/>
                <w:sz w:val="24"/>
                <w14:textFill>
                  <w14:solidFill>
                    <w14:schemeClr w14:val="tx1"/>
                  </w14:solidFill>
                </w14:textFill>
              </w:rPr>
              <w:t>中光牌泡腾含氯消毒片是以三氧异氟尿酸为主要有效成分的消毒片，有效</w:t>
            </w:r>
            <w:r>
              <w:rPr>
                <w:rFonts w:hint="eastAsia"/>
                <w:b w:val="0"/>
                <w:bCs w:val="0"/>
                <w:color w:val="000000" w:themeColor="text1"/>
                <w:sz w:val="24"/>
                <w:lang w:val="en-US" w:eastAsia="zh-CN"/>
                <w14:textFill>
                  <w14:solidFill>
                    <w14:schemeClr w14:val="tx1"/>
                  </w14:solidFill>
                </w14:textFill>
              </w:rPr>
              <w:t>氯</w:t>
            </w:r>
            <w:r>
              <w:rPr>
                <w:rFonts w:hint="eastAsia"/>
                <w:b w:val="0"/>
                <w:bCs w:val="0"/>
                <w:color w:val="000000" w:themeColor="text1"/>
                <w:sz w:val="24"/>
                <w14:textFill>
                  <w14:solidFill>
                    <w14:schemeClr w14:val="tx1"/>
                  </w14:solidFill>
                </w14:textFill>
              </w:rPr>
              <w:t>含量为</w:t>
            </w:r>
            <w:r>
              <w:rPr>
                <w:rFonts w:hint="eastAsia"/>
                <w:b w:val="0"/>
                <w:bCs w:val="0"/>
                <w:color w:val="000000" w:themeColor="text1"/>
                <w:sz w:val="24"/>
                <w:lang w:val="en-US" w:eastAsia="zh-CN"/>
                <w14:textFill>
                  <w14:solidFill>
                    <w14:schemeClr w14:val="tx1"/>
                  </w14:solidFill>
                </w14:textFill>
              </w:rPr>
              <w:t>45%~52%，每片含有效氯</w:t>
            </w:r>
            <w:r>
              <w:rPr>
                <w:rFonts w:hint="eastAsia"/>
                <w:b w:val="0"/>
                <w:bCs w:val="0"/>
                <w:color w:val="000000" w:themeColor="text1"/>
                <w:sz w:val="24"/>
                <w14:textFill>
                  <w14:solidFill>
                    <w14:schemeClr w14:val="tx1"/>
                  </w14:solidFill>
                </w14:textFill>
              </w:rPr>
              <w:t>500mg</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14:textFill>
                  <w14:solidFill>
                    <w14:schemeClr w14:val="tx1"/>
                  </w14:solidFill>
                </w14:textFill>
              </w:rPr>
              <w:t>可杀灭肠道致病菌</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14:textFill>
                  <w14:solidFill>
                    <w14:schemeClr w14:val="tx1"/>
                  </w14:solidFill>
                </w14:textFill>
              </w:rPr>
              <w:t>化脓性球菌、</w:t>
            </w:r>
            <w:r>
              <w:rPr>
                <w:rFonts w:hint="eastAsia"/>
                <w:b w:val="0"/>
                <w:bCs w:val="0"/>
                <w:color w:val="000000" w:themeColor="text1"/>
                <w:sz w:val="24"/>
                <w:lang w:val="en-US" w:eastAsia="zh-CN"/>
                <w14:textFill>
                  <w14:solidFill>
                    <w14:schemeClr w14:val="tx1"/>
                  </w14:solidFill>
                </w14:textFill>
              </w:rPr>
              <w:t>医院常见细菌、</w:t>
            </w:r>
            <w:r>
              <w:rPr>
                <w:rFonts w:hint="eastAsia"/>
                <w:b w:val="0"/>
                <w:bCs w:val="0"/>
                <w:color w:val="000000" w:themeColor="text1"/>
                <w:sz w:val="24"/>
                <w14:textFill>
                  <w14:solidFill>
                    <w14:schemeClr w14:val="tx1"/>
                  </w14:solidFill>
                </w14:textFill>
              </w:rPr>
              <w:t>致病性</w:t>
            </w:r>
            <w:r>
              <w:rPr>
                <w:rFonts w:hint="eastAsia"/>
                <w:b w:val="0"/>
                <w:bCs w:val="0"/>
                <w:color w:val="000000" w:themeColor="text1"/>
                <w:sz w:val="24"/>
                <w:lang w:val="en-US" w:eastAsia="zh-CN"/>
                <w14:textFill>
                  <w14:solidFill>
                    <w14:schemeClr w14:val="tx1"/>
                  </w14:solidFill>
                </w14:textFill>
              </w:rPr>
              <w:t>酵母菌</w:t>
            </w:r>
            <w:r>
              <w:rPr>
                <w:rFonts w:hint="eastAsia"/>
                <w:b w:val="0"/>
                <w:bCs w:val="0"/>
                <w:color w:val="000000" w:themeColor="text1"/>
                <w:sz w:val="24"/>
                <w14:textFill>
                  <w14:solidFill>
                    <w14:schemeClr w14:val="tx1"/>
                  </w14:solidFill>
                </w14:textFill>
              </w:rPr>
              <w:t>和细胞</w:t>
            </w:r>
            <w:r>
              <w:rPr>
                <w:rFonts w:hint="eastAsia"/>
                <w:b w:val="0"/>
                <w:bCs w:val="0"/>
                <w:color w:val="000000" w:themeColor="text1"/>
                <w:sz w:val="24"/>
                <w:lang w:val="en-US" w:eastAsia="zh-CN"/>
                <w14:textFill>
                  <w14:solidFill>
                    <w14:schemeClr w14:val="tx1"/>
                  </w14:solidFill>
                </w14:textFill>
              </w:rPr>
              <w:t>芽孢</w:t>
            </w:r>
            <w:r>
              <w:rPr>
                <w:rFonts w:hint="eastAsia"/>
                <w:b w:val="0"/>
                <w:bCs w:val="0"/>
                <w:color w:val="000000" w:themeColor="text1"/>
                <w:sz w:val="24"/>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并</w:t>
            </w:r>
            <w:r>
              <w:rPr>
                <w:rFonts w:hint="eastAsia"/>
                <w:b w:val="0"/>
                <w:bCs w:val="0"/>
                <w:color w:val="000000" w:themeColor="text1"/>
                <w:sz w:val="24"/>
                <w14:textFill>
                  <w14:solidFill>
                    <w14:schemeClr w14:val="tx1"/>
                  </w14:solidFill>
                </w14:textFill>
              </w:rPr>
              <w:t>能灭活病菌。</w:t>
            </w:r>
          </w:p>
          <w:p>
            <w:pPr>
              <w:pStyle w:val="21"/>
              <w:numPr>
                <w:ilvl w:val="0"/>
                <w:numId w:val="0"/>
              </w:numPr>
              <w:adjustRightInd w:val="0"/>
              <w:spacing w:before="0" w:after="0" w:line="360" w:lineRule="auto"/>
              <w:ind w:right="0" w:rightChars="0"/>
              <w:rPr>
                <w:rFonts w:hint="eastAsia" w:ascii="Times New Roman" w:hAnsi="Times New Roman" w:cs="Times New Roman"/>
                <w:b/>
                <w:bCs/>
                <w:color w:val="000000" w:themeColor="text1"/>
                <w:sz w:val="24"/>
                <w:lang w:val="en-US" w:eastAsia="zh-CN"/>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6.8洗消中心</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rFonts w:hint="eastAsia"/>
                <w:b w:val="0"/>
                <w:bCs w:val="0"/>
                <w:color w:val="000000" w:themeColor="text1"/>
                <w:sz w:val="24"/>
                <w14:textFill>
                  <w14:solidFill>
                    <w14:schemeClr w14:val="tx1"/>
                  </w14:solidFill>
                </w14:textFill>
              </w:rPr>
              <w:t>本项目</w:t>
            </w:r>
            <w:r>
              <w:rPr>
                <w:rFonts w:hint="eastAsia"/>
                <w:b w:val="0"/>
                <w:bCs w:val="0"/>
                <w:color w:val="000000" w:themeColor="text1"/>
                <w:sz w:val="24"/>
                <w:lang w:val="en-US" w:eastAsia="zh-CN"/>
                <w14:textFill>
                  <w14:solidFill>
                    <w14:schemeClr w14:val="tx1"/>
                  </w14:solidFill>
                </w14:textFill>
              </w:rPr>
              <w:t>职工</w:t>
            </w:r>
            <w:r>
              <w:rPr>
                <w:rFonts w:hint="eastAsia"/>
                <w:b w:val="0"/>
                <w:bCs w:val="0"/>
                <w:color w:val="000000" w:themeColor="text1"/>
                <w:sz w:val="24"/>
                <w14:textFill>
                  <w14:solidFill>
                    <w14:schemeClr w14:val="tx1"/>
                  </w14:solidFill>
                </w14:textFill>
              </w:rPr>
              <w:t>工作服和院区床单、被服</w:t>
            </w:r>
            <w:r>
              <w:rPr>
                <w:rFonts w:hint="eastAsia"/>
                <w:b w:val="0"/>
                <w:bCs w:val="0"/>
                <w:color w:val="000000" w:themeColor="text1"/>
                <w:sz w:val="24"/>
                <w:lang w:val="en-US" w:eastAsia="zh-CN"/>
                <w14:textFill>
                  <w14:solidFill>
                    <w14:schemeClr w14:val="tx1"/>
                  </w14:solidFill>
                </w14:textFill>
              </w:rPr>
              <w:t>等委托外单</w:t>
            </w:r>
            <w:r>
              <w:rPr>
                <w:rFonts w:hint="eastAsia"/>
                <w:b w:val="0"/>
                <w:bCs w:val="0"/>
                <w:color w:val="000000" w:themeColor="text1"/>
                <w:sz w:val="24"/>
                <w14:textFill>
                  <w14:solidFill>
                    <w14:schemeClr w14:val="tx1"/>
                  </w14:solidFill>
                </w14:textFill>
              </w:rPr>
              <w:t>进行清洗</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lang w:val="en-US" w:eastAsia="zh-CN"/>
                <w14:textFill>
                  <w14:solidFill>
                    <w14:schemeClr w14:val="tx1"/>
                  </w14:solidFill>
                </w14:textFill>
              </w:rPr>
              <w:t>消毒，项目洗消中心仅对院区卫生清洁使用的拖布、抹布进行清洗、消毒</w:t>
            </w:r>
            <w:r>
              <w:rPr>
                <w:rFonts w:hint="eastAsia"/>
                <w:b w:val="0"/>
                <w:bCs w:val="0"/>
                <w:color w:val="000000" w:themeColor="text1"/>
                <w:sz w:val="24"/>
                <w14:textFill>
                  <w14:solidFill>
                    <w14:schemeClr w14:val="tx1"/>
                  </w14:solidFill>
                </w14:textFill>
              </w:rPr>
              <w:t>，每天最大清洗量</w:t>
            </w:r>
            <w:r>
              <w:rPr>
                <w:rFonts w:hint="eastAsia"/>
                <w:b w:val="0"/>
                <w:bCs w:val="0"/>
                <w:color w:val="000000" w:themeColor="text1"/>
                <w:sz w:val="24"/>
                <w:lang w:val="en-US" w:eastAsia="zh-CN"/>
                <w14:textFill>
                  <w14:solidFill>
                    <w14:schemeClr w14:val="tx1"/>
                  </w14:solidFill>
                </w14:textFill>
              </w:rPr>
              <w:t>约15</w:t>
            </w:r>
            <w:r>
              <w:rPr>
                <w:rFonts w:hint="eastAsia"/>
                <w:b w:val="0"/>
                <w:bCs w:val="0"/>
                <w:color w:val="000000" w:themeColor="text1"/>
                <w:sz w:val="24"/>
                <w14:textFill>
                  <w14:solidFill>
                    <w14:schemeClr w14:val="tx1"/>
                  </w14:solidFill>
                </w14:textFill>
              </w:rPr>
              <w:t>kg</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14:textFill>
                  <w14:solidFill>
                    <w14:schemeClr w14:val="tx1"/>
                  </w14:solidFill>
                </w14:textFill>
              </w:rPr>
              <w:t>清洗方式为：</w:t>
            </w:r>
            <w:r>
              <w:rPr>
                <w:rFonts w:hint="eastAsia"/>
                <w:b w:val="0"/>
                <w:bCs w:val="0"/>
                <w:color w:val="000000" w:themeColor="text1"/>
                <w:sz w:val="24"/>
                <w:lang w:val="en-US" w:eastAsia="zh-CN"/>
                <w14:textFill>
                  <w14:solidFill>
                    <w14:schemeClr w14:val="tx1"/>
                  </w14:solidFill>
                </w14:textFill>
              </w:rPr>
              <w:t>使用后的拖布、抹布</w:t>
            </w:r>
            <w:r>
              <w:rPr>
                <w:rFonts w:hint="eastAsia"/>
                <w:b w:val="0"/>
                <w:bCs w:val="0"/>
                <w:color w:val="000000" w:themeColor="text1"/>
                <w:sz w:val="24"/>
                <w:lang w:eastAsia="zh-CN"/>
                <w14:textFill>
                  <w14:solidFill>
                    <w14:schemeClr w14:val="tx1"/>
                  </w14:solidFill>
                </w14:textFill>
              </w:rPr>
              <w:t>，</w:t>
            </w:r>
            <w:r>
              <w:rPr>
                <w:rFonts w:hint="eastAsia"/>
                <w:b w:val="0"/>
                <w:bCs w:val="0"/>
                <w:color w:val="000000" w:themeColor="text1"/>
                <w:sz w:val="24"/>
                <w14:textFill>
                  <w14:solidFill>
                    <w14:schemeClr w14:val="tx1"/>
                  </w14:solidFill>
                </w14:textFill>
              </w:rPr>
              <w:t>在</w:t>
            </w:r>
            <w:r>
              <w:rPr>
                <w:rFonts w:hint="eastAsia"/>
                <w:b w:val="0"/>
                <w:bCs w:val="0"/>
                <w:color w:val="000000" w:themeColor="text1"/>
                <w:sz w:val="24"/>
                <w:lang w:eastAsia="zh-CN"/>
                <w14:textFill>
                  <w14:solidFill>
                    <w14:schemeClr w14:val="tx1"/>
                  </w14:solidFill>
                </w14:textFill>
              </w:rPr>
              <w:t>洗消中心</w:t>
            </w:r>
            <w:r>
              <w:rPr>
                <w:rFonts w:hint="eastAsia"/>
                <w:b w:val="0"/>
                <w:bCs w:val="0"/>
                <w:color w:val="000000" w:themeColor="text1"/>
                <w:sz w:val="24"/>
                <w14:textFill>
                  <w14:solidFill>
                    <w14:schemeClr w14:val="tx1"/>
                  </w14:solidFill>
                </w14:textFill>
              </w:rPr>
              <w:t>内经</w:t>
            </w:r>
            <w:r>
              <w:rPr>
                <w:rFonts w:hint="eastAsia"/>
                <w:b w:val="0"/>
                <w:bCs w:val="0"/>
                <w:color w:val="000000" w:themeColor="text1"/>
                <w:sz w:val="24"/>
                <w:lang w:val="en-US" w:eastAsia="en-US"/>
                <w14:textFill>
                  <w14:solidFill>
                    <w14:schemeClr w14:val="tx1"/>
                  </w14:solidFill>
                </w14:textFill>
              </w:rPr>
              <w:t>500mg/L</w:t>
            </w:r>
            <w:r>
              <w:rPr>
                <w:rFonts w:hint="eastAsia"/>
                <w:b w:val="0"/>
                <w:bCs w:val="0"/>
                <w:color w:val="000000" w:themeColor="text1"/>
                <w:sz w:val="24"/>
                <w:lang w:val="en-US" w:eastAsia="zh-CN"/>
                <w14:textFill>
                  <w14:solidFill>
                    <w14:schemeClr w14:val="tx1"/>
                  </w14:solidFill>
                </w14:textFill>
              </w:rPr>
              <w:t>的含氯</w:t>
            </w:r>
            <w:r>
              <w:rPr>
                <w:rFonts w:hint="eastAsia"/>
                <w:b w:val="0"/>
                <w:bCs w:val="0"/>
                <w:color w:val="000000" w:themeColor="text1"/>
                <w:sz w:val="24"/>
                <w:lang w:val="en-US" w:eastAsia="en-US"/>
                <w14:textFill>
                  <w14:solidFill>
                    <w14:schemeClr w14:val="tx1"/>
                  </w14:solidFill>
                </w14:textFill>
              </w:rPr>
              <w:t>消毒剂溶液浸泡30min</w:t>
            </w:r>
            <w:r>
              <w:rPr>
                <w:rFonts w:hint="eastAsia"/>
                <w:b w:val="0"/>
                <w:bCs w:val="0"/>
                <w:color w:val="000000" w:themeColor="text1"/>
                <w:sz w:val="24"/>
                <w:lang w:val="en-US" w:eastAsia="zh-CN"/>
                <w14:textFill>
                  <w14:solidFill>
                    <w14:schemeClr w14:val="tx1"/>
                  </w14:solidFill>
                </w14:textFill>
              </w:rPr>
              <w:t>，随后使用清水</w:t>
            </w:r>
            <w:r>
              <w:rPr>
                <w:rFonts w:hint="eastAsia"/>
                <w:b w:val="0"/>
                <w:bCs w:val="0"/>
                <w:color w:val="000000" w:themeColor="text1"/>
                <w:sz w:val="24"/>
                <w:lang w:val="en-US" w:eastAsia="en-US"/>
                <w14:textFill>
                  <w14:solidFill>
                    <w14:schemeClr w14:val="tx1"/>
                  </w14:solidFill>
                </w14:textFill>
              </w:rPr>
              <w:t>清洗干净，晒干备用</w:t>
            </w:r>
            <w:r>
              <w:rPr>
                <w:rFonts w:hint="eastAsia"/>
                <w:b w:val="0"/>
                <w:bCs w:val="0"/>
                <w:color w:val="000000" w:themeColor="text1"/>
                <w:sz w:val="24"/>
                <w14:textFill>
                  <w14:solidFill>
                    <w14:schemeClr w14:val="tx1"/>
                  </w14:solidFill>
                </w14:textFill>
              </w:rPr>
              <w:t>。</w:t>
            </w:r>
          </w:p>
          <w:p>
            <w:pPr>
              <w:numPr>
                <w:ilvl w:val="0"/>
                <w:numId w:val="5"/>
              </w:numPr>
              <w:adjustRightInd w:val="0"/>
              <w:snapToGrid w:val="0"/>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平面布置</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宣汉县第三人民医院迁建项目位于宣汉县</w:t>
            </w:r>
            <w:r>
              <w:rPr>
                <w:rFonts w:hint="eastAsia"/>
                <w:color w:val="000000" w:themeColor="text1"/>
                <w:sz w:val="24"/>
                <w:lang w:eastAsia="zh-CN"/>
                <w14:textFill>
                  <w14:solidFill>
                    <w14:schemeClr w14:val="tx1"/>
                  </w14:solidFill>
                </w14:textFill>
              </w:rPr>
              <w:t>蒲江</w:t>
            </w:r>
            <w:r>
              <w:rPr>
                <w:rFonts w:hint="eastAsia"/>
                <w:color w:val="000000" w:themeColor="text1"/>
                <w:sz w:val="24"/>
                <w14:textFill>
                  <w14:solidFill>
                    <w14:schemeClr w14:val="tx1"/>
                  </w14:solidFill>
                </w14:textFill>
              </w:rPr>
              <w:t>街道（巴人大道与长兴北路交汇处东北侧），由宣汉县第三人民医院迁建项目住院部外迁（本项目）、万达开川渝统筹发展示范区宣汉县乡村振兴医疗能力提升项目（一期）（二期项目）组成，本项目建设内容为住院综合楼及附属设施建设，二期项目由门急诊医技楼、发热门诊及附属设施组成，本项目位于宣汉县第三人民医院迁建项目场址西南侧，远离区域主要交通干道巴人大道，南侧紧邻区域次干道长兴北路，便于医疗危废转运，实现了净污分流，互不交叉。</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住院综合楼主入口设置在建筑物西侧，朝向内庭，与二期项目相呼应，并在3F~4F设置连廊与门急诊医技楼相连，便于住院人员办理身体检查等事宜。住院综合楼内部整体呈东、西两列分布，两侧分布病房、医护用房等设施用房；人员出入电梯位于住院综合楼东北侧，各楼层污物暂存间及运输医疗废物等污物的电梯位于住院综合楼东南侧，楼内布局实现了净污分流，尽可能了降低污物对病区影响。</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综上，项目平面布置简洁有序，实现了净污分流，降低了污物对病区的影响整体布局较为合理。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23" w:type="dxa"/>
            <w:vAlign w:val="center"/>
          </w:tcPr>
          <w:p>
            <w:pPr>
              <w:pStyle w:val="19"/>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Cs w:val="24"/>
                <w14:textFill>
                  <w14:solidFill>
                    <w14:schemeClr w14:val="tx1"/>
                  </w14:solidFill>
                </w14:textFill>
              </w:rPr>
              <w:t>工艺流程和产排污环节</w:t>
            </w:r>
          </w:p>
        </w:tc>
        <w:tc>
          <w:tcPr>
            <w:tcW w:w="8161" w:type="dxa"/>
          </w:tcPr>
          <w:p>
            <w:pPr>
              <w:numPr>
                <w:ilvl w:val="0"/>
                <w:numId w:val="7"/>
              </w:numPr>
              <w:adjustRightInd w:val="0"/>
              <w:snapToGrid w:val="0"/>
              <w:spacing w:line="360" w:lineRule="auto"/>
              <w:rPr>
                <w:b/>
                <w:bCs/>
                <w:color w:val="000000" w:themeColor="text1"/>
                <w:sz w:val="24"/>
                <w:szCs w:val="28"/>
                <w14:textFill>
                  <w14:solidFill>
                    <w14:schemeClr w14:val="tx1"/>
                  </w14:solidFill>
                </w14:textFill>
              </w:rPr>
            </w:pPr>
            <w:r>
              <w:rPr>
                <w:rFonts w:hint="eastAsia"/>
                <w:b/>
                <w:bCs/>
                <w:color w:val="000000" w:themeColor="text1"/>
                <w:sz w:val="24"/>
                <w:szCs w:val="28"/>
                <w14:textFill>
                  <w14:solidFill>
                    <w14:schemeClr w14:val="tx1"/>
                  </w14:solidFill>
                </w14:textFill>
              </w:rPr>
              <w:t>施工期工艺</w:t>
            </w:r>
          </w:p>
          <w:p>
            <w:pPr>
              <w:snapToGrid w:val="0"/>
              <w:spacing w:line="360" w:lineRule="auto"/>
              <w:ind w:firstLine="52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1、施工期工艺流程</w:t>
            </w:r>
          </w:p>
          <w:p>
            <w:pPr>
              <w:snapToGrid w:val="0"/>
              <w:spacing w:line="360" w:lineRule="auto"/>
              <w:ind w:firstLine="52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场址现状为空置地，依据业主提供地勘资料，场地地处丘陵区，属构造剥蚀浅丘地貌，区内地形起伏较大，地面标高在370.00～426.00m之间，相对高差约56.00m，自然地形坡度角多为10～30°，局部呈陡坎。因场地内高差较大，建设前期需按照设计进行场地平整，场地平整完成后方进行主体工程及附属设备安装、配套环保设施建设等工作。施工期主要污染因子为场地平整、主体工程及附属设施建设、安装产生的建筑垃圾、建筑噪声、扬尘、施工人员的生活污水、生活垃圾等。施工期工艺流程及产污情况见下图。</w:t>
            </w:r>
          </w:p>
          <w:p>
            <w:pPr>
              <w:pStyle w:val="22"/>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363210" cy="1941830"/>
                  <wp:effectExtent l="0" t="0" r="8890" b="127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0"/>
                          <a:stretch>
                            <a:fillRect/>
                          </a:stretch>
                        </pic:blipFill>
                        <pic:spPr>
                          <a:xfrm>
                            <a:off x="0" y="0"/>
                            <a:ext cx="5363210" cy="1941830"/>
                          </a:xfrm>
                          <a:prstGeom prst="rect">
                            <a:avLst/>
                          </a:prstGeom>
                          <a:noFill/>
                          <a:ln>
                            <a:noFill/>
                          </a:ln>
                        </pic:spPr>
                      </pic:pic>
                    </a:graphicData>
                  </a:graphic>
                </wp:inline>
              </w:drawing>
            </w:r>
          </w:p>
          <w:p>
            <w:pPr>
              <w:numPr>
                <w:ilvl w:val="0"/>
                <w:numId w:val="8"/>
              </w:numPr>
              <w:spacing w:line="36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施工期工艺流程及产污环节图</w:t>
            </w:r>
          </w:p>
          <w:p>
            <w:pPr>
              <w:snapToGrid w:val="0"/>
              <w:spacing w:line="360" w:lineRule="auto"/>
              <w:ind w:firstLine="52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2、施工期主要污染工序</w:t>
            </w:r>
          </w:p>
          <w:p>
            <w:pPr>
              <w:snapToGrid w:val="0"/>
              <w:spacing w:line="360" w:lineRule="auto"/>
              <w:ind w:firstLine="52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施工期工程建设将对区域大气环境、声环境、水环境产生一定影响。</w:t>
            </w:r>
          </w:p>
          <w:p>
            <w:pPr>
              <w:snapToGrid w:val="0"/>
              <w:spacing w:line="360" w:lineRule="auto"/>
              <w:ind w:firstLine="52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污染工序主要是在施工期工程基础处理、施工和设备安装建设过程中产生的施工噪声、扬尘、建筑垃圾和施工废水，本项目施工期开挖的土方部分用作场地平整，其余部分运至当地政府指定地点堆存。本项目施工期污染物为：</w:t>
            </w:r>
          </w:p>
          <w:p>
            <w:pPr>
              <w:snapToGrid w:val="0"/>
              <w:spacing w:line="360" w:lineRule="auto"/>
              <w:ind w:firstLine="52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废水：施工期废水主要为工地民工产生的生活污水和工程施工废水。</w:t>
            </w:r>
          </w:p>
          <w:p>
            <w:pPr>
              <w:snapToGrid w:val="0"/>
              <w:spacing w:line="360" w:lineRule="auto"/>
              <w:ind w:firstLine="52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废气：施工期废气主要为扬尘、场区进出车辆产生的汽车尾气、车辆运行、装卸建筑材料时产生的扬尘。</w:t>
            </w:r>
          </w:p>
          <w:p>
            <w:pPr>
              <w:snapToGrid w:val="0"/>
              <w:spacing w:line="360" w:lineRule="auto"/>
              <w:ind w:firstLine="52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噪声：本项目噪声源主要为施工机械噪声。</w:t>
            </w:r>
          </w:p>
          <w:p>
            <w:pPr>
              <w:snapToGrid w:val="0"/>
              <w:spacing w:line="360" w:lineRule="auto"/>
              <w:ind w:firstLine="52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固体废弃物：施工期产生的弃土、建筑垃圾、生活垃圾等固体废物。</w:t>
            </w:r>
          </w:p>
          <w:p>
            <w:pPr>
              <w:numPr>
                <w:ilvl w:val="0"/>
                <w:numId w:val="7"/>
              </w:numPr>
              <w:adjustRightInd w:val="0"/>
              <w:snapToGrid w:val="0"/>
              <w:spacing w:line="360" w:lineRule="auto"/>
              <w:rPr>
                <w:b/>
                <w:bCs/>
                <w:color w:val="000000" w:themeColor="text1"/>
                <w:sz w:val="24"/>
                <w:szCs w:val="28"/>
                <w14:textFill>
                  <w14:solidFill>
                    <w14:schemeClr w14:val="tx1"/>
                  </w14:solidFill>
                </w14:textFill>
              </w:rPr>
            </w:pPr>
            <w:r>
              <w:rPr>
                <w:rFonts w:hint="eastAsia"/>
                <w:b/>
                <w:bCs/>
                <w:color w:val="000000" w:themeColor="text1"/>
                <w:sz w:val="24"/>
                <w:szCs w:val="28"/>
                <w14:textFill>
                  <w14:solidFill>
                    <w14:schemeClr w14:val="tx1"/>
                  </w14:solidFill>
                </w14:textFill>
              </w:rPr>
              <w:t>运营期工艺流程</w:t>
            </w:r>
          </w:p>
          <w:p>
            <w:pPr>
              <w:snapToGrid w:val="0"/>
              <w:spacing w:line="360" w:lineRule="auto"/>
              <w:ind w:firstLine="52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1、工艺流程简述</w:t>
            </w:r>
          </w:p>
          <w:p>
            <w:pPr>
              <w:snapToGrid w:val="0"/>
              <w:spacing w:line="360" w:lineRule="auto"/>
              <w:ind w:firstLine="52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本项目为医院住院综合楼建设，属于医疗卫生服务设施建设，项目年营运365天，员工</w:t>
            </w:r>
            <w:r>
              <w:rPr>
                <w:rFonts w:hint="eastAsia"/>
                <w:color w:val="000000" w:themeColor="text1"/>
                <w:sz w:val="24"/>
                <w:lang w:eastAsia="zh-CN"/>
                <w14:textFill>
                  <w14:solidFill>
                    <w14:schemeClr w14:val="tx1"/>
                  </w14:solidFill>
                </w14:textFill>
              </w:rPr>
              <w:t>500</w:t>
            </w:r>
            <w:r>
              <w:rPr>
                <w:rFonts w:hint="eastAsia"/>
                <w:color w:val="000000" w:themeColor="text1"/>
                <w:sz w:val="24"/>
                <w14:textFill>
                  <w14:solidFill>
                    <w14:schemeClr w14:val="tx1"/>
                  </w14:solidFill>
                </w14:textFill>
              </w:rPr>
              <w:t>人，不设置职工食宿。工作流程及主要排污节点详见下图所示。</w:t>
            </w:r>
          </w:p>
          <w:p>
            <w:pPr>
              <w:snapToGrid w:val="0"/>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365115" cy="4906645"/>
                  <wp:effectExtent l="0" t="0" r="6985" b="825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1"/>
                          <a:stretch>
                            <a:fillRect/>
                          </a:stretch>
                        </pic:blipFill>
                        <pic:spPr>
                          <a:xfrm>
                            <a:off x="0" y="0"/>
                            <a:ext cx="5365115" cy="4906645"/>
                          </a:xfrm>
                          <a:prstGeom prst="rect">
                            <a:avLst/>
                          </a:prstGeom>
                          <a:noFill/>
                          <a:ln>
                            <a:noFill/>
                          </a:ln>
                        </pic:spPr>
                      </pic:pic>
                    </a:graphicData>
                  </a:graphic>
                </wp:inline>
              </w:drawing>
            </w:r>
          </w:p>
          <w:p>
            <w:pPr>
              <w:numPr>
                <w:ilvl w:val="0"/>
                <w:numId w:val="8"/>
              </w:numPr>
              <w:spacing w:line="36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运营期基本流程及产污环节图</w:t>
            </w:r>
          </w:p>
          <w:p>
            <w:pPr>
              <w:snapToGrid w:val="0"/>
              <w:spacing w:line="360" w:lineRule="auto"/>
              <w:ind w:firstLine="52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2、运营期产污分析</w:t>
            </w:r>
          </w:p>
          <w:p>
            <w:pPr>
              <w:pStyle w:val="9"/>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通过上述工艺流程分析，项目营运期污染物识别见下表：</w:t>
            </w:r>
          </w:p>
          <w:p>
            <w:pPr>
              <w:numPr>
                <w:ilvl w:val="0"/>
                <w:numId w:val="6"/>
              </w:numPr>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项目运营期污染分析表</w:t>
            </w:r>
          </w:p>
          <w:tbl>
            <w:tblPr>
              <w:tblStyle w:val="23"/>
              <w:tblW w:w="76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2"/>
              <w:gridCol w:w="1131"/>
              <w:gridCol w:w="2685"/>
              <w:gridCol w:w="32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3"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污染物种类</w:t>
                  </w:r>
                </w:p>
              </w:tc>
              <w:tc>
                <w:tcPr>
                  <w:tcW w:w="2685"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产物环节</w:t>
                  </w:r>
                </w:p>
              </w:tc>
              <w:tc>
                <w:tcPr>
                  <w:tcW w:w="3200"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主要污染物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733" w:type="dxa"/>
                  <w:gridSpan w:val="2"/>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废水</w:t>
                  </w:r>
                </w:p>
              </w:tc>
              <w:tc>
                <w:tcPr>
                  <w:tcW w:w="2685"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手术及治疗、检验室、办公</w:t>
                  </w:r>
                </w:p>
              </w:tc>
              <w:tc>
                <w:tcPr>
                  <w:tcW w:w="3200"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医疗废水，检验废水，医护、陪护人员生活废水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733" w:type="dxa"/>
                  <w:gridSpan w:val="2"/>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废气</w:t>
                  </w:r>
                </w:p>
              </w:tc>
              <w:tc>
                <w:tcPr>
                  <w:tcW w:w="2685"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医院治疗区、检验室、危废暂存间、洗消中心、停车区</w:t>
                  </w:r>
                </w:p>
              </w:tc>
              <w:tc>
                <w:tcPr>
                  <w:tcW w:w="3200"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浑浊空气、检验室废气、危废暂存间恶臭、洗消废气、汽车尾气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733" w:type="dxa"/>
                  <w:gridSpan w:val="2"/>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噪声</w:t>
                  </w:r>
                </w:p>
              </w:tc>
              <w:tc>
                <w:tcPr>
                  <w:tcW w:w="2685"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设备运行、人员活动</w:t>
                  </w:r>
                </w:p>
              </w:tc>
              <w:tc>
                <w:tcPr>
                  <w:tcW w:w="3200"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设备噪声、人员活动噪声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02" w:type="dxa"/>
                  <w:vMerge w:val="restart"/>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固废</w:t>
                  </w:r>
                </w:p>
              </w:tc>
              <w:tc>
                <w:tcPr>
                  <w:tcW w:w="1131" w:type="dxa"/>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一般固废</w:t>
                  </w:r>
                </w:p>
              </w:tc>
              <w:tc>
                <w:tcPr>
                  <w:tcW w:w="2685"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办公</w:t>
                  </w:r>
                </w:p>
              </w:tc>
              <w:tc>
                <w:tcPr>
                  <w:tcW w:w="3200"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02" w:type="dxa"/>
                  <w:vMerge w:val="continue"/>
                  <w:vAlign w:val="center"/>
                </w:tcPr>
                <w:p>
                  <w:pPr>
                    <w:jc w:val="center"/>
                    <w:rPr>
                      <w:bCs/>
                      <w:color w:val="000000" w:themeColor="text1"/>
                      <w:kern w:val="0"/>
                      <w:szCs w:val="21"/>
                      <w14:textFill>
                        <w14:solidFill>
                          <w14:schemeClr w14:val="tx1"/>
                        </w14:solidFill>
                      </w14:textFill>
                    </w:rPr>
                  </w:pPr>
                </w:p>
              </w:tc>
              <w:tc>
                <w:tcPr>
                  <w:tcW w:w="1131" w:type="dxa"/>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危险废物</w:t>
                  </w:r>
                </w:p>
              </w:tc>
              <w:tc>
                <w:tcPr>
                  <w:tcW w:w="2685"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手术及治疗</w:t>
                  </w:r>
                </w:p>
              </w:tc>
              <w:tc>
                <w:tcPr>
                  <w:tcW w:w="3200"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医疗废物</w:t>
                  </w:r>
                </w:p>
              </w:tc>
            </w:tr>
          </w:tbl>
          <w:p>
            <w:pPr>
              <w:pStyle w:val="9"/>
              <w:spacing w:after="0" w:line="360" w:lineRule="auto"/>
              <w:ind w:left="0" w:leftChars="0" w:firstLine="420" w:firstLineChars="200"/>
              <w:rPr>
                <w:bCs/>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vAlign w:val="center"/>
          </w:tcPr>
          <w:p>
            <w:pPr>
              <w:pStyle w:val="19"/>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bCs/>
                <w:color w:val="000000" w:themeColor="text1"/>
                <w:kern w:val="2"/>
                <w:szCs w:val="24"/>
                <w14:textFill>
                  <w14:solidFill>
                    <w14:schemeClr w14:val="tx1"/>
                  </w14:solidFill>
                </w14:textFill>
              </w:rPr>
              <w:t>与项目有关的原有环境污染问题</w:t>
            </w:r>
          </w:p>
        </w:tc>
        <w:tc>
          <w:tcPr>
            <w:tcW w:w="8161" w:type="dxa"/>
            <w:vAlign w:val="center"/>
          </w:tcPr>
          <w:p>
            <w:pPr>
              <w:pStyle w:val="9"/>
              <w:adjustRightInd w:val="0"/>
              <w:snapToGrid w:val="0"/>
              <w:spacing w:after="0" w:line="360" w:lineRule="auto"/>
              <w:ind w:left="0" w:left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1、项目有关的原有污染情况及主要环境问题：</w:t>
            </w:r>
          </w:p>
          <w:p>
            <w:pPr>
              <w:snapToGrid w:val="0"/>
              <w:spacing w:line="360" w:lineRule="auto"/>
              <w:ind w:firstLine="52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本项目为宣汉县第三人民医院迁建项目住院部外迁，位于宣汉县</w:t>
            </w:r>
            <w:r>
              <w:rPr>
                <w:rFonts w:hint="eastAsia"/>
                <w:color w:val="000000" w:themeColor="text1"/>
                <w:sz w:val="24"/>
                <w:lang w:eastAsia="zh-CN"/>
                <w14:textFill>
                  <w14:solidFill>
                    <w14:schemeClr w14:val="tx1"/>
                  </w14:solidFill>
                </w14:textFill>
              </w:rPr>
              <w:t>蒲江</w:t>
            </w:r>
            <w:r>
              <w:rPr>
                <w:rFonts w:hint="eastAsia"/>
                <w:color w:val="000000" w:themeColor="text1"/>
                <w:sz w:val="24"/>
                <w14:textFill>
                  <w14:solidFill>
                    <w14:schemeClr w14:val="tx1"/>
                  </w14:solidFill>
                </w14:textFill>
              </w:rPr>
              <w:t>街道（巴人大道与长兴北路交汇处东北侧），项目周边已经建成较为成熟的商住区，根据《宣汉县自然资源局关于宣汉县第三人民医院住院部外迁项目用地规划条件指标》（宣自然资规〔2021〕58号）文件（附件4），本项目用地性质为0806（医疗卫生用地），项目建设符合宣汉县城市总体规划的要求，项目用地现状为空置地，不存在土壤污染等原有环境问题。项目迁建前产生污染物均采取相应防治措施，基本不存在环境问题。</w:t>
            </w:r>
          </w:p>
          <w:p>
            <w:pPr>
              <w:pStyle w:val="9"/>
              <w:adjustRightInd w:val="0"/>
              <w:snapToGrid w:val="0"/>
              <w:spacing w:after="0" w:line="360" w:lineRule="auto"/>
              <w:ind w:left="0" w:left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2、项目迁建前简介：</w:t>
            </w:r>
          </w:p>
          <w:p>
            <w:pPr>
              <w:pStyle w:val="9"/>
              <w:adjustRightInd w:val="0"/>
              <w:snapToGrid w:val="0"/>
              <w:spacing w:after="0" w:line="360" w:lineRule="auto"/>
              <w:ind w:left="0" w:left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2.1项目迁建前组成</w:t>
            </w:r>
          </w:p>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宣汉县第三人民医院于2003年由宣汉县卫校附属医院更名而成，宣汉县卫校附属医院于1998年建成，由于项目建成时间较为久远，综合楼为购买私人土地进行改建后成为医疗场所，租赁租赁宣汉县机关事务管理局所属的原环保局第2层作为办公及档案室使用。医院设置床位200张，医护人员300人，日最大接待能力约为180人/d。项目运营期无传染科（不接收传染病人），病服洗涤消毒委外处理，不设置宿舍。</w:t>
            </w:r>
          </w:p>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为满足当地民众就医需求，2020年宣汉县第三人民医院投资670万元，租赁宣汉县机关事务管理局所属的原环境监测站全部1~6F作为本医院康复中心使用（主要设置疗养病床、检验科及消毒供应室等），原环保局第5F作为本项目行政办公使用，使用内容主要为重新装修及设备安装，同时对现有1~3F综合楼进行布局调整。除前述内容外，医院其他设施均不发生变化。项目迁建前全院建筑楼层布局情况见下表所示。</w:t>
            </w:r>
          </w:p>
          <w:p>
            <w:pPr>
              <w:numPr>
                <w:ilvl w:val="0"/>
                <w:numId w:val="6"/>
              </w:numPr>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项目迁建前全院建筑楼层布局一览表</w:t>
            </w:r>
          </w:p>
          <w:tbl>
            <w:tblPr>
              <w:tblStyle w:val="23"/>
              <w:tblW w:w="81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343"/>
              <w:gridCol w:w="4245"/>
              <w:gridCol w:w="14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15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建筑物</w:t>
                  </w:r>
                </w:p>
              </w:tc>
              <w:tc>
                <w:tcPr>
                  <w:tcW w:w="13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楼层</w:t>
                  </w:r>
                </w:p>
              </w:tc>
              <w:tc>
                <w:tcPr>
                  <w:tcW w:w="424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楼层平面布局</w:t>
                  </w:r>
                </w:p>
              </w:tc>
              <w:tc>
                <w:tcPr>
                  <w:tcW w:w="146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楼层高（m）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50"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康复中心（原环境监测站）</w:t>
                  </w:r>
                </w:p>
              </w:tc>
              <w:tc>
                <w:tcPr>
                  <w:tcW w:w="13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1F</w:t>
                  </w:r>
                </w:p>
              </w:tc>
              <w:tc>
                <w:tcPr>
                  <w:tcW w:w="424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消毒供应室</w:t>
                  </w:r>
                </w:p>
              </w:tc>
              <w:tc>
                <w:tcPr>
                  <w:tcW w:w="146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1150" w:type="dxa"/>
                  <w:vMerge w:val="continue"/>
                  <w:vAlign w:val="center"/>
                </w:tcPr>
                <w:p>
                  <w:pPr>
                    <w:jc w:val="center"/>
                    <w:rPr>
                      <w:color w:val="000000" w:themeColor="text1"/>
                      <w:szCs w:val="21"/>
                      <w14:textFill>
                        <w14:solidFill>
                          <w14:schemeClr w14:val="tx1"/>
                        </w14:solidFill>
                      </w14:textFill>
                    </w:rPr>
                  </w:pPr>
                </w:p>
              </w:tc>
              <w:tc>
                <w:tcPr>
                  <w:tcW w:w="13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2F</w:t>
                  </w:r>
                </w:p>
              </w:tc>
              <w:tc>
                <w:tcPr>
                  <w:tcW w:w="424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康复中心（以疗养、术后恢复等为主）</w:t>
                  </w:r>
                </w:p>
              </w:tc>
              <w:tc>
                <w:tcPr>
                  <w:tcW w:w="146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1150" w:type="dxa"/>
                  <w:vMerge w:val="continue"/>
                  <w:vAlign w:val="center"/>
                </w:tcPr>
                <w:p>
                  <w:pPr>
                    <w:jc w:val="center"/>
                    <w:rPr>
                      <w:color w:val="000000" w:themeColor="text1"/>
                      <w:szCs w:val="21"/>
                      <w14:textFill>
                        <w14:solidFill>
                          <w14:schemeClr w14:val="tx1"/>
                        </w14:solidFill>
                      </w14:textFill>
                    </w:rPr>
                  </w:pPr>
                </w:p>
              </w:tc>
              <w:tc>
                <w:tcPr>
                  <w:tcW w:w="13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3F</w:t>
                  </w:r>
                </w:p>
              </w:tc>
              <w:tc>
                <w:tcPr>
                  <w:tcW w:w="424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康复中心（以疗养、术后恢复等为主）</w:t>
                  </w:r>
                </w:p>
              </w:tc>
              <w:tc>
                <w:tcPr>
                  <w:tcW w:w="146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1150" w:type="dxa"/>
                  <w:vMerge w:val="continue"/>
                  <w:vAlign w:val="center"/>
                </w:tcPr>
                <w:p>
                  <w:pPr>
                    <w:jc w:val="center"/>
                    <w:rPr>
                      <w:color w:val="000000" w:themeColor="text1"/>
                      <w:szCs w:val="21"/>
                      <w14:textFill>
                        <w14:solidFill>
                          <w14:schemeClr w14:val="tx1"/>
                        </w14:solidFill>
                      </w14:textFill>
                    </w:rPr>
                  </w:pPr>
                </w:p>
              </w:tc>
              <w:tc>
                <w:tcPr>
                  <w:tcW w:w="13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4F</w:t>
                  </w:r>
                </w:p>
              </w:tc>
              <w:tc>
                <w:tcPr>
                  <w:tcW w:w="424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康复中心（以疗养、术后恢复等为主）</w:t>
                  </w:r>
                </w:p>
              </w:tc>
              <w:tc>
                <w:tcPr>
                  <w:tcW w:w="146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1150" w:type="dxa"/>
                  <w:vMerge w:val="continue"/>
                  <w:vAlign w:val="center"/>
                </w:tcPr>
                <w:p>
                  <w:pPr>
                    <w:jc w:val="center"/>
                    <w:rPr>
                      <w:color w:val="000000" w:themeColor="text1"/>
                      <w:szCs w:val="21"/>
                      <w14:textFill>
                        <w14:solidFill>
                          <w14:schemeClr w14:val="tx1"/>
                        </w14:solidFill>
                      </w14:textFill>
                    </w:rPr>
                  </w:pPr>
                </w:p>
              </w:tc>
              <w:tc>
                <w:tcPr>
                  <w:tcW w:w="13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5F</w:t>
                  </w:r>
                </w:p>
              </w:tc>
              <w:tc>
                <w:tcPr>
                  <w:tcW w:w="424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医学检验科</w:t>
                  </w:r>
                </w:p>
              </w:tc>
              <w:tc>
                <w:tcPr>
                  <w:tcW w:w="146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1150" w:type="dxa"/>
                  <w:vMerge w:val="continue"/>
                  <w:vAlign w:val="center"/>
                </w:tcPr>
                <w:p>
                  <w:pPr>
                    <w:jc w:val="center"/>
                    <w:rPr>
                      <w:color w:val="000000" w:themeColor="text1"/>
                      <w:szCs w:val="21"/>
                      <w14:textFill>
                        <w14:solidFill>
                          <w14:schemeClr w14:val="tx1"/>
                        </w14:solidFill>
                      </w14:textFill>
                    </w:rPr>
                  </w:pPr>
                </w:p>
              </w:tc>
              <w:tc>
                <w:tcPr>
                  <w:tcW w:w="13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6F</w:t>
                  </w:r>
                </w:p>
              </w:tc>
              <w:tc>
                <w:tcPr>
                  <w:tcW w:w="424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VIP病房</w:t>
                  </w:r>
                </w:p>
              </w:tc>
              <w:tc>
                <w:tcPr>
                  <w:tcW w:w="146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1150" w:type="dxa"/>
                  <w:vMerge w:val="continue"/>
                  <w:vAlign w:val="center"/>
                </w:tcPr>
                <w:p>
                  <w:pPr>
                    <w:jc w:val="center"/>
                    <w:rPr>
                      <w:color w:val="000000" w:themeColor="text1"/>
                      <w:szCs w:val="21"/>
                      <w14:textFill>
                        <w14:solidFill>
                          <w14:schemeClr w14:val="tx1"/>
                        </w14:solidFill>
                      </w14:textFill>
                    </w:rPr>
                  </w:pPr>
                </w:p>
              </w:tc>
              <w:tc>
                <w:tcPr>
                  <w:tcW w:w="13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楼顶</w:t>
                  </w:r>
                </w:p>
              </w:tc>
              <w:tc>
                <w:tcPr>
                  <w:tcW w:w="424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食堂</w:t>
                  </w:r>
                </w:p>
              </w:tc>
              <w:tc>
                <w:tcPr>
                  <w:tcW w:w="146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1150"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综合楼</w:t>
                  </w:r>
                </w:p>
              </w:tc>
              <w:tc>
                <w:tcPr>
                  <w:tcW w:w="13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-1F</w:t>
                  </w:r>
                </w:p>
              </w:tc>
              <w:tc>
                <w:tcPr>
                  <w:tcW w:w="424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急诊科、输液室、洗胃区、值班室等</w:t>
                  </w:r>
                </w:p>
              </w:tc>
              <w:tc>
                <w:tcPr>
                  <w:tcW w:w="146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1150" w:type="dxa"/>
                  <w:vMerge w:val="continue"/>
                  <w:vAlign w:val="center"/>
                </w:tcPr>
                <w:p>
                  <w:pPr>
                    <w:jc w:val="center"/>
                    <w:rPr>
                      <w:color w:val="000000" w:themeColor="text1"/>
                      <w:szCs w:val="21"/>
                      <w14:textFill>
                        <w14:solidFill>
                          <w14:schemeClr w14:val="tx1"/>
                        </w14:solidFill>
                      </w14:textFill>
                    </w:rPr>
                  </w:pPr>
                </w:p>
              </w:tc>
              <w:tc>
                <w:tcPr>
                  <w:tcW w:w="13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1F</w:t>
                  </w:r>
                </w:p>
              </w:tc>
              <w:tc>
                <w:tcPr>
                  <w:tcW w:w="424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门诊、驾驶员体检室、口腔科、放射科、药房、五官科、胃镜室等</w:t>
                  </w:r>
                </w:p>
              </w:tc>
              <w:tc>
                <w:tcPr>
                  <w:tcW w:w="146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1150" w:type="dxa"/>
                  <w:vMerge w:val="continue"/>
                  <w:vAlign w:val="center"/>
                </w:tcPr>
                <w:p>
                  <w:pPr>
                    <w:jc w:val="center"/>
                    <w:rPr>
                      <w:color w:val="000000" w:themeColor="text1"/>
                      <w:szCs w:val="21"/>
                      <w14:textFill>
                        <w14:solidFill>
                          <w14:schemeClr w14:val="tx1"/>
                        </w14:solidFill>
                      </w14:textFill>
                    </w:rPr>
                  </w:pPr>
                </w:p>
              </w:tc>
              <w:tc>
                <w:tcPr>
                  <w:tcW w:w="13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2F</w:t>
                  </w:r>
                </w:p>
              </w:tc>
              <w:tc>
                <w:tcPr>
                  <w:tcW w:w="424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外科、肛肠科、内科等</w:t>
                  </w:r>
                </w:p>
              </w:tc>
              <w:tc>
                <w:tcPr>
                  <w:tcW w:w="146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1150" w:type="dxa"/>
                  <w:vMerge w:val="continue"/>
                  <w:vAlign w:val="center"/>
                </w:tcPr>
                <w:p>
                  <w:pPr>
                    <w:jc w:val="center"/>
                    <w:rPr>
                      <w:color w:val="000000" w:themeColor="text1"/>
                      <w:szCs w:val="21"/>
                      <w14:textFill>
                        <w14:solidFill>
                          <w14:schemeClr w14:val="tx1"/>
                        </w14:solidFill>
                      </w14:textFill>
                    </w:rPr>
                  </w:pPr>
                </w:p>
              </w:tc>
              <w:tc>
                <w:tcPr>
                  <w:tcW w:w="13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3F</w:t>
                  </w:r>
                </w:p>
              </w:tc>
              <w:tc>
                <w:tcPr>
                  <w:tcW w:w="424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妇产科、手术区、ICU病房等</w:t>
                  </w:r>
                </w:p>
              </w:tc>
              <w:tc>
                <w:tcPr>
                  <w:tcW w:w="146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1150"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行政办公楼（原环保局）</w:t>
                  </w:r>
                </w:p>
              </w:tc>
              <w:tc>
                <w:tcPr>
                  <w:tcW w:w="13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2F</w:t>
                  </w:r>
                </w:p>
              </w:tc>
              <w:tc>
                <w:tcPr>
                  <w:tcW w:w="424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行政办公区、档案室等</w:t>
                  </w:r>
                </w:p>
              </w:tc>
              <w:tc>
                <w:tcPr>
                  <w:tcW w:w="146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1150" w:type="dxa"/>
                  <w:vMerge w:val="continue"/>
                  <w:vAlign w:val="center"/>
                </w:tcPr>
                <w:p>
                  <w:pPr>
                    <w:jc w:val="center"/>
                    <w:rPr>
                      <w:color w:val="000000" w:themeColor="text1"/>
                      <w:szCs w:val="21"/>
                      <w14:textFill>
                        <w14:solidFill>
                          <w14:schemeClr w14:val="tx1"/>
                        </w14:solidFill>
                      </w14:textFill>
                    </w:rPr>
                  </w:pPr>
                </w:p>
              </w:tc>
              <w:tc>
                <w:tcPr>
                  <w:tcW w:w="13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5F</w:t>
                  </w:r>
                </w:p>
              </w:tc>
              <w:tc>
                <w:tcPr>
                  <w:tcW w:w="424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办公室、会议室、药剂科、信息科等</w:t>
                  </w:r>
                </w:p>
              </w:tc>
              <w:tc>
                <w:tcPr>
                  <w:tcW w:w="146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w:t>
                  </w:r>
                </w:p>
              </w:tc>
            </w:tr>
          </w:tbl>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原项目整体布局如下所示：</w:t>
            </w:r>
          </w:p>
          <w:p>
            <w:pPr>
              <w:pStyle w:val="9"/>
              <w:adjustRightInd w:val="0"/>
              <w:snapToGrid w:val="0"/>
              <w:spacing w:after="0" w:line="360" w:lineRule="auto"/>
              <w:ind w:left="0" w:leftChars="0"/>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363210" cy="3808730"/>
                  <wp:effectExtent l="0" t="0" r="8890" b="127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2"/>
                          <a:stretch>
                            <a:fillRect/>
                          </a:stretch>
                        </pic:blipFill>
                        <pic:spPr>
                          <a:xfrm>
                            <a:off x="0" y="0"/>
                            <a:ext cx="5363210" cy="3808730"/>
                          </a:xfrm>
                          <a:prstGeom prst="rect">
                            <a:avLst/>
                          </a:prstGeom>
                          <a:noFill/>
                          <a:ln>
                            <a:noFill/>
                          </a:ln>
                        </pic:spPr>
                      </pic:pic>
                    </a:graphicData>
                  </a:graphic>
                </wp:inline>
              </w:drawing>
            </w:r>
          </w:p>
          <w:p>
            <w:pPr>
              <w:numPr>
                <w:ilvl w:val="0"/>
                <w:numId w:val="8"/>
              </w:numPr>
              <w:spacing w:line="36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项目迁建前整体布局图</w:t>
            </w:r>
          </w:p>
          <w:p>
            <w:pPr>
              <w:pStyle w:val="9"/>
              <w:adjustRightInd w:val="0"/>
              <w:snapToGrid w:val="0"/>
              <w:spacing w:after="0" w:line="360" w:lineRule="auto"/>
              <w:ind w:left="0" w:left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2.2项目迁建前运营期经营流程</w:t>
            </w:r>
          </w:p>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项目运营期经营流程及产污位置见下图。</w:t>
            </w:r>
          </w:p>
          <w:p>
            <w:pPr>
              <w:pStyle w:val="9"/>
              <w:adjustRightInd w:val="0"/>
              <w:snapToGrid w:val="0"/>
              <w:spacing w:after="0" w:line="360" w:lineRule="auto"/>
              <w:ind w:left="0" w:leftChars="0"/>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305425" cy="3581400"/>
                  <wp:effectExtent l="0" t="0" r="9525"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3"/>
                          <a:stretch>
                            <a:fillRect/>
                          </a:stretch>
                        </pic:blipFill>
                        <pic:spPr>
                          <a:xfrm>
                            <a:off x="0" y="0"/>
                            <a:ext cx="5305425" cy="3581400"/>
                          </a:xfrm>
                          <a:prstGeom prst="rect">
                            <a:avLst/>
                          </a:prstGeom>
                          <a:noFill/>
                          <a:ln>
                            <a:noFill/>
                          </a:ln>
                        </pic:spPr>
                      </pic:pic>
                    </a:graphicData>
                  </a:graphic>
                </wp:inline>
              </w:drawing>
            </w:r>
          </w:p>
          <w:p>
            <w:pPr>
              <w:numPr>
                <w:ilvl w:val="0"/>
                <w:numId w:val="8"/>
              </w:numPr>
              <w:spacing w:line="36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项目迁建前运营期流程及产污位置示意图</w:t>
            </w:r>
          </w:p>
          <w:p>
            <w:pPr>
              <w:pStyle w:val="9"/>
              <w:adjustRightInd w:val="0"/>
              <w:snapToGrid w:val="0"/>
              <w:spacing w:after="0" w:line="360" w:lineRule="auto"/>
              <w:ind w:left="0" w:left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2.3原项目污染物产生及采取环保措施情况</w:t>
            </w:r>
          </w:p>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1、废水</w:t>
            </w:r>
          </w:p>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医院不设传染病区，营运期产生的废水主要包括：特殊性质废水、医疗废水和生活废水。</w:t>
            </w:r>
          </w:p>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已采取的治理措施：</w:t>
            </w:r>
          </w:p>
          <w:p>
            <w:pPr>
              <w:pStyle w:val="9"/>
              <w:numPr>
                <w:ilvl w:val="0"/>
                <w:numId w:val="9"/>
              </w:numPr>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项目产生的特殊医疗废水主要为检验废水，产生量约0.96m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/d。采用专用容器分类收集后，并在容器外粘贴标签，用中文全称标示内部危险废物种类和主要成分信息，定期清运至医院医疗废物暂存间，委托具有危险废物经营许可证的单位定期收运。</w:t>
            </w:r>
          </w:p>
          <w:p>
            <w:pPr>
              <w:pStyle w:val="9"/>
              <w:numPr>
                <w:ilvl w:val="0"/>
                <w:numId w:val="9"/>
              </w:numPr>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行政办公区生活废水产生量为2.4m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/d。利用所在商住楼排水系统排入商住区化粪池，进入宣汉县污水处理厂处理。综合楼医疗废水和其他废水产生量为19.76m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/d,采用化粪池+初沉池+一体化污水处理系统（处理能力30m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采用厌氧池+好氧池+沉淀池）+接触消毒池，医院废水经污水处理设备处理后达到《医疗机构污水排放标准》（GB18466-2005）表2预处理标准限值要求，然后排入市政管网。康复中心所在建筑（租用原环保局和监测站）已建有化粪池1口（15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），仅用于处理该楼所产生的生活污水，为单独的管道收集系统。康复中心产生的医疗废水经化粪池（1口，10m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）+初沉池+一体化污水处理系统（处理能力10m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采用厌氧池+好氧池+沉淀池+接触消毒池），所产生的医疗废水、生活废水及食堂餐饮废水均进入化粪池+一体化污水处理系统处理达到《医疗机构水污染物排放标准》（GB18466-2005）表2预处理标准要求后，经管道引至综合楼排放口排放。</w:t>
            </w:r>
          </w:p>
          <w:p>
            <w:pPr>
              <w:pStyle w:val="9"/>
              <w:adjustRightInd w:val="0"/>
              <w:snapToGrid w:val="0"/>
              <w:spacing w:after="0" w:line="360" w:lineRule="auto"/>
              <w:ind w:left="0" w:leftChars="0" w:firstLine="420" w:firstLineChars="200"/>
              <w:rPr>
                <w:color w:val="000000" w:themeColor="text1"/>
                <w:sz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3634740</wp:posOffset>
                      </wp:positionH>
                      <wp:positionV relativeFrom="paragraph">
                        <wp:posOffset>487045</wp:posOffset>
                      </wp:positionV>
                      <wp:extent cx="1069340" cy="454660"/>
                      <wp:effectExtent l="6350" t="6350" r="10160" b="320040"/>
                      <wp:wrapNone/>
                      <wp:docPr id="23" name="矩形标注 23"/>
                      <wp:cNvGraphicFramePr/>
                      <a:graphic xmlns:a="http://schemas.openxmlformats.org/drawingml/2006/main">
                        <a:graphicData uri="http://schemas.microsoft.com/office/word/2010/wordprocessingShape">
                          <wps:wsp>
                            <wps:cNvSpPr/>
                            <wps:spPr>
                              <a:xfrm>
                                <a:off x="0" y="0"/>
                                <a:ext cx="1069340" cy="454660"/>
                              </a:xfrm>
                              <a:prstGeom prst="wedgeRectCallout">
                                <a:avLst>
                                  <a:gd name="adj1" fmla="val 890"/>
                                  <a:gd name="adj2" fmla="val 116201"/>
                                </a:avLst>
                              </a:prstGeom>
                              <a:solidFill>
                                <a:schemeClr val="bg1">
                                  <a:alpha val="53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一体化污水处理设施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86.2pt;margin-top:38.35pt;height:35.8pt;width:84.2pt;z-index:251663360;v-text-anchor:middle;mso-width-relative:page;mso-height-relative:page;" fillcolor="#FFFFFF [3212]" filled="t" stroked="t" coordsize="21600,21600" o:gfxdata="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BbSEwfaAAAACgEAAA8AAAAAAAAA&#10;AQAgAAAAIgAAAGRycy9kb3ducmV2LnhtbFBLAQIUABQAAAAIAIdO4kDeZjLeugIAAIQFAAAOAAAA&#10;AAAAAAEAIAAAACkBAABkcnMvZTJvRG9jLnhtbFBLBQYAAAAABgAGAFkBAABVBgAAAAA=&#10;" adj="10992,35899">
                      <v:fill on="t" opacity="34734f" focussize="0,0"/>
                      <v:stroke weight="1pt" color="#000000 [3213]" miterlimit="8" joinstyle="miter"/>
                      <v:imagedata o:title=""/>
                      <o:lock v:ext="edit" aspectratio="f"/>
                      <v:textbo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一体化污水处理设施</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815340</wp:posOffset>
                      </wp:positionH>
                      <wp:positionV relativeFrom="paragraph">
                        <wp:posOffset>556895</wp:posOffset>
                      </wp:positionV>
                      <wp:extent cx="1069340" cy="454660"/>
                      <wp:effectExtent l="6350" t="6350" r="10160" b="320040"/>
                      <wp:wrapNone/>
                      <wp:docPr id="22" name="矩形标注 22"/>
                      <wp:cNvGraphicFramePr/>
                      <a:graphic xmlns:a="http://schemas.openxmlformats.org/drawingml/2006/main">
                        <a:graphicData uri="http://schemas.microsoft.com/office/word/2010/wordprocessingShape">
                          <wps:wsp>
                            <wps:cNvSpPr/>
                            <wps:spPr>
                              <a:xfrm>
                                <a:off x="2189480" y="1477645"/>
                                <a:ext cx="1069340" cy="454660"/>
                              </a:xfrm>
                              <a:prstGeom prst="wedgeRectCallout">
                                <a:avLst>
                                  <a:gd name="adj1" fmla="val 890"/>
                                  <a:gd name="adj2" fmla="val 116201"/>
                                </a:avLst>
                              </a:prstGeom>
                              <a:solidFill>
                                <a:schemeClr val="bg1">
                                  <a:alpha val="53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地埋式化粪池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4.2pt;margin-top:43.85pt;height:35.8pt;width:84.2pt;z-index:251662336;v-text-anchor:middle;mso-width-relative:page;mso-height-relative:page;" fillcolor="#FFFFFF [3212]" filled="t" stroked="t" coordsize="21600,21600" o:gfxdata="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GBqqVzbAAAA&#10;CgEAAA8AAAAAAAAAAQAgAAAAIgAAAGRycy9kb3ducmV2LnhtbFBLAQIUABQAAAAIAIdO4kCfStaa&#10;xQIAAJAFAAAOAAAAAAAAAAEAIAAAACoBAABkcnMvZTJvRG9jLnhtbFBLBQYAAAAABgAGAFkBAABh&#10;BgAAAAA=&#10;" adj="10992,35899">
                      <v:fill on="t" opacity="34734f" focussize="0,0"/>
                      <v:stroke weight="1pt" color="#000000 [3213]" miterlimit="8" joinstyle="miter"/>
                      <v:imagedata o:title=""/>
                      <o:lock v:ext="edit" aspectratio="f"/>
                      <v:textbo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地埋式化粪池</w:t>
                            </w:r>
                          </w:p>
                        </w:txbxContent>
                      </v:textbox>
                    </v:shape>
                  </w:pict>
                </mc:Fallback>
              </mc:AlternateContent>
            </w:r>
            <w:r>
              <w:rPr>
                <w:color w:val="000000" w:themeColor="text1"/>
                <w14:textFill>
                  <w14:solidFill>
                    <w14:schemeClr w14:val="tx1"/>
                  </w14:solidFill>
                </w14:textFill>
              </w:rPr>
              <w:drawing>
                <wp:inline distT="0" distB="0" distL="114300" distR="114300">
                  <wp:extent cx="2190750" cy="2028825"/>
                  <wp:effectExtent l="0" t="0" r="0" b="952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4"/>
                          <a:stretch>
                            <a:fillRect/>
                          </a:stretch>
                        </pic:blipFill>
                        <pic:spPr>
                          <a:xfrm>
                            <a:off x="0" y="0"/>
                            <a:ext cx="2190750" cy="2028825"/>
                          </a:xfrm>
                          <a:prstGeom prst="rect">
                            <a:avLst/>
                          </a:prstGeom>
                          <a:noFill/>
                          <a:ln>
                            <a:noFill/>
                          </a:ln>
                        </pic:spPr>
                      </pic:pic>
                    </a:graphicData>
                  </a:graphic>
                </wp:inline>
              </w:drawing>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2752725" cy="2066925"/>
                  <wp:effectExtent l="0" t="0" r="9525" b="952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5"/>
                          <a:stretch>
                            <a:fillRect/>
                          </a:stretch>
                        </pic:blipFill>
                        <pic:spPr>
                          <a:xfrm>
                            <a:off x="0" y="0"/>
                            <a:ext cx="2752725" cy="2066925"/>
                          </a:xfrm>
                          <a:prstGeom prst="rect">
                            <a:avLst/>
                          </a:prstGeom>
                          <a:noFill/>
                          <a:ln>
                            <a:noFill/>
                          </a:ln>
                        </pic:spPr>
                      </pic:pic>
                    </a:graphicData>
                  </a:graphic>
                </wp:inline>
              </w:drawing>
            </w:r>
          </w:p>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（2）废气</w:t>
            </w:r>
          </w:p>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项目产生的废气主要为检验科废气、病房废气（浑浊空气）、污水处理恶臭、医疗固废暂存间废气、柴油发电机燃烧尾气、食堂餐饮油烟。</w:t>
            </w:r>
          </w:p>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已采取的治理措施：污水处理站位于综合楼东侧，采用地埋式化粪池+初沉池+地上一体化污水处理系统（厌氧池+好氧池+沉淀池）+地埋式接触消毒池，产生的臭气经排气管排放；检验科产生的挥发性废气采取加强室内通风和消毒；医院病房定期采用消毒剂喷雾进行消毒处理，同时加强通风，使病房保持良好的通风性；医疗固废暂存间有一定量医疗废物，产生一定量恶臭，医疗废物通过专用容器及防漏胶袋密封，恶臭溢出极少，且医疗废物日产日清，对不能做到日产日清，且当地最高气温高于25℃时，医疗废物进行低温暂时贮存，暂时贮存温度低于20℃，时间最长不超过48小时，定期对暂时贮存地点、设施及时进行清洁和消毒处理。</w:t>
            </w:r>
          </w:p>
          <w:p>
            <w:pPr>
              <w:pStyle w:val="9"/>
              <w:numPr>
                <w:ilvl w:val="0"/>
                <w:numId w:val="10"/>
              </w:numPr>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浑浊空气：项目常规消毒措施采用醋酸、优氨净、复方来苏水等定期对院内各区域进行消毒，能大大降低空气中的含菌量，同时加强通风。</w:t>
            </w:r>
          </w:p>
          <w:p>
            <w:pPr>
              <w:pStyle w:val="9"/>
              <w:numPr>
                <w:ilvl w:val="0"/>
                <w:numId w:val="10"/>
              </w:numPr>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污水处理系统恶臭：项目污水处理系统产生的恶臭主要含H</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S、NH</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、病菌等，项目污水处理系统中化粪池、初沉池和接触消毒池采用地埋式，一体化污水处理系统采用地上式，产生的臭气经排气管排放，排放口应远离居民住宅一侧布置。</w:t>
            </w:r>
          </w:p>
          <w:p>
            <w:pPr>
              <w:pStyle w:val="9"/>
              <w:numPr>
                <w:ilvl w:val="0"/>
                <w:numId w:val="10"/>
              </w:numPr>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医疗废物暂存间恶臭：项目医废暂存间位于综合楼东北侧，医疗废物通过专用容器及防漏胶袋密封，恶臭溢出极少；通过加强管理，及时清运各类固废，可有效减低异味对周围大气环境的影响；医疗废物暂存间加强管理，医疗废物定期转运，并加强消毒。</w:t>
            </w:r>
          </w:p>
          <w:p>
            <w:pPr>
              <w:pStyle w:val="9"/>
              <w:numPr>
                <w:ilvl w:val="0"/>
                <w:numId w:val="10"/>
              </w:numPr>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检验室废气：本项目检验室废气主要是来自于试验过程中各种反应药品产生的无组织挥发的药物及试剂气味。各种药品及试剂气味散发量很小且较为分散，检验室保持良好的通风性，对室内空气进行消毒处理。</w:t>
            </w:r>
          </w:p>
          <w:p>
            <w:pPr>
              <w:pStyle w:val="9"/>
              <w:numPr>
                <w:ilvl w:val="0"/>
                <w:numId w:val="10"/>
              </w:numPr>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柴油发电机燃烧尾气：本项目在现有综合楼配备有备用发电机一台，能源采用0#柴油，备用发电机仅在断电时临时使用。项目发电设备运行时，燃烧废气中主要含有CO、NOx、TSP和未完全燃烧的碳氢化合物THC。治理措施为发电设备极少使用，定期检修发电机，燃料使用轻质柴油，经自带净化器处理后烟道引至绿化带排放，加强通风，且轻质柴油为清洁能源，通过所在房间换气可实现达标外排。</w:t>
            </w:r>
          </w:p>
          <w:p>
            <w:pPr>
              <w:pStyle w:val="9"/>
              <w:numPr>
                <w:ilvl w:val="0"/>
                <w:numId w:val="10"/>
              </w:numPr>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食堂餐饮油烟：在康复中心（原环保局监测站）楼顶设置1处食堂。食堂采用天然气，天然气属清洁燃料，提供住院病人、陪护、医护人员的三餐，食堂油烟产生量约约37.5kg/a。在厨房烹饪工位上方安装吸气罩引至油烟净化器处理后，通过管道引至所在建筑屋顶排放。食堂油烟经油烟净化器处理后能够满足《饮食业油烟排放标准》（GB18483-2001）中最高允许排放浓度要求。</w:t>
            </w:r>
          </w:p>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（3）噪声</w:t>
            </w:r>
          </w:p>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现场调查，医院内现有产噪设备主要为污水处理设备及分体式空调机组等设备噪声。由于各类产噪声设备均位于室内，并采取了相应隔声、减振措施：1）分体式空调选用低噪声空调；2）发电机设置了独立的发电机房（现有综合楼-1F），发电机下方设置了基础减震；3）污水处理系统水泵为潜水式，安装在池内，通过建筑物隔声、水体隔声，距离衰减后，噪声得到了有效治理；4）医疗设备基本上均为低噪声设备，噪声源强值比较低，加之置于室内，噪声可实现达标排放。</w:t>
            </w:r>
          </w:p>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（4）固体废物</w:t>
            </w:r>
          </w:p>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医院产生的固废主要包括危险废物和一般固废。</w:t>
            </w:r>
          </w:p>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已采取治理措施：在综合楼东北侧设置有专门的医疗废物暂存间（20m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做了防雨、防晒、防风、防渗漏措施，并配套安装空调、摄像头等设施，内设置有专用收集桶，对医疗废物进行分类收集，其中感染性和损伤性废物定期交由达州佳境医疗废物处理有限公司转运车辆定期（2天）清运处置，化学性和药物性经专用容器分类收集后，交由资质单位处理。</w:t>
            </w:r>
          </w:p>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1）危险废物</w:t>
            </w:r>
          </w:p>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医院危险废物主要包括医疗废物和污水处理设施产生的污泥。</w:t>
            </w:r>
          </w:p>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医疗垃圾主要为门诊室、治疗室、住院病区等产生的医疗垃圾，主要为棉签、棉球敷料、空针、输液器、针头、废弃药品等，根据业主提供的资料可知，医疗垃圾产生量约为45.26t/a，由各科室内单独收集后在医院现有医疗废物暂存间分类暂存，其中感染性和损伤性废物定期交由达州佳境医疗废物处理有限公司外运处理，化学性和药物性经专用容器分类收集后，交由资质单位处理。污水处理站污泥：根据业主提供的资料，污泥产生量约0.2t/a，经消毒灭菌干化后妥善处理。</w:t>
            </w:r>
          </w:p>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2）一般固废</w:t>
            </w:r>
          </w:p>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生活垃圾主要来自于陪同人员、住院病人、门诊病人和医护人员，产生量约50.37t/a，产生的生活垃圾通过设置垃圾桶进行收集，对生活垃圾做到日产日清，保证医院内无腐烂垃圾堆放，生活垃圾集中收集后由环卫部门每天统一清运。纳入一般固废管理的未感染的输液瓶（袋）产生量约12t/a，这部分固体废物经统一容器收集后，定期交由有资质的回收单位。</w:t>
            </w:r>
          </w:p>
          <w:p>
            <w:pPr>
              <w:pStyle w:val="9"/>
              <w:adjustRightInd w:val="0"/>
              <w:snapToGrid w:val="0"/>
              <w:spacing w:after="0" w:line="360" w:lineRule="auto"/>
              <w:ind w:left="0" w:left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2.4目前存在的环境问题及整改措施</w:t>
            </w:r>
          </w:p>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项目各项污染物均采取了相应的治理措施，不存在环境问题，无需整改。且项目营运至今，未收到任何相关环保投诉。</w:t>
            </w:r>
          </w:p>
          <w:p>
            <w:pPr>
              <w:pStyle w:val="9"/>
              <w:adjustRightInd w:val="0"/>
              <w:snapToGrid w:val="0"/>
              <w:spacing w:after="0" w:line="360" w:lineRule="auto"/>
              <w:ind w:left="0" w:leftChars="0" w:firstLine="480" w:firstLineChars="200"/>
              <w:rPr>
                <w:color w:val="000000" w:themeColor="text1"/>
                <w:sz w:val="24"/>
                <w14:textFill>
                  <w14:solidFill>
                    <w14:schemeClr w14:val="tx1"/>
                  </w14:solidFill>
                </w14:textFill>
              </w:rPr>
            </w:pPr>
          </w:p>
        </w:tc>
      </w:tr>
    </w:tbl>
    <w:p>
      <w:pPr>
        <w:pStyle w:val="19"/>
        <w:jc w:val="center"/>
        <w:rPr>
          <w:rFonts w:ascii="Times New Roman" w:hAnsi="Times New Roman" w:eastAsia="黑体"/>
          <w:snapToGrid w:val="0"/>
          <w:color w:val="000000" w:themeColor="text1"/>
          <w:sz w:val="36"/>
          <w:szCs w:val="36"/>
          <w14:textFill>
            <w14:solidFill>
              <w14:schemeClr w14:val="tx1"/>
            </w14:solidFill>
          </w14:textFill>
        </w:rPr>
        <w:sectPr>
          <w:footerReference r:id="rId7" w:type="default"/>
          <w:pgSz w:w="11906" w:h="16838"/>
          <w:pgMar w:top="1440" w:right="1800" w:bottom="1440" w:left="1800" w:header="851" w:footer="1134" w:gutter="0"/>
          <w:cols w:space="720" w:num="1"/>
          <w:docGrid w:linePitch="312" w:charSpace="0"/>
        </w:sectPr>
      </w:pPr>
    </w:p>
    <w:p>
      <w:pPr>
        <w:pStyle w:val="2"/>
        <w:rPr>
          <w:color w:val="000000" w:themeColor="text1"/>
          <w14:textFill>
            <w14:solidFill>
              <w14:schemeClr w14:val="tx1"/>
            </w14:solidFill>
          </w14:textFill>
        </w:rPr>
      </w:pPr>
      <w:bookmarkStart w:id="7" w:name="_Toc30153"/>
      <w:bookmarkStart w:id="8" w:name="_Toc8415"/>
      <w:r>
        <w:rPr>
          <w:color w:val="000000" w:themeColor="text1"/>
          <w14:textFill>
            <w14:solidFill>
              <w14:schemeClr w14:val="tx1"/>
            </w14:solidFill>
          </w14:textFill>
        </w:rPr>
        <w:t>三、区域环境质量现状、环境保护目标及评价标准</w:t>
      </w:r>
      <w:bookmarkEnd w:id="7"/>
      <w:bookmarkEnd w:id="8"/>
    </w:p>
    <w:tbl>
      <w:tblPr>
        <w:tblStyle w:val="23"/>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00" w:type="dxa"/>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区域环境质量现状</w:t>
            </w:r>
          </w:p>
        </w:tc>
        <w:tc>
          <w:tcPr>
            <w:tcW w:w="8190" w:type="dxa"/>
            <w:vAlign w:val="center"/>
          </w:tcPr>
          <w:p>
            <w:pPr>
              <w:pStyle w:val="7"/>
              <w:spacing w:after="0" w:line="360" w:lineRule="auto"/>
              <w:rPr>
                <w:b/>
                <w:color w:val="000000" w:themeColor="text1"/>
                <w:szCs w:val="24"/>
                <w14:textFill>
                  <w14:solidFill>
                    <w14:schemeClr w14:val="tx1"/>
                  </w14:solidFill>
                </w14:textFill>
              </w:rPr>
            </w:pPr>
            <w:r>
              <w:rPr>
                <w:b/>
                <w:color w:val="000000" w:themeColor="text1"/>
                <w:szCs w:val="24"/>
                <w14:textFill>
                  <w14:solidFill>
                    <w14:schemeClr w14:val="tx1"/>
                  </w14:solidFill>
                </w14:textFill>
              </w:rPr>
              <w:t>1、环境空气质量现状</w:t>
            </w:r>
          </w:p>
          <w:p>
            <w:pPr>
              <w:widowControl/>
              <w:adjustRightInd w:val="0"/>
              <w:snapToGrid w:val="0"/>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根据达州市生态环境局于2021年6月5日公开发布的《2020年达州市生态环境状况公报》：2020年全市空气质量日均值达标率为93.3%，较上年提高2.0个百分点。市城区及各县（市）空气质量达标率为89.3%-97.5%，其中，</w:t>
            </w:r>
            <w:r>
              <w:rPr>
                <w:rFonts w:hint="eastAsia"/>
                <w:b/>
                <w:bCs/>
                <w:color w:val="000000" w:themeColor="text1"/>
                <w:kern w:val="0"/>
                <w:sz w:val="24"/>
                <w:lang w:bidi="ar"/>
                <w14:textFill>
                  <w14:solidFill>
                    <w14:schemeClr w14:val="tx1"/>
                  </w14:solidFill>
                </w14:textFill>
              </w:rPr>
              <w:t>宣汉县94.3%</w:t>
            </w:r>
            <w:r>
              <w:rPr>
                <w:rFonts w:hint="eastAsia"/>
                <w:color w:val="000000" w:themeColor="text1"/>
                <w:kern w:val="0"/>
                <w:sz w:val="24"/>
                <w:lang w:bidi="ar"/>
                <w14:textFill>
                  <w14:solidFill>
                    <w14:schemeClr w14:val="tx1"/>
                  </w14:solidFill>
                </w14:textFill>
              </w:rPr>
              <w:t>，万源市97.5%，开江县95.1%，渠县93.4%，大竹县90.2%，市城区89.3%。全市环境空气中主要污染物PM</w:t>
            </w:r>
            <w:r>
              <w:rPr>
                <w:rFonts w:hint="eastAsia"/>
                <w:color w:val="000000" w:themeColor="text1"/>
                <w:kern w:val="0"/>
                <w:sz w:val="24"/>
                <w:vertAlign w:val="subscript"/>
                <w:lang w:bidi="ar"/>
                <w14:textFill>
                  <w14:solidFill>
                    <w14:schemeClr w14:val="tx1"/>
                  </w14:solidFill>
                </w14:textFill>
              </w:rPr>
              <w:t>10</w:t>
            </w:r>
            <w:r>
              <w:rPr>
                <w:rFonts w:hint="eastAsia"/>
                <w:color w:val="000000" w:themeColor="text1"/>
                <w:kern w:val="0"/>
                <w:sz w:val="24"/>
                <w:lang w:bidi="ar"/>
                <w14:textFill>
                  <w14:solidFill>
                    <w14:schemeClr w14:val="tx1"/>
                  </w14:solidFill>
                </w14:textFill>
              </w:rPr>
              <w:t>、PM</w:t>
            </w:r>
            <w:r>
              <w:rPr>
                <w:rFonts w:hint="eastAsia"/>
                <w:color w:val="000000" w:themeColor="text1"/>
                <w:kern w:val="0"/>
                <w:sz w:val="24"/>
                <w:vertAlign w:val="subscript"/>
                <w:lang w:bidi="ar"/>
                <w14:textFill>
                  <w14:solidFill>
                    <w14:schemeClr w14:val="tx1"/>
                  </w14:solidFill>
                </w14:textFill>
              </w:rPr>
              <w:t>2.5</w:t>
            </w:r>
            <w:r>
              <w:rPr>
                <w:rFonts w:hint="eastAsia"/>
                <w:color w:val="000000" w:themeColor="text1"/>
                <w:kern w:val="0"/>
                <w:sz w:val="24"/>
                <w:lang w:bidi="ar"/>
                <w14:textFill>
                  <w14:solidFill>
                    <w14:schemeClr w14:val="tx1"/>
                  </w14:solidFill>
                </w14:textFill>
              </w:rPr>
              <w:t>和O</w:t>
            </w:r>
            <w:r>
              <w:rPr>
                <w:rFonts w:hint="eastAsia"/>
                <w:color w:val="000000" w:themeColor="text1"/>
                <w:kern w:val="0"/>
                <w:sz w:val="24"/>
                <w:vertAlign w:val="subscript"/>
                <w:lang w:bidi="ar"/>
                <w14:textFill>
                  <w14:solidFill>
                    <w14:schemeClr w14:val="tx1"/>
                  </w14:solidFill>
                </w14:textFill>
              </w:rPr>
              <w:t>3</w:t>
            </w:r>
            <w:r>
              <w:rPr>
                <w:rFonts w:hint="eastAsia"/>
                <w:color w:val="000000" w:themeColor="text1"/>
                <w:kern w:val="0"/>
                <w:sz w:val="24"/>
                <w:lang w:bidi="ar"/>
                <w14:textFill>
                  <w14:solidFill>
                    <w14:schemeClr w14:val="tx1"/>
                  </w14:solidFill>
                </w14:textFill>
              </w:rPr>
              <w:t>。市城区SO</w:t>
            </w:r>
            <w:r>
              <w:rPr>
                <w:rFonts w:hint="eastAsia"/>
                <w:color w:val="000000" w:themeColor="text1"/>
                <w:kern w:val="0"/>
                <w:sz w:val="24"/>
                <w:vertAlign w:val="subscript"/>
                <w:lang w:bidi="ar"/>
                <w14:textFill>
                  <w14:solidFill>
                    <w14:schemeClr w14:val="tx1"/>
                  </w14:solidFill>
                </w14:textFill>
              </w:rPr>
              <w:t>2</w:t>
            </w:r>
            <w:r>
              <w:rPr>
                <w:rFonts w:hint="eastAsia"/>
                <w:color w:val="000000" w:themeColor="text1"/>
                <w:kern w:val="0"/>
                <w:sz w:val="24"/>
                <w:lang w:bidi="ar"/>
                <w14:textFill>
                  <w14:solidFill>
                    <w14:schemeClr w14:val="tx1"/>
                  </w14:solidFill>
                </w14:textFill>
              </w:rPr>
              <w:t>、NO</w:t>
            </w:r>
            <w:r>
              <w:rPr>
                <w:rFonts w:hint="eastAsia"/>
                <w:color w:val="000000" w:themeColor="text1"/>
                <w:kern w:val="0"/>
                <w:sz w:val="24"/>
                <w:vertAlign w:val="subscript"/>
                <w:lang w:bidi="ar"/>
                <w14:textFill>
                  <w14:solidFill>
                    <w14:schemeClr w14:val="tx1"/>
                  </w14:solidFill>
                </w14:textFill>
              </w:rPr>
              <w:t>2</w:t>
            </w:r>
            <w:r>
              <w:rPr>
                <w:rFonts w:hint="eastAsia"/>
                <w:color w:val="000000" w:themeColor="text1"/>
                <w:kern w:val="0"/>
                <w:sz w:val="24"/>
                <w:lang w:bidi="ar"/>
                <w14:textFill>
                  <w14:solidFill>
                    <w14:schemeClr w14:val="tx1"/>
                  </w14:solidFill>
                </w14:textFill>
              </w:rPr>
              <w:t>、PM</w:t>
            </w:r>
            <w:r>
              <w:rPr>
                <w:rFonts w:hint="eastAsia"/>
                <w:color w:val="000000" w:themeColor="text1"/>
                <w:kern w:val="0"/>
                <w:sz w:val="24"/>
                <w:vertAlign w:val="subscript"/>
                <w:lang w:bidi="ar"/>
                <w14:textFill>
                  <w14:solidFill>
                    <w14:schemeClr w14:val="tx1"/>
                  </w14:solidFill>
                </w14:textFill>
              </w:rPr>
              <w:t>10</w:t>
            </w:r>
            <w:r>
              <w:rPr>
                <w:rFonts w:hint="eastAsia"/>
                <w:color w:val="000000" w:themeColor="text1"/>
                <w:kern w:val="0"/>
                <w:sz w:val="24"/>
                <w:lang w:bidi="ar"/>
                <w14:textFill>
                  <w14:solidFill>
                    <w14:schemeClr w14:val="tx1"/>
                  </w14:solidFill>
                </w14:textFill>
              </w:rPr>
              <w:t>、CO和O</w:t>
            </w:r>
            <w:r>
              <w:rPr>
                <w:rFonts w:hint="eastAsia"/>
                <w:color w:val="000000" w:themeColor="text1"/>
                <w:kern w:val="0"/>
                <w:sz w:val="24"/>
                <w:vertAlign w:val="subscript"/>
                <w:lang w:bidi="ar"/>
                <w14:textFill>
                  <w14:solidFill>
                    <w14:schemeClr w14:val="tx1"/>
                  </w14:solidFill>
                </w14:textFill>
              </w:rPr>
              <w:t>3</w:t>
            </w:r>
            <w:r>
              <w:rPr>
                <w:rFonts w:hint="eastAsia"/>
                <w:color w:val="000000" w:themeColor="text1"/>
                <w:kern w:val="0"/>
                <w:sz w:val="24"/>
                <w:lang w:bidi="ar"/>
                <w14:textFill>
                  <w14:solidFill>
                    <w14:schemeClr w14:val="tx1"/>
                  </w14:solidFill>
                </w14:textFill>
              </w:rPr>
              <w:t>年评价结果达标，PM</w:t>
            </w:r>
            <w:r>
              <w:rPr>
                <w:rFonts w:hint="eastAsia"/>
                <w:color w:val="000000" w:themeColor="text1"/>
                <w:kern w:val="0"/>
                <w:sz w:val="24"/>
                <w:vertAlign w:val="subscript"/>
                <w:lang w:bidi="ar"/>
                <w14:textFill>
                  <w14:solidFill>
                    <w14:schemeClr w14:val="tx1"/>
                  </w14:solidFill>
                </w14:textFill>
              </w:rPr>
              <w:t>2.5</w:t>
            </w:r>
            <w:r>
              <w:rPr>
                <w:rFonts w:hint="eastAsia"/>
                <w:color w:val="000000" w:themeColor="text1"/>
                <w:kern w:val="0"/>
                <w:sz w:val="24"/>
                <w:lang w:bidi="ar"/>
                <w14:textFill>
                  <w14:solidFill>
                    <w14:schemeClr w14:val="tx1"/>
                  </w14:solidFill>
                </w14:textFill>
              </w:rPr>
              <w:t>年评价结果超标，超标倍数为0.11倍；各县（市）SO</w:t>
            </w:r>
            <w:r>
              <w:rPr>
                <w:rFonts w:hint="eastAsia"/>
                <w:color w:val="000000" w:themeColor="text1"/>
                <w:kern w:val="0"/>
                <w:sz w:val="24"/>
                <w:vertAlign w:val="subscript"/>
                <w:lang w:bidi="ar"/>
                <w14:textFill>
                  <w14:solidFill>
                    <w14:schemeClr w14:val="tx1"/>
                  </w14:solidFill>
                </w14:textFill>
              </w:rPr>
              <w:t>2</w:t>
            </w:r>
            <w:r>
              <w:rPr>
                <w:rFonts w:hint="eastAsia"/>
                <w:color w:val="000000" w:themeColor="text1"/>
                <w:kern w:val="0"/>
                <w:sz w:val="24"/>
                <w:lang w:bidi="ar"/>
                <w14:textFill>
                  <w14:solidFill>
                    <w14:schemeClr w14:val="tx1"/>
                  </w14:solidFill>
                </w14:textFill>
              </w:rPr>
              <w:t>、NO</w:t>
            </w:r>
            <w:r>
              <w:rPr>
                <w:rFonts w:hint="eastAsia"/>
                <w:color w:val="000000" w:themeColor="text1"/>
                <w:kern w:val="0"/>
                <w:sz w:val="24"/>
                <w:vertAlign w:val="subscript"/>
                <w:lang w:bidi="ar"/>
                <w14:textFill>
                  <w14:solidFill>
                    <w14:schemeClr w14:val="tx1"/>
                  </w14:solidFill>
                </w14:textFill>
              </w:rPr>
              <w:t>2</w:t>
            </w:r>
            <w:r>
              <w:rPr>
                <w:rFonts w:hint="eastAsia"/>
                <w:color w:val="000000" w:themeColor="text1"/>
                <w:kern w:val="0"/>
                <w:sz w:val="24"/>
                <w:lang w:bidi="ar"/>
                <w14:textFill>
                  <w14:solidFill>
                    <w14:schemeClr w14:val="tx1"/>
                  </w14:solidFill>
                </w14:textFill>
              </w:rPr>
              <w:t>、PM</w:t>
            </w:r>
            <w:r>
              <w:rPr>
                <w:rFonts w:hint="eastAsia"/>
                <w:color w:val="000000" w:themeColor="text1"/>
                <w:kern w:val="0"/>
                <w:sz w:val="24"/>
                <w:vertAlign w:val="subscript"/>
                <w:lang w:bidi="ar"/>
                <w14:textFill>
                  <w14:solidFill>
                    <w14:schemeClr w14:val="tx1"/>
                  </w14:solidFill>
                </w14:textFill>
              </w:rPr>
              <w:t>10</w:t>
            </w:r>
            <w:r>
              <w:rPr>
                <w:rFonts w:hint="eastAsia"/>
                <w:color w:val="000000" w:themeColor="text1"/>
                <w:kern w:val="0"/>
                <w:sz w:val="24"/>
                <w:lang w:bidi="ar"/>
                <w14:textFill>
                  <w14:solidFill>
                    <w14:schemeClr w14:val="tx1"/>
                  </w14:solidFill>
                </w14:textFill>
              </w:rPr>
              <w:t>、CO、O</w:t>
            </w:r>
            <w:r>
              <w:rPr>
                <w:rFonts w:hint="eastAsia"/>
                <w:color w:val="000000" w:themeColor="text1"/>
                <w:kern w:val="0"/>
                <w:sz w:val="24"/>
                <w:vertAlign w:val="subscript"/>
                <w:lang w:bidi="ar"/>
                <w14:textFill>
                  <w14:solidFill>
                    <w14:schemeClr w14:val="tx1"/>
                  </w14:solidFill>
                </w14:textFill>
              </w:rPr>
              <w:t>3</w:t>
            </w:r>
            <w:r>
              <w:rPr>
                <w:rFonts w:hint="eastAsia"/>
                <w:color w:val="000000" w:themeColor="text1"/>
                <w:kern w:val="0"/>
                <w:sz w:val="24"/>
                <w:lang w:bidi="ar"/>
                <w14:textFill>
                  <w14:solidFill>
                    <w14:schemeClr w14:val="tx1"/>
                  </w14:solidFill>
                </w14:textFill>
              </w:rPr>
              <w:t>和PM</w:t>
            </w:r>
            <w:r>
              <w:rPr>
                <w:rFonts w:hint="eastAsia"/>
                <w:color w:val="000000" w:themeColor="text1"/>
                <w:kern w:val="0"/>
                <w:sz w:val="24"/>
                <w:vertAlign w:val="subscript"/>
                <w:lang w:bidi="ar"/>
                <w14:textFill>
                  <w14:solidFill>
                    <w14:schemeClr w14:val="tx1"/>
                  </w14:solidFill>
                </w14:textFill>
              </w:rPr>
              <w:t>2.5</w:t>
            </w:r>
            <w:r>
              <w:rPr>
                <w:rFonts w:hint="eastAsia"/>
                <w:color w:val="000000" w:themeColor="text1"/>
                <w:kern w:val="0"/>
                <w:sz w:val="24"/>
                <w:lang w:bidi="ar"/>
                <w14:textFill>
                  <w14:solidFill>
                    <w14:schemeClr w14:val="tx1"/>
                  </w14:solidFill>
                </w14:textFill>
              </w:rPr>
              <w:t>年评价结果均达标。</w:t>
            </w:r>
          </w:p>
          <w:p>
            <w:pPr>
              <w:widowControl/>
              <w:adjustRightInd w:val="0"/>
              <w:snapToGrid w:val="0"/>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本项目位于宣汉县</w:t>
            </w:r>
            <w:r>
              <w:rPr>
                <w:rFonts w:hint="eastAsia"/>
                <w:color w:val="000000" w:themeColor="text1"/>
                <w:kern w:val="0"/>
                <w:sz w:val="24"/>
                <w:lang w:eastAsia="zh-CN" w:bidi="ar"/>
                <w14:textFill>
                  <w14:solidFill>
                    <w14:schemeClr w14:val="tx1"/>
                  </w14:solidFill>
                </w14:textFill>
              </w:rPr>
              <w:t>蒲江</w:t>
            </w:r>
            <w:r>
              <w:rPr>
                <w:rFonts w:hint="eastAsia"/>
                <w:color w:val="000000" w:themeColor="text1"/>
                <w:kern w:val="0"/>
                <w:sz w:val="24"/>
                <w:lang w:bidi="ar"/>
                <w14:textFill>
                  <w14:solidFill>
                    <w14:schemeClr w14:val="tx1"/>
                  </w14:solidFill>
                </w14:textFill>
              </w:rPr>
              <w:t>街道（巴人大道与长兴北路交汇处东北侧），宣汉县2020年环境空气质量满足《环境空气质量标准》（GB3095-2012）二级标准要求，属于达标区域，可以认为区域环境空气质量良好。</w:t>
            </w:r>
          </w:p>
          <w:p>
            <w:pPr>
              <w:pStyle w:val="7"/>
              <w:spacing w:after="0" w:line="360" w:lineRule="auto"/>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2、地表水环境质量</w:t>
            </w:r>
          </w:p>
          <w:p>
            <w:pPr>
              <w:pStyle w:val="7"/>
              <w:spacing w:after="0" w:line="360" w:lineRule="auto"/>
              <w:ind w:firstLine="480" w:firstLineChars="20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根据达州市生态环境局于2021年6月5日公开发布的《2020年达州市生态环境状况公报》：2020年全市区域水质状况评价为优（以年均值进行评价，粪大肠菌群不参与水质总体评价），23条河流37个地表水断面中优良水质（I~III类）断面34个，占91.9%；IV类水质断面2个，占5.4%；V类水质断面1个，占2.7%；无劣V类水质断面。河流水质超标污染物有总磷、氨氮、化学需氧量。年均值超标的断面为东柳河墩子河、平滩河牛角滩、铜钵河山溪口码头。</w:t>
            </w:r>
          </w:p>
          <w:p>
            <w:pPr>
              <w:pStyle w:val="7"/>
              <w:spacing w:after="0" w:line="360" w:lineRule="auto"/>
              <w:ind w:firstLine="480" w:firstLineChars="200"/>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本项目所在区域河流为州河，不属于上述超标断面河流，可以认为项目所在区域地表水环境质量良好。</w:t>
            </w:r>
          </w:p>
          <w:p>
            <w:pPr>
              <w:pStyle w:val="7"/>
              <w:spacing w:after="0" w:line="360" w:lineRule="auto"/>
              <w:rPr>
                <w:b/>
                <w:color w:val="000000" w:themeColor="text1"/>
                <w14:textFill>
                  <w14:solidFill>
                    <w14:schemeClr w14:val="tx1"/>
                  </w14:solidFill>
                </w14:textFill>
              </w:rPr>
            </w:pPr>
            <w:r>
              <w:rPr>
                <w:rFonts w:hint="eastAsia"/>
                <w:b/>
                <w:color w:val="000000" w:themeColor="text1"/>
                <w14:textFill>
                  <w14:solidFill>
                    <w14:schemeClr w14:val="tx1"/>
                  </w14:solidFill>
                </w14:textFill>
              </w:rPr>
              <w:t>3、声环境质量</w:t>
            </w:r>
          </w:p>
          <w:p>
            <w:pPr>
              <w:pStyle w:val="7"/>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区域声环境质量现状监测委托</w:t>
            </w:r>
            <w:r>
              <w:rPr>
                <w:rFonts w:hint="eastAsia"/>
                <w:color w:val="000000" w:themeColor="text1"/>
                <w14:textFill>
                  <w14:solidFill>
                    <w14:schemeClr w14:val="tx1"/>
                  </w14:solidFill>
                </w14:textFill>
              </w:rPr>
              <w:t>四川中蓉达环境保护技术有限公司于2022年3月21日至2022年3月22日</w:t>
            </w:r>
            <w:r>
              <w:rPr>
                <w:color w:val="000000" w:themeColor="text1"/>
                <w14:textFill>
                  <w14:solidFill>
                    <w14:schemeClr w14:val="tx1"/>
                  </w14:solidFill>
                </w14:textFill>
              </w:rPr>
              <w:t>对该项目所在地的环境质量现状进行了监测。</w:t>
            </w:r>
          </w:p>
          <w:p>
            <w:pPr>
              <w:pStyle w:val="7"/>
              <w:spacing w:after="0"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（1）监测点位布置</w:t>
            </w:r>
          </w:p>
          <w:p>
            <w:pPr>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本次声环境质量现状评价布置</w:t>
            </w:r>
            <w:r>
              <w:rPr>
                <w:rFonts w:hint="eastAsia"/>
                <w:color w:val="000000" w:themeColor="text1"/>
                <w:sz w:val="24"/>
                <w:szCs w:val="32"/>
                <w14:textFill>
                  <w14:solidFill>
                    <w14:schemeClr w14:val="tx1"/>
                  </w14:solidFill>
                </w14:textFill>
              </w:rPr>
              <w:t>6</w:t>
            </w:r>
            <w:r>
              <w:rPr>
                <w:color w:val="000000" w:themeColor="text1"/>
                <w:sz w:val="24"/>
                <w:szCs w:val="32"/>
                <w14:textFill>
                  <w14:solidFill>
                    <w14:schemeClr w14:val="tx1"/>
                  </w14:solidFill>
                </w14:textFill>
              </w:rPr>
              <w:t>个监测点位，布点情况见下表。</w:t>
            </w:r>
          </w:p>
          <w:p>
            <w:pPr>
              <w:numPr>
                <w:ilvl w:val="0"/>
                <w:numId w:val="11"/>
              </w:numPr>
              <w:jc w:val="center"/>
              <w:rPr>
                <w:b/>
                <w:bCs/>
                <w:color w:val="000000" w:themeColor="text1"/>
                <w:sz w:val="24"/>
                <w:szCs w:val="32"/>
                <w:lang w:val="zh-CN"/>
                <w14:textFill>
                  <w14:solidFill>
                    <w14:schemeClr w14:val="tx1"/>
                  </w14:solidFill>
                </w14:textFill>
              </w:rPr>
            </w:pPr>
            <w:r>
              <w:rPr>
                <w:b/>
                <w:bCs/>
                <w:color w:val="000000" w:themeColor="text1"/>
                <w:sz w:val="24"/>
                <w:szCs w:val="32"/>
                <w:lang w:val="zh-CN"/>
                <w14:textFill>
                  <w14:solidFill>
                    <w14:schemeClr w14:val="tx1"/>
                  </w14:solidFill>
                </w14:textFill>
              </w:rPr>
              <w:t>声环境质量现状监测点位布设</w:t>
            </w:r>
          </w:p>
          <w:tbl>
            <w:tblPr>
              <w:tblStyle w:val="23"/>
              <w:tblW w:w="74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3104"/>
              <w:gridCol w:w="31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blHeader/>
                <w:jc w:val="center"/>
              </w:trPr>
              <w:tc>
                <w:tcPr>
                  <w:tcW w:w="1181" w:type="dxa"/>
                  <w:tcBorders>
                    <w:tl2br w:val="nil"/>
                    <w:tr2bl w:val="nil"/>
                  </w:tcBorders>
                  <w:vAlign w:val="center"/>
                </w:tcPr>
                <w:p>
                  <w:pPr>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编号</w:t>
                  </w:r>
                </w:p>
              </w:tc>
              <w:tc>
                <w:tcPr>
                  <w:tcW w:w="3104" w:type="dxa"/>
                  <w:tcBorders>
                    <w:tl2br w:val="nil"/>
                    <w:tr2bl w:val="nil"/>
                  </w:tcBorders>
                  <w:vAlign w:val="center"/>
                </w:tcPr>
                <w:p>
                  <w:pPr>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监测点位</w:t>
                  </w:r>
                </w:p>
              </w:tc>
              <w:tc>
                <w:tcPr>
                  <w:tcW w:w="3154" w:type="dxa"/>
                  <w:tcBorders>
                    <w:tl2br w:val="nil"/>
                    <w:tr2bl w:val="nil"/>
                  </w:tcBorders>
                  <w:vAlign w:val="center"/>
                </w:tcPr>
                <w:p>
                  <w:pPr>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81" w:type="dxa"/>
                  <w:tcBorders>
                    <w:tl2br w:val="nil"/>
                    <w:tr2bl w:val="nil"/>
                  </w:tcBorders>
                  <w:vAlign w:val="center"/>
                </w:tcPr>
                <w:p>
                  <w:pPr>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1#</w:t>
                  </w:r>
                </w:p>
              </w:tc>
              <w:tc>
                <w:tcPr>
                  <w:tcW w:w="3104" w:type="dxa"/>
                  <w:tcBorders>
                    <w:tl2br w:val="nil"/>
                    <w:tr2bl w:val="nil"/>
                  </w:tcBorders>
                  <w:vAlign w:val="center"/>
                </w:tcPr>
                <w:p>
                  <w:pPr>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项目</w:t>
                  </w:r>
                  <w:r>
                    <w:rPr>
                      <w:rFonts w:hint="eastAsia"/>
                      <w:snapToGrid w:val="0"/>
                      <w:color w:val="000000" w:themeColor="text1"/>
                      <w:szCs w:val="21"/>
                      <w14:textFill>
                        <w14:solidFill>
                          <w14:schemeClr w14:val="tx1"/>
                        </w14:solidFill>
                      </w14:textFill>
                    </w:rPr>
                    <w:t>东</w:t>
                  </w:r>
                  <w:r>
                    <w:rPr>
                      <w:snapToGrid w:val="0"/>
                      <w:color w:val="000000" w:themeColor="text1"/>
                      <w:szCs w:val="21"/>
                      <w14:textFill>
                        <w14:solidFill>
                          <w14:schemeClr w14:val="tx1"/>
                        </w14:solidFill>
                      </w14:textFill>
                    </w:rPr>
                    <w:t>厂界外</w:t>
                  </w:r>
                  <w:r>
                    <w:rPr>
                      <w:rFonts w:hint="eastAsia"/>
                      <w:snapToGrid w:val="0"/>
                      <w:color w:val="000000" w:themeColor="text1"/>
                      <w:szCs w:val="21"/>
                      <w14:textFill>
                        <w14:solidFill>
                          <w14:schemeClr w14:val="tx1"/>
                        </w14:solidFill>
                      </w14:textFill>
                    </w:rPr>
                    <w:t>1m</w:t>
                  </w:r>
                </w:p>
              </w:tc>
              <w:tc>
                <w:tcPr>
                  <w:tcW w:w="3154" w:type="dxa"/>
                  <w:tcBorders>
                    <w:tl2br w:val="nil"/>
                    <w:tr2bl w:val="nil"/>
                  </w:tcBorders>
                  <w:vAlign w:val="center"/>
                </w:tcPr>
                <w:p>
                  <w:pPr>
                    <w:snapToGrid w:val="0"/>
                    <w:jc w:val="center"/>
                    <w:rPr>
                      <w:snapToGrid w:val="0"/>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81" w:type="dxa"/>
                  <w:tcBorders>
                    <w:tl2br w:val="nil"/>
                    <w:tr2bl w:val="nil"/>
                  </w:tcBorders>
                  <w:vAlign w:val="center"/>
                </w:tcPr>
                <w:p>
                  <w:pPr>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2#</w:t>
                  </w:r>
                </w:p>
              </w:tc>
              <w:tc>
                <w:tcPr>
                  <w:tcW w:w="3104" w:type="dxa"/>
                  <w:tcBorders>
                    <w:tl2br w:val="nil"/>
                    <w:tr2bl w:val="nil"/>
                  </w:tcBorders>
                  <w:vAlign w:val="center"/>
                </w:tcPr>
                <w:p>
                  <w:pPr>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项目</w:t>
                  </w:r>
                  <w:r>
                    <w:rPr>
                      <w:rFonts w:hint="eastAsia"/>
                      <w:snapToGrid w:val="0"/>
                      <w:color w:val="000000" w:themeColor="text1"/>
                      <w:szCs w:val="21"/>
                      <w14:textFill>
                        <w14:solidFill>
                          <w14:schemeClr w14:val="tx1"/>
                        </w14:solidFill>
                      </w14:textFill>
                    </w:rPr>
                    <w:t>南</w:t>
                  </w:r>
                  <w:r>
                    <w:rPr>
                      <w:snapToGrid w:val="0"/>
                      <w:color w:val="000000" w:themeColor="text1"/>
                      <w:szCs w:val="21"/>
                      <w14:textFill>
                        <w14:solidFill>
                          <w14:schemeClr w14:val="tx1"/>
                        </w14:solidFill>
                      </w14:textFill>
                    </w:rPr>
                    <w:t>厂界外</w:t>
                  </w:r>
                  <w:r>
                    <w:rPr>
                      <w:rFonts w:hint="eastAsia"/>
                      <w:snapToGrid w:val="0"/>
                      <w:color w:val="000000" w:themeColor="text1"/>
                      <w:szCs w:val="21"/>
                      <w14:textFill>
                        <w14:solidFill>
                          <w14:schemeClr w14:val="tx1"/>
                        </w14:solidFill>
                      </w14:textFill>
                    </w:rPr>
                    <w:t>1m</w:t>
                  </w:r>
                </w:p>
              </w:tc>
              <w:tc>
                <w:tcPr>
                  <w:tcW w:w="3154" w:type="dxa"/>
                  <w:tcBorders>
                    <w:tl2br w:val="nil"/>
                    <w:tr2bl w:val="nil"/>
                  </w:tcBorders>
                  <w:vAlign w:val="center"/>
                </w:tcPr>
                <w:p>
                  <w:pPr>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紧邻城市次干路长兴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81" w:type="dxa"/>
                  <w:tcBorders>
                    <w:tl2br w:val="nil"/>
                    <w:tr2bl w:val="nil"/>
                  </w:tcBorders>
                  <w:vAlign w:val="center"/>
                </w:tcPr>
                <w:p>
                  <w:pPr>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3#</w:t>
                  </w:r>
                </w:p>
              </w:tc>
              <w:tc>
                <w:tcPr>
                  <w:tcW w:w="3104" w:type="dxa"/>
                  <w:tcBorders>
                    <w:tl2br w:val="nil"/>
                    <w:tr2bl w:val="nil"/>
                  </w:tcBorders>
                  <w:vAlign w:val="center"/>
                </w:tcPr>
                <w:p>
                  <w:pPr>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项目</w:t>
                  </w:r>
                  <w:r>
                    <w:rPr>
                      <w:rFonts w:hint="eastAsia"/>
                      <w:snapToGrid w:val="0"/>
                      <w:color w:val="000000" w:themeColor="text1"/>
                      <w:szCs w:val="21"/>
                      <w14:textFill>
                        <w14:solidFill>
                          <w14:schemeClr w14:val="tx1"/>
                        </w14:solidFill>
                      </w14:textFill>
                    </w:rPr>
                    <w:t>西</w:t>
                  </w:r>
                  <w:r>
                    <w:rPr>
                      <w:snapToGrid w:val="0"/>
                      <w:color w:val="000000" w:themeColor="text1"/>
                      <w:szCs w:val="21"/>
                      <w14:textFill>
                        <w14:solidFill>
                          <w14:schemeClr w14:val="tx1"/>
                        </w14:solidFill>
                      </w14:textFill>
                    </w:rPr>
                    <w:t>厂界外</w:t>
                  </w:r>
                  <w:r>
                    <w:rPr>
                      <w:rFonts w:hint="eastAsia"/>
                      <w:snapToGrid w:val="0"/>
                      <w:color w:val="000000" w:themeColor="text1"/>
                      <w:szCs w:val="21"/>
                      <w14:textFill>
                        <w14:solidFill>
                          <w14:schemeClr w14:val="tx1"/>
                        </w14:solidFill>
                      </w14:textFill>
                    </w:rPr>
                    <w:t>1m</w:t>
                  </w:r>
                </w:p>
              </w:tc>
              <w:tc>
                <w:tcPr>
                  <w:tcW w:w="3154" w:type="dxa"/>
                  <w:tcBorders>
                    <w:tl2br w:val="nil"/>
                    <w:tr2bl w:val="nil"/>
                  </w:tcBorders>
                  <w:vAlign w:val="center"/>
                </w:tcPr>
                <w:p>
                  <w:pPr>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紧邻城市主干路巴山大道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81" w:type="dxa"/>
                  <w:tcBorders>
                    <w:tl2br w:val="nil"/>
                    <w:tr2bl w:val="nil"/>
                  </w:tcBorders>
                  <w:vAlign w:val="center"/>
                </w:tcPr>
                <w:p>
                  <w:pPr>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4#</w:t>
                  </w:r>
                </w:p>
              </w:tc>
              <w:tc>
                <w:tcPr>
                  <w:tcW w:w="3104" w:type="dxa"/>
                  <w:tcBorders>
                    <w:tl2br w:val="nil"/>
                    <w:tr2bl w:val="nil"/>
                  </w:tcBorders>
                  <w:vAlign w:val="center"/>
                </w:tcPr>
                <w:p>
                  <w:pPr>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项目</w:t>
                  </w:r>
                  <w:r>
                    <w:rPr>
                      <w:rFonts w:hint="eastAsia"/>
                      <w:snapToGrid w:val="0"/>
                      <w:color w:val="000000" w:themeColor="text1"/>
                      <w:szCs w:val="21"/>
                      <w14:textFill>
                        <w14:solidFill>
                          <w14:schemeClr w14:val="tx1"/>
                        </w14:solidFill>
                      </w14:textFill>
                    </w:rPr>
                    <w:t>北</w:t>
                  </w:r>
                  <w:r>
                    <w:rPr>
                      <w:snapToGrid w:val="0"/>
                      <w:color w:val="000000" w:themeColor="text1"/>
                      <w:szCs w:val="21"/>
                      <w14:textFill>
                        <w14:solidFill>
                          <w14:schemeClr w14:val="tx1"/>
                        </w14:solidFill>
                      </w14:textFill>
                    </w:rPr>
                    <w:t>厂界外</w:t>
                  </w:r>
                  <w:r>
                    <w:rPr>
                      <w:rFonts w:hint="eastAsia"/>
                      <w:snapToGrid w:val="0"/>
                      <w:color w:val="000000" w:themeColor="text1"/>
                      <w:szCs w:val="21"/>
                      <w14:textFill>
                        <w14:solidFill>
                          <w14:schemeClr w14:val="tx1"/>
                        </w14:solidFill>
                      </w14:textFill>
                    </w:rPr>
                    <w:t>1m</w:t>
                  </w:r>
                </w:p>
              </w:tc>
              <w:tc>
                <w:tcPr>
                  <w:tcW w:w="3154" w:type="dxa"/>
                  <w:tcBorders>
                    <w:tl2br w:val="nil"/>
                    <w:tr2bl w:val="nil"/>
                  </w:tcBorders>
                  <w:vAlign w:val="center"/>
                </w:tcPr>
                <w:p>
                  <w:pPr>
                    <w:snapToGrid w:val="0"/>
                    <w:jc w:val="center"/>
                    <w:rPr>
                      <w:snapToGrid w:val="0"/>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81" w:type="dxa"/>
                  <w:tcBorders>
                    <w:tl2br w:val="nil"/>
                    <w:tr2bl w:val="nil"/>
                  </w:tcBorders>
                  <w:vAlign w:val="center"/>
                </w:tcPr>
                <w:p>
                  <w:pPr>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5#</w:t>
                  </w:r>
                </w:p>
              </w:tc>
              <w:tc>
                <w:tcPr>
                  <w:tcW w:w="3104" w:type="dxa"/>
                  <w:tcBorders>
                    <w:tl2br w:val="nil"/>
                    <w:tr2bl w:val="nil"/>
                  </w:tcBorders>
                  <w:vAlign w:val="center"/>
                </w:tcPr>
                <w:p>
                  <w:pPr>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南厂界外敏感点</w:t>
                  </w:r>
                </w:p>
              </w:tc>
              <w:tc>
                <w:tcPr>
                  <w:tcW w:w="3154" w:type="dxa"/>
                  <w:tcBorders>
                    <w:tl2br w:val="nil"/>
                    <w:tr2bl w:val="nil"/>
                  </w:tcBorders>
                  <w:vAlign w:val="center"/>
                </w:tcPr>
                <w:p>
                  <w:pPr>
                    <w:snapToGrid w:val="0"/>
                    <w:jc w:val="center"/>
                    <w:rPr>
                      <w:snapToGrid w:val="0"/>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181" w:type="dxa"/>
                  <w:tcBorders>
                    <w:tl2br w:val="nil"/>
                    <w:tr2bl w:val="nil"/>
                  </w:tcBorders>
                  <w:vAlign w:val="center"/>
                </w:tcPr>
                <w:p>
                  <w:pPr>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6#</w:t>
                  </w:r>
                </w:p>
              </w:tc>
              <w:tc>
                <w:tcPr>
                  <w:tcW w:w="3104" w:type="dxa"/>
                  <w:tcBorders>
                    <w:tl2br w:val="nil"/>
                    <w:tr2bl w:val="nil"/>
                  </w:tcBorders>
                  <w:vAlign w:val="center"/>
                </w:tcPr>
                <w:p>
                  <w:pPr>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西北厂界外敏感点</w:t>
                  </w:r>
                </w:p>
              </w:tc>
              <w:tc>
                <w:tcPr>
                  <w:tcW w:w="3154" w:type="dxa"/>
                  <w:tcBorders>
                    <w:tl2br w:val="nil"/>
                    <w:tr2bl w:val="nil"/>
                  </w:tcBorders>
                  <w:vAlign w:val="center"/>
                </w:tcPr>
                <w:p>
                  <w:pPr>
                    <w:snapToGrid w:val="0"/>
                    <w:jc w:val="center"/>
                    <w:rPr>
                      <w:snapToGrid w:val="0"/>
                      <w:color w:val="000000" w:themeColor="text1"/>
                      <w:szCs w:val="21"/>
                      <w14:textFill>
                        <w14:solidFill>
                          <w14:schemeClr w14:val="tx1"/>
                        </w14:solidFill>
                      </w14:textFill>
                    </w:rPr>
                  </w:pPr>
                </w:p>
              </w:tc>
            </w:tr>
          </w:tbl>
          <w:p>
            <w:pPr>
              <w:pStyle w:val="7"/>
              <w:spacing w:after="0"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（2）监测项目</w:t>
            </w:r>
          </w:p>
          <w:p>
            <w:pPr>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各监测点昼间及夜间环境等效连续A声级。</w:t>
            </w:r>
          </w:p>
          <w:p>
            <w:pPr>
              <w:pStyle w:val="7"/>
              <w:spacing w:after="0"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（3）监测时间和频率</w:t>
            </w:r>
          </w:p>
          <w:p>
            <w:pPr>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20</w:t>
            </w:r>
            <w:r>
              <w:rPr>
                <w:rFonts w:hint="eastAsia"/>
                <w:color w:val="000000" w:themeColor="text1"/>
                <w:sz w:val="24"/>
                <w:szCs w:val="32"/>
                <w14:textFill>
                  <w14:solidFill>
                    <w14:schemeClr w14:val="tx1"/>
                  </w14:solidFill>
                </w14:textFill>
              </w:rPr>
              <w:t>22</w:t>
            </w:r>
            <w:r>
              <w:rPr>
                <w:color w:val="000000" w:themeColor="text1"/>
                <w:sz w:val="24"/>
                <w:szCs w:val="32"/>
                <w14:textFill>
                  <w14:solidFill>
                    <w14:schemeClr w14:val="tx1"/>
                  </w14:solidFill>
                </w14:textFill>
              </w:rPr>
              <w:t>年</w:t>
            </w:r>
            <w:r>
              <w:rPr>
                <w:rFonts w:hint="eastAsia"/>
                <w:color w:val="000000" w:themeColor="text1"/>
                <w:sz w:val="24"/>
                <w:szCs w:val="32"/>
                <w14:textFill>
                  <w14:solidFill>
                    <w14:schemeClr w14:val="tx1"/>
                  </w14:solidFill>
                </w14:textFill>
              </w:rPr>
              <w:t>3</w:t>
            </w:r>
            <w:r>
              <w:rPr>
                <w:color w:val="000000" w:themeColor="text1"/>
                <w:sz w:val="24"/>
                <w:szCs w:val="32"/>
                <w14:textFill>
                  <w14:solidFill>
                    <w14:schemeClr w14:val="tx1"/>
                  </w14:solidFill>
                </w14:textFill>
              </w:rPr>
              <w:t>月</w:t>
            </w:r>
            <w:r>
              <w:rPr>
                <w:rFonts w:hint="eastAsia"/>
                <w:color w:val="000000" w:themeColor="text1"/>
                <w:sz w:val="24"/>
                <w:szCs w:val="32"/>
                <w14:textFill>
                  <w14:solidFill>
                    <w14:schemeClr w14:val="tx1"/>
                  </w14:solidFill>
                </w14:textFill>
              </w:rPr>
              <w:t>21</w:t>
            </w:r>
            <w:r>
              <w:rPr>
                <w:color w:val="000000" w:themeColor="text1"/>
                <w:sz w:val="24"/>
                <w:szCs w:val="32"/>
                <w14:textFill>
                  <w14:solidFill>
                    <w14:schemeClr w14:val="tx1"/>
                  </w14:solidFill>
                </w14:textFill>
              </w:rPr>
              <w:t>日~</w:t>
            </w:r>
            <w:r>
              <w:rPr>
                <w:rFonts w:hint="eastAsia"/>
                <w:color w:val="000000" w:themeColor="text1"/>
                <w:sz w:val="24"/>
                <w:szCs w:val="32"/>
                <w14:textFill>
                  <w14:solidFill>
                    <w14:schemeClr w14:val="tx1"/>
                  </w14:solidFill>
                </w14:textFill>
              </w:rPr>
              <w:t>3</w:t>
            </w:r>
            <w:r>
              <w:rPr>
                <w:color w:val="000000" w:themeColor="text1"/>
                <w:sz w:val="24"/>
                <w:szCs w:val="32"/>
                <w14:textFill>
                  <w14:solidFill>
                    <w14:schemeClr w14:val="tx1"/>
                  </w14:solidFill>
                </w14:textFill>
              </w:rPr>
              <w:t>月</w:t>
            </w:r>
            <w:r>
              <w:rPr>
                <w:rFonts w:hint="eastAsia"/>
                <w:color w:val="000000" w:themeColor="text1"/>
                <w:sz w:val="24"/>
                <w:szCs w:val="32"/>
                <w14:textFill>
                  <w14:solidFill>
                    <w14:schemeClr w14:val="tx1"/>
                  </w14:solidFill>
                </w14:textFill>
              </w:rPr>
              <w:t>22</w:t>
            </w:r>
            <w:r>
              <w:rPr>
                <w:color w:val="000000" w:themeColor="text1"/>
                <w:sz w:val="24"/>
                <w:szCs w:val="32"/>
                <w14:textFill>
                  <w14:solidFill>
                    <w14:schemeClr w14:val="tx1"/>
                  </w14:solidFill>
                </w14:textFill>
              </w:rPr>
              <w:t>日，昼间夜间各1次，连续监测2天。</w:t>
            </w:r>
          </w:p>
          <w:p>
            <w:pPr>
              <w:pStyle w:val="7"/>
              <w:spacing w:after="0"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（4）监测结果分析与评价</w:t>
            </w:r>
          </w:p>
          <w:p>
            <w:pPr>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本项目声环境质量现状监测结果及分析见下表。</w:t>
            </w:r>
          </w:p>
          <w:p>
            <w:pPr>
              <w:numPr>
                <w:ilvl w:val="0"/>
                <w:numId w:val="11"/>
              </w:numPr>
              <w:jc w:val="center"/>
              <w:rPr>
                <w:color w:val="000000" w:themeColor="text1"/>
                <w:lang w:val="zh-CN"/>
                <w14:textFill>
                  <w14:solidFill>
                    <w14:schemeClr w14:val="tx1"/>
                  </w14:solidFill>
                </w14:textFill>
              </w:rPr>
            </w:pPr>
            <w:r>
              <w:rPr>
                <w:b/>
                <w:bCs/>
                <w:color w:val="000000" w:themeColor="text1"/>
                <w:sz w:val="24"/>
                <w:szCs w:val="32"/>
                <w:lang w:val="zh-CN"/>
                <w14:textFill>
                  <w14:solidFill>
                    <w14:schemeClr w14:val="tx1"/>
                  </w14:solidFill>
                </w14:textFill>
              </w:rPr>
              <w:t xml:space="preserve">声环境质量现状监测结果统计与评价  </w:t>
            </w:r>
            <w:r>
              <w:rPr>
                <w:color w:val="000000" w:themeColor="text1"/>
                <w:lang w:val="zh-CN"/>
                <w14:textFill>
                  <w14:solidFill>
                    <w14:schemeClr w14:val="tx1"/>
                  </w14:solidFill>
                </w14:textFill>
              </w:rPr>
              <w:t xml:space="preserve">    单位：dB（A）</w:t>
            </w:r>
          </w:p>
          <w:tbl>
            <w:tblPr>
              <w:tblStyle w:val="24"/>
              <w:tblW w:w="78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707"/>
              <w:gridCol w:w="712"/>
              <w:gridCol w:w="707"/>
              <w:gridCol w:w="721"/>
              <w:gridCol w:w="1079"/>
              <w:gridCol w:w="1127"/>
              <w:gridCol w:w="838"/>
              <w:gridCol w:w="8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1106" w:type="dxa"/>
                  <w:vMerge w:val="restart"/>
                  <w:tcBorders>
                    <w:tl2br w:val="single" w:color="auto" w:sz="4" w:space="0"/>
                  </w:tcBorders>
                  <w:vAlign w:val="center"/>
                </w:tcPr>
                <w:p>
                  <w:pPr>
                    <w:snapToGrid w:val="0"/>
                    <w:jc w:val="right"/>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日期</w:t>
                  </w:r>
                </w:p>
                <w:p>
                  <w:pPr>
                    <w:snapToGrid w:val="0"/>
                    <w:jc w:val="left"/>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点位</w:t>
                  </w:r>
                </w:p>
              </w:tc>
              <w:tc>
                <w:tcPr>
                  <w:tcW w:w="2847" w:type="dxa"/>
                  <w:gridSpan w:val="4"/>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检测</w:t>
                  </w:r>
                  <w:r>
                    <w:rPr>
                      <w:bCs/>
                      <w:snapToGrid w:val="0"/>
                      <w:color w:val="000000" w:themeColor="text1"/>
                      <w:szCs w:val="21"/>
                      <w14:textFill>
                        <w14:solidFill>
                          <w14:schemeClr w14:val="tx1"/>
                        </w14:solidFill>
                      </w14:textFill>
                    </w:rPr>
                    <w:t>结果</w:t>
                  </w:r>
                </w:p>
              </w:tc>
              <w:tc>
                <w:tcPr>
                  <w:tcW w:w="2206" w:type="dxa"/>
                  <w:gridSpan w:val="2"/>
                  <w:vMerge w:val="restart"/>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评价标准</w:t>
                  </w:r>
                </w:p>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《声环境质量标准》（GB3096--2008）中2类标准</w:t>
                  </w:r>
                </w:p>
              </w:tc>
              <w:tc>
                <w:tcPr>
                  <w:tcW w:w="1679" w:type="dxa"/>
                  <w:gridSpan w:val="2"/>
                  <w:vMerge w:val="restart"/>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噪声是否达标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1" w:hRule="atLeast"/>
                <w:jc w:val="center"/>
              </w:trPr>
              <w:tc>
                <w:tcPr>
                  <w:tcW w:w="1106" w:type="dxa"/>
                  <w:vMerge w:val="continue"/>
                  <w:tcBorders>
                    <w:tl2br w:val="nil"/>
                    <w:tr2bl w:val="nil"/>
                  </w:tcBorders>
                  <w:vAlign w:val="center"/>
                </w:tcPr>
                <w:p>
                  <w:pPr>
                    <w:snapToGrid w:val="0"/>
                    <w:jc w:val="center"/>
                    <w:rPr>
                      <w:bCs/>
                      <w:snapToGrid w:val="0"/>
                      <w:color w:val="000000" w:themeColor="text1"/>
                      <w:szCs w:val="21"/>
                      <w14:textFill>
                        <w14:solidFill>
                          <w14:schemeClr w14:val="tx1"/>
                        </w14:solidFill>
                      </w14:textFill>
                    </w:rPr>
                  </w:pPr>
                </w:p>
              </w:tc>
              <w:tc>
                <w:tcPr>
                  <w:tcW w:w="1419" w:type="dxa"/>
                  <w:gridSpan w:val="2"/>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2022.3.21</w:t>
                  </w:r>
                </w:p>
              </w:tc>
              <w:tc>
                <w:tcPr>
                  <w:tcW w:w="1428" w:type="dxa"/>
                  <w:gridSpan w:val="2"/>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2022.3.22</w:t>
                  </w:r>
                </w:p>
              </w:tc>
              <w:tc>
                <w:tcPr>
                  <w:tcW w:w="2206" w:type="dxa"/>
                  <w:gridSpan w:val="2"/>
                  <w:vMerge w:val="continue"/>
                  <w:tcBorders>
                    <w:tl2br w:val="nil"/>
                    <w:tr2bl w:val="nil"/>
                  </w:tcBorders>
                  <w:vAlign w:val="center"/>
                </w:tcPr>
                <w:p>
                  <w:pPr>
                    <w:snapToGrid w:val="0"/>
                    <w:jc w:val="center"/>
                    <w:rPr>
                      <w:bCs/>
                      <w:snapToGrid w:val="0"/>
                      <w:color w:val="000000" w:themeColor="text1"/>
                      <w:szCs w:val="21"/>
                      <w14:textFill>
                        <w14:solidFill>
                          <w14:schemeClr w14:val="tx1"/>
                        </w14:solidFill>
                      </w14:textFill>
                    </w:rPr>
                  </w:pPr>
                </w:p>
              </w:tc>
              <w:tc>
                <w:tcPr>
                  <w:tcW w:w="1679" w:type="dxa"/>
                  <w:gridSpan w:val="2"/>
                  <w:vMerge w:val="continue"/>
                  <w:tcBorders>
                    <w:tl2br w:val="nil"/>
                    <w:tr2bl w:val="nil"/>
                  </w:tcBorders>
                  <w:vAlign w:val="center"/>
                </w:tcPr>
                <w:p>
                  <w:pPr>
                    <w:snapToGrid w:val="0"/>
                    <w:jc w:val="center"/>
                    <w:rPr>
                      <w:bCs/>
                      <w:snapToGrid w:val="0"/>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1" w:hRule="atLeast"/>
                <w:jc w:val="center"/>
              </w:trPr>
              <w:tc>
                <w:tcPr>
                  <w:tcW w:w="1106" w:type="dxa"/>
                  <w:vMerge w:val="continue"/>
                  <w:tcBorders>
                    <w:tl2br w:val="nil"/>
                    <w:tr2bl w:val="nil"/>
                  </w:tcBorders>
                  <w:vAlign w:val="center"/>
                </w:tcPr>
                <w:p>
                  <w:pPr>
                    <w:snapToGrid w:val="0"/>
                    <w:jc w:val="center"/>
                    <w:rPr>
                      <w:bCs/>
                      <w:snapToGrid w:val="0"/>
                      <w:color w:val="000000" w:themeColor="text1"/>
                      <w:szCs w:val="21"/>
                      <w14:textFill>
                        <w14:solidFill>
                          <w14:schemeClr w14:val="tx1"/>
                        </w14:solidFill>
                      </w14:textFill>
                    </w:rPr>
                  </w:pPr>
                </w:p>
              </w:tc>
              <w:tc>
                <w:tcPr>
                  <w:tcW w:w="707"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昼间</w:t>
                  </w:r>
                </w:p>
              </w:tc>
              <w:tc>
                <w:tcPr>
                  <w:tcW w:w="712"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夜间</w:t>
                  </w:r>
                </w:p>
              </w:tc>
              <w:tc>
                <w:tcPr>
                  <w:tcW w:w="707"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昼间</w:t>
                  </w:r>
                </w:p>
              </w:tc>
              <w:tc>
                <w:tcPr>
                  <w:tcW w:w="721"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夜间</w:t>
                  </w:r>
                </w:p>
              </w:tc>
              <w:tc>
                <w:tcPr>
                  <w:tcW w:w="1079"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昼间</w:t>
                  </w:r>
                </w:p>
              </w:tc>
              <w:tc>
                <w:tcPr>
                  <w:tcW w:w="1127"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夜间</w:t>
                  </w:r>
                </w:p>
              </w:tc>
              <w:tc>
                <w:tcPr>
                  <w:tcW w:w="838"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昼间</w:t>
                  </w:r>
                </w:p>
              </w:tc>
              <w:tc>
                <w:tcPr>
                  <w:tcW w:w="841"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106"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1#</w:t>
                  </w:r>
                </w:p>
              </w:tc>
              <w:tc>
                <w:tcPr>
                  <w:tcW w:w="707"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52</w:t>
                  </w:r>
                </w:p>
              </w:tc>
              <w:tc>
                <w:tcPr>
                  <w:tcW w:w="712"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41</w:t>
                  </w:r>
                </w:p>
              </w:tc>
              <w:tc>
                <w:tcPr>
                  <w:tcW w:w="707"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52</w:t>
                  </w:r>
                </w:p>
              </w:tc>
              <w:tc>
                <w:tcPr>
                  <w:tcW w:w="721"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43</w:t>
                  </w:r>
                </w:p>
              </w:tc>
              <w:tc>
                <w:tcPr>
                  <w:tcW w:w="1079"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60</w:t>
                  </w:r>
                </w:p>
              </w:tc>
              <w:tc>
                <w:tcPr>
                  <w:tcW w:w="1127"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50</w:t>
                  </w:r>
                </w:p>
              </w:tc>
              <w:tc>
                <w:tcPr>
                  <w:tcW w:w="838"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达标</w:t>
                  </w:r>
                </w:p>
              </w:tc>
              <w:tc>
                <w:tcPr>
                  <w:tcW w:w="841"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106"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2#</w:t>
                  </w:r>
                </w:p>
              </w:tc>
              <w:tc>
                <w:tcPr>
                  <w:tcW w:w="707"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54</w:t>
                  </w:r>
                </w:p>
              </w:tc>
              <w:tc>
                <w:tcPr>
                  <w:tcW w:w="712"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42</w:t>
                  </w:r>
                </w:p>
              </w:tc>
              <w:tc>
                <w:tcPr>
                  <w:tcW w:w="707"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56</w:t>
                  </w:r>
                </w:p>
              </w:tc>
              <w:tc>
                <w:tcPr>
                  <w:tcW w:w="721"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42</w:t>
                  </w:r>
                </w:p>
              </w:tc>
              <w:tc>
                <w:tcPr>
                  <w:tcW w:w="1079"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60</w:t>
                  </w:r>
                </w:p>
              </w:tc>
              <w:tc>
                <w:tcPr>
                  <w:tcW w:w="1127"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50</w:t>
                  </w:r>
                </w:p>
              </w:tc>
              <w:tc>
                <w:tcPr>
                  <w:tcW w:w="838"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达标</w:t>
                  </w:r>
                </w:p>
              </w:tc>
              <w:tc>
                <w:tcPr>
                  <w:tcW w:w="841"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106"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3#</w:t>
                  </w:r>
                </w:p>
              </w:tc>
              <w:tc>
                <w:tcPr>
                  <w:tcW w:w="707"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52</w:t>
                  </w:r>
                </w:p>
              </w:tc>
              <w:tc>
                <w:tcPr>
                  <w:tcW w:w="712"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40</w:t>
                  </w:r>
                </w:p>
              </w:tc>
              <w:tc>
                <w:tcPr>
                  <w:tcW w:w="707"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56</w:t>
                  </w:r>
                </w:p>
              </w:tc>
              <w:tc>
                <w:tcPr>
                  <w:tcW w:w="721"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43</w:t>
                  </w:r>
                </w:p>
              </w:tc>
              <w:tc>
                <w:tcPr>
                  <w:tcW w:w="1079"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60</w:t>
                  </w:r>
                </w:p>
              </w:tc>
              <w:tc>
                <w:tcPr>
                  <w:tcW w:w="1127"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50</w:t>
                  </w:r>
                </w:p>
              </w:tc>
              <w:tc>
                <w:tcPr>
                  <w:tcW w:w="838"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达标</w:t>
                  </w:r>
                </w:p>
              </w:tc>
              <w:tc>
                <w:tcPr>
                  <w:tcW w:w="841"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106"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4#</w:t>
                  </w:r>
                </w:p>
              </w:tc>
              <w:tc>
                <w:tcPr>
                  <w:tcW w:w="707"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51</w:t>
                  </w:r>
                </w:p>
              </w:tc>
              <w:tc>
                <w:tcPr>
                  <w:tcW w:w="712"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43</w:t>
                  </w:r>
                </w:p>
              </w:tc>
              <w:tc>
                <w:tcPr>
                  <w:tcW w:w="707"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53</w:t>
                  </w:r>
                </w:p>
              </w:tc>
              <w:tc>
                <w:tcPr>
                  <w:tcW w:w="721"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46</w:t>
                  </w:r>
                </w:p>
              </w:tc>
              <w:tc>
                <w:tcPr>
                  <w:tcW w:w="1079"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60</w:t>
                  </w:r>
                </w:p>
              </w:tc>
              <w:tc>
                <w:tcPr>
                  <w:tcW w:w="1127"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50</w:t>
                  </w:r>
                </w:p>
              </w:tc>
              <w:tc>
                <w:tcPr>
                  <w:tcW w:w="838"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达标</w:t>
                  </w:r>
                </w:p>
              </w:tc>
              <w:tc>
                <w:tcPr>
                  <w:tcW w:w="841"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106"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5#</w:t>
                  </w:r>
                </w:p>
              </w:tc>
              <w:tc>
                <w:tcPr>
                  <w:tcW w:w="707"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53</w:t>
                  </w:r>
                </w:p>
              </w:tc>
              <w:tc>
                <w:tcPr>
                  <w:tcW w:w="712"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41</w:t>
                  </w:r>
                </w:p>
              </w:tc>
              <w:tc>
                <w:tcPr>
                  <w:tcW w:w="707"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54</w:t>
                  </w:r>
                </w:p>
              </w:tc>
              <w:tc>
                <w:tcPr>
                  <w:tcW w:w="721"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41</w:t>
                  </w:r>
                </w:p>
              </w:tc>
              <w:tc>
                <w:tcPr>
                  <w:tcW w:w="1079"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60</w:t>
                  </w:r>
                </w:p>
              </w:tc>
              <w:tc>
                <w:tcPr>
                  <w:tcW w:w="1127"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50</w:t>
                  </w:r>
                </w:p>
              </w:tc>
              <w:tc>
                <w:tcPr>
                  <w:tcW w:w="838"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达标</w:t>
                  </w:r>
                </w:p>
              </w:tc>
              <w:tc>
                <w:tcPr>
                  <w:tcW w:w="841"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106"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6#</w:t>
                  </w:r>
                </w:p>
              </w:tc>
              <w:tc>
                <w:tcPr>
                  <w:tcW w:w="707"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53</w:t>
                  </w:r>
                </w:p>
              </w:tc>
              <w:tc>
                <w:tcPr>
                  <w:tcW w:w="712"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45</w:t>
                  </w:r>
                </w:p>
              </w:tc>
              <w:tc>
                <w:tcPr>
                  <w:tcW w:w="707"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54</w:t>
                  </w:r>
                </w:p>
              </w:tc>
              <w:tc>
                <w:tcPr>
                  <w:tcW w:w="721"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42</w:t>
                  </w:r>
                </w:p>
              </w:tc>
              <w:tc>
                <w:tcPr>
                  <w:tcW w:w="1079"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60</w:t>
                  </w:r>
                </w:p>
              </w:tc>
              <w:tc>
                <w:tcPr>
                  <w:tcW w:w="1127"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rFonts w:hint="eastAsia"/>
                      <w:bCs/>
                      <w:snapToGrid w:val="0"/>
                      <w:color w:val="000000" w:themeColor="text1"/>
                      <w:szCs w:val="21"/>
                      <w14:textFill>
                        <w14:solidFill>
                          <w14:schemeClr w14:val="tx1"/>
                        </w14:solidFill>
                      </w14:textFill>
                    </w:rPr>
                    <w:t>50</w:t>
                  </w:r>
                </w:p>
              </w:tc>
              <w:tc>
                <w:tcPr>
                  <w:tcW w:w="838"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达标</w:t>
                  </w:r>
                </w:p>
              </w:tc>
              <w:tc>
                <w:tcPr>
                  <w:tcW w:w="841" w:type="dxa"/>
                  <w:tcBorders>
                    <w:tl2br w:val="nil"/>
                    <w:tr2bl w:val="nil"/>
                  </w:tcBorders>
                  <w:vAlign w:val="center"/>
                </w:tcPr>
                <w:p>
                  <w:pPr>
                    <w:snapToGrid w:val="0"/>
                    <w:jc w:val="center"/>
                    <w:rPr>
                      <w:bCs/>
                      <w:snapToGrid w:val="0"/>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达标</w:t>
                  </w:r>
                </w:p>
              </w:tc>
            </w:tr>
          </w:tbl>
          <w:p>
            <w:pPr>
              <w:adjustRightInd w:val="0"/>
              <w:snapToGrid w:val="0"/>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由上表可</w:t>
            </w:r>
            <w:r>
              <w:rPr>
                <w:rFonts w:hint="eastAsia"/>
                <w:color w:val="000000" w:themeColor="text1"/>
                <w:sz w:val="24"/>
                <w:szCs w:val="32"/>
                <w14:textFill>
                  <w14:solidFill>
                    <w14:schemeClr w14:val="tx1"/>
                  </w14:solidFill>
                </w14:textFill>
              </w:rPr>
              <w:t>知</w:t>
            </w:r>
            <w:r>
              <w:rPr>
                <w:color w:val="000000" w:themeColor="text1"/>
                <w:sz w:val="24"/>
                <w:szCs w:val="32"/>
                <w14:textFill>
                  <w14:solidFill>
                    <w14:schemeClr w14:val="tx1"/>
                  </w14:solidFill>
                </w14:textFill>
              </w:rPr>
              <w:t>，项目各监测点位均</w:t>
            </w:r>
            <w:r>
              <w:rPr>
                <w:rFonts w:hint="eastAsia"/>
                <w:color w:val="000000" w:themeColor="text1"/>
                <w:sz w:val="24"/>
                <w:szCs w:val="32"/>
                <w14:textFill>
                  <w14:solidFill>
                    <w14:schemeClr w14:val="tx1"/>
                  </w14:solidFill>
                </w14:textFill>
              </w:rPr>
              <w:t>满足</w:t>
            </w:r>
            <w:r>
              <w:rPr>
                <w:color w:val="000000" w:themeColor="text1"/>
                <w:sz w:val="24"/>
                <w:szCs w:val="32"/>
                <w14:textFill>
                  <w14:solidFill>
                    <w14:schemeClr w14:val="tx1"/>
                  </w14:solidFill>
                </w14:textFill>
              </w:rPr>
              <w:t>《声环境质量标准》</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GB3096-2008</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中</w:t>
            </w:r>
            <w:r>
              <w:rPr>
                <w:rFonts w:hint="eastAsia"/>
                <w:color w:val="000000" w:themeColor="text1"/>
                <w:sz w:val="24"/>
                <w:szCs w:val="32"/>
                <w14:textFill>
                  <w14:solidFill>
                    <w14:schemeClr w14:val="tx1"/>
                  </w14:solidFill>
                </w14:textFill>
              </w:rPr>
              <w:t>2</w:t>
            </w:r>
            <w:r>
              <w:rPr>
                <w:color w:val="000000" w:themeColor="text1"/>
                <w:sz w:val="24"/>
                <w:szCs w:val="32"/>
                <w14:textFill>
                  <w14:solidFill>
                    <w14:schemeClr w14:val="tx1"/>
                  </w14:solidFill>
                </w14:textFill>
              </w:rPr>
              <w:t>类标准</w:t>
            </w:r>
            <w:r>
              <w:rPr>
                <w:rFonts w:hint="eastAsia"/>
                <w:color w:val="000000" w:themeColor="text1"/>
                <w:sz w:val="24"/>
                <w:szCs w:val="32"/>
                <w14:textFill>
                  <w14:solidFill>
                    <w14:schemeClr w14:val="tx1"/>
                  </w14:solidFill>
                </w14:textFill>
              </w:rPr>
              <w:t>限</w:t>
            </w:r>
            <w:r>
              <w:rPr>
                <w:color w:val="000000" w:themeColor="text1"/>
                <w:sz w:val="24"/>
                <w:szCs w:val="32"/>
                <w14:textFill>
                  <w14:solidFill>
                    <w14:schemeClr w14:val="tx1"/>
                  </w14:solidFill>
                </w14:textFill>
              </w:rPr>
              <w:t>值</w:t>
            </w:r>
            <w:r>
              <w:rPr>
                <w:rFonts w:hint="eastAsia"/>
                <w:color w:val="000000" w:themeColor="text1"/>
                <w:sz w:val="24"/>
                <w:szCs w:val="32"/>
                <w14:textFill>
                  <w14:solidFill>
                    <w14:schemeClr w14:val="tx1"/>
                  </w14:solidFill>
                </w14:textFill>
              </w:rPr>
              <w:t>要求</w:t>
            </w:r>
            <w:r>
              <w:rPr>
                <w:color w:val="000000" w:themeColor="text1"/>
                <w:sz w:val="24"/>
                <w:szCs w:val="32"/>
                <w14:textFill>
                  <w14:solidFill>
                    <w14:schemeClr w14:val="tx1"/>
                  </w14:solidFill>
                </w14:textFill>
              </w:rPr>
              <w:t>，</w:t>
            </w:r>
            <w:r>
              <w:rPr>
                <w:rFonts w:hint="eastAsia"/>
                <w:color w:val="000000" w:themeColor="text1"/>
                <w:sz w:val="24"/>
                <w:szCs w:val="32"/>
                <w14:textFill>
                  <w14:solidFill>
                    <w14:schemeClr w14:val="tx1"/>
                  </w14:solidFill>
                </w14:textFill>
              </w:rPr>
              <w:t>表</w:t>
            </w:r>
            <w:r>
              <w:rPr>
                <w:color w:val="000000" w:themeColor="text1"/>
                <w:sz w:val="24"/>
                <w:szCs w:val="32"/>
                <w14:textFill>
                  <w14:solidFill>
                    <w14:schemeClr w14:val="tx1"/>
                  </w14:solidFill>
                </w14:textFill>
              </w:rPr>
              <w:t>明该区域的声环境质量现状良好。</w:t>
            </w:r>
          </w:p>
          <w:p>
            <w:pPr>
              <w:pStyle w:val="7"/>
              <w:spacing w:after="0" w:line="360" w:lineRule="auto"/>
              <w:rPr>
                <w:b/>
                <w:color w:val="000000" w:themeColor="text1"/>
                <w14:textFill>
                  <w14:solidFill>
                    <w14:schemeClr w14:val="tx1"/>
                  </w14:solidFill>
                </w14:textFill>
              </w:rPr>
            </w:pPr>
            <w:r>
              <w:rPr>
                <w:rFonts w:hint="eastAsia"/>
                <w:b/>
                <w:color w:val="000000" w:themeColor="text1"/>
                <w14:textFill>
                  <w14:solidFill>
                    <w14:schemeClr w14:val="tx1"/>
                  </w14:solidFill>
                </w14:textFill>
              </w:rPr>
              <w:t>4、生态环境</w:t>
            </w:r>
          </w:p>
          <w:p>
            <w:pPr>
              <w:adjustRightInd w:val="0"/>
              <w:snapToGrid w:val="0"/>
              <w:spacing w:line="360" w:lineRule="auto"/>
              <w:ind w:firstLine="480" w:firstLineChars="200"/>
              <w:rPr>
                <w:color w:val="000000" w:themeColor="text1"/>
                <w:kern w:val="0"/>
                <w:szCs w:val="21"/>
                <w14:textFill>
                  <w14:solidFill>
                    <w14:schemeClr w14:val="tx1"/>
                  </w14:solidFill>
                </w14:textFill>
              </w:rPr>
            </w:pPr>
            <w:r>
              <w:rPr>
                <w:rFonts w:hint="eastAsia"/>
                <w:color w:val="000000" w:themeColor="text1"/>
                <w:sz w:val="24"/>
                <w:szCs w:val="32"/>
                <w14:textFill>
                  <w14:solidFill>
                    <w14:schemeClr w14:val="tx1"/>
                  </w14:solidFill>
                </w14:textFill>
              </w:rPr>
              <w:t>项目位于</w:t>
            </w:r>
            <w:r>
              <w:rPr>
                <w:rFonts w:hint="eastAsia"/>
                <w:color w:val="000000" w:themeColor="text1"/>
                <w:kern w:val="0"/>
                <w:sz w:val="24"/>
                <w:lang w:bidi="ar"/>
                <w14:textFill>
                  <w14:solidFill>
                    <w14:schemeClr w14:val="tx1"/>
                  </w14:solidFill>
                </w14:textFill>
              </w:rPr>
              <w:t>宣汉县</w:t>
            </w:r>
            <w:r>
              <w:rPr>
                <w:rFonts w:hint="eastAsia"/>
                <w:color w:val="000000" w:themeColor="text1"/>
                <w:kern w:val="0"/>
                <w:sz w:val="24"/>
                <w:lang w:eastAsia="zh-CN" w:bidi="ar"/>
                <w14:textFill>
                  <w14:solidFill>
                    <w14:schemeClr w14:val="tx1"/>
                  </w14:solidFill>
                </w14:textFill>
              </w:rPr>
              <w:t>蒲江</w:t>
            </w:r>
            <w:r>
              <w:rPr>
                <w:rFonts w:hint="eastAsia"/>
                <w:color w:val="000000" w:themeColor="text1"/>
                <w:kern w:val="0"/>
                <w:sz w:val="24"/>
                <w:lang w:bidi="ar"/>
                <w14:textFill>
                  <w14:solidFill>
                    <w14:schemeClr w14:val="tx1"/>
                  </w14:solidFill>
                </w14:textFill>
              </w:rPr>
              <w:t>街道（巴人大道与长兴北路交汇处东北侧），</w:t>
            </w:r>
            <w:r>
              <w:rPr>
                <w:rFonts w:hint="eastAsia"/>
                <w:color w:val="000000" w:themeColor="text1"/>
                <w:sz w:val="24"/>
                <w:szCs w:val="32"/>
                <w14:textFill>
                  <w14:solidFill>
                    <w14:schemeClr w14:val="tx1"/>
                  </w14:solidFill>
                </w14:textFill>
              </w:rPr>
              <w:t>为城镇建成区，由于受人类活动影响，区域自然植被少，野生动物稀少，主要为人工种植的绿化树、花草等，无珍稀保护动植物分布，无特殊文物保护单位。因此，区域生态系统敏感程度低。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800" w:type="dxa"/>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环境保护目标</w:t>
            </w:r>
          </w:p>
        </w:tc>
        <w:tc>
          <w:tcPr>
            <w:tcW w:w="8190" w:type="dxa"/>
            <w:vAlign w:val="center"/>
          </w:tcPr>
          <w:p>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、项目外环境关系</w:t>
            </w:r>
          </w:p>
          <w:p>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项目位于宣汉县</w:t>
            </w:r>
            <w:r>
              <w:rPr>
                <w:rFonts w:hint="eastAsia"/>
                <w:color w:val="000000" w:themeColor="text1"/>
                <w:lang w:eastAsia="zh-CN"/>
                <w14:textFill>
                  <w14:solidFill>
                    <w14:schemeClr w14:val="tx1"/>
                  </w14:solidFill>
                </w14:textFill>
              </w:rPr>
              <w:t>蒲江</w:t>
            </w:r>
            <w:r>
              <w:rPr>
                <w:rFonts w:hint="eastAsia"/>
                <w:color w:val="000000" w:themeColor="text1"/>
                <w14:textFill>
                  <w14:solidFill>
                    <w14:schemeClr w14:val="tx1"/>
                  </w14:solidFill>
                </w14:textFill>
              </w:rPr>
              <w:t>街道（巴人大道与长兴北路交汇处东北侧），经现场踏勘，本项目所在地属于宣汉城区，周边为商业、居民、机关事业单位混住区。项目西侧紧邻巴人大道，西侧80~380m为待建空置地，空置地西侧为亿联国际商贸城；西北侧100~420m为达州科技职业技术学校；北侧220~430m为宣汉客运站；北侧直距430~580m为宣汉国有林场棚改小区、宣汉县廉租房B区；东北侧260~800m为永安村居民区；东侧180~650m为商住区，东侧680m为州河；南侧紧邻长兴北路，50~240m为巴人大道廉租房惠民小区，230~450m为宣汉中学</w:t>
            </w:r>
            <w:r>
              <w:rPr>
                <w:rFonts w:hint="eastAsia"/>
                <w:color w:val="000000" w:themeColor="text1"/>
                <w:lang w:eastAsia="zh-CN"/>
                <w14:textFill>
                  <w14:solidFill>
                    <w14:schemeClr w14:val="tx1"/>
                  </w14:solidFill>
                </w14:textFill>
              </w:rPr>
              <w:t>蒲江</w:t>
            </w:r>
            <w:r>
              <w:rPr>
                <w:rFonts w:hint="eastAsia"/>
                <w:color w:val="000000" w:themeColor="text1"/>
                <w14:textFill>
                  <w14:solidFill>
                    <w14:schemeClr w14:val="tx1"/>
                  </w14:solidFill>
                </w14:textFill>
              </w:rPr>
              <w:t>学校，项目南侧450m外为商住区；项目周边1km范围内不涉及任何存在明显污染物排放的工业企业，主要为商住区，不会对本项目正常医疗活动产生影响，不会对本项目的实施形成环境制约，项目建设后，也不会对外环境造成不利影响。</w:t>
            </w:r>
          </w:p>
          <w:p>
            <w:pPr>
              <w:adjustRightInd w:val="0"/>
              <w:snapToGrid w:val="0"/>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2、主要环境保护目标（列出名单及保护级别）：</w:t>
            </w:r>
          </w:p>
          <w:p>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大气环境：项目厂界外500米范围内</w:t>
            </w:r>
            <w:r>
              <w:rPr>
                <w:rFonts w:hint="eastAsia"/>
                <w:color w:val="000000" w:themeColor="text1"/>
                <w14:textFill>
                  <w14:solidFill>
                    <w14:schemeClr w14:val="tx1"/>
                  </w14:solidFill>
                </w14:textFill>
              </w:rPr>
              <w:t>环境保护目标</w:t>
            </w:r>
            <w:r>
              <w:rPr>
                <w:color w:val="000000" w:themeColor="text1"/>
                <w14:textFill>
                  <w14:solidFill>
                    <w14:schemeClr w14:val="tx1"/>
                  </w14:solidFill>
                </w14:textFill>
              </w:rPr>
              <w:t>。</w:t>
            </w:r>
          </w:p>
          <w:p>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声环境：项目厂界外50米范围内声环境保护目标。</w:t>
            </w:r>
          </w:p>
          <w:p>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地下水环境：项目厂界外500米范围内的不存在地下水集中式饮用水水源和热水、矿泉水、温泉等特殊地下水资源</w:t>
            </w:r>
            <w:r>
              <w:rPr>
                <w:rFonts w:hint="eastAsia"/>
                <w:color w:val="000000" w:themeColor="text1"/>
                <w14:textFill>
                  <w14:solidFill>
                    <w14:schemeClr w14:val="tx1"/>
                  </w14:solidFill>
                </w14:textFill>
              </w:rPr>
              <w:t>。</w:t>
            </w:r>
          </w:p>
          <w:p>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生态环境：项目用地范围内不存在生态环境保护目标</w:t>
            </w:r>
            <w:r>
              <w:rPr>
                <w:rFonts w:hint="eastAsia"/>
                <w:color w:val="000000" w:themeColor="text1"/>
                <w14:textFill>
                  <w14:solidFill>
                    <w14:schemeClr w14:val="tx1"/>
                  </w14:solidFill>
                </w14:textFill>
              </w:rPr>
              <w:t>。</w:t>
            </w:r>
          </w:p>
          <w:p>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地</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水环境：项目</w:t>
            </w:r>
            <w:r>
              <w:rPr>
                <w:rFonts w:hint="eastAsia"/>
                <w:color w:val="000000" w:themeColor="text1"/>
                <w14:textFill>
                  <w14:solidFill>
                    <w14:schemeClr w14:val="tx1"/>
                  </w14:solidFill>
                </w14:textFill>
              </w:rPr>
              <w:t>场界外最近</w:t>
            </w:r>
            <w:r>
              <w:rPr>
                <w:color w:val="000000" w:themeColor="text1"/>
                <w14:textFill>
                  <w14:solidFill>
                    <w14:schemeClr w14:val="tx1"/>
                  </w14:solidFill>
                </w14:textFill>
              </w:rPr>
              <w:t>地表水为</w:t>
            </w:r>
            <w:r>
              <w:rPr>
                <w:rFonts w:hint="eastAsia"/>
                <w:color w:val="000000" w:themeColor="text1"/>
                <w14:textFill>
                  <w14:solidFill>
                    <w14:schemeClr w14:val="tx1"/>
                  </w14:solidFill>
                </w14:textFill>
              </w:rPr>
              <w:t>东</w:t>
            </w:r>
            <w:r>
              <w:rPr>
                <w:color w:val="000000" w:themeColor="text1"/>
                <w14:textFill>
                  <w14:solidFill>
                    <w14:schemeClr w14:val="tx1"/>
                  </w14:solidFill>
                </w14:textFill>
              </w:rPr>
              <w:t>侧</w:t>
            </w:r>
            <w:r>
              <w:rPr>
                <w:rFonts w:hint="eastAsia"/>
                <w:color w:val="000000" w:themeColor="text1"/>
                <w14:textFill>
                  <w14:solidFill>
                    <w14:schemeClr w14:val="tx1"/>
                  </w14:solidFill>
                </w14:textFill>
              </w:rPr>
              <w:t>680m处的州河，项目产生的废水经污水处理设施预处理达到《医疗机构水污染物排放标准》（GB18466-2005）表2中预处理标准后进入市政污水管网，不会对地表水产生明显影响。</w:t>
            </w:r>
          </w:p>
          <w:p>
            <w:pPr>
              <w:adjustRightInd w:val="0"/>
              <w:snapToGrid w:val="0"/>
              <w:spacing w:line="360" w:lineRule="auto"/>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保护目标如下表所示</w:t>
            </w:r>
            <w:r>
              <w:rPr>
                <w:rFonts w:hint="eastAsia"/>
                <w:color w:val="000000" w:themeColor="text1"/>
                <w14:textFill>
                  <w14:solidFill>
                    <w14:schemeClr w14:val="tx1"/>
                  </w14:solidFill>
                </w14:textFill>
              </w:rPr>
              <w:t>。</w:t>
            </w:r>
          </w:p>
          <w:p>
            <w:pPr>
              <w:keepNext/>
              <w:keepLines/>
              <w:numPr>
                <w:ilvl w:val="0"/>
                <w:numId w:val="11"/>
              </w:numPr>
              <w:jc w:val="center"/>
              <w:rPr>
                <w:color w:val="000000" w:themeColor="text1"/>
                <w14:textFill>
                  <w14:solidFill>
                    <w14:schemeClr w14:val="tx1"/>
                  </w14:solidFill>
                </w14:textFill>
              </w:rPr>
            </w:pPr>
            <w:r>
              <w:rPr>
                <w:color w:val="000000" w:themeColor="text1"/>
                <w14:textFill>
                  <w14:solidFill>
                    <w14:schemeClr w14:val="tx1"/>
                  </w14:solidFill>
                </w14:textFill>
              </w:rPr>
              <w:t>本项目环境保护目标</w:t>
            </w:r>
          </w:p>
          <w:tbl>
            <w:tblPr>
              <w:tblStyle w:val="23"/>
              <w:tblW w:w="783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700"/>
              <w:gridCol w:w="667"/>
              <w:gridCol w:w="1036"/>
              <w:gridCol w:w="1105"/>
              <w:gridCol w:w="25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781" w:type="dxa"/>
                  <w:vAlign w:val="center"/>
                </w:tcPr>
                <w:p>
                  <w:pPr>
                    <w:keepNext/>
                    <w:keepLines/>
                    <w:jc w:val="center"/>
                    <w:rPr>
                      <w:color w:val="000000" w:themeColor="text1"/>
                      <w14:textFill>
                        <w14:solidFill>
                          <w14:schemeClr w14:val="tx1"/>
                        </w14:solidFill>
                      </w14:textFill>
                    </w:rPr>
                  </w:pPr>
                  <w:r>
                    <w:rPr>
                      <w:color w:val="000000" w:themeColor="text1"/>
                      <w14:textFill>
                        <w14:solidFill>
                          <w14:schemeClr w14:val="tx1"/>
                        </w14:solidFill>
                      </w14:textFill>
                    </w:rPr>
                    <w:t>环境要素</w:t>
                  </w:r>
                </w:p>
              </w:tc>
              <w:tc>
                <w:tcPr>
                  <w:tcW w:w="1700" w:type="dxa"/>
                  <w:vAlign w:val="center"/>
                </w:tcPr>
                <w:p>
                  <w:pPr>
                    <w:keepNext/>
                    <w:keepLines/>
                    <w:jc w:val="center"/>
                    <w:rPr>
                      <w:color w:val="000000" w:themeColor="text1"/>
                      <w14:textFill>
                        <w14:solidFill>
                          <w14:schemeClr w14:val="tx1"/>
                        </w14:solidFill>
                      </w14:textFill>
                    </w:rPr>
                  </w:pPr>
                  <w:r>
                    <w:rPr>
                      <w:color w:val="000000" w:themeColor="text1"/>
                      <w14:textFill>
                        <w14:solidFill>
                          <w14:schemeClr w14:val="tx1"/>
                        </w14:solidFill>
                      </w14:textFill>
                    </w:rPr>
                    <w:t>保护目标</w:t>
                  </w:r>
                </w:p>
              </w:tc>
              <w:tc>
                <w:tcPr>
                  <w:tcW w:w="667" w:type="dxa"/>
                  <w:vAlign w:val="center"/>
                </w:tcPr>
                <w:p>
                  <w:pPr>
                    <w:keepNext/>
                    <w:keepLines/>
                    <w:jc w:val="center"/>
                    <w:rPr>
                      <w:color w:val="000000" w:themeColor="text1"/>
                      <w14:textFill>
                        <w14:solidFill>
                          <w14:schemeClr w14:val="tx1"/>
                        </w14:solidFill>
                      </w14:textFill>
                    </w:rPr>
                  </w:pPr>
                  <w:r>
                    <w:rPr>
                      <w:color w:val="000000" w:themeColor="text1"/>
                      <w14:textFill>
                        <w14:solidFill>
                          <w14:schemeClr w14:val="tx1"/>
                        </w14:solidFill>
                      </w14:textFill>
                    </w:rPr>
                    <w:t>方位</w:t>
                  </w:r>
                </w:p>
              </w:tc>
              <w:tc>
                <w:tcPr>
                  <w:tcW w:w="1036"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最近距离（m）</w:t>
                  </w:r>
                </w:p>
              </w:tc>
              <w:tc>
                <w:tcPr>
                  <w:tcW w:w="1105"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规模/人数</w:t>
                  </w:r>
                </w:p>
              </w:tc>
              <w:tc>
                <w:tcPr>
                  <w:tcW w:w="2542" w:type="dxa"/>
                  <w:vAlign w:val="center"/>
                </w:tcPr>
                <w:p>
                  <w:pPr>
                    <w:keepNext/>
                    <w:keepLines/>
                    <w:jc w:val="center"/>
                    <w:rPr>
                      <w:color w:val="000000" w:themeColor="text1"/>
                      <w14:textFill>
                        <w14:solidFill>
                          <w14:schemeClr w14:val="tx1"/>
                        </w14:solidFill>
                      </w14:textFill>
                    </w:rPr>
                  </w:pPr>
                  <w:r>
                    <w:rPr>
                      <w:color w:val="000000" w:themeColor="text1"/>
                      <w14:textFill>
                        <w14:solidFill>
                          <w14:schemeClr w14:val="tx1"/>
                        </w14:solidFill>
                      </w14:textFill>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81" w:type="dxa"/>
                  <w:vMerge w:val="restart"/>
                  <w:vAlign w:val="center"/>
                </w:tcPr>
                <w:p>
                  <w:pPr>
                    <w:keepNext/>
                    <w:keepLines/>
                    <w:jc w:val="center"/>
                    <w:rPr>
                      <w:color w:val="000000" w:themeColor="text1"/>
                      <w14:textFill>
                        <w14:solidFill>
                          <w14:schemeClr w14:val="tx1"/>
                        </w14:solidFill>
                      </w14:textFill>
                    </w:rPr>
                  </w:pPr>
                  <w:r>
                    <w:rPr>
                      <w:color w:val="000000" w:themeColor="text1"/>
                      <w14:textFill>
                        <w14:solidFill>
                          <w14:schemeClr w14:val="tx1"/>
                        </w14:solidFill>
                      </w14:textFill>
                    </w:rPr>
                    <w:t>大气环境</w:t>
                  </w:r>
                </w:p>
              </w:tc>
              <w:tc>
                <w:tcPr>
                  <w:tcW w:w="1700"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达州科技职业技术学校</w:t>
                  </w:r>
                </w:p>
              </w:tc>
              <w:tc>
                <w:tcPr>
                  <w:tcW w:w="667"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西北</w:t>
                  </w:r>
                </w:p>
              </w:tc>
              <w:tc>
                <w:tcPr>
                  <w:tcW w:w="1036"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1105"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约3500人</w:t>
                  </w:r>
                </w:p>
              </w:tc>
              <w:tc>
                <w:tcPr>
                  <w:tcW w:w="2542" w:type="dxa"/>
                  <w:vMerge w:val="restart"/>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《环境空气质量标准》（GB3095-2012）二级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81" w:type="dxa"/>
                  <w:vMerge w:val="continue"/>
                  <w:vAlign w:val="center"/>
                </w:tcPr>
                <w:p>
                  <w:pPr>
                    <w:keepNext/>
                    <w:keepLines/>
                    <w:jc w:val="center"/>
                    <w:rPr>
                      <w:color w:val="000000" w:themeColor="text1"/>
                      <w14:textFill>
                        <w14:solidFill>
                          <w14:schemeClr w14:val="tx1"/>
                        </w14:solidFill>
                      </w14:textFill>
                    </w:rPr>
                  </w:pPr>
                </w:p>
              </w:tc>
              <w:tc>
                <w:tcPr>
                  <w:tcW w:w="1700"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宣汉国有林场棚改小区居民</w:t>
                  </w:r>
                </w:p>
              </w:tc>
              <w:tc>
                <w:tcPr>
                  <w:tcW w:w="667"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北</w:t>
                  </w:r>
                </w:p>
              </w:tc>
              <w:tc>
                <w:tcPr>
                  <w:tcW w:w="1036"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430</w:t>
                  </w:r>
                </w:p>
              </w:tc>
              <w:tc>
                <w:tcPr>
                  <w:tcW w:w="1105"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约450人</w:t>
                  </w:r>
                </w:p>
              </w:tc>
              <w:tc>
                <w:tcPr>
                  <w:tcW w:w="2542" w:type="dxa"/>
                  <w:vMerge w:val="continue"/>
                  <w:vAlign w:val="center"/>
                </w:tcPr>
                <w:p>
                  <w:pPr>
                    <w:keepNext/>
                    <w:keepLines/>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81" w:type="dxa"/>
                  <w:vMerge w:val="continue"/>
                  <w:vAlign w:val="center"/>
                </w:tcPr>
                <w:p>
                  <w:pPr>
                    <w:keepNext/>
                    <w:keepLines/>
                    <w:jc w:val="center"/>
                    <w:rPr>
                      <w:color w:val="000000" w:themeColor="text1"/>
                      <w14:textFill>
                        <w14:solidFill>
                          <w14:schemeClr w14:val="tx1"/>
                        </w14:solidFill>
                      </w14:textFill>
                    </w:rPr>
                  </w:pPr>
                </w:p>
              </w:tc>
              <w:tc>
                <w:tcPr>
                  <w:tcW w:w="1700"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宣汉县廉租房B区居民</w:t>
                  </w:r>
                </w:p>
              </w:tc>
              <w:tc>
                <w:tcPr>
                  <w:tcW w:w="667"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北</w:t>
                  </w:r>
                </w:p>
              </w:tc>
              <w:tc>
                <w:tcPr>
                  <w:tcW w:w="1036"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430</w:t>
                  </w:r>
                </w:p>
              </w:tc>
              <w:tc>
                <w:tcPr>
                  <w:tcW w:w="1105"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约50人</w:t>
                  </w:r>
                </w:p>
              </w:tc>
              <w:tc>
                <w:tcPr>
                  <w:tcW w:w="2542" w:type="dxa"/>
                  <w:vMerge w:val="continue"/>
                  <w:vAlign w:val="center"/>
                </w:tcPr>
                <w:p>
                  <w:pPr>
                    <w:keepNext/>
                    <w:keepLines/>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81" w:type="dxa"/>
                  <w:vMerge w:val="continue"/>
                  <w:vAlign w:val="center"/>
                </w:tcPr>
                <w:p>
                  <w:pPr>
                    <w:keepNext/>
                    <w:keepLines/>
                    <w:jc w:val="center"/>
                    <w:rPr>
                      <w:color w:val="000000" w:themeColor="text1"/>
                      <w14:textFill>
                        <w14:solidFill>
                          <w14:schemeClr w14:val="tx1"/>
                        </w14:solidFill>
                      </w14:textFill>
                    </w:rPr>
                  </w:pPr>
                </w:p>
              </w:tc>
              <w:tc>
                <w:tcPr>
                  <w:tcW w:w="1700"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永安村居民</w:t>
                  </w:r>
                </w:p>
              </w:tc>
              <w:tc>
                <w:tcPr>
                  <w:tcW w:w="667"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东北</w:t>
                  </w:r>
                </w:p>
              </w:tc>
              <w:tc>
                <w:tcPr>
                  <w:tcW w:w="1036"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260</w:t>
                  </w:r>
                </w:p>
              </w:tc>
              <w:tc>
                <w:tcPr>
                  <w:tcW w:w="1105"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约500人</w:t>
                  </w:r>
                </w:p>
              </w:tc>
              <w:tc>
                <w:tcPr>
                  <w:tcW w:w="2542" w:type="dxa"/>
                  <w:vMerge w:val="continue"/>
                  <w:vAlign w:val="center"/>
                </w:tcPr>
                <w:p>
                  <w:pPr>
                    <w:keepNext/>
                    <w:keepLines/>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81" w:type="dxa"/>
                  <w:vMerge w:val="continue"/>
                  <w:vAlign w:val="center"/>
                </w:tcPr>
                <w:p>
                  <w:pPr>
                    <w:keepNext/>
                    <w:keepLines/>
                    <w:jc w:val="center"/>
                    <w:rPr>
                      <w:color w:val="000000" w:themeColor="text1"/>
                      <w14:textFill>
                        <w14:solidFill>
                          <w14:schemeClr w14:val="tx1"/>
                        </w14:solidFill>
                      </w14:textFill>
                    </w:rPr>
                  </w:pPr>
                </w:p>
              </w:tc>
              <w:tc>
                <w:tcPr>
                  <w:tcW w:w="1700"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巴人大道廉租房惠民小区居民</w:t>
                  </w:r>
                </w:p>
              </w:tc>
              <w:tc>
                <w:tcPr>
                  <w:tcW w:w="667"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南</w:t>
                  </w:r>
                </w:p>
              </w:tc>
              <w:tc>
                <w:tcPr>
                  <w:tcW w:w="1036"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1105"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约3000人</w:t>
                  </w:r>
                </w:p>
              </w:tc>
              <w:tc>
                <w:tcPr>
                  <w:tcW w:w="2542" w:type="dxa"/>
                  <w:vMerge w:val="continue"/>
                  <w:vAlign w:val="center"/>
                </w:tcPr>
                <w:p>
                  <w:pPr>
                    <w:keepNext/>
                    <w:keepLines/>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81" w:type="dxa"/>
                  <w:vMerge w:val="continue"/>
                  <w:vAlign w:val="center"/>
                </w:tcPr>
                <w:p>
                  <w:pPr>
                    <w:keepNext/>
                    <w:keepLines/>
                    <w:jc w:val="center"/>
                    <w:rPr>
                      <w:color w:val="000000" w:themeColor="text1"/>
                      <w14:textFill>
                        <w14:solidFill>
                          <w14:schemeClr w14:val="tx1"/>
                        </w14:solidFill>
                      </w14:textFill>
                    </w:rPr>
                  </w:pPr>
                </w:p>
              </w:tc>
              <w:tc>
                <w:tcPr>
                  <w:tcW w:w="1700"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商住区居民</w:t>
                  </w:r>
                </w:p>
              </w:tc>
              <w:tc>
                <w:tcPr>
                  <w:tcW w:w="667"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四周</w:t>
                  </w:r>
                </w:p>
              </w:tc>
              <w:tc>
                <w:tcPr>
                  <w:tcW w:w="1036"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50~500</w:t>
                  </w:r>
                </w:p>
              </w:tc>
              <w:tc>
                <w:tcPr>
                  <w:tcW w:w="1105"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约20000人</w:t>
                  </w:r>
                </w:p>
              </w:tc>
              <w:tc>
                <w:tcPr>
                  <w:tcW w:w="2542" w:type="dxa"/>
                  <w:vMerge w:val="continue"/>
                  <w:vAlign w:val="center"/>
                </w:tcPr>
                <w:p>
                  <w:pPr>
                    <w:keepNext/>
                    <w:keepLines/>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781" w:type="dxa"/>
                  <w:vMerge w:val="restart"/>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声环境</w:t>
                  </w:r>
                </w:p>
              </w:tc>
              <w:tc>
                <w:tcPr>
                  <w:tcW w:w="1700"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达州科技职业技术学校</w:t>
                  </w:r>
                </w:p>
              </w:tc>
              <w:tc>
                <w:tcPr>
                  <w:tcW w:w="667"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西北</w:t>
                  </w:r>
                </w:p>
              </w:tc>
              <w:tc>
                <w:tcPr>
                  <w:tcW w:w="1036"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1105"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约3500人</w:t>
                  </w:r>
                </w:p>
              </w:tc>
              <w:tc>
                <w:tcPr>
                  <w:tcW w:w="2542" w:type="dxa"/>
                  <w:vMerge w:val="restart"/>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《声环境质量标准》（GB3096-2008）2类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1" w:hRule="atLeast"/>
                <w:jc w:val="center"/>
              </w:trPr>
              <w:tc>
                <w:tcPr>
                  <w:tcW w:w="781" w:type="dxa"/>
                  <w:vMerge w:val="continue"/>
                  <w:vAlign w:val="center"/>
                </w:tcPr>
                <w:p>
                  <w:pPr>
                    <w:keepNext/>
                    <w:keepLines/>
                    <w:jc w:val="center"/>
                    <w:rPr>
                      <w:color w:val="000000" w:themeColor="text1"/>
                      <w14:textFill>
                        <w14:solidFill>
                          <w14:schemeClr w14:val="tx1"/>
                        </w14:solidFill>
                      </w14:textFill>
                    </w:rPr>
                  </w:pPr>
                </w:p>
              </w:tc>
              <w:tc>
                <w:tcPr>
                  <w:tcW w:w="1700"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巴人大道廉租房惠民小区居民</w:t>
                  </w:r>
                </w:p>
              </w:tc>
              <w:tc>
                <w:tcPr>
                  <w:tcW w:w="667"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南</w:t>
                  </w:r>
                </w:p>
              </w:tc>
              <w:tc>
                <w:tcPr>
                  <w:tcW w:w="1036"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1105"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约3000人</w:t>
                  </w:r>
                </w:p>
              </w:tc>
              <w:tc>
                <w:tcPr>
                  <w:tcW w:w="2542" w:type="dxa"/>
                  <w:vMerge w:val="continue"/>
                  <w:vAlign w:val="center"/>
                </w:tcPr>
                <w:p>
                  <w:pPr>
                    <w:keepNext/>
                    <w:keepLines/>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781"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地表水环境</w:t>
                  </w:r>
                </w:p>
              </w:tc>
              <w:tc>
                <w:tcPr>
                  <w:tcW w:w="1700"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州河</w:t>
                  </w:r>
                </w:p>
              </w:tc>
              <w:tc>
                <w:tcPr>
                  <w:tcW w:w="667"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1036"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680</w:t>
                  </w:r>
                </w:p>
              </w:tc>
              <w:tc>
                <w:tcPr>
                  <w:tcW w:w="1105" w:type="dxa"/>
                  <w:vAlign w:val="center"/>
                </w:tcPr>
                <w:p>
                  <w:pPr>
                    <w:keepNext/>
                    <w:keepLine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中型河流</w:t>
                  </w:r>
                </w:p>
              </w:tc>
              <w:tc>
                <w:tcPr>
                  <w:tcW w:w="2542" w:type="dxa"/>
                  <w:vAlign w:val="center"/>
                </w:tcPr>
                <w:p>
                  <w:pPr>
                    <w:keepNext/>
                    <w:keepLines/>
                    <w:jc w:val="center"/>
                    <w:rPr>
                      <w:color w:val="000000" w:themeColor="text1"/>
                      <w14:textFill>
                        <w14:solidFill>
                          <w14:schemeClr w14:val="tx1"/>
                        </w14:solidFill>
                      </w14:textFill>
                    </w:rPr>
                  </w:pPr>
                  <w:r>
                    <w:rPr>
                      <w:color w:val="000000" w:themeColor="text1"/>
                      <w14:textFill>
                        <w14:solidFill>
                          <w14:schemeClr w14:val="tx1"/>
                        </w14:solidFill>
                      </w14:textFill>
                    </w:rPr>
                    <w:t>《地表水环境质量标准》（GB3838-2002）</w:t>
                  </w:r>
                  <w:r>
                    <w:rPr>
                      <w:rFonts w:hint="eastAsia"/>
                      <w:color w:val="000000" w:themeColor="text1"/>
                      <w14:textFill>
                        <w14:solidFill>
                          <w14:schemeClr w14:val="tx1"/>
                        </w14:solidFill>
                      </w14:textFill>
                    </w:rPr>
                    <w:t>Ⅲ</w:t>
                  </w:r>
                  <w:r>
                    <w:rPr>
                      <w:color w:val="000000" w:themeColor="text1"/>
                      <w14:textFill>
                        <w14:solidFill>
                          <w14:schemeClr w14:val="tx1"/>
                        </w14:solidFill>
                      </w14:textFill>
                    </w:rPr>
                    <w:t>类</w:t>
                  </w:r>
                </w:p>
              </w:tc>
            </w:tr>
          </w:tbl>
          <w:p>
            <w:pPr>
              <w:adjustRightInd w:val="0"/>
              <w:snapToGrid w:val="0"/>
              <w:spacing w:line="360" w:lineRule="auto"/>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环境保护目标分布</w:t>
            </w:r>
            <w:r>
              <w:rPr>
                <w:rFonts w:hint="eastAsia"/>
                <w:color w:val="000000" w:themeColor="text1"/>
                <w:lang w:val="en-US" w:eastAsia="zh-CN"/>
                <w14:textFill>
                  <w14:solidFill>
                    <w14:schemeClr w14:val="tx1"/>
                  </w14:solidFill>
                </w14:textFill>
              </w:rPr>
              <w:t>如下图所示。</w:t>
            </w:r>
          </w:p>
          <w:p>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061585" cy="3392170"/>
                  <wp:effectExtent l="0" t="0" r="5715" b="177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5061585" cy="3392170"/>
                          </a:xfrm>
                          <a:prstGeom prst="rect">
                            <a:avLst/>
                          </a:prstGeom>
                          <a:noFill/>
                          <a:ln>
                            <a:noFill/>
                          </a:ln>
                        </pic:spPr>
                      </pic:pic>
                    </a:graphicData>
                  </a:graphic>
                </wp:inline>
              </w:drawing>
            </w:r>
          </w:p>
          <w:p>
            <w:pPr>
              <w:numPr>
                <w:ilvl w:val="0"/>
                <w:numId w:val="12"/>
              </w:numPr>
              <w:jc w:val="center"/>
              <w:rPr>
                <w:rFonts w:hint="eastAsia" w:eastAsia="宋体"/>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环境保护目标分布</w:t>
            </w:r>
            <w:r>
              <w:rPr>
                <w:rFonts w:hint="eastAsia" w:cs="Times New Roman"/>
                <w:b/>
                <w:bCs/>
                <w:color w:val="000000" w:themeColor="text1"/>
                <w:sz w:val="24"/>
                <w:szCs w:val="24"/>
                <w:lang w:val="en-US" w:eastAsia="zh-CN"/>
                <w14:textFill>
                  <w14:solidFill>
                    <w14:schemeClr w14:val="tx1"/>
                  </w14:solidFill>
                </w14:textFill>
              </w:rPr>
              <w:t>示意</w:t>
            </w:r>
            <w:r>
              <w:rPr>
                <w:rFonts w:hint="default" w:ascii="Times New Roman" w:hAnsi="Times New Roman" w:eastAsia="宋体" w:cs="Times New Roman"/>
                <w:b/>
                <w:bCs/>
                <w:color w:val="000000" w:themeColor="text1"/>
                <w:sz w:val="24"/>
                <w:szCs w:val="24"/>
                <w14:textFill>
                  <w14:solidFill>
                    <w14:schemeClr w14:val="tx1"/>
                  </w14:solidFill>
                </w14:textFill>
              </w:rPr>
              <w:t>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00" w:type="dxa"/>
            <w:tcMar>
              <w:left w:w="28" w:type="dxa"/>
              <w:right w:w="28" w:type="dxa"/>
            </w:tcMar>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污染物排放控制标准</w:t>
            </w:r>
          </w:p>
        </w:tc>
        <w:tc>
          <w:tcPr>
            <w:tcW w:w="8190" w:type="dxa"/>
            <w:vAlign w:val="center"/>
          </w:tcPr>
          <w:p>
            <w:p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水污染物</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产生的废水经污水处理设施预处理达到《医疗机构水污染物排放标准》（GB18466-2005）表2中预处理标准后进入市政污水管网。废水执行《医疗机构水污染物排放标准》（GB18466-2005）表2中预处理标准，氨氮、总磷参考《污水排入城市下水道水质标准》（GB/T31962-2015）表1中</w:t>
            </w:r>
            <w:r>
              <w:rPr>
                <w:rFonts w:hint="eastAsia"/>
                <w:color w:val="000000" w:themeColor="text1"/>
                <w:sz w:val="24"/>
                <w:lang w:val="en-US" w:eastAsia="zh-CN"/>
                <w14:textFill>
                  <w14:solidFill>
                    <w14:schemeClr w14:val="tx1"/>
                  </w14:solidFill>
                </w14:textFill>
              </w:rPr>
              <w:t>A级</w:t>
            </w:r>
            <w:r>
              <w:rPr>
                <w:rFonts w:hint="eastAsia"/>
                <w:color w:val="000000" w:themeColor="text1"/>
                <w:sz w:val="24"/>
                <w14:textFill>
                  <w14:solidFill>
                    <w14:schemeClr w14:val="tx1"/>
                  </w14:solidFill>
                </w14:textFill>
              </w:rPr>
              <w:t>标准，具体限值见下表。</w:t>
            </w:r>
          </w:p>
          <w:p>
            <w:pPr>
              <w:numPr>
                <w:ilvl w:val="0"/>
                <w:numId w:val="11"/>
              </w:numPr>
              <w:jc w:val="center"/>
              <w:rPr>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医疗机构水污染物排放限值（日均值）</w:t>
            </w:r>
          </w:p>
          <w:tbl>
            <w:tblPr>
              <w:tblStyle w:val="23"/>
              <w:tblW w:w="68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3934"/>
              <w:gridCol w:w="17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序号</w:t>
                  </w:r>
                </w:p>
              </w:tc>
              <w:tc>
                <w:tcPr>
                  <w:tcW w:w="3934"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hAnsi="宋体"/>
                      <w:bCs/>
                      <w:color w:val="000000" w:themeColor="text1"/>
                      <w:szCs w:val="21"/>
                      <w14:textFill>
                        <w14:solidFill>
                          <w14:schemeClr w14:val="tx1"/>
                        </w14:solidFill>
                      </w14:textFill>
                    </w:rPr>
                    <w:t>控制项目</w:t>
                  </w:r>
                </w:p>
              </w:tc>
              <w:tc>
                <w:tcPr>
                  <w:tcW w:w="1799" w:type="dxa"/>
                  <w:vAlign w:val="center"/>
                </w:tcPr>
                <w:p>
                  <w:pPr>
                    <w:adjustRightInd w:val="0"/>
                    <w:spacing w:line="312" w:lineRule="atLeast"/>
                    <w:jc w:val="center"/>
                    <w:textAlignment w:val="baseline"/>
                    <w:rPr>
                      <w:rFonts w:hAnsi="宋体"/>
                      <w:bCs/>
                      <w:color w:val="000000" w:themeColor="text1"/>
                      <w:szCs w:val="21"/>
                      <w14:textFill>
                        <w14:solidFill>
                          <w14:schemeClr w14:val="tx1"/>
                        </w14:solidFill>
                      </w14:textFill>
                    </w:rPr>
                  </w:pPr>
                  <w:r>
                    <w:rPr>
                      <w:rFonts w:hint="eastAsia" w:hAnsi="宋体"/>
                      <w:bCs/>
                      <w:color w:val="000000" w:themeColor="text1"/>
                      <w:szCs w:val="21"/>
                      <w14:textFill>
                        <w14:solidFill>
                          <w14:schemeClr w14:val="tx1"/>
                        </w14:solidFill>
                      </w14:textFill>
                    </w:rPr>
                    <w:t>预处理标准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粪大肠菌群数/（MPN/L）</w:t>
                  </w:r>
                </w:p>
              </w:tc>
              <w:tc>
                <w:tcPr>
                  <w:tcW w:w="1799"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肠道致病菌</w:t>
                  </w:r>
                </w:p>
              </w:tc>
              <w:tc>
                <w:tcPr>
                  <w:tcW w:w="1799"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肠道病毒</w:t>
                  </w:r>
                </w:p>
              </w:tc>
              <w:tc>
                <w:tcPr>
                  <w:tcW w:w="1799"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pH</w:t>
                  </w:r>
                </w:p>
              </w:tc>
              <w:tc>
                <w:tcPr>
                  <w:tcW w:w="1799"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化学需氧量（COD）</w:t>
                  </w:r>
                </w:p>
                <w:p>
                  <w:pPr>
                    <w:adjustRightInd w:val="0"/>
                    <w:spacing w:line="312" w:lineRule="atLeast"/>
                    <w:ind w:firstLine="420" w:firstLineChars="200"/>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浓度/（mg/L）</w:t>
                  </w:r>
                </w:p>
                <w:p>
                  <w:pPr>
                    <w:adjustRightInd w:val="0"/>
                    <w:spacing w:line="312" w:lineRule="atLeast"/>
                    <w:ind w:firstLine="420" w:firstLineChars="200"/>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最高允许排放负荷/[g/(床位.d)]</w:t>
                  </w:r>
                </w:p>
              </w:tc>
              <w:tc>
                <w:tcPr>
                  <w:tcW w:w="1799" w:type="dxa"/>
                  <w:vAlign w:val="center"/>
                </w:tcPr>
                <w:p>
                  <w:pPr>
                    <w:adjustRightInd w:val="0"/>
                    <w:spacing w:line="312" w:lineRule="atLeast"/>
                    <w:jc w:val="center"/>
                    <w:textAlignment w:val="baseline"/>
                    <w:rPr>
                      <w:color w:val="000000" w:themeColor="text1"/>
                      <w14:textFill>
                        <w14:solidFill>
                          <w14:schemeClr w14:val="tx1"/>
                        </w14:solidFill>
                      </w14:textFill>
                    </w:rPr>
                  </w:pPr>
                </w:p>
                <w:p>
                  <w:pPr>
                    <w:adjustRightInd w:val="0"/>
                    <w:spacing w:line="312" w:lineRule="atLeast"/>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250</w:t>
                  </w:r>
                </w:p>
                <w:p>
                  <w:pPr>
                    <w:adjustRightInd w:val="0"/>
                    <w:spacing w:line="312" w:lineRule="atLeast"/>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生化需氧量（</w:t>
                  </w:r>
                  <w:r>
                    <w:rPr>
                      <w:rFonts w:hint="eastAsia"/>
                      <w:bCs/>
                      <w:color w:val="000000" w:themeColor="text1"/>
                      <w:szCs w:val="21"/>
                      <w14:textFill>
                        <w14:solidFill>
                          <w14:schemeClr w14:val="tx1"/>
                        </w14:solidFill>
                      </w14:textFill>
                    </w:rPr>
                    <w:t>BOD</w:t>
                  </w:r>
                  <w:r>
                    <w:rPr>
                      <w:bCs/>
                      <w:color w:val="000000" w:themeColor="text1"/>
                      <w:szCs w:val="21"/>
                      <w14:textFill>
                        <w14:solidFill>
                          <w14:schemeClr w14:val="tx1"/>
                        </w14:solidFill>
                      </w14:textFill>
                    </w:rPr>
                    <w:t>）</w:t>
                  </w:r>
                </w:p>
                <w:p>
                  <w:pPr>
                    <w:adjustRightInd w:val="0"/>
                    <w:spacing w:line="312" w:lineRule="atLeast"/>
                    <w:ind w:firstLine="420" w:firstLineChars="200"/>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浓度/（mg/L）</w:t>
                  </w:r>
                </w:p>
                <w:p>
                  <w:pPr>
                    <w:adjustRightInd w:val="0"/>
                    <w:spacing w:line="312" w:lineRule="atLeast"/>
                    <w:ind w:firstLine="420" w:firstLineChars="200"/>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最高允许排放负荷/[g/(床位.d)]</w:t>
                  </w:r>
                </w:p>
              </w:tc>
              <w:tc>
                <w:tcPr>
                  <w:tcW w:w="1799" w:type="dxa"/>
                  <w:vAlign w:val="center"/>
                </w:tcPr>
                <w:p>
                  <w:pPr>
                    <w:adjustRightInd w:val="0"/>
                    <w:spacing w:line="312" w:lineRule="atLeast"/>
                    <w:jc w:val="center"/>
                    <w:textAlignment w:val="baseline"/>
                    <w:rPr>
                      <w:color w:val="000000" w:themeColor="text1"/>
                      <w14:textFill>
                        <w14:solidFill>
                          <w14:schemeClr w14:val="tx1"/>
                        </w14:solidFill>
                      </w14:textFill>
                    </w:rPr>
                  </w:pPr>
                </w:p>
                <w:p>
                  <w:pPr>
                    <w:adjustRightInd w:val="0"/>
                    <w:spacing w:line="312" w:lineRule="atLeast"/>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p>
                  <w:pPr>
                    <w:adjustRightInd w:val="0"/>
                    <w:spacing w:line="312" w:lineRule="atLeast"/>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悬浮物（SS）</w:t>
                  </w:r>
                </w:p>
                <w:p>
                  <w:pPr>
                    <w:adjustRightInd w:val="0"/>
                    <w:spacing w:line="312" w:lineRule="atLeast"/>
                    <w:ind w:firstLine="420" w:firstLineChars="200"/>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浓度/（mg/L）</w:t>
                  </w:r>
                </w:p>
                <w:p>
                  <w:pPr>
                    <w:adjustRightInd w:val="0"/>
                    <w:spacing w:line="312" w:lineRule="atLeast"/>
                    <w:ind w:firstLine="420" w:firstLineChars="200"/>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最高允许排放负荷/[g/(床位.d)]</w:t>
                  </w:r>
                </w:p>
              </w:tc>
              <w:tc>
                <w:tcPr>
                  <w:tcW w:w="1799" w:type="dxa"/>
                  <w:vAlign w:val="center"/>
                </w:tcPr>
                <w:p>
                  <w:pPr>
                    <w:adjustRightInd w:val="0"/>
                    <w:spacing w:line="312" w:lineRule="atLeast"/>
                    <w:jc w:val="center"/>
                    <w:textAlignment w:val="baseline"/>
                    <w:rPr>
                      <w:color w:val="000000" w:themeColor="text1"/>
                      <w14:textFill>
                        <w14:solidFill>
                          <w14:schemeClr w14:val="tx1"/>
                        </w14:solidFill>
                      </w14:textFill>
                    </w:rPr>
                  </w:pPr>
                </w:p>
                <w:p>
                  <w:pPr>
                    <w:adjustRightInd w:val="0"/>
                    <w:spacing w:line="312" w:lineRule="atLeast"/>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8</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氨氮/（mg/L）</w:t>
                  </w:r>
                </w:p>
              </w:tc>
              <w:tc>
                <w:tcPr>
                  <w:tcW w:w="1799"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动植物油/（mg/L）</w:t>
                  </w:r>
                </w:p>
              </w:tc>
              <w:tc>
                <w:tcPr>
                  <w:tcW w:w="1799"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石油类/（mg/L）</w:t>
                  </w:r>
                </w:p>
              </w:tc>
              <w:tc>
                <w:tcPr>
                  <w:tcW w:w="1799"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11</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阴离子表面活性剂/（mg/L）</w:t>
                  </w:r>
                </w:p>
              </w:tc>
              <w:tc>
                <w:tcPr>
                  <w:tcW w:w="1799"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12</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色度/（稀释倍数）</w:t>
                  </w:r>
                </w:p>
              </w:tc>
              <w:tc>
                <w:tcPr>
                  <w:tcW w:w="1799"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13</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挥发酚/（mg/L）</w:t>
                  </w:r>
                </w:p>
              </w:tc>
              <w:tc>
                <w:tcPr>
                  <w:tcW w:w="1799"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14</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总氰化物/（mg/L）</w:t>
                  </w:r>
                </w:p>
              </w:tc>
              <w:tc>
                <w:tcPr>
                  <w:tcW w:w="1799"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15</w:t>
                  </w:r>
                </w:p>
              </w:tc>
              <w:tc>
                <w:tcPr>
                  <w:tcW w:w="3934" w:type="dxa"/>
                  <w:vAlign w:val="center"/>
                </w:tcPr>
                <w:p>
                  <w:pPr>
                    <w:widowControl/>
                    <w:jc w:val="left"/>
                    <w:rPr>
                      <w:bCs/>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总汞</w:t>
                  </w:r>
                  <w:r>
                    <w:rPr>
                      <w:color w:val="000000" w:themeColor="text1"/>
                      <w:kern w:val="0"/>
                      <w:szCs w:val="21"/>
                      <w:lang w:bidi="ar"/>
                      <w14:textFill>
                        <w14:solidFill>
                          <w14:schemeClr w14:val="tx1"/>
                        </w14:solidFill>
                      </w14:textFill>
                    </w:rPr>
                    <w:t>/</w:t>
                  </w:r>
                  <w:r>
                    <w:rPr>
                      <w:rFonts w:hint="eastAsia" w:ascii="宋体" w:hAnsi="宋体" w:cs="宋体"/>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mg/L</w:t>
                  </w:r>
                  <w:r>
                    <w:rPr>
                      <w:rFonts w:hint="eastAsia" w:ascii="宋体" w:hAnsi="宋体" w:cs="宋体"/>
                      <w:color w:val="000000" w:themeColor="text1"/>
                      <w:kern w:val="0"/>
                      <w:szCs w:val="21"/>
                      <w:lang w:bidi="ar"/>
                      <w14:textFill>
                        <w14:solidFill>
                          <w14:schemeClr w14:val="tx1"/>
                        </w14:solidFill>
                      </w14:textFill>
                    </w:rPr>
                    <w:t>）</w:t>
                  </w:r>
                </w:p>
              </w:tc>
              <w:tc>
                <w:tcPr>
                  <w:tcW w:w="1799"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16</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总镉/（mg/L）</w:t>
                  </w:r>
                </w:p>
              </w:tc>
              <w:tc>
                <w:tcPr>
                  <w:tcW w:w="1799"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17</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总铬/（mg/L）</w:t>
                  </w:r>
                </w:p>
              </w:tc>
              <w:tc>
                <w:tcPr>
                  <w:tcW w:w="1799"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18</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六价铬/（mg/L）</w:t>
                  </w:r>
                </w:p>
              </w:tc>
              <w:tc>
                <w:tcPr>
                  <w:tcW w:w="1799"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19</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总砷/（mg/L）</w:t>
                  </w:r>
                </w:p>
              </w:tc>
              <w:tc>
                <w:tcPr>
                  <w:tcW w:w="1799"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20</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总铅/（mg/L）</w:t>
                  </w:r>
                </w:p>
              </w:tc>
              <w:tc>
                <w:tcPr>
                  <w:tcW w:w="1799"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21</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总银/（mg/L）</w:t>
                  </w:r>
                </w:p>
              </w:tc>
              <w:tc>
                <w:tcPr>
                  <w:tcW w:w="1799"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22</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总α/(Bq/L)</w:t>
                  </w:r>
                </w:p>
              </w:tc>
              <w:tc>
                <w:tcPr>
                  <w:tcW w:w="1799"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23</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总β/(Bq/L)</w:t>
                  </w:r>
                </w:p>
              </w:tc>
              <w:tc>
                <w:tcPr>
                  <w:tcW w:w="1799"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1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24</w:t>
                  </w:r>
                </w:p>
              </w:tc>
              <w:tc>
                <w:tcPr>
                  <w:tcW w:w="3934" w:type="dxa"/>
                  <w:vAlign w:val="center"/>
                </w:tcPr>
                <w:p>
                  <w:pPr>
                    <w:adjustRightInd w:val="0"/>
                    <w:spacing w:line="312" w:lineRule="atLeast"/>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总余氯/（mg/L）</w:t>
                  </w:r>
                </w:p>
              </w:tc>
              <w:tc>
                <w:tcPr>
                  <w:tcW w:w="1799"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bl>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注：1）采用含氯消毒剂消毒的工艺控制要求为：预处理标准消毒接触池接触时间≥1.0h，接触池出口总余氯2~8mg/L。</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2）采用其他消毒剂对总余氯不作要求。</w:t>
            </w:r>
          </w:p>
          <w:p>
            <w:pPr>
              <w:numPr>
                <w:ilvl w:val="0"/>
                <w:numId w:val="11"/>
              </w:numPr>
              <w:jc w:val="center"/>
              <w:rPr>
                <w:rFonts w:hint="eastAsia"/>
                <w:b/>
                <w:bCs/>
                <w:color w:val="000000" w:themeColor="text1"/>
                <w:sz w:val="24"/>
                <w:szCs w:val="32"/>
                <w:lang w:eastAsia="zh-CN"/>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污水排入城市下水道水质标准</w:t>
            </w:r>
          </w:p>
          <w:tbl>
            <w:tblPr>
              <w:tblStyle w:val="23"/>
              <w:tblW w:w="74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27"/>
              <w:gridCol w:w="1925"/>
              <w:gridCol w:w="28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627" w:type="dxa"/>
                  <w:vAlign w:val="center"/>
                </w:tcPr>
                <w:p>
                  <w:pPr>
                    <w:adjustRightInd w:val="0"/>
                    <w:spacing w:line="312" w:lineRule="atLeast"/>
                    <w:jc w:val="center"/>
                    <w:textAlignment w:val="baseline"/>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项目名称</w:t>
                  </w:r>
                </w:p>
              </w:tc>
              <w:tc>
                <w:tcPr>
                  <w:tcW w:w="192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氨氮/（mg/L）</w:t>
                  </w:r>
                </w:p>
              </w:tc>
              <w:tc>
                <w:tcPr>
                  <w:tcW w:w="2887"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hAnsi="宋体"/>
                      <w:bCs/>
                      <w:color w:val="000000" w:themeColor="text1"/>
                      <w:szCs w:val="21"/>
                      <w:lang w:val="en-US" w:eastAsia="zh-CN"/>
                      <w14:textFill>
                        <w14:solidFill>
                          <w14:schemeClr w14:val="tx1"/>
                        </w14:solidFill>
                      </w14:textFill>
                    </w:rPr>
                    <w:t>总磷</w:t>
                  </w:r>
                  <w:r>
                    <w:rPr>
                      <w:rFonts w:hint="eastAsia" w:hAnsi="宋体"/>
                      <w:bCs/>
                      <w:color w:val="000000" w:themeColor="text1"/>
                      <w:szCs w:val="21"/>
                      <w14:textFill>
                        <w14:solidFill>
                          <w14:schemeClr w14:val="tx1"/>
                        </w14:solidFill>
                      </w14:textFill>
                    </w:rPr>
                    <w:t>（以P计）</w:t>
                  </w:r>
                  <w:r>
                    <w:rPr>
                      <w:rFonts w:hint="default" w:ascii="Times New Roman" w:hAnsi="Times New Roman" w:cs="Times New Roman"/>
                      <w:bCs/>
                      <w:color w:val="000000" w:themeColor="text1"/>
                      <w:szCs w:val="21"/>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627" w:type="dxa"/>
                  <w:vAlign w:val="center"/>
                </w:tcPr>
                <w:p>
                  <w:pPr>
                    <w:adjustRightInd w:val="0"/>
                    <w:spacing w:line="312" w:lineRule="atLeast"/>
                    <w:jc w:val="center"/>
                    <w:textAlignment w:val="baseline"/>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标准限值</w:t>
                  </w:r>
                </w:p>
              </w:tc>
              <w:tc>
                <w:tcPr>
                  <w:tcW w:w="1925" w:type="dxa"/>
                  <w:vAlign w:val="center"/>
                </w:tcPr>
                <w:p>
                  <w:pPr>
                    <w:adjustRightInd w:val="0"/>
                    <w:spacing w:line="312" w:lineRule="atLeast"/>
                    <w:jc w:val="center"/>
                    <w:textAlignment w:val="baseline"/>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45</w:t>
                  </w:r>
                </w:p>
              </w:tc>
              <w:tc>
                <w:tcPr>
                  <w:tcW w:w="2887" w:type="dxa"/>
                  <w:vAlign w:val="center"/>
                </w:tcPr>
                <w:p>
                  <w:pPr>
                    <w:adjustRightInd w:val="0"/>
                    <w:spacing w:line="312" w:lineRule="atLeast"/>
                    <w:jc w:val="center"/>
                    <w:textAlignment w:val="baseline"/>
                    <w:rPr>
                      <w:rFonts w:hint="default"/>
                      <w:bCs/>
                      <w:color w:val="000000" w:themeColor="text1"/>
                      <w:szCs w:val="21"/>
                      <w:lang w:val="en-US"/>
                      <w14:textFill>
                        <w14:solidFill>
                          <w14:schemeClr w14:val="tx1"/>
                        </w14:solidFill>
                      </w14:textFill>
                    </w:rPr>
                  </w:pPr>
                  <w:r>
                    <w:rPr>
                      <w:rFonts w:hint="eastAsia"/>
                      <w:bCs/>
                      <w:color w:val="000000" w:themeColor="text1"/>
                      <w:szCs w:val="21"/>
                      <w:lang w:val="en-US" w:eastAsia="zh-CN"/>
                      <w14:textFill>
                        <w14:solidFill>
                          <w14:schemeClr w14:val="tx1"/>
                        </w14:solidFill>
                      </w14:textFill>
                    </w:rPr>
                    <w:t>8</w:t>
                  </w:r>
                </w:p>
              </w:tc>
            </w:tr>
          </w:tbl>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2、噪声</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施工期场界噪声执行《建筑施工场界环境噪声排放标准》（GB 12523-2011）中的相关标准；</w:t>
            </w:r>
          </w:p>
          <w:p>
            <w:pPr>
              <w:numPr>
                <w:ilvl w:val="0"/>
                <w:numId w:val="11"/>
              </w:numPr>
              <w:jc w:val="center"/>
              <w:rPr>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 xml:space="preserve">建筑施工场界环境噪声排放限值 </w:t>
            </w:r>
            <w:r>
              <w:rPr>
                <w:rFonts w:hint="eastAsia"/>
                <w:color w:val="000000" w:themeColor="text1"/>
                <w:sz w:val="24"/>
                <w:szCs w:val="32"/>
                <w14:textFill>
                  <w14:solidFill>
                    <w14:schemeClr w14:val="tx1"/>
                  </w14:solidFill>
                </w14:textFill>
              </w:rPr>
              <w:t xml:space="preserve">  单位：</w:t>
            </w:r>
            <w:r>
              <w:rPr>
                <w:color w:val="000000" w:themeColor="text1"/>
                <w:sz w:val="24"/>
                <w:szCs w:val="32"/>
                <w14:textFill>
                  <w14:solidFill>
                    <w14:schemeClr w14:val="tx1"/>
                  </w14:solidFill>
                </w14:textFill>
              </w:rPr>
              <w:t>dB</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A</w:t>
            </w:r>
            <w:r>
              <w:rPr>
                <w:rFonts w:hint="eastAsia"/>
                <w:color w:val="000000" w:themeColor="text1"/>
                <w:sz w:val="24"/>
                <w:szCs w:val="32"/>
                <w14:textFill>
                  <w14:solidFill>
                    <w14:schemeClr w14:val="tx1"/>
                  </w14:solidFill>
                </w14:textFill>
              </w:rPr>
              <w:t>）</w:t>
            </w:r>
          </w:p>
          <w:tbl>
            <w:tblPr>
              <w:tblStyle w:val="23"/>
              <w:tblW w:w="78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11"/>
              <w:gridCol w:w="39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911" w:type="dxa"/>
                  <w:tcBorders>
                    <w:top w:val="single" w:color="auto" w:sz="12"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昼间</w:t>
                  </w:r>
                </w:p>
              </w:tc>
              <w:tc>
                <w:tcPr>
                  <w:tcW w:w="3909" w:type="dxa"/>
                  <w:tcBorders>
                    <w:top w:val="single" w:color="auto" w:sz="12" w:space="0"/>
                    <w:left w:val="single" w:color="auto" w:sz="4" w:space="0"/>
                    <w:bottom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911" w:type="dxa"/>
                  <w:tcBorders>
                    <w:top w:val="single" w:color="auto" w:sz="4" w:space="0"/>
                    <w:bottom w:val="single" w:color="auto" w:sz="12"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w:t>
                  </w:r>
                </w:p>
              </w:tc>
              <w:tc>
                <w:tcPr>
                  <w:tcW w:w="3909" w:type="dxa"/>
                  <w:tcBorders>
                    <w:top w:val="single" w:color="auto" w:sz="4" w:space="0"/>
                    <w:left w:val="single" w:color="auto" w:sz="4" w:space="0"/>
                    <w:bottom w:val="single" w:color="auto" w:sz="12"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w:t>
                  </w:r>
                </w:p>
              </w:tc>
            </w:tr>
          </w:tbl>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营运期执行《工业企业厂界环境噪声排放标准》（GB12348-2008）中2类、4a类标准；</w:t>
            </w:r>
          </w:p>
          <w:p>
            <w:pPr>
              <w:numPr>
                <w:ilvl w:val="0"/>
                <w:numId w:val="11"/>
              </w:numPr>
              <w:jc w:val="cente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工业企业厂界环境噪声排放标准  单位：dB（A）</w:t>
            </w:r>
          </w:p>
          <w:tbl>
            <w:tblPr>
              <w:tblStyle w:val="23"/>
              <w:tblW w:w="70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4"/>
              <w:gridCol w:w="1775"/>
              <w:gridCol w:w="1775"/>
              <w:gridCol w:w="17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74"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类别</w:t>
                  </w:r>
                </w:p>
              </w:tc>
              <w:tc>
                <w:tcPr>
                  <w:tcW w:w="177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Ansi="宋体"/>
                      <w:bCs/>
                      <w:color w:val="000000" w:themeColor="text1"/>
                      <w:szCs w:val="21"/>
                      <w14:textFill>
                        <w14:solidFill>
                          <w14:schemeClr w14:val="tx1"/>
                        </w14:solidFill>
                      </w14:textFill>
                    </w:rPr>
                    <w:t>昼间</w:t>
                  </w:r>
                </w:p>
              </w:tc>
              <w:tc>
                <w:tcPr>
                  <w:tcW w:w="177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Ansi="宋体"/>
                      <w:bCs/>
                      <w:color w:val="000000" w:themeColor="text1"/>
                      <w:szCs w:val="21"/>
                      <w14:textFill>
                        <w14:solidFill>
                          <w14:schemeClr w14:val="tx1"/>
                        </w14:solidFill>
                      </w14:textFill>
                    </w:rPr>
                    <w:t>夜间</w:t>
                  </w:r>
                </w:p>
              </w:tc>
              <w:tc>
                <w:tcPr>
                  <w:tcW w:w="1775" w:type="dxa"/>
                  <w:vAlign w:val="center"/>
                </w:tcPr>
                <w:p>
                  <w:pPr>
                    <w:adjustRightInd w:val="0"/>
                    <w:spacing w:line="312" w:lineRule="atLeast"/>
                    <w:jc w:val="center"/>
                    <w:textAlignment w:val="baseline"/>
                    <w:rPr>
                      <w:rFonts w:hAnsi="宋体"/>
                      <w:bCs/>
                      <w:color w:val="000000" w:themeColor="text1"/>
                      <w:szCs w:val="21"/>
                      <w14:textFill>
                        <w14:solidFill>
                          <w14:schemeClr w14:val="tx1"/>
                        </w14:solidFill>
                      </w14:textFill>
                    </w:rPr>
                  </w:pPr>
                  <w:r>
                    <w:rPr>
                      <w:rFonts w:hint="eastAsia" w:hAnsi="宋体"/>
                      <w:bCs/>
                      <w:color w:val="000000" w:themeColor="text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774"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2类</w:t>
                  </w:r>
                  <w:r>
                    <w:rPr>
                      <w:rFonts w:hAnsi="宋体"/>
                      <w:bCs/>
                      <w:color w:val="000000" w:themeColor="text1"/>
                      <w:szCs w:val="21"/>
                      <w14:textFill>
                        <w14:solidFill>
                          <w14:schemeClr w14:val="tx1"/>
                        </w14:solidFill>
                      </w14:textFill>
                    </w:rPr>
                    <w:t>标准限值</w:t>
                  </w:r>
                </w:p>
              </w:tc>
              <w:tc>
                <w:tcPr>
                  <w:tcW w:w="177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60</w:t>
                  </w:r>
                </w:p>
              </w:tc>
              <w:tc>
                <w:tcPr>
                  <w:tcW w:w="177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50</w:t>
                  </w:r>
                </w:p>
              </w:tc>
              <w:tc>
                <w:tcPr>
                  <w:tcW w:w="177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774"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西侧、南侧4a类</w:t>
                  </w:r>
                  <w:r>
                    <w:rPr>
                      <w:rFonts w:hAnsi="宋体"/>
                      <w:bCs/>
                      <w:color w:val="000000" w:themeColor="text1"/>
                      <w:szCs w:val="21"/>
                      <w14:textFill>
                        <w14:solidFill>
                          <w14:schemeClr w14:val="tx1"/>
                        </w14:solidFill>
                      </w14:textFill>
                    </w:rPr>
                    <w:t>标准限值</w:t>
                  </w:r>
                </w:p>
              </w:tc>
              <w:tc>
                <w:tcPr>
                  <w:tcW w:w="177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70</w:t>
                  </w:r>
                </w:p>
              </w:tc>
              <w:tc>
                <w:tcPr>
                  <w:tcW w:w="177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55</w:t>
                  </w:r>
                </w:p>
              </w:tc>
              <w:tc>
                <w:tcPr>
                  <w:tcW w:w="1775" w:type="dxa"/>
                  <w:vAlign w:val="center"/>
                </w:tcPr>
                <w:p>
                  <w:pPr>
                    <w:adjustRightInd w:val="0"/>
                    <w:spacing w:line="312" w:lineRule="atLeast"/>
                    <w:jc w:val="center"/>
                    <w:textAlignment w:val="baseline"/>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西侧、南侧紧邻交通干道</w:t>
                  </w:r>
                </w:p>
              </w:tc>
            </w:tr>
          </w:tbl>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3、</w:t>
            </w:r>
            <w:r>
              <w:rPr>
                <w:rFonts w:hint="eastAsia"/>
                <w:b/>
                <w:color w:val="000000" w:themeColor="text1"/>
                <w:sz w:val="24"/>
                <w14:textFill>
                  <w14:solidFill>
                    <w14:schemeClr w14:val="tx1"/>
                  </w14:solidFill>
                </w14:textFill>
              </w:rPr>
              <w:t>大气污染物</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项目施工期间，废气执行《四川省施工场地扬尘排放标准》（DB 51/2682--2020）中表1 四川省施工场地扬尘排放限值，标准值见下表。</w:t>
            </w:r>
          </w:p>
          <w:p>
            <w:pPr>
              <w:numPr>
                <w:ilvl w:val="0"/>
                <w:numId w:val="11"/>
              </w:numPr>
              <w:jc w:val="cente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 xml:space="preserve">四川省施工场地扬尘排放标准 </w:t>
            </w:r>
            <w:r>
              <w:rPr>
                <w:rFonts w:hint="eastAsia"/>
                <w:color w:val="000000" w:themeColor="text1"/>
                <w:sz w:val="24"/>
                <w:szCs w:val="32"/>
                <w14:textFill>
                  <w14:solidFill>
                    <w14:schemeClr w14:val="tx1"/>
                  </w14:solidFill>
                </w14:textFill>
              </w:rPr>
              <w:t xml:space="preserve">    单位：mg/m</w:t>
            </w:r>
            <w:r>
              <w:rPr>
                <w:rFonts w:hint="eastAsia"/>
                <w:color w:val="000000" w:themeColor="text1"/>
                <w:sz w:val="24"/>
                <w:szCs w:val="32"/>
                <w:vertAlign w:val="superscript"/>
                <w14:textFill>
                  <w14:solidFill>
                    <w14:schemeClr w14:val="tx1"/>
                  </w14:solidFill>
                </w14:textFill>
              </w:rPr>
              <w:t>3</w:t>
            </w:r>
          </w:p>
          <w:tbl>
            <w:tblPr>
              <w:tblStyle w:val="2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1970"/>
              <w:gridCol w:w="1970"/>
              <w:gridCol w:w="19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970" w:type="dxa"/>
                  <w:tcBorders>
                    <w:tl2br w:val="nil"/>
                    <w:tr2bl w:val="nil"/>
                  </w:tcBorders>
                  <w:vAlign w:val="center"/>
                </w:tcPr>
                <w:p>
                  <w:pPr>
                    <w:adjustRightInd w:val="0"/>
                    <w:spacing w:line="312" w:lineRule="atLeast"/>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w:t>
                  </w:r>
                </w:p>
              </w:tc>
              <w:tc>
                <w:tcPr>
                  <w:tcW w:w="1970" w:type="dxa"/>
                  <w:tcBorders>
                    <w:tl2br w:val="nil"/>
                    <w:tr2bl w:val="nil"/>
                  </w:tcBorders>
                  <w:vAlign w:val="center"/>
                </w:tcPr>
                <w:p>
                  <w:pPr>
                    <w:adjustRightInd w:val="0"/>
                    <w:spacing w:line="312" w:lineRule="atLeast"/>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区域</w:t>
                  </w:r>
                </w:p>
              </w:tc>
              <w:tc>
                <w:tcPr>
                  <w:tcW w:w="1970" w:type="dxa"/>
                  <w:tcBorders>
                    <w:tl2br w:val="nil"/>
                    <w:tr2bl w:val="nil"/>
                  </w:tcBorders>
                  <w:vAlign w:val="center"/>
                </w:tcPr>
                <w:p>
                  <w:pPr>
                    <w:adjustRightInd w:val="0"/>
                    <w:spacing w:line="312" w:lineRule="atLeast"/>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施工阶段</w:t>
                  </w:r>
                </w:p>
              </w:tc>
              <w:tc>
                <w:tcPr>
                  <w:tcW w:w="1970" w:type="dxa"/>
                  <w:tcBorders>
                    <w:tl2br w:val="nil"/>
                    <w:tr2bl w:val="nil"/>
                  </w:tcBorders>
                  <w:vAlign w:val="center"/>
                </w:tcPr>
                <w:p>
                  <w:pPr>
                    <w:adjustRightInd w:val="0"/>
                    <w:spacing w:line="312" w:lineRule="atLeast"/>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970" w:type="dxa"/>
                  <w:vMerge w:val="restart"/>
                  <w:tcBorders>
                    <w:tl2br w:val="nil"/>
                    <w:tr2bl w:val="nil"/>
                  </w:tcBorders>
                  <w:vAlign w:val="center"/>
                </w:tcPr>
                <w:p>
                  <w:pPr>
                    <w:adjustRightInd w:val="0"/>
                    <w:spacing w:line="312" w:lineRule="atLeast"/>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TSP</w:t>
                  </w:r>
                </w:p>
              </w:tc>
              <w:tc>
                <w:tcPr>
                  <w:tcW w:w="1970" w:type="dxa"/>
                  <w:vMerge w:val="restart"/>
                  <w:tcBorders>
                    <w:tl2br w:val="nil"/>
                    <w:tr2bl w:val="nil"/>
                  </w:tcBorders>
                  <w:vAlign w:val="center"/>
                </w:tcPr>
                <w:p>
                  <w:pPr>
                    <w:adjustRightInd w:val="0"/>
                    <w:spacing w:line="312" w:lineRule="atLeast"/>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攀枝花市、阿坝藏族羌族自治州、甘孜藏族自治州、凉山彝族自治州 </w:t>
                  </w:r>
                </w:p>
              </w:tc>
              <w:tc>
                <w:tcPr>
                  <w:tcW w:w="1970" w:type="dxa"/>
                  <w:tcBorders>
                    <w:tl2br w:val="nil"/>
                    <w:tr2bl w:val="nil"/>
                  </w:tcBorders>
                  <w:vAlign w:val="center"/>
                </w:tcPr>
                <w:p>
                  <w:pPr>
                    <w:adjustRightInd w:val="0"/>
                    <w:spacing w:line="312" w:lineRule="atLeast"/>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拆除工程/土方工程/土方回填阶段</w:t>
                  </w:r>
                </w:p>
              </w:tc>
              <w:tc>
                <w:tcPr>
                  <w:tcW w:w="1970" w:type="dxa"/>
                  <w:tcBorders>
                    <w:tl2br w:val="nil"/>
                    <w:tr2bl w:val="nil"/>
                  </w:tcBorders>
                  <w:vAlign w:val="center"/>
                </w:tcPr>
                <w:p>
                  <w:pPr>
                    <w:adjustRightInd w:val="0"/>
                    <w:spacing w:line="312" w:lineRule="atLeast"/>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970" w:type="dxa"/>
                  <w:vMerge w:val="continue"/>
                  <w:tcBorders>
                    <w:tl2br w:val="nil"/>
                    <w:tr2bl w:val="nil"/>
                  </w:tcBorders>
                  <w:vAlign w:val="center"/>
                </w:tcPr>
                <w:p>
                  <w:pPr>
                    <w:adjustRightInd w:val="0"/>
                    <w:spacing w:line="312" w:lineRule="atLeast"/>
                    <w:jc w:val="center"/>
                    <w:textAlignment w:val="baseline"/>
                    <w:rPr>
                      <w:color w:val="000000" w:themeColor="text1"/>
                      <w:szCs w:val="21"/>
                      <w14:textFill>
                        <w14:solidFill>
                          <w14:schemeClr w14:val="tx1"/>
                        </w14:solidFill>
                      </w14:textFill>
                    </w:rPr>
                  </w:pPr>
                </w:p>
              </w:tc>
              <w:tc>
                <w:tcPr>
                  <w:tcW w:w="1970" w:type="dxa"/>
                  <w:vMerge w:val="continue"/>
                  <w:tcBorders>
                    <w:tl2br w:val="nil"/>
                    <w:tr2bl w:val="nil"/>
                  </w:tcBorders>
                  <w:vAlign w:val="center"/>
                </w:tcPr>
                <w:p>
                  <w:pPr>
                    <w:adjustRightInd w:val="0"/>
                    <w:spacing w:line="312" w:lineRule="atLeast"/>
                    <w:jc w:val="center"/>
                    <w:textAlignment w:val="baseline"/>
                    <w:rPr>
                      <w:color w:val="000000" w:themeColor="text1"/>
                      <w:szCs w:val="21"/>
                      <w14:textFill>
                        <w14:solidFill>
                          <w14:schemeClr w14:val="tx1"/>
                        </w14:solidFill>
                      </w14:textFill>
                    </w:rPr>
                  </w:pPr>
                </w:p>
              </w:tc>
              <w:tc>
                <w:tcPr>
                  <w:tcW w:w="1970" w:type="dxa"/>
                  <w:tcBorders>
                    <w:tl2br w:val="nil"/>
                    <w:tr2bl w:val="nil"/>
                  </w:tcBorders>
                  <w:vAlign w:val="center"/>
                </w:tcPr>
                <w:p>
                  <w:pPr>
                    <w:adjustRightInd w:val="0"/>
                    <w:spacing w:line="312" w:lineRule="atLeast"/>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其他工程阶段</w:t>
                  </w:r>
                </w:p>
              </w:tc>
              <w:tc>
                <w:tcPr>
                  <w:tcW w:w="1970" w:type="dxa"/>
                  <w:tcBorders>
                    <w:tl2br w:val="nil"/>
                    <w:tr2bl w:val="nil"/>
                  </w:tcBorders>
                  <w:vAlign w:val="center"/>
                </w:tcPr>
                <w:p>
                  <w:pPr>
                    <w:adjustRightInd w:val="0"/>
                    <w:spacing w:line="312" w:lineRule="atLeast"/>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0.35</w:t>
                  </w:r>
                </w:p>
              </w:tc>
            </w:tr>
          </w:tbl>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项目运营期大气污染物主要为就医人员及就医过程中产生的浊气，执行《恶臭污染物排放标准》（GB14554-93）中表1中二级标准限值，标准值见下表。</w:t>
            </w:r>
          </w:p>
          <w:p>
            <w:pPr>
              <w:numPr>
                <w:ilvl w:val="0"/>
                <w:numId w:val="11"/>
              </w:numPr>
              <w:jc w:val="center"/>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恶臭污染物厂界标准值</w:t>
            </w:r>
          </w:p>
          <w:tbl>
            <w:tblPr>
              <w:tblStyle w:val="23"/>
              <w:tblW w:w="67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83"/>
              <w:gridCol w:w="1725"/>
              <w:gridCol w:w="1385"/>
              <w:gridCol w:w="13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283" w:type="dxa"/>
                  <w:vMerge w:val="restart"/>
                  <w:tcBorders>
                    <w:tl2br w:val="nil"/>
                    <w:tr2bl w:val="nil"/>
                  </w:tcBorders>
                  <w:vAlign w:val="center"/>
                </w:tcPr>
                <w:p>
                  <w:pPr>
                    <w:pStyle w:val="6"/>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控制项目</w:t>
                  </w:r>
                </w:p>
              </w:tc>
              <w:tc>
                <w:tcPr>
                  <w:tcW w:w="1725" w:type="dxa"/>
                  <w:vMerge w:val="restart"/>
                  <w:tcBorders>
                    <w:tl2br w:val="nil"/>
                    <w:tr2bl w:val="nil"/>
                  </w:tcBorders>
                  <w:vAlign w:val="center"/>
                </w:tcPr>
                <w:p>
                  <w:pPr>
                    <w:pStyle w:val="6"/>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单位</w:t>
                  </w:r>
                </w:p>
              </w:tc>
              <w:tc>
                <w:tcPr>
                  <w:tcW w:w="2770" w:type="dxa"/>
                  <w:gridSpan w:val="2"/>
                  <w:tcBorders>
                    <w:tl2br w:val="nil"/>
                    <w:tr2bl w:val="nil"/>
                  </w:tcBorders>
                  <w:vAlign w:val="center"/>
                </w:tcPr>
                <w:p>
                  <w:pPr>
                    <w:pStyle w:val="6"/>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283" w:type="dxa"/>
                  <w:vMerge w:val="continue"/>
                  <w:tcBorders>
                    <w:tl2br w:val="nil"/>
                    <w:tr2bl w:val="nil"/>
                  </w:tcBorders>
                  <w:vAlign w:val="center"/>
                </w:tcPr>
                <w:p>
                  <w:pPr>
                    <w:pStyle w:val="6"/>
                    <w:spacing w:before="0" w:after="0" w:line="240" w:lineRule="auto"/>
                    <w:ind w:right="0"/>
                    <w:jc w:val="center"/>
                    <w:rPr>
                      <w:color w:val="000000" w:themeColor="text1"/>
                      <w:sz w:val="21"/>
                      <w:szCs w:val="21"/>
                      <w14:textFill>
                        <w14:solidFill>
                          <w14:schemeClr w14:val="tx1"/>
                        </w14:solidFill>
                      </w14:textFill>
                    </w:rPr>
                  </w:pPr>
                </w:p>
              </w:tc>
              <w:tc>
                <w:tcPr>
                  <w:tcW w:w="1725" w:type="dxa"/>
                  <w:vMerge w:val="continue"/>
                  <w:tcBorders>
                    <w:tl2br w:val="nil"/>
                    <w:tr2bl w:val="nil"/>
                  </w:tcBorders>
                  <w:vAlign w:val="center"/>
                </w:tcPr>
                <w:p>
                  <w:pPr>
                    <w:pStyle w:val="6"/>
                    <w:spacing w:before="0" w:after="0" w:line="240" w:lineRule="auto"/>
                    <w:ind w:right="0"/>
                    <w:jc w:val="center"/>
                    <w:rPr>
                      <w:color w:val="000000" w:themeColor="text1"/>
                      <w:sz w:val="21"/>
                      <w:szCs w:val="21"/>
                      <w14:textFill>
                        <w14:solidFill>
                          <w14:schemeClr w14:val="tx1"/>
                        </w14:solidFill>
                      </w14:textFill>
                    </w:rPr>
                  </w:pPr>
                </w:p>
              </w:tc>
              <w:tc>
                <w:tcPr>
                  <w:tcW w:w="1385" w:type="dxa"/>
                  <w:tcBorders>
                    <w:tl2br w:val="nil"/>
                    <w:tr2bl w:val="nil"/>
                  </w:tcBorders>
                  <w:vAlign w:val="center"/>
                </w:tcPr>
                <w:p>
                  <w:pPr>
                    <w:pStyle w:val="6"/>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新扩改建</w:t>
                  </w:r>
                </w:p>
              </w:tc>
              <w:tc>
                <w:tcPr>
                  <w:tcW w:w="1385" w:type="dxa"/>
                  <w:tcBorders>
                    <w:tl2br w:val="nil"/>
                    <w:tr2bl w:val="nil"/>
                  </w:tcBorders>
                  <w:vAlign w:val="center"/>
                </w:tcPr>
                <w:p>
                  <w:pPr>
                    <w:pStyle w:val="6"/>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283" w:type="dxa"/>
                  <w:tcBorders>
                    <w:tl2br w:val="nil"/>
                    <w:tr2bl w:val="nil"/>
                  </w:tcBorders>
                  <w:vAlign w:val="center"/>
                </w:tcPr>
                <w:p>
                  <w:pPr>
                    <w:pStyle w:val="6"/>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臭气浓度</w:t>
                  </w:r>
                </w:p>
              </w:tc>
              <w:tc>
                <w:tcPr>
                  <w:tcW w:w="1725" w:type="dxa"/>
                  <w:tcBorders>
                    <w:tl2br w:val="nil"/>
                    <w:tr2bl w:val="nil"/>
                  </w:tcBorders>
                  <w:vAlign w:val="center"/>
                </w:tcPr>
                <w:p>
                  <w:pPr>
                    <w:pStyle w:val="6"/>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无量纲</w:t>
                  </w:r>
                </w:p>
              </w:tc>
              <w:tc>
                <w:tcPr>
                  <w:tcW w:w="1385" w:type="dxa"/>
                  <w:tcBorders>
                    <w:tl2br w:val="nil"/>
                    <w:tr2bl w:val="nil"/>
                  </w:tcBorders>
                  <w:vAlign w:val="center"/>
                </w:tcPr>
                <w:p>
                  <w:pPr>
                    <w:pStyle w:val="6"/>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1385" w:type="dxa"/>
                  <w:tcBorders>
                    <w:tl2br w:val="nil"/>
                    <w:tr2bl w:val="nil"/>
                  </w:tcBorders>
                  <w:vAlign w:val="center"/>
                </w:tcPr>
                <w:p>
                  <w:pPr>
                    <w:pStyle w:val="6"/>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w:t>
                  </w:r>
                </w:p>
              </w:tc>
            </w:tr>
          </w:tbl>
          <w:p>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运营期污水处理设施恶臭执行《医疗机构水污染物排放标准》（GB 18466-2005）中表3中污水处理站周边大气污染物最高允许浓度标准。</w:t>
            </w:r>
          </w:p>
          <w:p>
            <w:pPr>
              <w:numPr>
                <w:ilvl w:val="0"/>
                <w:numId w:val="11"/>
              </w:numPr>
              <w:jc w:val="center"/>
              <w:rPr>
                <w:rFonts w:hint="eastAsia"/>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污水处理站周边大气污染物最高允许浓度限值</w:t>
            </w:r>
          </w:p>
          <w:tbl>
            <w:tblPr>
              <w:tblStyle w:val="23"/>
              <w:tblW w:w="75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19"/>
              <w:gridCol w:w="939"/>
              <w:gridCol w:w="28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19" w:type="dxa"/>
                  <w:vMerge w:val="restart"/>
                  <w:tcBorders>
                    <w:tl2br w:val="nil"/>
                    <w:tr2bl w:val="nil"/>
                  </w:tcBorders>
                  <w:vAlign w:val="center"/>
                </w:tcPr>
                <w:p>
                  <w:pPr>
                    <w:pStyle w:val="6"/>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标准名称及级（类）别</w:t>
                  </w:r>
                </w:p>
              </w:tc>
              <w:tc>
                <w:tcPr>
                  <w:tcW w:w="939" w:type="dxa"/>
                  <w:vMerge w:val="restart"/>
                  <w:tcBorders>
                    <w:tl2br w:val="nil"/>
                    <w:tr2bl w:val="nil"/>
                  </w:tcBorders>
                  <w:vAlign w:val="center"/>
                </w:tcPr>
                <w:p>
                  <w:pPr>
                    <w:pStyle w:val="6"/>
                    <w:spacing w:before="0" w:after="0" w:line="240" w:lineRule="auto"/>
                    <w:ind w:right="0"/>
                    <w:jc w:val="center"/>
                    <w:rPr>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污染因子</w:t>
                  </w:r>
                </w:p>
              </w:tc>
              <w:tc>
                <w:tcPr>
                  <w:tcW w:w="2841" w:type="dxa"/>
                  <w:tcBorders>
                    <w:tl2br w:val="nil"/>
                    <w:tr2bl w:val="nil"/>
                  </w:tcBorders>
                  <w:vAlign w:val="center"/>
                </w:tcPr>
                <w:p>
                  <w:pPr>
                    <w:pStyle w:val="6"/>
                    <w:spacing w:before="0" w:after="0" w:line="240" w:lineRule="auto"/>
                    <w:ind w:right="0"/>
                    <w:jc w:val="center"/>
                    <w:rPr>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819" w:type="dxa"/>
                  <w:vMerge w:val="continue"/>
                  <w:tcBorders>
                    <w:tl2br w:val="nil"/>
                    <w:tr2bl w:val="nil"/>
                  </w:tcBorders>
                  <w:vAlign w:val="center"/>
                </w:tcPr>
                <w:p>
                  <w:pPr>
                    <w:pStyle w:val="6"/>
                    <w:spacing w:before="0" w:after="0" w:line="240" w:lineRule="auto"/>
                    <w:ind w:right="0"/>
                    <w:jc w:val="center"/>
                    <w:rPr>
                      <w:color w:val="000000" w:themeColor="text1"/>
                      <w:sz w:val="21"/>
                      <w:szCs w:val="21"/>
                      <w14:textFill>
                        <w14:solidFill>
                          <w14:schemeClr w14:val="tx1"/>
                        </w14:solidFill>
                      </w14:textFill>
                    </w:rPr>
                  </w:pPr>
                </w:p>
              </w:tc>
              <w:tc>
                <w:tcPr>
                  <w:tcW w:w="939" w:type="dxa"/>
                  <w:vMerge w:val="continue"/>
                  <w:tcBorders>
                    <w:tl2br w:val="nil"/>
                    <w:tr2bl w:val="nil"/>
                  </w:tcBorders>
                  <w:vAlign w:val="center"/>
                </w:tcPr>
                <w:p>
                  <w:pPr>
                    <w:pStyle w:val="6"/>
                    <w:spacing w:before="0" w:after="0" w:line="240" w:lineRule="auto"/>
                    <w:ind w:right="0"/>
                    <w:jc w:val="center"/>
                    <w:rPr>
                      <w:color w:val="000000" w:themeColor="text1"/>
                      <w:sz w:val="21"/>
                      <w:szCs w:val="21"/>
                      <w14:textFill>
                        <w14:solidFill>
                          <w14:schemeClr w14:val="tx1"/>
                        </w14:solidFill>
                      </w14:textFill>
                    </w:rPr>
                  </w:pPr>
                </w:p>
              </w:tc>
              <w:tc>
                <w:tcPr>
                  <w:tcW w:w="2841" w:type="dxa"/>
                  <w:tcBorders>
                    <w:tl2br w:val="nil"/>
                    <w:tr2bl w:val="nil"/>
                  </w:tcBorders>
                  <w:vAlign w:val="center"/>
                </w:tcPr>
                <w:p>
                  <w:pPr>
                    <w:pStyle w:val="6"/>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无组织排放监控浓度限值（mg/m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819" w:type="dxa"/>
                  <w:vMerge w:val="restart"/>
                  <w:tcBorders>
                    <w:tl2br w:val="nil"/>
                    <w:tr2bl w:val="nil"/>
                  </w:tcBorders>
                  <w:vAlign w:val="center"/>
                </w:tcPr>
                <w:p>
                  <w:pPr>
                    <w:pStyle w:val="6"/>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《医疗机构水污染物排放标准》（GB18466-2005）表3中污水处理站周边大气污染</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物最高允许浓度限值</w:t>
                  </w:r>
                </w:p>
              </w:tc>
              <w:tc>
                <w:tcPr>
                  <w:tcW w:w="939" w:type="dxa"/>
                  <w:tcBorders>
                    <w:tl2br w:val="nil"/>
                    <w:tr2bl w:val="nil"/>
                  </w:tcBorders>
                  <w:vAlign w:val="center"/>
                </w:tcPr>
                <w:p>
                  <w:pPr>
                    <w:pStyle w:val="6"/>
                    <w:spacing w:before="0" w:after="0" w:line="240" w:lineRule="auto"/>
                    <w:ind w:right="0"/>
                    <w:jc w:val="center"/>
                    <w:rPr>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氨</w:t>
                  </w:r>
                </w:p>
              </w:tc>
              <w:tc>
                <w:tcPr>
                  <w:tcW w:w="2841" w:type="dxa"/>
                  <w:tcBorders>
                    <w:tl2br w:val="nil"/>
                    <w:tr2bl w:val="nil"/>
                  </w:tcBorders>
                  <w:vAlign w:val="center"/>
                </w:tcPr>
                <w:p>
                  <w:pPr>
                    <w:pStyle w:val="6"/>
                    <w:spacing w:before="0" w:after="0" w:line="240" w:lineRule="auto"/>
                    <w:ind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819" w:type="dxa"/>
                  <w:vMerge w:val="continue"/>
                  <w:tcBorders>
                    <w:tl2br w:val="nil"/>
                    <w:tr2bl w:val="nil"/>
                  </w:tcBorders>
                  <w:vAlign w:val="center"/>
                </w:tcPr>
                <w:p>
                  <w:pPr>
                    <w:pStyle w:val="6"/>
                    <w:spacing w:before="0" w:after="0" w:line="240" w:lineRule="auto"/>
                    <w:ind w:right="0"/>
                    <w:jc w:val="center"/>
                    <w:rPr>
                      <w:rFonts w:hint="eastAsia"/>
                      <w:color w:val="000000" w:themeColor="text1"/>
                      <w:sz w:val="21"/>
                      <w:szCs w:val="21"/>
                      <w14:textFill>
                        <w14:solidFill>
                          <w14:schemeClr w14:val="tx1"/>
                        </w14:solidFill>
                      </w14:textFill>
                    </w:rPr>
                  </w:pPr>
                </w:p>
              </w:tc>
              <w:tc>
                <w:tcPr>
                  <w:tcW w:w="939" w:type="dxa"/>
                  <w:tcBorders>
                    <w:tl2br w:val="nil"/>
                    <w:tr2bl w:val="nil"/>
                  </w:tcBorders>
                  <w:vAlign w:val="center"/>
                </w:tcPr>
                <w:p>
                  <w:pPr>
                    <w:pStyle w:val="6"/>
                    <w:spacing w:before="0" w:after="0" w:line="240" w:lineRule="auto"/>
                    <w:ind w:right="0"/>
                    <w:jc w:val="center"/>
                    <w:rPr>
                      <w:rFonts w:hint="eastAsia"/>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硫化氢</w:t>
                  </w:r>
                </w:p>
              </w:tc>
              <w:tc>
                <w:tcPr>
                  <w:tcW w:w="2841" w:type="dxa"/>
                  <w:tcBorders>
                    <w:tl2br w:val="nil"/>
                    <w:tr2bl w:val="nil"/>
                  </w:tcBorders>
                  <w:vAlign w:val="center"/>
                </w:tcPr>
                <w:p>
                  <w:pPr>
                    <w:pStyle w:val="6"/>
                    <w:spacing w:before="0" w:after="0" w:line="240" w:lineRule="auto"/>
                    <w:ind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0.03</w:t>
                  </w:r>
                </w:p>
              </w:tc>
            </w:tr>
          </w:tbl>
          <w:p>
            <w:p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4、</w:t>
            </w:r>
            <w:r>
              <w:rPr>
                <w:b/>
                <w:color w:val="000000" w:themeColor="text1"/>
                <w:sz w:val="24"/>
                <w14:textFill>
                  <w14:solidFill>
                    <w14:schemeClr w14:val="tx1"/>
                  </w14:solidFill>
                </w14:textFill>
              </w:rPr>
              <w:t>固废</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一般工业固体废弃物执行</w:t>
            </w:r>
            <w:r>
              <w:rPr>
                <w:rFonts w:hint="eastAsia"/>
                <w:color w:val="000000" w:themeColor="text1"/>
                <w:sz w:val="24"/>
                <w14:textFill>
                  <w14:solidFill>
                    <w14:schemeClr w14:val="tx1"/>
                  </w14:solidFill>
                </w14:textFill>
              </w:rPr>
              <w:t>《一般工业固体废物贮存和填埋污染控制标准》（GB 18599-2020）中的相关规定</w:t>
            </w:r>
            <w:r>
              <w:rPr>
                <w:color w:val="000000" w:themeColor="text1"/>
                <w:sz w:val="24"/>
                <w14:textFill>
                  <w14:solidFill>
                    <w14:schemeClr w14:val="tx1"/>
                  </w14:solidFill>
                </w14:textFill>
              </w:rPr>
              <w:t>；危险废物执行《危险废物贮存污染控制标准》（GB18597-2001）及修改单中相关规定</w:t>
            </w:r>
            <w:r>
              <w:rPr>
                <w:rFonts w:hint="eastAsia"/>
                <w:color w:val="000000" w:themeColor="text1"/>
                <w:sz w:val="24"/>
                <w14:textFill>
                  <w14:solidFill>
                    <w14:schemeClr w14:val="tx1"/>
                  </w14:solidFill>
                </w14:textFill>
              </w:rPr>
              <w:t>。</w:t>
            </w:r>
          </w:p>
          <w:p>
            <w:pPr>
              <w:adjustRightInd w:val="0"/>
              <w:snapToGrid w:val="0"/>
              <w:spacing w:line="360" w:lineRule="auto"/>
              <w:ind w:firstLine="480" w:firstLineChars="200"/>
              <w:rPr>
                <w:color w:val="000000" w:themeColor="text1"/>
                <w:kern w:val="0"/>
                <w:szCs w:val="21"/>
                <w14:textFill>
                  <w14:solidFill>
                    <w14:schemeClr w14:val="tx1"/>
                  </w14:solidFill>
                </w14:textFill>
              </w:rPr>
            </w:pPr>
            <w:r>
              <w:rPr>
                <w:rFonts w:hint="eastAsia"/>
                <w:color w:val="000000" w:themeColor="text1"/>
                <w:sz w:val="24"/>
                <w14:textFill>
                  <w14:solidFill>
                    <w14:schemeClr w14:val="tx1"/>
                  </w14:solidFill>
                </w14:textFill>
              </w:rPr>
              <w:t>医疗废物：执行《医疗废物管理条例》、《医疗废物专用包装袋、容器和警示标志标准》（HJ421-2008）、《医疗废物处理处置污染控制标准》（GB39707-2020）及《危险废物贮存污染控制标准》（GB18597-2001，2013年修改）中</w:t>
            </w:r>
            <w:r>
              <w:rPr>
                <w:color w:val="000000" w:themeColor="text1"/>
                <w:sz w:val="24"/>
                <w14:textFill>
                  <w14:solidFill>
                    <w14:schemeClr w14:val="tx1"/>
                  </w14:solidFill>
                </w14:textFill>
              </w:rPr>
              <w:t>相关规定</w:t>
            </w:r>
            <w:r>
              <w:rPr>
                <w:rFonts w:hint="eastAsia"/>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00" w:type="dxa"/>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总量控制指标</w:t>
            </w:r>
          </w:p>
        </w:tc>
        <w:tc>
          <w:tcPr>
            <w:tcW w:w="8190" w:type="dxa"/>
            <w:vAlign w:val="center"/>
          </w:tcPr>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运营产生的废水依托二期污水处理设施达到</w:t>
            </w:r>
            <w:r>
              <w:rPr>
                <w:rFonts w:hint="eastAsia"/>
                <w:color w:val="000000" w:themeColor="text1"/>
                <w:sz w:val="24"/>
                <w:lang w:eastAsia="zh-CN"/>
                <w14:textFill>
                  <w14:solidFill>
                    <w14:schemeClr w14:val="tx1"/>
                  </w14:solidFill>
                </w14:textFill>
              </w:rPr>
              <w:t>《医疗机构水污染物排放标准》（GB18466-2005）表2中预处理标准，氨氮、总磷达到《污水排入城市下水道水质标准》（GB/T31962-2015）表1中A级标准后进入市政污水管网</w:t>
            </w:r>
            <w:r>
              <w:rPr>
                <w:rFonts w:hint="eastAsia" w:cs="Times New Roman"/>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总量指标已纳入污水处理厂，建议不另行设置总量控制指标，本次仅对总量进行核算：</w:t>
            </w:r>
          </w:p>
          <w:p>
            <w:pPr>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根据项目污染物排放特点，本次评价确定的污染物排放总量控制因子为</w:t>
            </w:r>
            <w:r>
              <w:rPr>
                <w:rFonts w:hint="default"/>
                <w:color w:val="000000" w:themeColor="text1"/>
                <w:sz w:val="24"/>
                <w:lang w:val="en-US" w:eastAsia="zh-CN"/>
                <w14:textFill>
                  <w14:solidFill>
                    <w14:schemeClr w14:val="tx1"/>
                  </w14:solidFill>
                </w14:textFill>
              </w:rPr>
              <w:t>COD</w:t>
            </w:r>
            <w:r>
              <w:rPr>
                <w:rFonts w:hint="default"/>
                <w:color w:val="000000" w:themeColor="text1"/>
                <w:sz w:val="24"/>
                <w:vertAlign w:val="subscript"/>
                <w:lang w:val="en-US" w:eastAsia="zh-CN"/>
                <w14:textFill>
                  <w14:solidFill>
                    <w14:schemeClr w14:val="tx1"/>
                  </w14:solidFill>
                </w14:textFill>
              </w:rPr>
              <w:t>Cr</w:t>
            </w:r>
            <w:r>
              <w:rPr>
                <w:rFonts w:hint="eastAsia"/>
                <w:color w:val="000000" w:themeColor="text1"/>
                <w:sz w:val="24"/>
                <w:lang w:val="en-US" w:eastAsia="zh-CN"/>
                <w14:textFill>
                  <w14:solidFill>
                    <w14:schemeClr w14:val="tx1"/>
                  </w14:solidFill>
                </w14:textFill>
              </w:rPr>
              <w:t>、氨氮、总磷。本项目污染物排放量如下（采用排放标准法核算）：</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污水处理设施排口：</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COD</w:t>
            </w:r>
            <w:r>
              <w:rPr>
                <w:rFonts w:hint="default"/>
                <w:color w:val="000000" w:themeColor="text1"/>
                <w:sz w:val="24"/>
                <w:vertAlign w:val="subscript"/>
                <w:lang w:val="en-US" w:eastAsia="zh-CN"/>
                <w14:textFill>
                  <w14:solidFill>
                    <w14:schemeClr w14:val="tx1"/>
                  </w14:solidFill>
                </w14:textFill>
              </w:rPr>
              <w:t>Cr</w:t>
            </w:r>
            <w:r>
              <w:rPr>
                <w:rFonts w:hint="eastAsia"/>
                <w:color w:val="000000" w:themeColor="text1"/>
                <w:sz w:val="24"/>
                <w:lang w:val="en-US" w:eastAsia="zh-CN"/>
                <w14:textFill>
                  <w14:solidFill>
                    <w14:schemeClr w14:val="tx1"/>
                  </w14:solidFill>
                </w14:textFill>
              </w:rPr>
              <w:t>：废水排放量</w:t>
            </w:r>
            <w:r>
              <w:rPr>
                <w:rFonts w:hint="default"/>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排放浓度</w:t>
            </w:r>
            <w:r>
              <w:rPr>
                <w:rFonts w:hint="default"/>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120345.98</w:t>
            </w:r>
            <w:r>
              <w:rPr>
                <w:rFonts w:hint="default"/>
                <w:color w:val="000000" w:themeColor="text1"/>
                <w:sz w:val="24"/>
                <w:lang w:val="en-US" w:eastAsia="zh-CN"/>
                <w14:textFill>
                  <w14:solidFill>
                    <w14:schemeClr w14:val="tx1"/>
                  </w14:solidFill>
                </w14:textFill>
              </w:rPr>
              <w:t>m</w:t>
            </w:r>
            <w:r>
              <w:rPr>
                <w:rFonts w:hint="default"/>
                <w:color w:val="000000" w:themeColor="text1"/>
                <w:sz w:val="24"/>
                <w:vertAlign w:val="superscript"/>
                <w:lang w:val="en-US" w:eastAsia="zh-CN"/>
                <w14:textFill>
                  <w14:solidFill>
                    <w14:schemeClr w14:val="tx1"/>
                  </w14:solidFill>
                </w14:textFill>
              </w:rPr>
              <w:t>3</w:t>
            </w:r>
            <w:r>
              <w:rPr>
                <w:rFonts w:hint="default"/>
                <w:color w:val="000000" w:themeColor="text1"/>
                <w:sz w:val="24"/>
                <w:lang w:val="en-US" w:eastAsia="zh-CN"/>
                <w14:textFill>
                  <w14:solidFill>
                    <w14:schemeClr w14:val="tx1"/>
                  </w14:solidFill>
                </w14:textFill>
              </w:rPr>
              <w:t>/a×</w:t>
            </w:r>
            <w:r>
              <w:rPr>
                <w:rFonts w:hint="eastAsia"/>
                <w:color w:val="000000" w:themeColor="text1"/>
                <w:sz w:val="24"/>
                <w:lang w:val="en-US" w:eastAsia="zh-CN"/>
                <w14:textFill>
                  <w14:solidFill>
                    <w14:schemeClr w14:val="tx1"/>
                  </w14:solidFill>
                </w14:textFill>
              </w:rPr>
              <w:t>250mg</w:t>
            </w:r>
            <w:r>
              <w:rPr>
                <w:rFonts w:hint="default"/>
                <w:color w:val="000000" w:themeColor="text1"/>
                <w:sz w:val="24"/>
                <w:lang w:val="en-US" w:eastAsia="zh-CN"/>
                <w14:textFill>
                  <w14:solidFill>
                    <w14:schemeClr w14:val="tx1"/>
                  </w14:solidFill>
                </w14:textFill>
              </w:rPr>
              <w:t>/L×10</w:t>
            </w:r>
            <w:r>
              <w:rPr>
                <w:rFonts w:hint="default"/>
                <w:color w:val="000000" w:themeColor="text1"/>
                <w:sz w:val="24"/>
                <w:vertAlign w:val="superscript"/>
                <w:lang w:val="en-US" w:eastAsia="zh-CN"/>
                <w14:textFill>
                  <w14:solidFill>
                    <w14:schemeClr w14:val="tx1"/>
                  </w14:solidFill>
                </w14:textFill>
              </w:rPr>
              <w:t>-6</w:t>
            </w:r>
            <w:r>
              <w:rPr>
                <w:rFonts w:hint="default"/>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30.09</w:t>
            </w:r>
            <w:r>
              <w:rPr>
                <w:rFonts w:hint="default"/>
                <w:color w:val="000000" w:themeColor="text1"/>
                <w:sz w:val="24"/>
                <w:lang w:val="en-US" w:eastAsia="zh-CN"/>
                <w14:textFill>
                  <w14:solidFill>
                    <w14:schemeClr w14:val="tx1"/>
                  </w14:solidFill>
                </w14:textFill>
              </w:rPr>
              <w:t>t/a</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氨氮：废水排放量×排放浓度</w:t>
            </w:r>
            <w:r>
              <w:rPr>
                <w:rFonts w:hint="default"/>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120345.98</w:t>
            </w:r>
            <w:r>
              <w:rPr>
                <w:rFonts w:hint="default"/>
                <w:color w:val="000000" w:themeColor="text1"/>
                <w:sz w:val="24"/>
                <w:lang w:val="en-US" w:eastAsia="zh-CN"/>
                <w14:textFill>
                  <w14:solidFill>
                    <w14:schemeClr w14:val="tx1"/>
                  </w14:solidFill>
                </w14:textFill>
              </w:rPr>
              <w:t>m</w:t>
            </w:r>
            <w:r>
              <w:rPr>
                <w:rFonts w:hint="default"/>
                <w:color w:val="000000" w:themeColor="text1"/>
                <w:sz w:val="24"/>
                <w:vertAlign w:val="superscript"/>
                <w:lang w:val="en-US" w:eastAsia="zh-CN"/>
                <w14:textFill>
                  <w14:solidFill>
                    <w14:schemeClr w14:val="tx1"/>
                  </w14:solidFill>
                </w14:textFill>
              </w:rPr>
              <w:t>3</w:t>
            </w:r>
            <w:r>
              <w:rPr>
                <w:rFonts w:hint="default"/>
                <w:color w:val="000000" w:themeColor="text1"/>
                <w:sz w:val="24"/>
                <w:lang w:val="en-US" w:eastAsia="zh-CN"/>
                <w14:textFill>
                  <w14:solidFill>
                    <w14:schemeClr w14:val="tx1"/>
                  </w14:solidFill>
                </w14:textFill>
              </w:rPr>
              <w:t>/a</w:t>
            </w:r>
            <w:r>
              <w:rPr>
                <w:rFonts w:hint="eastAsia"/>
                <w:color w:val="000000" w:themeColor="text1"/>
                <w:sz w:val="24"/>
                <w:lang w:val="en-US" w:eastAsia="zh-CN"/>
                <w14:textFill>
                  <w14:solidFill>
                    <w14:schemeClr w14:val="tx1"/>
                  </w14:solidFill>
                </w14:textFill>
              </w:rPr>
              <w:t>×4</w:t>
            </w:r>
            <w:r>
              <w:rPr>
                <w:rFonts w:hint="default"/>
                <w:color w:val="000000" w:themeColor="text1"/>
                <w:sz w:val="24"/>
                <w:lang w:val="en-US" w:eastAsia="zh-CN"/>
                <w14:textFill>
                  <w14:solidFill>
                    <w14:schemeClr w14:val="tx1"/>
                  </w14:solidFill>
                </w14:textFill>
              </w:rPr>
              <w:t>5mg/L</w:t>
            </w:r>
            <w:r>
              <w:rPr>
                <w:rFonts w:hint="eastAsia"/>
                <w:color w:val="000000" w:themeColor="text1"/>
                <w:sz w:val="24"/>
                <w:lang w:val="en-US" w:eastAsia="zh-CN"/>
                <w14:textFill>
                  <w14:solidFill>
                    <w14:schemeClr w14:val="tx1"/>
                  </w14:solidFill>
                </w14:textFill>
              </w:rPr>
              <w:t>×</w:t>
            </w:r>
            <w:r>
              <w:rPr>
                <w:rFonts w:hint="default"/>
                <w:color w:val="000000" w:themeColor="text1"/>
                <w:sz w:val="24"/>
                <w:lang w:val="en-US" w:eastAsia="zh-CN"/>
                <w14:textFill>
                  <w14:solidFill>
                    <w14:schemeClr w14:val="tx1"/>
                  </w14:solidFill>
                </w14:textFill>
              </w:rPr>
              <w:t>10</w:t>
            </w:r>
            <w:r>
              <w:rPr>
                <w:rFonts w:hint="default"/>
                <w:color w:val="000000" w:themeColor="text1"/>
                <w:sz w:val="24"/>
                <w:vertAlign w:val="superscript"/>
                <w:lang w:val="en-US" w:eastAsia="zh-CN"/>
                <w14:textFill>
                  <w14:solidFill>
                    <w14:schemeClr w14:val="tx1"/>
                  </w14:solidFill>
                </w14:textFill>
              </w:rPr>
              <w:t>-6</w:t>
            </w:r>
            <w:r>
              <w:rPr>
                <w:rFonts w:hint="default"/>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5.42</w:t>
            </w:r>
            <w:r>
              <w:rPr>
                <w:rFonts w:hint="default"/>
                <w:color w:val="000000" w:themeColor="text1"/>
                <w:sz w:val="24"/>
                <w:lang w:val="en-US" w:eastAsia="zh-CN"/>
                <w14:textFill>
                  <w14:solidFill>
                    <w14:schemeClr w14:val="tx1"/>
                  </w14:solidFill>
                </w14:textFill>
              </w:rPr>
              <w:t>t/a</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总磷：废水排放量×排放浓度</w:t>
            </w:r>
            <w:r>
              <w:rPr>
                <w:rFonts w:hint="default"/>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120345.98</w:t>
            </w:r>
            <w:r>
              <w:rPr>
                <w:rFonts w:hint="default"/>
                <w:color w:val="000000" w:themeColor="text1"/>
                <w:sz w:val="24"/>
                <w:lang w:val="en-US" w:eastAsia="zh-CN"/>
                <w14:textFill>
                  <w14:solidFill>
                    <w14:schemeClr w14:val="tx1"/>
                  </w14:solidFill>
                </w14:textFill>
              </w:rPr>
              <w:t>m</w:t>
            </w:r>
            <w:r>
              <w:rPr>
                <w:rFonts w:hint="default"/>
                <w:color w:val="000000" w:themeColor="text1"/>
                <w:sz w:val="24"/>
                <w:vertAlign w:val="superscript"/>
                <w:lang w:val="en-US" w:eastAsia="zh-CN"/>
                <w14:textFill>
                  <w14:solidFill>
                    <w14:schemeClr w14:val="tx1"/>
                  </w14:solidFill>
                </w14:textFill>
              </w:rPr>
              <w:t>3</w:t>
            </w:r>
            <w:r>
              <w:rPr>
                <w:rFonts w:hint="default"/>
                <w:color w:val="000000" w:themeColor="text1"/>
                <w:sz w:val="24"/>
                <w:lang w:val="en-US" w:eastAsia="zh-CN"/>
                <w14:textFill>
                  <w14:solidFill>
                    <w14:schemeClr w14:val="tx1"/>
                  </w14:solidFill>
                </w14:textFill>
              </w:rPr>
              <w:t>/a</w:t>
            </w:r>
            <w:r>
              <w:rPr>
                <w:rFonts w:hint="eastAsia"/>
                <w:color w:val="000000" w:themeColor="text1"/>
                <w:sz w:val="24"/>
                <w:lang w:val="en-US" w:eastAsia="zh-CN"/>
                <w14:textFill>
                  <w14:solidFill>
                    <w14:schemeClr w14:val="tx1"/>
                  </w14:solidFill>
                </w14:textFill>
              </w:rPr>
              <w:t>×8.0</w:t>
            </w:r>
            <w:r>
              <w:rPr>
                <w:rFonts w:hint="default"/>
                <w:color w:val="000000" w:themeColor="text1"/>
                <w:sz w:val="24"/>
                <w:lang w:val="en-US" w:eastAsia="zh-CN"/>
                <w14:textFill>
                  <w14:solidFill>
                    <w14:schemeClr w14:val="tx1"/>
                  </w14:solidFill>
                </w14:textFill>
              </w:rPr>
              <w:t>mg/L</w:t>
            </w:r>
            <w:r>
              <w:rPr>
                <w:rFonts w:hint="eastAsia"/>
                <w:color w:val="000000" w:themeColor="text1"/>
                <w:sz w:val="24"/>
                <w:lang w:val="en-US" w:eastAsia="zh-CN"/>
                <w14:textFill>
                  <w14:solidFill>
                    <w14:schemeClr w14:val="tx1"/>
                  </w14:solidFill>
                </w14:textFill>
              </w:rPr>
              <w:t>×</w:t>
            </w:r>
            <w:r>
              <w:rPr>
                <w:rFonts w:hint="default"/>
                <w:color w:val="000000" w:themeColor="text1"/>
                <w:sz w:val="24"/>
                <w:lang w:val="en-US" w:eastAsia="zh-CN"/>
                <w14:textFill>
                  <w14:solidFill>
                    <w14:schemeClr w14:val="tx1"/>
                  </w14:solidFill>
                </w14:textFill>
              </w:rPr>
              <w:t>10</w:t>
            </w:r>
            <w:r>
              <w:rPr>
                <w:rFonts w:hint="default"/>
                <w:color w:val="000000" w:themeColor="text1"/>
                <w:sz w:val="24"/>
                <w:vertAlign w:val="superscript"/>
                <w:lang w:val="en-US" w:eastAsia="zh-CN"/>
                <w14:textFill>
                  <w14:solidFill>
                    <w14:schemeClr w14:val="tx1"/>
                  </w14:solidFill>
                </w14:textFill>
              </w:rPr>
              <w:t>-6</w:t>
            </w:r>
            <w:r>
              <w:rPr>
                <w:rFonts w:hint="default"/>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0.96</w:t>
            </w:r>
            <w:r>
              <w:rPr>
                <w:rFonts w:hint="default"/>
                <w:color w:val="000000" w:themeColor="text1"/>
                <w:sz w:val="24"/>
                <w:lang w:val="en-US" w:eastAsia="zh-CN"/>
                <w14:textFill>
                  <w14:solidFill>
                    <w14:schemeClr w14:val="tx1"/>
                  </w14:solidFill>
                </w14:textFill>
              </w:rPr>
              <w:t>t/a</w:t>
            </w:r>
          </w:p>
          <w:p>
            <w:pPr>
              <w:adjustRightInd w:val="0"/>
              <w:snapToGrid w:val="0"/>
              <w:spacing w:line="360" w:lineRule="auto"/>
              <w:ind w:firstLine="480" w:firstLineChars="200"/>
              <w:rPr>
                <w:color w:val="000000" w:themeColor="text1"/>
                <w:sz w:val="24"/>
                <w14:textFill>
                  <w14:solidFill>
                    <w14:schemeClr w14:val="tx1"/>
                  </w14:solidFill>
                </w14:textFill>
              </w:rPr>
            </w:pPr>
          </w:p>
          <w:p>
            <w:pPr>
              <w:adjustRightInd w:val="0"/>
              <w:snapToGrid w:val="0"/>
              <w:spacing w:line="360" w:lineRule="auto"/>
              <w:ind w:firstLine="420" w:firstLineChars="200"/>
              <w:rPr>
                <w:color w:val="000000" w:themeColor="text1"/>
                <w:kern w:val="0"/>
                <w:szCs w:val="21"/>
                <w14:textFill>
                  <w14:solidFill>
                    <w14:schemeClr w14:val="tx1"/>
                  </w14:solidFill>
                </w14:textFill>
              </w:rPr>
            </w:pPr>
          </w:p>
        </w:tc>
      </w:tr>
    </w:tbl>
    <w:p>
      <w:pPr>
        <w:pStyle w:val="2"/>
        <w:rPr>
          <w:rStyle w:val="33"/>
          <w:b/>
          <w:bCs/>
          <w:color w:val="000000" w:themeColor="text1"/>
          <w14:textFill>
            <w14:solidFill>
              <w14:schemeClr w14:val="tx1"/>
            </w14:solidFill>
          </w14:textFill>
        </w:rPr>
      </w:pPr>
      <w:r>
        <w:rPr>
          <w:rFonts w:eastAsia="黑体"/>
          <w:snapToGrid w:val="0"/>
          <w:color w:val="000000" w:themeColor="text1"/>
          <w:sz w:val="36"/>
          <w:szCs w:val="36"/>
          <w14:textFill>
            <w14:solidFill>
              <w14:schemeClr w14:val="tx1"/>
            </w14:solidFill>
          </w14:textFill>
        </w:rPr>
        <w:br w:type="page"/>
      </w:r>
      <w:bookmarkStart w:id="9" w:name="_Toc9324"/>
      <w:bookmarkStart w:id="10" w:name="_Toc8620"/>
      <w:r>
        <w:rPr>
          <w:color w:val="000000" w:themeColor="text1"/>
          <w14:textFill>
            <w14:solidFill>
              <w14:schemeClr w14:val="tx1"/>
            </w14:solidFill>
          </w14:textFill>
        </w:rPr>
        <w:t>四、主要环境影响和保护措施</w:t>
      </w:r>
      <w:bookmarkEnd w:id="9"/>
      <w:bookmarkEnd w:id="10"/>
    </w:p>
    <w:tbl>
      <w:tblPr>
        <w:tblStyle w:val="24"/>
        <w:tblW w:w="9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8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adjustRightInd w:val="0"/>
              <w:snapToGrid w:val="0"/>
              <w:spacing w:line="360" w:lineRule="auto"/>
              <w:jc w:val="center"/>
              <w:rPr>
                <w:b/>
                <w:color w:val="000000" w:themeColor="text1"/>
                <w:spacing w:val="-10"/>
                <w:sz w:val="28"/>
                <w:szCs w:val="28"/>
                <w14:textFill>
                  <w14:solidFill>
                    <w14:schemeClr w14:val="tx1"/>
                  </w14:solidFill>
                </w14:textFill>
              </w:rPr>
            </w:pPr>
            <w:r>
              <w:rPr>
                <w:b/>
                <w:color w:val="000000" w:themeColor="text1"/>
                <w:spacing w:val="-10"/>
                <w:sz w:val="28"/>
                <w:szCs w:val="28"/>
                <w14:textFill>
                  <w14:solidFill>
                    <w14:schemeClr w14:val="tx1"/>
                  </w14:solidFill>
                </w14:textFill>
              </w:rPr>
              <w:t>施工期环境保护措施</w:t>
            </w:r>
          </w:p>
          <w:p>
            <w:pPr>
              <w:adjustRightInd w:val="0"/>
              <w:snapToGrid w:val="0"/>
              <w:spacing w:line="360" w:lineRule="auto"/>
              <w:ind w:firstLine="440" w:firstLineChars="200"/>
              <w:rPr>
                <w:bCs/>
                <w:color w:val="000000" w:themeColor="text1"/>
                <w:spacing w:val="-10"/>
                <w:sz w:val="24"/>
                <w14:textFill>
                  <w14:solidFill>
                    <w14:schemeClr w14:val="tx1"/>
                  </w14:solidFill>
                </w14:textFill>
              </w:rPr>
            </w:pPr>
          </w:p>
        </w:tc>
        <w:tc>
          <w:tcPr>
            <w:tcW w:w="8828" w:type="dxa"/>
            <w:vAlign w:val="center"/>
          </w:tcPr>
          <w:p>
            <w:pPr>
              <w:snapToGrid w:val="0"/>
              <w:spacing w:line="360" w:lineRule="auto"/>
              <w:ind w:firstLine="52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施工期需对场地进行平整，基础开挖、主体工程建设、设备安装、配套设施建设等工作。施工期主要污染因子为场地平整主题工程建设产生的建筑垃圾、施工噪声、扬尘、施工人员产生的生活污水、生活垃圾等。</w:t>
            </w:r>
          </w:p>
          <w:p>
            <w:pPr>
              <w:adjustRightInd w:val="0"/>
              <w:snapToGrid w:val="0"/>
              <w:spacing w:line="360" w:lineRule="auto"/>
              <w:jc w:val="lef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1、水环境影响分析</w:t>
            </w:r>
          </w:p>
          <w:p>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施工期废水主要为施工人员的生活污水和建筑施工产生的</w:t>
            </w:r>
            <w:r>
              <w:rPr>
                <w:rFonts w:hint="eastAsia"/>
                <w:color w:val="000000" w:themeColor="text1"/>
                <w:kern w:val="0"/>
                <w:sz w:val="24"/>
                <w14:textFill>
                  <w14:solidFill>
                    <w14:schemeClr w14:val="tx1"/>
                  </w14:solidFill>
                </w14:textFill>
              </w:rPr>
              <w:t>施工</w:t>
            </w:r>
            <w:r>
              <w:rPr>
                <w:color w:val="000000" w:themeColor="text1"/>
                <w:kern w:val="0"/>
                <w:sz w:val="24"/>
                <w14:textFill>
                  <w14:solidFill>
                    <w14:schemeClr w14:val="tx1"/>
                  </w14:solidFill>
                </w14:textFill>
              </w:rPr>
              <w:t>废水。</w:t>
            </w:r>
          </w:p>
          <w:p>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（1）生活污水</w:t>
            </w:r>
          </w:p>
          <w:p>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项目建设施工人数</w:t>
            </w:r>
            <w:r>
              <w:rPr>
                <w:rFonts w:hint="eastAsia"/>
                <w:color w:val="000000" w:themeColor="text1"/>
                <w:kern w:val="0"/>
                <w:sz w:val="24"/>
                <w14:textFill>
                  <w14:solidFill>
                    <w14:schemeClr w14:val="tx1"/>
                  </w14:solidFill>
                </w14:textFill>
              </w:rPr>
              <w:t>约200</w:t>
            </w:r>
            <w:r>
              <w:rPr>
                <w:color w:val="000000" w:themeColor="text1"/>
                <w:kern w:val="0"/>
                <w:sz w:val="24"/>
                <w14:textFill>
                  <w14:solidFill>
                    <w14:schemeClr w14:val="tx1"/>
                  </w14:solidFill>
                </w14:textFill>
              </w:rPr>
              <w:t>人，</w:t>
            </w:r>
            <w:r>
              <w:rPr>
                <w:rFonts w:hint="eastAsia"/>
                <w:color w:val="000000" w:themeColor="text1"/>
                <w:kern w:val="0"/>
                <w:sz w:val="24"/>
                <w14:textFill>
                  <w14:solidFill>
                    <w14:schemeClr w14:val="tx1"/>
                  </w14:solidFill>
                </w14:textFill>
              </w:rPr>
              <w:t>预计施工时间为12个月，场地内不设置</w:t>
            </w:r>
            <w:r>
              <w:rPr>
                <w:color w:val="000000" w:themeColor="text1"/>
                <w:kern w:val="0"/>
                <w:sz w:val="24"/>
                <w14:textFill>
                  <w14:solidFill>
                    <w14:schemeClr w14:val="tx1"/>
                  </w14:solidFill>
                </w14:textFill>
              </w:rPr>
              <w:t>食宿，根据《四川省用水定额》（</w:t>
            </w:r>
            <w:r>
              <w:rPr>
                <w:rFonts w:hint="eastAsia"/>
                <w:color w:val="000000" w:themeColor="text1"/>
                <w:kern w:val="0"/>
                <w:sz w:val="24"/>
                <w14:textFill>
                  <w14:solidFill>
                    <w14:schemeClr w14:val="tx1"/>
                  </w14:solidFill>
                </w14:textFill>
              </w:rPr>
              <w:t>川府函〔2021〕8号</w:t>
            </w:r>
            <w:r>
              <w:rPr>
                <w:color w:val="000000" w:themeColor="text1"/>
                <w:kern w:val="0"/>
                <w:sz w:val="24"/>
                <w14:textFill>
                  <w14:solidFill>
                    <w14:schemeClr w14:val="tx1"/>
                  </w14:solidFill>
                </w14:textFill>
              </w:rPr>
              <w:t>），参照</w:t>
            </w:r>
            <w:r>
              <w:rPr>
                <w:rFonts w:hint="eastAsia"/>
                <w:color w:val="000000" w:themeColor="text1"/>
                <w:kern w:val="0"/>
                <w:sz w:val="24"/>
                <w14:textFill>
                  <w14:solidFill>
                    <w14:schemeClr w14:val="tx1"/>
                  </w14:solidFill>
                </w14:textFill>
              </w:rPr>
              <w:t>东部盆地区</w:t>
            </w:r>
            <w:r>
              <w:rPr>
                <w:color w:val="000000" w:themeColor="text1"/>
                <w:kern w:val="0"/>
                <w:sz w:val="24"/>
                <w14:textFill>
                  <w14:solidFill>
                    <w14:schemeClr w14:val="tx1"/>
                  </w14:solidFill>
                </w14:textFill>
              </w:rPr>
              <w:t>农村生活废水</w:t>
            </w:r>
            <w:r>
              <w:rPr>
                <w:rFonts w:hint="eastAsia"/>
                <w:color w:val="000000" w:themeColor="text1"/>
                <w:kern w:val="0"/>
                <w:sz w:val="24"/>
                <w14:textFill>
                  <w14:solidFill>
                    <w14:schemeClr w14:val="tx1"/>
                  </w14:solidFill>
                </w14:textFill>
              </w:rPr>
              <w:t>结合本项目实际按照6</w:t>
            </w:r>
            <w:r>
              <w:rPr>
                <w:color w:val="000000" w:themeColor="text1"/>
                <w:kern w:val="0"/>
                <w:sz w:val="24"/>
                <w14:textFill>
                  <w14:solidFill>
                    <w14:schemeClr w14:val="tx1"/>
                  </w14:solidFill>
                </w14:textFill>
              </w:rPr>
              <w:t>0L/人.d</w:t>
            </w:r>
            <w:r>
              <w:rPr>
                <w:rFonts w:hint="eastAsia"/>
                <w:color w:val="000000" w:themeColor="text1"/>
                <w:kern w:val="0"/>
                <w:sz w:val="24"/>
                <w14:textFill>
                  <w14:solidFill>
                    <w14:schemeClr w14:val="tx1"/>
                  </w14:solidFill>
                </w14:textFill>
              </w:rPr>
              <w:t>计</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施工人员生活</w:t>
            </w:r>
            <w:r>
              <w:rPr>
                <w:color w:val="000000" w:themeColor="text1"/>
                <w:kern w:val="0"/>
                <w:sz w:val="24"/>
                <w14:textFill>
                  <w14:solidFill>
                    <w14:schemeClr w14:val="tx1"/>
                  </w14:solidFill>
                </w14:textFill>
              </w:rPr>
              <w:t>用水量为</w:t>
            </w:r>
            <w:r>
              <w:rPr>
                <w:rFonts w:hint="eastAsia"/>
                <w:color w:val="000000" w:themeColor="text1"/>
                <w:kern w:val="0"/>
                <w:sz w:val="24"/>
                <w14:textFill>
                  <w14:solidFill>
                    <w14:schemeClr w14:val="tx1"/>
                  </w14:solidFill>
                </w14:textFill>
              </w:rPr>
              <w:t>12.0</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/d，</w:t>
            </w:r>
            <w:r>
              <w:rPr>
                <w:rFonts w:hint="eastAsia"/>
                <w:color w:val="000000" w:themeColor="text1"/>
                <w:kern w:val="0"/>
                <w:sz w:val="24"/>
                <w14:textFill>
                  <w14:solidFill>
                    <w14:schemeClr w14:val="tx1"/>
                  </w14:solidFill>
                </w14:textFill>
              </w:rPr>
              <w:t>产污</w:t>
            </w:r>
            <w:r>
              <w:rPr>
                <w:color w:val="000000" w:themeColor="text1"/>
                <w:kern w:val="0"/>
                <w:sz w:val="24"/>
                <w14:textFill>
                  <w14:solidFill>
                    <w14:schemeClr w14:val="tx1"/>
                  </w14:solidFill>
                </w14:textFill>
              </w:rPr>
              <w:t>系数取</w:t>
            </w:r>
            <w:r>
              <w:rPr>
                <w:rFonts w:hint="eastAsia"/>
                <w:color w:val="000000" w:themeColor="text1"/>
                <w:kern w:val="0"/>
                <w:sz w:val="24"/>
                <w14:textFill>
                  <w14:solidFill>
                    <w14:schemeClr w14:val="tx1"/>
                  </w14:solidFill>
                </w14:textFill>
              </w:rPr>
              <w:t>0.85</w:t>
            </w:r>
            <w:r>
              <w:rPr>
                <w:color w:val="000000" w:themeColor="text1"/>
                <w:kern w:val="0"/>
                <w:sz w:val="24"/>
                <w14:textFill>
                  <w14:solidFill>
                    <w14:schemeClr w14:val="tx1"/>
                  </w14:solidFill>
                </w14:textFill>
              </w:rPr>
              <w:t>，污水产生量为</w:t>
            </w:r>
            <w:r>
              <w:rPr>
                <w:rFonts w:hint="eastAsia"/>
                <w:color w:val="000000" w:themeColor="text1"/>
                <w:kern w:val="0"/>
                <w:sz w:val="24"/>
                <w14:textFill>
                  <w14:solidFill>
                    <w14:schemeClr w14:val="tx1"/>
                  </w14:solidFill>
                </w14:textFill>
              </w:rPr>
              <w:t>10.20</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/d。主要污染物为</w:t>
            </w:r>
            <w:r>
              <w:rPr>
                <w:rFonts w:hint="eastAsia"/>
                <w:color w:val="000000" w:themeColor="text1"/>
                <w:kern w:val="0"/>
                <w:sz w:val="24"/>
                <w14:textFill>
                  <w14:solidFill>
                    <w14:schemeClr w14:val="tx1"/>
                  </w14:solidFill>
                </w14:textFill>
              </w:rPr>
              <w:t>CODcr</w:t>
            </w:r>
            <w:r>
              <w:rPr>
                <w:color w:val="000000" w:themeColor="text1"/>
                <w:kern w:val="0"/>
                <w:sz w:val="24"/>
                <w14:textFill>
                  <w14:solidFill>
                    <w14:schemeClr w14:val="tx1"/>
                  </w14:solidFill>
                </w14:textFill>
              </w:rPr>
              <w:t>、BOD</w:t>
            </w:r>
            <w:r>
              <w:rPr>
                <w:color w:val="000000" w:themeColor="text1"/>
                <w:kern w:val="0"/>
                <w:sz w:val="24"/>
                <w:vertAlign w:val="subscript"/>
                <w14:textFill>
                  <w14:solidFill>
                    <w14:schemeClr w14:val="tx1"/>
                  </w14:solidFill>
                </w14:textFill>
              </w:rPr>
              <w:t>5</w:t>
            </w:r>
            <w:r>
              <w:rPr>
                <w:color w:val="000000" w:themeColor="text1"/>
                <w:kern w:val="0"/>
                <w:sz w:val="24"/>
                <w14:textFill>
                  <w14:solidFill>
                    <w14:schemeClr w14:val="tx1"/>
                  </w14:solidFill>
                </w14:textFill>
              </w:rPr>
              <w:t>、氨氮等。</w:t>
            </w:r>
          </w:p>
          <w:p>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防治措施：</w:t>
            </w:r>
            <w:r>
              <w:rPr>
                <w:color w:val="000000" w:themeColor="text1"/>
                <w:kern w:val="0"/>
                <w:sz w:val="24"/>
                <w14:textFill>
                  <w14:solidFill>
                    <w14:schemeClr w14:val="tx1"/>
                  </w14:solidFill>
                </w14:textFill>
              </w:rPr>
              <w:t>生活污水</w:t>
            </w:r>
            <w:r>
              <w:rPr>
                <w:rFonts w:hint="eastAsia"/>
                <w:color w:val="000000" w:themeColor="text1"/>
                <w:kern w:val="0"/>
                <w:sz w:val="24"/>
                <w14:textFill>
                  <w14:solidFill>
                    <w14:schemeClr w14:val="tx1"/>
                  </w14:solidFill>
                </w14:textFill>
              </w:rPr>
              <w:t>利用临时化粪池（20m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）收集处理后排入市政污水管网，最终经宣汉县城市生活污水处理厂处理后达标外排。</w:t>
            </w:r>
          </w:p>
          <w:p>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（2）施工废水</w:t>
            </w:r>
          </w:p>
          <w:p>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施工废水主要车辆及机械设备的冲洗废水、作业面冲洗废水等</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废水产生量约</w:t>
            </w:r>
            <w:r>
              <w:rPr>
                <w:rFonts w:hint="eastAsia"/>
                <w:color w:val="000000" w:themeColor="text1"/>
                <w:kern w:val="0"/>
                <w:sz w:val="24"/>
                <w14:textFill>
                  <w14:solidFill>
                    <w14:schemeClr w14:val="tx1"/>
                  </w14:solidFill>
                </w14:textFill>
              </w:rPr>
              <w:t>1.0</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/d，</w:t>
            </w:r>
            <w:r>
              <w:rPr>
                <w:rFonts w:hint="eastAsia"/>
                <w:color w:val="000000" w:themeColor="text1"/>
                <w:kern w:val="0"/>
                <w:sz w:val="24"/>
                <w14:textFill>
                  <w14:solidFill>
                    <w14:schemeClr w14:val="tx1"/>
                  </w14:solidFill>
                </w14:textFill>
              </w:rPr>
              <w:t>施工期按12个月计，则施工期机械、场地冲洗废水产生量为365.0m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，主要污染物为SS、BOD</w:t>
            </w:r>
            <w:r>
              <w:rPr>
                <w:rFonts w:hint="eastAsia"/>
                <w:color w:val="000000" w:themeColor="text1"/>
                <w:kern w:val="0"/>
                <w:sz w:val="24"/>
                <w:vertAlign w:val="subscript"/>
                <w14:textFill>
                  <w14:solidFill>
                    <w14:schemeClr w14:val="tx1"/>
                  </w14:solidFill>
                </w14:textFill>
              </w:rPr>
              <w:t>5</w:t>
            </w:r>
            <w:r>
              <w:rPr>
                <w:rFonts w:hint="eastAsia"/>
                <w:color w:val="000000" w:themeColor="text1"/>
                <w:kern w:val="0"/>
                <w:sz w:val="24"/>
                <w14:textFill>
                  <w14:solidFill>
                    <w14:schemeClr w14:val="tx1"/>
                  </w14:solidFill>
                </w14:textFill>
              </w:rPr>
              <w:t>、COD</w:t>
            </w:r>
            <w:r>
              <w:rPr>
                <w:rFonts w:hint="eastAsia"/>
                <w:color w:val="000000" w:themeColor="text1"/>
                <w:kern w:val="0"/>
                <w:sz w:val="24"/>
                <w:vertAlign w:val="subscript"/>
                <w14:textFill>
                  <w14:solidFill>
                    <w14:schemeClr w14:val="tx1"/>
                  </w14:solidFill>
                </w14:textFill>
              </w:rPr>
              <w:t>Cr</w:t>
            </w:r>
            <w:r>
              <w:rPr>
                <w:rFonts w:hint="eastAsia"/>
                <w:color w:val="000000" w:themeColor="text1"/>
                <w:kern w:val="0"/>
                <w:sz w:val="24"/>
                <w14:textFill>
                  <w14:solidFill>
                    <w14:schemeClr w14:val="tx1"/>
                  </w14:solidFill>
                </w14:textFill>
              </w:rPr>
              <w:t>、pH和石油类等。</w:t>
            </w:r>
          </w:p>
          <w:p>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防治措施：</w:t>
            </w:r>
            <w:r>
              <w:rPr>
                <w:color w:val="000000" w:themeColor="text1"/>
                <w:kern w:val="0"/>
                <w:sz w:val="24"/>
                <w14:textFill>
                  <w14:solidFill>
                    <w14:schemeClr w14:val="tx1"/>
                  </w14:solidFill>
                </w14:textFill>
              </w:rPr>
              <w:t>为</w:t>
            </w:r>
            <w:r>
              <w:rPr>
                <w:rFonts w:hint="eastAsia"/>
                <w:color w:val="000000" w:themeColor="text1"/>
                <w:kern w:val="0"/>
                <w:sz w:val="24"/>
                <w14:textFill>
                  <w14:solidFill>
                    <w14:schemeClr w14:val="tx1"/>
                  </w14:solidFill>
                </w14:textFill>
              </w:rPr>
              <w:t>避免施工废水对项目周边地表及地下水体造成污染</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要求施工单位在场址内修建一座5m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沉淀池，对</w:t>
            </w:r>
            <w:r>
              <w:rPr>
                <w:color w:val="000000" w:themeColor="text1"/>
                <w:kern w:val="0"/>
                <w:sz w:val="24"/>
                <w14:textFill>
                  <w14:solidFill>
                    <w14:schemeClr w14:val="tx1"/>
                  </w14:solidFill>
                </w14:textFill>
              </w:rPr>
              <w:t>施工废水进行沉淀</w:t>
            </w:r>
            <w:r>
              <w:rPr>
                <w:rFonts w:hint="eastAsia"/>
                <w:color w:val="000000" w:themeColor="text1"/>
                <w:kern w:val="0"/>
                <w:sz w:val="24"/>
                <w14:textFill>
                  <w14:solidFill>
                    <w14:schemeClr w14:val="tx1"/>
                  </w14:solidFill>
                </w14:textFill>
              </w:rPr>
              <w:t>处理后用于场地周边洒水降尘或</w:t>
            </w:r>
            <w:r>
              <w:rPr>
                <w:color w:val="000000" w:themeColor="text1"/>
                <w:kern w:val="0"/>
                <w:sz w:val="24"/>
                <w14:textFill>
                  <w14:solidFill>
                    <w14:schemeClr w14:val="tx1"/>
                  </w14:solidFill>
                </w14:textFill>
              </w:rPr>
              <w:t>回用于施工</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禁止外排。</w:t>
            </w:r>
          </w:p>
          <w:p>
            <w:pPr>
              <w:adjustRightInd w:val="0"/>
              <w:snapToGrid w:val="0"/>
              <w:spacing w:line="360" w:lineRule="auto"/>
              <w:jc w:val="lef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2、大气环境影响分析</w:t>
            </w:r>
          </w:p>
          <w:p>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本项目施工期产生的废气主要是施工机械及运输车辆排放尾气、施工扬尘。</w:t>
            </w:r>
          </w:p>
          <w:p>
            <w:pPr>
              <w:numPr>
                <w:ilvl w:val="0"/>
                <w:numId w:val="13"/>
              </w:num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施工机械及运输车辆排放尾气</w:t>
            </w:r>
          </w:p>
          <w:p>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机械一般燃用柴油作动力，开动时会产生一些燃油废气，废物主要是CO、NOx以及未完全燃烧的THC等，其产生量及废气中的污染物浓度视其使用频率及发动机对燃料的燃烧情况而异。施工机械废气属于低架点源无组织排放性质，具有间断性产生、产生量较小、产生点相对分散、易被稀释扩散等特点。</w:t>
            </w:r>
          </w:p>
          <w:p>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施工期间将会有运输车辆进出场址区，因而会有一定量的尾气排放，汽车尾气中的污染物主要有CO、THC及NOx，会对下风向和运输沿线区域产生不利影响。</w:t>
            </w:r>
          </w:p>
          <w:p>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防治措施：在施工期间，加强对机械设备和运输车辆的维修、保养，禁止其超负荷工作，中途休息时段立即停机，减少设备空载运行时间，降低燃油燃烧污染物排放量。同时，</w:t>
            </w:r>
            <w:r>
              <w:rPr>
                <w:color w:val="000000" w:themeColor="text1"/>
                <w:kern w:val="0"/>
                <w:sz w:val="24"/>
                <w14:textFill>
                  <w14:solidFill>
                    <w14:schemeClr w14:val="tx1"/>
                  </w14:solidFill>
                </w14:textFill>
              </w:rPr>
              <w:t>施工期对周围大气环境的影响是短期的、局部的，到项目建设完毕，施工期环境影响随之结束。因此施工机械及运输车辆尾气对环境影响较小。</w:t>
            </w:r>
          </w:p>
          <w:p>
            <w:pPr>
              <w:numPr>
                <w:ilvl w:val="0"/>
                <w:numId w:val="13"/>
              </w:num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施工扬尘</w:t>
            </w:r>
          </w:p>
          <w:p>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施工扬尘主要包括</w:t>
            </w:r>
            <w:r>
              <w:rPr>
                <w:rFonts w:hint="eastAsia"/>
                <w:color w:val="000000" w:themeColor="text1"/>
                <w:kern w:val="0"/>
                <w:sz w:val="24"/>
                <w14:textFill>
                  <w14:solidFill>
                    <w14:schemeClr w14:val="tx1"/>
                  </w14:solidFill>
                </w14:textFill>
              </w:rPr>
              <w:t>场地平整、基础</w:t>
            </w:r>
            <w:r>
              <w:rPr>
                <w:color w:val="000000" w:themeColor="text1"/>
                <w:kern w:val="0"/>
                <w:sz w:val="24"/>
                <w14:textFill>
                  <w14:solidFill>
                    <w14:schemeClr w14:val="tx1"/>
                  </w14:solidFill>
                </w14:textFill>
              </w:rPr>
              <w:t>开挖产生的扬尘、施工运输车辆引起的道路扬尘、物料装卸扬尘以及施工区扬尘，主要污染物为TSP。</w:t>
            </w:r>
          </w:p>
          <w:p>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为了防止扬尘对大气环境产生污染，要求施工单位必须做好扬尘防护工作，建设场地设置不低于2m高围挡，为了防止运输洒落物料，车辆运输须采取遮蔽处理措施，及时清理工地、洒水降尘、维护四周环境卫生。开挖过程中采取洒水降尘，控制挖机斗倒料的高度，同时对弃土临时堆场进行防尘网覆盖，对开挖场地暂不施工区域进行防尘网覆盖，减少裸露地面。</w:t>
            </w:r>
          </w:p>
          <w:p>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通过采取以上措施，施工区域扬尘去除率可达到70%以上，加之合理安排施工工序及作业时间，采取相应措施后施工扬尘能满足《四川省施工场地扬尘排放标准》（DB512682-2020）排放限值要求。</w:t>
            </w:r>
          </w:p>
          <w:p>
            <w:pPr>
              <w:adjustRightInd w:val="0"/>
              <w:snapToGrid w:val="0"/>
              <w:spacing w:line="360" w:lineRule="auto"/>
              <w:jc w:val="lef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3、噪声环境影响分析</w:t>
            </w:r>
          </w:p>
          <w:p>
            <w:pPr>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（1）施工机械噪声源强</w:t>
            </w:r>
          </w:p>
          <w:p>
            <w:pPr>
              <w:snapToGrid w:val="0"/>
              <w:spacing w:line="360" w:lineRule="auto"/>
              <w:ind w:firstLine="480" w:firstLineChars="200"/>
              <w:jc w:val="left"/>
              <w:rPr>
                <w:b/>
                <w:color w:val="000000" w:themeColor="text1"/>
                <w:szCs w:val="21"/>
                <w14:textFill>
                  <w14:solidFill>
                    <w14:schemeClr w14:val="tx1"/>
                  </w14:solidFill>
                </w14:textFill>
              </w:rPr>
            </w:pPr>
            <w:r>
              <w:rPr>
                <w:rFonts w:hint="eastAsia"/>
                <w:color w:val="000000" w:themeColor="text1"/>
                <w:sz w:val="24"/>
                <w14:textFill>
                  <w14:solidFill>
                    <w14:schemeClr w14:val="tx1"/>
                  </w14:solidFill>
                </w14:textFill>
              </w:rPr>
              <w:t>施工期的噪声主要包括机械噪声、施工作业噪声和施工车辆噪声。机械噪声主要由施工机械所造成，如装吊机械、电焊机等，多为点声源；施工作业噪声主要指一些零星的敲打声、吆喝声等，多为瞬间噪声；施工车辆的噪声属于交通噪声。在这些施工噪声中对声环境影响最大的是机械噪声，</w:t>
            </w:r>
            <w:r>
              <w:rPr>
                <w:color w:val="000000" w:themeColor="text1"/>
                <w:sz w:val="24"/>
                <w14:textFill>
                  <w14:solidFill>
                    <w14:schemeClr w14:val="tx1"/>
                  </w14:solidFill>
                </w14:textFill>
              </w:rPr>
              <w:t>其声源强度一般为</w:t>
            </w:r>
            <w:r>
              <w:rPr>
                <w:rFonts w:hint="eastAsia"/>
                <w:color w:val="000000" w:themeColor="text1"/>
                <w:sz w:val="24"/>
                <w14:textFill>
                  <w14:solidFill>
                    <w14:schemeClr w14:val="tx1"/>
                  </w14:solidFill>
                </w14:textFill>
              </w:rPr>
              <w:t>80</w:t>
            </w:r>
            <w:r>
              <w:rPr>
                <w:color w:val="000000" w:themeColor="text1"/>
                <w:sz w:val="24"/>
                <w14:textFill>
                  <w14:solidFill>
                    <w14:schemeClr w14:val="tx1"/>
                  </w14:solidFill>
                </w14:textFill>
              </w:rPr>
              <w:t>～90dB</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p>
          <w:p>
            <w:pPr>
              <w:numPr>
                <w:ilvl w:val="0"/>
                <w:numId w:val="14"/>
              </w:numPr>
              <w:spacing w:line="36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施工期作业主要产噪设备情况</w:t>
            </w:r>
          </w:p>
          <w:tbl>
            <w:tblPr>
              <w:tblStyle w:val="23"/>
              <w:tblW w:w="7099" w:type="dxa"/>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246"/>
              <w:gridCol w:w="3853"/>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9" w:hRule="atLeast"/>
                <w:jc w:val="center"/>
              </w:trPr>
              <w:tc>
                <w:tcPr>
                  <w:tcW w:w="324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声源</w:t>
                  </w:r>
                </w:p>
              </w:tc>
              <w:tc>
                <w:tcPr>
                  <w:tcW w:w="385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声源强度</w:t>
                  </w:r>
                  <w:r>
                    <w:rPr>
                      <w:bCs/>
                      <w:color w:val="000000" w:themeColor="text1"/>
                      <w:szCs w:val="21"/>
                      <w14:textFill>
                        <w14:solidFill>
                          <w14:schemeClr w14:val="tx1"/>
                        </w14:solidFill>
                      </w14:textFill>
                    </w:rPr>
                    <w:t>dB</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A</w:t>
                  </w:r>
                  <w:r>
                    <w:rPr>
                      <w:rFonts w:hint="eastAsia"/>
                      <w:bCs/>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324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吊车</w:t>
                  </w:r>
                </w:p>
              </w:tc>
              <w:tc>
                <w:tcPr>
                  <w:tcW w:w="385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r>
                    <w:rPr>
                      <w:color w:val="000000" w:themeColor="text1"/>
                      <w:szCs w:val="21"/>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324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切割机</w:t>
                  </w:r>
                </w:p>
              </w:tc>
              <w:tc>
                <w:tcPr>
                  <w:tcW w:w="385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r>
                    <w:rPr>
                      <w:color w:val="000000" w:themeColor="text1"/>
                      <w:szCs w:val="21"/>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324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装载机</w:t>
                  </w:r>
                </w:p>
              </w:tc>
              <w:tc>
                <w:tcPr>
                  <w:tcW w:w="385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324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电锯</w:t>
                  </w:r>
                </w:p>
              </w:tc>
              <w:tc>
                <w:tcPr>
                  <w:tcW w:w="385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90~95</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324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电焊机</w:t>
                  </w:r>
                </w:p>
              </w:tc>
              <w:tc>
                <w:tcPr>
                  <w:tcW w:w="385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80~90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324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运输</w:t>
                  </w:r>
                  <w:r>
                    <w:rPr>
                      <w:color w:val="000000" w:themeColor="text1"/>
                      <w:szCs w:val="21"/>
                      <w14:textFill>
                        <w14:solidFill>
                          <w14:schemeClr w14:val="tx1"/>
                        </w14:solidFill>
                      </w14:textFill>
                    </w:rPr>
                    <w:t>车辆</w:t>
                  </w:r>
                </w:p>
              </w:tc>
              <w:tc>
                <w:tcPr>
                  <w:tcW w:w="385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r>
                    <w:rPr>
                      <w:color w:val="000000" w:themeColor="text1"/>
                      <w:szCs w:val="21"/>
                      <w14:textFill>
                        <w14:solidFill>
                          <w14:schemeClr w14:val="tx1"/>
                        </w14:solidFill>
                      </w14:textFill>
                    </w:rPr>
                    <w:t>~90</w:t>
                  </w:r>
                </w:p>
              </w:tc>
            </w:tr>
          </w:tbl>
          <w:p>
            <w:pPr>
              <w:ind w:firstLine="420" w:firstLineChars="20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注：设备噪声值为其它建筑工地类比数据。</w:t>
            </w:r>
          </w:p>
          <w:p>
            <w:pPr>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现场调查，距离项目施工区域最近的声环境敏感目标为项目南侧50~240m巴人大道廉租房惠民小区。施工是短暂的，施工影响随项目施工结束而结束，项目只要合理进行施工平面布置，合理安排工序，尽量对高噪声源设置一定的围护结构对其进行隔声处理，严格控制各种强噪声施工机械的作业时间，对周围影响较小。</w:t>
            </w:r>
          </w:p>
          <w:p>
            <w:pPr>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为降低施工噪声对周边环境影响采取以下防治措施。</w:t>
            </w:r>
          </w:p>
          <w:p>
            <w:pPr>
              <w:numPr>
                <w:ilvl w:val="0"/>
                <w:numId w:val="15"/>
              </w:numPr>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在施工开始前进行施工公示，让施工场地周围及运输沿线声敏感对象对工程有所了解，明白工程施工对他们的影响是暂时的，以求得他们的理解和支持。</w:t>
            </w:r>
          </w:p>
          <w:p>
            <w:pPr>
              <w:numPr>
                <w:ilvl w:val="0"/>
                <w:numId w:val="15"/>
              </w:numPr>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选用符合国家标准的低噪声设备，施工中将高噪声机械（如电锯、电钻等）应设置在施工工棚内，并加强对设备的维修保养，基座减振，避免由于设备非正常工作而产生高噪声污染。</w:t>
            </w:r>
          </w:p>
          <w:p>
            <w:pPr>
              <w:numPr>
                <w:ilvl w:val="0"/>
                <w:numId w:val="15"/>
              </w:numPr>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尽量将施工机具布置施工场地的东北侧，远离施工区域南侧、西北侧声环境敏感点。</w:t>
            </w:r>
          </w:p>
          <w:p>
            <w:pPr>
              <w:numPr>
                <w:ilvl w:val="0"/>
                <w:numId w:val="15"/>
              </w:numPr>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合理安排施工时间，严禁在22：00～6：00时段进行施工，如工艺要求必须夜间施工时，必须先向相关主管部门申请同意，并公告四邻。</w:t>
            </w:r>
          </w:p>
          <w:p>
            <w:pPr>
              <w:numPr>
                <w:ilvl w:val="0"/>
                <w:numId w:val="15"/>
              </w:numPr>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建设单位应加强对施工场地的噪声管理，施工企业也应加强自律，文明施工，避免因施工噪声产生纠纷。</w:t>
            </w:r>
          </w:p>
          <w:p>
            <w:pPr>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采取上述噪声防治措施后，能最大限度减小建设施工噪声对区域环境和周围敏感目标的影响。评价认为，本项目采取的施工期噪声污染防治措施技术经济可行。</w:t>
            </w:r>
          </w:p>
          <w:p>
            <w:pPr>
              <w:adjustRightInd w:val="0"/>
              <w:snapToGrid w:val="0"/>
              <w:spacing w:line="360" w:lineRule="auto"/>
              <w:jc w:val="lef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4、固体废物环境影响分析</w:t>
            </w:r>
          </w:p>
          <w:p>
            <w:pPr>
              <w:pStyle w:val="9"/>
              <w:adjustRightInd w:val="0"/>
              <w:snapToGrid w:val="0"/>
              <w:spacing w:after="0" w:line="360" w:lineRule="auto"/>
              <w:ind w:left="0" w:leftChars="0" w:firstLine="480" w:firstLineChars="200"/>
              <w:rPr>
                <w:bCs/>
                <w:color w:val="000000" w:themeColor="text1"/>
                <w:sz w:val="24"/>
                <w14:textFill>
                  <w14:solidFill>
                    <w14:schemeClr w14:val="tx1"/>
                  </w14:solidFill>
                </w14:textFill>
              </w:rPr>
            </w:pPr>
            <w:r>
              <w:rPr>
                <w:color w:val="000000" w:themeColor="text1"/>
                <w:kern w:val="0"/>
                <w:sz w:val="24"/>
                <w14:textFill>
                  <w14:solidFill>
                    <w14:schemeClr w14:val="tx1"/>
                  </w14:solidFill>
                </w14:textFill>
              </w:rPr>
              <w:t>本项目施工期产生的固体废物主要为建筑垃圾、施工人员产生的生活垃圾</w:t>
            </w:r>
            <w:r>
              <w:rPr>
                <w:rFonts w:hint="eastAsia"/>
                <w:color w:val="000000" w:themeColor="text1"/>
                <w:kern w:val="0"/>
                <w:sz w:val="24"/>
                <w14:textFill>
                  <w14:solidFill>
                    <w14:schemeClr w14:val="tx1"/>
                  </w14:solidFill>
                </w14:textFill>
              </w:rPr>
              <w:t>、场地平整基础开挖弃土和</w:t>
            </w:r>
            <w:r>
              <w:rPr>
                <w:rFonts w:hint="eastAsia"/>
                <w:bCs/>
                <w:color w:val="000000" w:themeColor="text1"/>
                <w:sz w:val="24"/>
                <w14:textFill>
                  <w14:solidFill>
                    <w14:schemeClr w14:val="tx1"/>
                  </w14:solidFill>
                </w14:textFill>
              </w:rPr>
              <w:t>剥离表土。</w:t>
            </w:r>
          </w:p>
          <w:p>
            <w:pPr>
              <w:numPr>
                <w:ilvl w:val="0"/>
                <w:numId w:val="16"/>
              </w:num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剥离表土</w:t>
            </w:r>
          </w:p>
          <w:p>
            <w:pPr>
              <w:adjustRightInd w:val="0"/>
              <w:snapToGri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本项目场址现状为空置地，项目在建设前需对表土进行剥离，占地面积6747m</w:t>
            </w:r>
            <w:r>
              <w:rPr>
                <w:rFonts w:hint="eastAsia"/>
                <w:bCs/>
                <w:color w:val="000000" w:themeColor="text1"/>
                <w:sz w:val="24"/>
                <w:vertAlign w:val="superscript"/>
                <w14:textFill>
                  <w14:solidFill>
                    <w14:schemeClr w14:val="tx1"/>
                  </w14:solidFill>
                </w14:textFill>
              </w:rPr>
              <w:t>2</w:t>
            </w:r>
            <w:r>
              <w:rPr>
                <w:rFonts w:hint="eastAsia"/>
                <w:bCs/>
                <w:color w:val="000000" w:themeColor="text1"/>
                <w:sz w:val="24"/>
                <w14:textFill>
                  <w14:solidFill>
                    <w14:schemeClr w14:val="tx1"/>
                  </w14:solidFill>
                </w14:textFill>
              </w:rPr>
              <w:t>，剥离表土深度约20cm，则剥离表土约1349m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，土壤密度按1.2t/m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计，则产生弃土约1618.8t，剥离表土暂存于场地内东北侧角落，用于后场区绿化使用。</w:t>
            </w:r>
          </w:p>
          <w:p>
            <w:pPr>
              <w:numPr>
                <w:ilvl w:val="0"/>
                <w:numId w:val="16"/>
              </w:num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弃土</w:t>
            </w:r>
          </w:p>
          <w:p>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bCs/>
                <w:color w:val="000000" w:themeColor="text1"/>
                <w:sz w:val="24"/>
                <w14:textFill>
                  <w14:solidFill>
                    <w14:schemeClr w14:val="tx1"/>
                  </w14:solidFill>
                </w14:textFill>
              </w:rPr>
              <w:t>本项目场址现状为空置地，依据业主提供地勘资料，场地地处丘陵区，属构造剥蚀浅丘地貌，区内地形起伏较大，地面标高在370.00～426.00m之间，相对高差约56.00m，自然地形坡度角多为10～30°，局部呈陡坎。宣汉县第三人民医院迁建项目整体呈阶梯式布局，本项目地处第二平台，场址平整时平均开挖深度2m，规划净用地面积6747m</w:t>
            </w:r>
            <w:r>
              <w:rPr>
                <w:rFonts w:hint="eastAsia"/>
                <w:bCs/>
                <w:color w:val="000000" w:themeColor="text1"/>
                <w:sz w:val="24"/>
                <w:vertAlign w:val="superscript"/>
                <w14:textFill>
                  <w14:solidFill>
                    <w14:schemeClr w14:val="tx1"/>
                  </w14:solidFill>
                </w14:textFill>
              </w:rPr>
              <w:t>2</w:t>
            </w:r>
            <w:r>
              <w:rPr>
                <w:rFonts w:hint="eastAsia"/>
                <w:bCs/>
                <w:color w:val="000000" w:themeColor="text1"/>
                <w:sz w:val="24"/>
                <w14:textFill>
                  <w14:solidFill>
                    <w14:schemeClr w14:val="tx1"/>
                  </w14:solidFill>
                </w14:textFill>
              </w:rPr>
              <w:t>，项目在场地平整</w:t>
            </w:r>
            <w:r>
              <w:rPr>
                <w:bCs/>
                <w:color w:val="000000" w:themeColor="text1"/>
                <w:sz w:val="24"/>
                <w14:textFill>
                  <w14:solidFill>
                    <w14:schemeClr w14:val="tx1"/>
                  </w14:solidFill>
                </w14:textFill>
              </w:rPr>
              <w:t>开挖出</w:t>
            </w:r>
            <w:r>
              <w:rPr>
                <w:rFonts w:hint="eastAsia"/>
                <w:bCs/>
                <w:color w:val="000000" w:themeColor="text1"/>
                <w:sz w:val="24"/>
                <w14:textFill>
                  <w14:solidFill>
                    <w14:schemeClr w14:val="tx1"/>
                  </w14:solidFill>
                </w14:textFill>
              </w:rPr>
              <w:t>约13494m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的弃土，</w:t>
            </w:r>
            <w:r>
              <w:rPr>
                <w:rFonts w:hint="eastAsia"/>
                <w:bCs/>
                <w:color w:val="000000" w:themeColor="text1"/>
                <w:sz w:val="24"/>
                <w14:textFill>
                  <w14:solidFill>
                    <w14:schemeClr w14:val="tx1"/>
                  </w14:solidFill>
                </w14:textFill>
              </w:rPr>
              <w:t>基础开挖产生弃土约1500m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，产生弃土部分用于场地低洼处平整及基础周边回填，回用量与1000m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，则</w:t>
            </w:r>
            <w:r>
              <w:rPr>
                <w:bCs/>
                <w:color w:val="000000" w:themeColor="text1"/>
                <w:sz w:val="24"/>
                <w14:textFill>
                  <w14:solidFill>
                    <w14:schemeClr w14:val="tx1"/>
                  </w14:solidFill>
                </w14:textFill>
              </w:rPr>
              <w:t>项目</w:t>
            </w:r>
            <w:r>
              <w:rPr>
                <w:rFonts w:hint="eastAsia"/>
                <w:bCs/>
                <w:color w:val="000000" w:themeColor="text1"/>
                <w:sz w:val="24"/>
                <w14:textFill>
                  <w14:solidFill>
                    <w14:schemeClr w14:val="tx1"/>
                  </w14:solidFill>
                </w14:textFill>
              </w:rPr>
              <w:t>场地平整、基础开挖产生的弃土量为13994m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w:t>
            </w:r>
            <w:r>
              <w:rPr>
                <w:rFonts w:hint="eastAsia"/>
                <w:color w:val="000000" w:themeColor="text1"/>
                <w:kern w:val="0"/>
                <w:sz w:val="24"/>
                <w14:textFill>
                  <w14:solidFill>
                    <w14:schemeClr w14:val="tx1"/>
                  </w14:solidFill>
                </w14:textFill>
              </w:rPr>
              <w:t>土壤密度按1.2t/m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计，则产生弃土约16792.8t，</w:t>
            </w:r>
            <w:r>
              <w:rPr>
                <w:rFonts w:hint="eastAsia"/>
                <w:bCs/>
                <w:color w:val="000000" w:themeColor="text1"/>
                <w:sz w:val="24"/>
                <w14:textFill>
                  <w14:solidFill>
                    <w14:schemeClr w14:val="tx1"/>
                  </w14:solidFill>
                </w14:textFill>
              </w:rPr>
              <w:t>产生的</w:t>
            </w:r>
            <w:r>
              <w:rPr>
                <w:bCs/>
                <w:color w:val="000000" w:themeColor="text1"/>
                <w:sz w:val="24"/>
                <w14:textFill>
                  <w14:solidFill>
                    <w14:schemeClr w14:val="tx1"/>
                  </w14:solidFill>
                </w14:textFill>
              </w:rPr>
              <w:t>弃土</w:t>
            </w:r>
            <w:r>
              <w:rPr>
                <w:rFonts w:hint="eastAsia"/>
                <w:bCs/>
                <w:color w:val="000000" w:themeColor="text1"/>
                <w:sz w:val="24"/>
                <w14:textFill>
                  <w14:solidFill>
                    <w14:schemeClr w14:val="tx1"/>
                  </w14:solidFill>
                </w14:textFill>
              </w:rPr>
              <w:t>运至政府指定堆场</w:t>
            </w:r>
            <w:r>
              <w:rPr>
                <w:bCs/>
                <w:color w:val="000000" w:themeColor="text1"/>
                <w:sz w:val="24"/>
                <w14:textFill>
                  <w14:solidFill>
                    <w14:schemeClr w14:val="tx1"/>
                  </w14:solidFill>
                </w14:textFill>
              </w:rPr>
              <w:t>。</w:t>
            </w:r>
          </w:p>
          <w:p>
            <w:pPr>
              <w:numPr>
                <w:ilvl w:val="0"/>
                <w:numId w:val="16"/>
              </w:num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建筑垃圾</w:t>
            </w:r>
          </w:p>
          <w:p>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bCs/>
                <w:color w:val="000000" w:themeColor="text1"/>
                <w:sz w:val="24"/>
                <w14:textFill>
                  <w14:solidFill>
                    <w14:schemeClr w14:val="tx1"/>
                  </w14:solidFill>
                </w14:textFill>
              </w:rPr>
              <w:t>项目规划总建筑面积15861m</w:t>
            </w:r>
            <w:r>
              <w:rPr>
                <w:rFonts w:hint="eastAsia"/>
                <w:bCs/>
                <w:color w:val="000000" w:themeColor="text1"/>
                <w:sz w:val="24"/>
                <w:vertAlign w:val="superscript"/>
                <w14:textFill>
                  <w14:solidFill>
                    <w14:schemeClr w14:val="tx1"/>
                  </w14:solidFill>
                </w14:textFill>
              </w:rPr>
              <w:t>2</w:t>
            </w:r>
            <w:r>
              <w:rPr>
                <w:rFonts w:hint="eastAsia"/>
                <w:bCs/>
                <w:color w:val="000000" w:themeColor="text1"/>
                <w:sz w:val="24"/>
                <w14:textFill>
                  <w14:solidFill>
                    <w14:schemeClr w14:val="tx1"/>
                  </w14:solidFill>
                </w14:textFill>
              </w:rPr>
              <w:t>，采用框架结构，建筑垃圾产生量参照《地震灾区建筑垃圾处理技术导则》（建科〔2008〕99号）中2.2条，城区砖混、框架建筑垃圾产生系数1.0~1.5吨/m</w:t>
            </w:r>
            <w:r>
              <w:rPr>
                <w:rFonts w:hint="eastAsia"/>
                <w:bCs/>
                <w:color w:val="000000" w:themeColor="text1"/>
                <w:sz w:val="24"/>
                <w:vertAlign w:val="superscript"/>
                <w14:textFill>
                  <w14:solidFill>
                    <w14:schemeClr w14:val="tx1"/>
                  </w14:solidFill>
                </w14:textFill>
              </w:rPr>
              <w:t>2</w:t>
            </w:r>
            <w:r>
              <w:rPr>
                <w:rFonts w:hint="eastAsia"/>
                <w:bCs/>
                <w:color w:val="000000" w:themeColor="text1"/>
                <w:sz w:val="24"/>
                <w14:textFill>
                  <w14:solidFill>
                    <w14:schemeClr w14:val="tx1"/>
                  </w14:solidFill>
                </w14:textFill>
              </w:rPr>
              <w:t>，结合本项目实际建筑垃圾产生系数取1.0吨/m</w:t>
            </w:r>
            <w:r>
              <w:rPr>
                <w:rFonts w:hint="eastAsia"/>
                <w:bCs/>
                <w:color w:val="000000" w:themeColor="text1"/>
                <w:sz w:val="24"/>
                <w:vertAlign w:val="superscript"/>
                <w14:textFill>
                  <w14:solidFill>
                    <w14:schemeClr w14:val="tx1"/>
                  </w14:solidFill>
                </w14:textFill>
              </w:rPr>
              <w:t>2</w:t>
            </w:r>
            <w:r>
              <w:rPr>
                <w:rFonts w:hint="eastAsia"/>
                <w:bCs/>
                <w:color w:val="000000" w:themeColor="text1"/>
                <w:sz w:val="24"/>
                <w14:textFill>
                  <w14:solidFill>
                    <w14:schemeClr w14:val="tx1"/>
                  </w14:solidFill>
                </w14:textFill>
              </w:rPr>
              <w:t>，则项目建筑垃圾产生量约15861t。其中切割后的钢材、钢筋等约占10%，则废弃钢材产生量1586.1t，收集后外卖废品回收站；废弃砂浆、砖块等约占90%，则废弃建渣产生量14274.9t，收集后运至政府指定堆场</w:t>
            </w:r>
            <w:r>
              <w:rPr>
                <w:color w:val="000000" w:themeColor="text1"/>
                <w:kern w:val="0"/>
                <w:sz w:val="24"/>
                <w14:textFill>
                  <w14:solidFill>
                    <w14:schemeClr w14:val="tx1"/>
                  </w14:solidFill>
                </w14:textFill>
              </w:rPr>
              <w:t>。</w:t>
            </w:r>
          </w:p>
          <w:p>
            <w:pPr>
              <w:pStyle w:val="9"/>
              <w:adjustRightInd w:val="0"/>
              <w:snapToGrid w:val="0"/>
              <w:spacing w:after="0" w:line="360" w:lineRule="auto"/>
              <w:ind w:left="0" w:leftChars="0"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项目土石方产排情况见下表。</w:t>
            </w:r>
          </w:p>
          <w:p>
            <w:pPr>
              <w:numPr>
                <w:ilvl w:val="0"/>
                <w:numId w:val="14"/>
              </w:numPr>
              <w:spacing w:line="36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项目土石方平衡表</w:t>
            </w:r>
          </w:p>
          <w:tbl>
            <w:tblPr>
              <w:tblStyle w:val="23"/>
              <w:tblW w:w="783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211"/>
              <w:gridCol w:w="1419"/>
              <w:gridCol w:w="1200"/>
              <w:gridCol w:w="28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166" w:type="dxa"/>
                  <w:vAlign w:val="center"/>
                </w:tcPr>
                <w:p>
                  <w:pPr>
                    <w:jc w:val="center"/>
                    <w:rPr>
                      <w:color w:val="000000" w:themeColor="text1"/>
                      <w:szCs w:val="16"/>
                      <w14:textFill>
                        <w14:solidFill>
                          <w14:schemeClr w14:val="tx1"/>
                        </w14:solidFill>
                      </w14:textFill>
                    </w:rPr>
                  </w:pPr>
                  <w:r>
                    <w:rPr>
                      <w:rFonts w:hint="eastAsia"/>
                      <w:color w:val="000000" w:themeColor="text1"/>
                      <w:szCs w:val="16"/>
                      <w14:textFill>
                        <w14:solidFill>
                          <w14:schemeClr w14:val="tx1"/>
                        </w14:solidFill>
                      </w14:textFill>
                    </w:rPr>
                    <w:t>项目</w:t>
                  </w:r>
                </w:p>
              </w:tc>
              <w:tc>
                <w:tcPr>
                  <w:tcW w:w="1211" w:type="dxa"/>
                  <w:vAlign w:val="center"/>
                </w:tcPr>
                <w:p>
                  <w:pPr>
                    <w:jc w:val="center"/>
                    <w:rPr>
                      <w:color w:val="000000" w:themeColor="text1"/>
                      <w:szCs w:val="16"/>
                      <w14:textFill>
                        <w14:solidFill>
                          <w14:schemeClr w14:val="tx1"/>
                        </w14:solidFill>
                      </w14:textFill>
                    </w:rPr>
                  </w:pPr>
                  <w:r>
                    <w:rPr>
                      <w:rFonts w:hint="eastAsia"/>
                      <w:color w:val="000000" w:themeColor="text1"/>
                      <w:szCs w:val="16"/>
                      <w14:textFill>
                        <w14:solidFill>
                          <w14:schemeClr w14:val="tx1"/>
                        </w14:solidFill>
                      </w14:textFill>
                    </w:rPr>
                    <w:t>产生量t</w:t>
                  </w:r>
                </w:p>
              </w:tc>
              <w:tc>
                <w:tcPr>
                  <w:tcW w:w="1419" w:type="dxa"/>
                  <w:vAlign w:val="center"/>
                </w:tcPr>
                <w:p>
                  <w:pPr>
                    <w:jc w:val="center"/>
                    <w:rPr>
                      <w:color w:val="000000" w:themeColor="text1"/>
                      <w:szCs w:val="16"/>
                      <w14:textFill>
                        <w14:solidFill>
                          <w14:schemeClr w14:val="tx1"/>
                        </w14:solidFill>
                      </w14:textFill>
                    </w:rPr>
                  </w:pPr>
                  <w:r>
                    <w:rPr>
                      <w:rFonts w:hint="eastAsia"/>
                      <w:color w:val="000000" w:themeColor="text1"/>
                      <w:szCs w:val="16"/>
                      <w14:textFill>
                        <w14:solidFill>
                          <w14:schemeClr w14:val="tx1"/>
                        </w14:solidFill>
                      </w14:textFill>
                    </w:rPr>
                    <w:t>综合利用（回填）量t</w:t>
                  </w:r>
                </w:p>
              </w:tc>
              <w:tc>
                <w:tcPr>
                  <w:tcW w:w="1200" w:type="dxa"/>
                  <w:vAlign w:val="center"/>
                </w:tcPr>
                <w:p>
                  <w:pPr>
                    <w:jc w:val="center"/>
                    <w:rPr>
                      <w:color w:val="000000" w:themeColor="text1"/>
                      <w:szCs w:val="16"/>
                      <w14:textFill>
                        <w14:solidFill>
                          <w14:schemeClr w14:val="tx1"/>
                        </w14:solidFill>
                      </w14:textFill>
                    </w:rPr>
                  </w:pPr>
                  <w:r>
                    <w:rPr>
                      <w:rFonts w:hint="eastAsia"/>
                      <w:color w:val="000000" w:themeColor="text1"/>
                      <w:szCs w:val="16"/>
                      <w14:textFill>
                        <w14:solidFill>
                          <w14:schemeClr w14:val="tx1"/>
                        </w14:solidFill>
                      </w14:textFill>
                    </w:rPr>
                    <w:t>外排量t</w:t>
                  </w:r>
                </w:p>
              </w:tc>
              <w:tc>
                <w:tcPr>
                  <w:tcW w:w="2834" w:type="dxa"/>
                  <w:vAlign w:val="center"/>
                </w:tcPr>
                <w:p>
                  <w:pPr>
                    <w:jc w:val="center"/>
                    <w:rPr>
                      <w:color w:val="000000" w:themeColor="text1"/>
                      <w:szCs w:val="16"/>
                      <w14:textFill>
                        <w14:solidFill>
                          <w14:schemeClr w14:val="tx1"/>
                        </w14:solidFill>
                      </w14:textFill>
                    </w:rPr>
                  </w:pPr>
                  <w:r>
                    <w:rPr>
                      <w:rFonts w:hint="eastAsia"/>
                      <w:color w:val="000000" w:themeColor="text1"/>
                      <w:szCs w:val="16"/>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66" w:type="dxa"/>
                  <w:vAlign w:val="center"/>
                </w:tcPr>
                <w:p>
                  <w:pPr>
                    <w:jc w:val="center"/>
                    <w:rPr>
                      <w:color w:val="000000" w:themeColor="text1"/>
                      <w:szCs w:val="16"/>
                      <w14:textFill>
                        <w14:solidFill>
                          <w14:schemeClr w14:val="tx1"/>
                        </w14:solidFill>
                      </w14:textFill>
                    </w:rPr>
                  </w:pPr>
                  <w:r>
                    <w:rPr>
                      <w:rFonts w:hint="eastAsia"/>
                      <w:color w:val="000000" w:themeColor="text1"/>
                      <w:szCs w:val="16"/>
                      <w14:textFill>
                        <w14:solidFill>
                          <w14:schemeClr w14:val="tx1"/>
                        </w14:solidFill>
                      </w14:textFill>
                    </w:rPr>
                    <w:t>剥离表土</w:t>
                  </w:r>
                </w:p>
              </w:tc>
              <w:tc>
                <w:tcPr>
                  <w:tcW w:w="1211" w:type="dxa"/>
                  <w:vAlign w:val="center"/>
                </w:tcPr>
                <w:p>
                  <w:pPr>
                    <w:jc w:val="center"/>
                    <w:rPr>
                      <w:color w:val="000000" w:themeColor="text1"/>
                      <w:szCs w:val="16"/>
                      <w14:textFill>
                        <w14:solidFill>
                          <w14:schemeClr w14:val="tx1"/>
                        </w14:solidFill>
                      </w14:textFill>
                    </w:rPr>
                  </w:pPr>
                  <w:r>
                    <w:rPr>
                      <w:color w:val="000000" w:themeColor="text1"/>
                      <w:szCs w:val="16"/>
                      <w14:textFill>
                        <w14:solidFill>
                          <w14:schemeClr w14:val="tx1"/>
                        </w14:solidFill>
                      </w14:textFill>
                    </w:rPr>
                    <w:t>1113</w:t>
                  </w:r>
                </w:p>
              </w:tc>
              <w:tc>
                <w:tcPr>
                  <w:tcW w:w="1419" w:type="dxa"/>
                  <w:vAlign w:val="center"/>
                </w:tcPr>
                <w:p>
                  <w:pPr>
                    <w:jc w:val="center"/>
                    <w:rPr>
                      <w:color w:val="000000" w:themeColor="text1"/>
                      <w:szCs w:val="16"/>
                      <w14:textFill>
                        <w14:solidFill>
                          <w14:schemeClr w14:val="tx1"/>
                        </w14:solidFill>
                      </w14:textFill>
                    </w:rPr>
                  </w:pPr>
                  <w:r>
                    <w:rPr>
                      <w:color w:val="000000" w:themeColor="text1"/>
                      <w:szCs w:val="16"/>
                      <w14:textFill>
                        <w14:solidFill>
                          <w14:schemeClr w14:val="tx1"/>
                        </w14:solidFill>
                      </w14:textFill>
                    </w:rPr>
                    <w:t>1113</w:t>
                  </w:r>
                </w:p>
              </w:tc>
              <w:tc>
                <w:tcPr>
                  <w:tcW w:w="1200" w:type="dxa"/>
                  <w:vAlign w:val="center"/>
                </w:tcPr>
                <w:p>
                  <w:pPr>
                    <w:jc w:val="center"/>
                    <w:rPr>
                      <w:color w:val="000000" w:themeColor="text1"/>
                      <w:szCs w:val="16"/>
                      <w14:textFill>
                        <w14:solidFill>
                          <w14:schemeClr w14:val="tx1"/>
                        </w14:solidFill>
                      </w14:textFill>
                    </w:rPr>
                  </w:pPr>
                  <w:r>
                    <w:rPr>
                      <w:color w:val="000000" w:themeColor="text1"/>
                      <w:szCs w:val="16"/>
                      <w14:textFill>
                        <w14:solidFill>
                          <w14:schemeClr w14:val="tx1"/>
                        </w14:solidFill>
                      </w14:textFill>
                    </w:rPr>
                    <w:t>0</w:t>
                  </w:r>
                </w:p>
              </w:tc>
              <w:tc>
                <w:tcPr>
                  <w:tcW w:w="2834" w:type="dxa"/>
                  <w:vAlign w:val="center"/>
                </w:tcPr>
                <w:p>
                  <w:pPr>
                    <w:jc w:val="center"/>
                    <w:rPr>
                      <w:color w:val="000000" w:themeColor="text1"/>
                      <w:szCs w:val="16"/>
                      <w14:textFill>
                        <w14:solidFill>
                          <w14:schemeClr w14:val="tx1"/>
                        </w14:solidFill>
                      </w14:textFill>
                    </w:rPr>
                  </w:pPr>
                  <w:r>
                    <w:rPr>
                      <w:rFonts w:hint="eastAsia"/>
                      <w:color w:val="000000" w:themeColor="text1"/>
                      <w:szCs w:val="16"/>
                      <w14:textFill>
                        <w14:solidFill>
                          <w14:schemeClr w14:val="tx1"/>
                        </w14:solidFill>
                      </w14:textFill>
                    </w:rPr>
                    <w:t>用于后期绿化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66" w:type="dxa"/>
                  <w:vAlign w:val="center"/>
                </w:tcPr>
                <w:p>
                  <w:pPr>
                    <w:jc w:val="center"/>
                    <w:rPr>
                      <w:color w:val="000000" w:themeColor="text1"/>
                      <w:szCs w:val="16"/>
                      <w14:textFill>
                        <w14:solidFill>
                          <w14:schemeClr w14:val="tx1"/>
                        </w14:solidFill>
                      </w14:textFill>
                    </w:rPr>
                  </w:pPr>
                  <w:r>
                    <w:rPr>
                      <w:rFonts w:hint="eastAsia"/>
                      <w:color w:val="000000" w:themeColor="text1"/>
                      <w:szCs w:val="16"/>
                      <w14:textFill>
                        <w14:solidFill>
                          <w14:schemeClr w14:val="tx1"/>
                        </w14:solidFill>
                      </w14:textFill>
                    </w:rPr>
                    <w:t>弃土</w:t>
                  </w:r>
                </w:p>
              </w:tc>
              <w:tc>
                <w:tcPr>
                  <w:tcW w:w="1211" w:type="dxa"/>
                  <w:vAlign w:val="center"/>
                </w:tcPr>
                <w:p>
                  <w:pPr>
                    <w:jc w:val="center"/>
                    <w:rPr>
                      <w:color w:val="000000" w:themeColor="text1"/>
                      <w:szCs w:val="16"/>
                      <w14:textFill>
                        <w14:solidFill>
                          <w14:schemeClr w14:val="tx1"/>
                        </w14:solidFill>
                      </w14:textFill>
                    </w:rPr>
                  </w:pPr>
                  <w:r>
                    <w:rPr>
                      <w:color w:val="000000" w:themeColor="text1"/>
                      <w:szCs w:val="16"/>
                      <w14:textFill>
                        <w14:solidFill>
                          <w14:schemeClr w14:val="tx1"/>
                        </w14:solidFill>
                      </w14:textFill>
                    </w:rPr>
                    <w:t>17992.8</w:t>
                  </w:r>
                </w:p>
              </w:tc>
              <w:tc>
                <w:tcPr>
                  <w:tcW w:w="1419" w:type="dxa"/>
                  <w:vAlign w:val="center"/>
                </w:tcPr>
                <w:p>
                  <w:pPr>
                    <w:jc w:val="center"/>
                    <w:rPr>
                      <w:color w:val="000000" w:themeColor="text1"/>
                      <w:szCs w:val="16"/>
                      <w14:textFill>
                        <w14:solidFill>
                          <w14:schemeClr w14:val="tx1"/>
                        </w14:solidFill>
                      </w14:textFill>
                    </w:rPr>
                  </w:pPr>
                  <w:r>
                    <w:rPr>
                      <w:color w:val="000000" w:themeColor="text1"/>
                      <w:szCs w:val="16"/>
                      <w14:textFill>
                        <w14:solidFill>
                          <w14:schemeClr w14:val="tx1"/>
                        </w14:solidFill>
                      </w14:textFill>
                    </w:rPr>
                    <w:t>1200</w:t>
                  </w:r>
                </w:p>
              </w:tc>
              <w:tc>
                <w:tcPr>
                  <w:tcW w:w="1200" w:type="dxa"/>
                  <w:vAlign w:val="center"/>
                </w:tcPr>
                <w:p>
                  <w:pPr>
                    <w:jc w:val="center"/>
                    <w:rPr>
                      <w:color w:val="000000" w:themeColor="text1"/>
                      <w:szCs w:val="16"/>
                      <w14:textFill>
                        <w14:solidFill>
                          <w14:schemeClr w14:val="tx1"/>
                        </w14:solidFill>
                      </w14:textFill>
                    </w:rPr>
                  </w:pPr>
                  <w:r>
                    <w:rPr>
                      <w:color w:val="000000" w:themeColor="text1"/>
                      <w:szCs w:val="16"/>
                      <w14:textFill>
                        <w14:solidFill>
                          <w14:schemeClr w14:val="tx1"/>
                        </w14:solidFill>
                      </w14:textFill>
                    </w:rPr>
                    <w:t>16792.8</w:t>
                  </w:r>
                </w:p>
              </w:tc>
              <w:tc>
                <w:tcPr>
                  <w:tcW w:w="2834" w:type="dxa"/>
                  <w:vAlign w:val="center"/>
                </w:tcPr>
                <w:p>
                  <w:pPr>
                    <w:jc w:val="center"/>
                    <w:rPr>
                      <w:color w:val="000000" w:themeColor="text1"/>
                      <w:szCs w:val="16"/>
                      <w14:textFill>
                        <w14:solidFill>
                          <w14:schemeClr w14:val="tx1"/>
                        </w14:solidFill>
                      </w14:textFill>
                    </w:rPr>
                  </w:pPr>
                  <w:r>
                    <w:rPr>
                      <w:rFonts w:hint="eastAsia"/>
                      <w:color w:val="000000" w:themeColor="text1"/>
                      <w:szCs w:val="16"/>
                      <w14:textFill>
                        <w14:solidFill>
                          <w14:schemeClr w14:val="tx1"/>
                        </w14:solidFill>
                      </w14:textFill>
                    </w:rPr>
                    <w:t>运至政府指定堆场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166" w:type="dxa"/>
                  <w:vAlign w:val="center"/>
                </w:tcPr>
                <w:p>
                  <w:pPr>
                    <w:jc w:val="center"/>
                    <w:rPr>
                      <w:color w:val="000000" w:themeColor="text1"/>
                      <w:szCs w:val="16"/>
                      <w14:textFill>
                        <w14:solidFill>
                          <w14:schemeClr w14:val="tx1"/>
                        </w14:solidFill>
                      </w14:textFill>
                    </w:rPr>
                  </w:pPr>
                  <w:r>
                    <w:rPr>
                      <w:rFonts w:hint="eastAsia"/>
                      <w:color w:val="000000" w:themeColor="text1"/>
                      <w:szCs w:val="16"/>
                      <w14:textFill>
                        <w14:solidFill>
                          <w14:schemeClr w14:val="tx1"/>
                        </w14:solidFill>
                      </w14:textFill>
                    </w:rPr>
                    <w:t>建筑垃圾</w:t>
                  </w:r>
                </w:p>
              </w:tc>
              <w:tc>
                <w:tcPr>
                  <w:tcW w:w="1211" w:type="dxa"/>
                  <w:vAlign w:val="center"/>
                </w:tcPr>
                <w:p>
                  <w:pPr>
                    <w:jc w:val="center"/>
                    <w:rPr>
                      <w:color w:val="000000" w:themeColor="text1"/>
                      <w:szCs w:val="16"/>
                      <w14:textFill>
                        <w14:solidFill>
                          <w14:schemeClr w14:val="tx1"/>
                        </w14:solidFill>
                      </w14:textFill>
                    </w:rPr>
                  </w:pPr>
                  <w:r>
                    <w:rPr>
                      <w:color w:val="000000" w:themeColor="text1"/>
                      <w:szCs w:val="16"/>
                      <w14:textFill>
                        <w14:solidFill>
                          <w14:schemeClr w14:val="tx1"/>
                        </w14:solidFill>
                      </w14:textFill>
                    </w:rPr>
                    <w:t>15861</w:t>
                  </w:r>
                </w:p>
              </w:tc>
              <w:tc>
                <w:tcPr>
                  <w:tcW w:w="1419" w:type="dxa"/>
                  <w:vAlign w:val="center"/>
                </w:tcPr>
                <w:p>
                  <w:pPr>
                    <w:jc w:val="center"/>
                    <w:rPr>
                      <w:color w:val="000000" w:themeColor="text1"/>
                      <w:szCs w:val="16"/>
                      <w14:textFill>
                        <w14:solidFill>
                          <w14:schemeClr w14:val="tx1"/>
                        </w14:solidFill>
                      </w14:textFill>
                    </w:rPr>
                  </w:pPr>
                  <w:r>
                    <w:rPr>
                      <w:color w:val="000000" w:themeColor="text1"/>
                      <w:szCs w:val="16"/>
                      <w14:textFill>
                        <w14:solidFill>
                          <w14:schemeClr w14:val="tx1"/>
                        </w14:solidFill>
                      </w14:textFill>
                    </w:rPr>
                    <w:t>1586.1</w:t>
                  </w:r>
                </w:p>
              </w:tc>
              <w:tc>
                <w:tcPr>
                  <w:tcW w:w="1200" w:type="dxa"/>
                  <w:vAlign w:val="center"/>
                </w:tcPr>
                <w:p>
                  <w:pPr>
                    <w:jc w:val="center"/>
                    <w:rPr>
                      <w:color w:val="000000" w:themeColor="text1"/>
                      <w:szCs w:val="16"/>
                      <w14:textFill>
                        <w14:solidFill>
                          <w14:schemeClr w14:val="tx1"/>
                        </w14:solidFill>
                      </w14:textFill>
                    </w:rPr>
                  </w:pPr>
                  <w:r>
                    <w:rPr>
                      <w:color w:val="000000" w:themeColor="text1"/>
                      <w:szCs w:val="16"/>
                      <w14:textFill>
                        <w14:solidFill>
                          <w14:schemeClr w14:val="tx1"/>
                        </w14:solidFill>
                      </w14:textFill>
                    </w:rPr>
                    <w:t>14274.9</w:t>
                  </w:r>
                </w:p>
              </w:tc>
              <w:tc>
                <w:tcPr>
                  <w:tcW w:w="2834" w:type="dxa"/>
                  <w:vAlign w:val="center"/>
                </w:tcPr>
                <w:p>
                  <w:pPr>
                    <w:jc w:val="center"/>
                    <w:rPr>
                      <w:color w:val="000000" w:themeColor="text1"/>
                      <w:szCs w:val="16"/>
                      <w14:textFill>
                        <w14:solidFill>
                          <w14:schemeClr w14:val="tx1"/>
                        </w14:solidFill>
                      </w14:textFill>
                    </w:rPr>
                  </w:pPr>
                  <w:r>
                    <w:rPr>
                      <w:rFonts w:hint="eastAsia"/>
                      <w:color w:val="000000" w:themeColor="text1"/>
                      <w:szCs w:val="16"/>
                      <w14:textFill>
                        <w14:solidFill>
                          <w14:schemeClr w14:val="tx1"/>
                        </w14:solidFill>
                      </w14:textFill>
                    </w:rPr>
                    <w:t>废弃钢材外售废品收购站；建渣运至政府指定堆场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166" w:type="dxa"/>
                  <w:vAlign w:val="center"/>
                </w:tcPr>
                <w:p>
                  <w:pPr>
                    <w:jc w:val="center"/>
                    <w:rPr>
                      <w:color w:val="000000" w:themeColor="text1"/>
                      <w:szCs w:val="16"/>
                      <w14:textFill>
                        <w14:solidFill>
                          <w14:schemeClr w14:val="tx1"/>
                        </w14:solidFill>
                      </w14:textFill>
                    </w:rPr>
                  </w:pPr>
                  <w:r>
                    <w:rPr>
                      <w:rFonts w:hint="eastAsia"/>
                      <w:color w:val="000000" w:themeColor="text1"/>
                      <w:szCs w:val="16"/>
                      <w14:textFill>
                        <w14:solidFill>
                          <w14:schemeClr w14:val="tx1"/>
                        </w14:solidFill>
                      </w14:textFill>
                    </w:rPr>
                    <w:t>合计</w:t>
                  </w:r>
                </w:p>
              </w:tc>
              <w:tc>
                <w:tcPr>
                  <w:tcW w:w="1211" w:type="dxa"/>
                  <w:vAlign w:val="center"/>
                </w:tcPr>
                <w:p>
                  <w:pPr>
                    <w:jc w:val="center"/>
                    <w:rPr>
                      <w:color w:val="000000" w:themeColor="text1"/>
                      <w:szCs w:val="16"/>
                      <w14:textFill>
                        <w14:solidFill>
                          <w14:schemeClr w14:val="tx1"/>
                        </w14:solidFill>
                      </w14:textFill>
                    </w:rPr>
                  </w:pPr>
                  <w:r>
                    <w:rPr>
                      <w:color w:val="000000" w:themeColor="text1"/>
                      <w:szCs w:val="16"/>
                      <w14:textFill>
                        <w14:solidFill>
                          <w14:schemeClr w14:val="tx1"/>
                        </w14:solidFill>
                      </w14:textFill>
                    </w:rPr>
                    <w:t>34966.8</w:t>
                  </w:r>
                </w:p>
              </w:tc>
              <w:tc>
                <w:tcPr>
                  <w:tcW w:w="1419" w:type="dxa"/>
                  <w:vAlign w:val="center"/>
                </w:tcPr>
                <w:p>
                  <w:pPr>
                    <w:jc w:val="center"/>
                    <w:rPr>
                      <w:color w:val="000000" w:themeColor="text1"/>
                      <w:szCs w:val="16"/>
                      <w14:textFill>
                        <w14:solidFill>
                          <w14:schemeClr w14:val="tx1"/>
                        </w14:solidFill>
                      </w14:textFill>
                    </w:rPr>
                  </w:pPr>
                  <w:r>
                    <w:rPr>
                      <w:color w:val="000000" w:themeColor="text1"/>
                      <w:szCs w:val="16"/>
                      <w14:textFill>
                        <w14:solidFill>
                          <w14:schemeClr w14:val="tx1"/>
                        </w14:solidFill>
                      </w14:textFill>
                    </w:rPr>
                    <w:t>3899.1</w:t>
                  </w:r>
                </w:p>
              </w:tc>
              <w:tc>
                <w:tcPr>
                  <w:tcW w:w="1200" w:type="dxa"/>
                  <w:vAlign w:val="center"/>
                </w:tcPr>
                <w:p>
                  <w:pPr>
                    <w:jc w:val="center"/>
                    <w:rPr>
                      <w:color w:val="000000" w:themeColor="text1"/>
                      <w:szCs w:val="16"/>
                      <w14:textFill>
                        <w14:solidFill>
                          <w14:schemeClr w14:val="tx1"/>
                        </w14:solidFill>
                      </w14:textFill>
                    </w:rPr>
                  </w:pPr>
                  <w:r>
                    <w:rPr>
                      <w:color w:val="000000" w:themeColor="text1"/>
                      <w:szCs w:val="16"/>
                      <w14:textFill>
                        <w14:solidFill>
                          <w14:schemeClr w14:val="tx1"/>
                        </w14:solidFill>
                      </w14:textFill>
                    </w:rPr>
                    <w:t>31067.7</w:t>
                  </w:r>
                </w:p>
              </w:tc>
              <w:tc>
                <w:tcPr>
                  <w:tcW w:w="2834" w:type="dxa"/>
                  <w:vAlign w:val="center"/>
                </w:tcPr>
                <w:p>
                  <w:pPr>
                    <w:jc w:val="center"/>
                    <w:rPr>
                      <w:color w:val="000000" w:themeColor="text1"/>
                      <w:szCs w:val="16"/>
                      <w14:textFill>
                        <w14:solidFill>
                          <w14:schemeClr w14:val="tx1"/>
                        </w14:solidFill>
                      </w14:textFill>
                    </w:rPr>
                  </w:pPr>
                  <w:r>
                    <w:rPr>
                      <w:color w:val="000000" w:themeColor="text1"/>
                      <w:szCs w:val="16"/>
                      <w14:textFill>
                        <w14:solidFill>
                          <w14:schemeClr w14:val="tx1"/>
                        </w14:solidFill>
                      </w14:textFill>
                    </w:rPr>
                    <w:t>/</w:t>
                  </w:r>
                </w:p>
              </w:tc>
            </w:tr>
          </w:tbl>
          <w:p>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（3）生活垃圾</w:t>
            </w:r>
          </w:p>
          <w:p>
            <w:pPr>
              <w:adjustRightInd w:val="0"/>
              <w:snapToGrid w:val="0"/>
              <w:spacing w:line="360" w:lineRule="auto"/>
              <w:ind w:firstLine="480" w:firstLineChars="200"/>
              <w:rPr>
                <w:bCs/>
                <w:color w:val="000000" w:themeColor="text1"/>
                <w:spacing w:val="-10"/>
                <w:sz w:val="24"/>
                <w14:textFill>
                  <w14:solidFill>
                    <w14:schemeClr w14:val="tx1"/>
                  </w14:solidFill>
                </w14:textFill>
              </w:rPr>
            </w:pPr>
            <w:r>
              <w:rPr>
                <w:color w:val="000000" w:themeColor="text1"/>
                <w:kern w:val="0"/>
                <w:sz w:val="24"/>
                <w14:textFill>
                  <w14:solidFill>
                    <w14:schemeClr w14:val="tx1"/>
                  </w14:solidFill>
                </w14:textFill>
              </w:rPr>
              <w:t>项目施工人数约</w:t>
            </w:r>
            <w:r>
              <w:rPr>
                <w:rFonts w:hint="eastAsia"/>
                <w:color w:val="000000" w:themeColor="text1"/>
                <w:kern w:val="0"/>
                <w:sz w:val="24"/>
                <w14:textFill>
                  <w14:solidFill>
                    <w14:schemeClr w14:val="tx1"/>
                  </w14:solidFill>
                </w14:textFill>
              </w:rPr>
              <w:t>200</w:t>
            </w:r>
            <w:r>
              <w:rPr>
                <w:color w:val="000000" w:themeColor="text1"/>
                <w:kern w:val="0"/>
                <w:sz w:val="24"/>
                <w14:textFill>
                  <w14:solidFill>
                    <w14:schemeClr w14:val="tx1"/>
                  </w14:solidFill>
                </w14:textFill>
              </w:rPr>
              <w:t>人，施工人员生活垃圾按平均0.35kg/人·d计，则施工期间施工人员生活垃圾每天产生量约</w:t>
            </w:r>
            <w:r>
              <w:rPr>
                <w:rFonts w:hint="eastAsia"/>
                <w:color w:val="000000" w:themeColor="text1"/>
                <w:kern w:val="0"/>
                <w:sz w:val="24"/>
                <w14:textFill>
                  <w14:solidFill>
                    <w14:schemeClr w14:val="tx1"/>
                  </w14:solidFill>
                </w14:textFill>
              </w:rPr>
              <w:t>105.0</w:t>
            </w:r>
            <w:r>
              <w:rPr>
                <w:color w:val="000000" w:themeColor="text1"/>
                <w:kern w:val="0"/>
                <w:sz w:val="24"/>
                <w14:textFill>
                  <w14:solidFill>
                    <w14:schemeClr w14:val="tx1"/>
                  </w14:solidFill>
                </w14:textFill>
              </w:rPr>
              <w:t>kg/d</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施工期</w:t>
            </w:r>
            <w:r>
              <w:rPr>
                <w:rFonts w:hint="eastAsia"/>
                <w:color w:val="000000" w:themeColor="text1"/>
                <w:kern w:val="0"/>
                <w:sz w:val="24"/>
                <w14:textFill>
                  <w14:solidFill>
                    <w14:schemeClr w14:val="tx1"/>
                  </w14:solidFill>
                </w14:textFill>
              </w:rPr>
              <w:t>12个月计</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生活垃圾产生量为38.30t</w:t>
            </w:r>
            <w:r>
              <w:rPr>
                <w:color w:val="000000" w:themeColor="text1"/>
                <w:kern w:val="0"/>
                <w:sz w:val="24"/>
                <w14:textFill>
                  <w14:solidFill>
                    <w14:schemeClr w14:val="tx1"/>
                  </w14:solidFill>
                </w14:textFill>
              </w:rPr>
              <w:t>。经垃圾桶统一收集后，交当地环卫部门统一清运处理。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adjustRightInd w:val="0"/>
              <w:snapToGrid w:val="0"/>
              <w:spacing w:line="360" w:lineRule="auto"/>
              <w:jc w:val="center"/>
              <w:rPr>
                <w:bCs/>
                <w:color w:val="000000" w:themeColor="text1"/>
                <w:spacing w:val="-10"/>
                <w:sz w:val="24"/>
                <w14:textFill>
                  <w14:solidFill>
                    <w14:schemeClr w14:val="tx1"/>
                  </w14:solidFill>
                </w14:textFill>
              </w:rPr>
            </w:pPr>
            <w:r>
              <w:rPr>
                <w:b/>
                <w:color w:val="000000" w:themeColor="text1"/>
                <w:sz w:val="28"/>
                <w:szCs w:val="28"/>
                <w14:textFill>
                  <w14:solidFill>
                    <w14:schemeClr w14:val="tx1"/>
                  </w14:solidFill>
                </w14:textFill>
              </w:rPr>
              <w:t>运</w:t>
            </w:r>
            <w:r>
              <w:rPr>
                <w:b/>
                <w:color w:val="000000" w:themeColor="text1"/>
                <w:spacing w:val="-10"/>
                <w:sz w:val="28"/>
                <w:szCs w:val="28"/>
                <w14:textFill>
                  <w14:solidFill>
                    <w14:schemeClr w14:val="tx1"/>
                  </w14:solidFill>
                </w14:textFill>
              </w:rPr>
              <w:t>营期环境影响和保护措施</w:t>
            </w:r>
          </w:p>
        </w:tc>
        <w:tc>
          <w:tcPr>
            <w:tcW w:w="8828" w:type="dxa"/>
            <w:vAlign w:val="center"/>
          </w:tcPr>
          <w:p>
            <w:pPr>
              <w:numPr>
                <w:ilvl w:val="0"/>
                <w:numId w:val="17"/>
              </w:num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废气</w:t>
            </w:r>
          </w:p>
          <w:p>
            <w:pPr>
              <w:adjustRightInd w:val="0"/>
              <w:snapToGri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运营产生废气主要为医院治疗产生的浑浊空气、吸引设备产生的废气、检验室产生检验废气、危废暂存间产生的恶臭、洗消中心产生的废气和进出汽车产生的尾气。本项目针对性采取相应的防护措施，具体如下。</w:t>
            </w:r>
          </w:p>
          <w:p>
            <w:pPr>
              <w:numPr>
                <w:ilvl w:val="0"/>
                <w:numId w:val="18"/>
              </w:numPr>
              <w:adjustRightInd w:val="0"/>
              <w:snapToGrid w:val="0"/>
              <w:spacing w:line="360" w:lineRule="auto"/>
              <w:ind w:firstLine="482" w:firstLineChars="200"/>
              <w:jc w:val="left"/>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医院浑浊空气</w:t>
            </w:r>
          </w:p>
          <w:p>
            <w:pPr>
              <w:adjustRightInd w:val="0"/>
              <w:snapToGri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医院不同于其它公共场所，由于来往病人较多，病人入院时会带入不同的细菌和病毒，若通风措施不好，使医院的空气被污染，对病人及医护人员存在较大的染病风险。因此院内消毒工作非常重要。</w:t>
            </w:r>
          </w:p>
          <w:p>
            <w:pPr>
              <w:adjustRightInd w:val="0"/>
              <w:snapToGri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治理措施：项目</w:t>
            </w:r>
            <w:r>
              <w:rPr>
                <w:rFonts w:hint="eastAsia"/>
                <w:bCs/>
                <w:color w:val="000000" w:themeColor="text1"/>
                <w:sz w:val="24"/>
                <w:lang w:eastAsia="zh-CN"/>
                <w14:textFill>
                  <w14:solidFill>
                    <w14:schemeClr w14:val="tx1"/>
                  </w14:solidFill>
                </w14:textFill>
              </w:rPr>
              <w:t>采用500mg/L的含氯消毒剂溶液等常规消毒措施</w:t>
            </w:r>
            <w:r>
              <w:rPr>
                <w:rFonts w:hint="eastAsia"/>
                <w:bCs/>
                <w:color w:val="000000" w:themeColor="text1"/>
                <w:sz w:val="24"/>
                <w14:textFill>
                  <w14:solidFill>
                    <w14:schemeClr w14:val="tx1"/>
                  </w14:solidFill>
                </w14:textFill>
              </w:rPr>
              <w:t>定期对院内各区域进行消毒，可最大限度杀灭病原菌，同时加强通风，使病房保持良好的通风性，能够保证给病人和医护人员一个卫生的环境。</w:t>
            </w:r>
          </w:p>
          <w:p>
            <w:pPr>
              <w:numPr>
                <w:ilvl w:val="0"/>
                <w:numId w:val="18"/>
              </w:numPr>
              <w:adjustRightInd w:val="0"/>
              <w:snapToGrid w:val="0"/>
              <w:spacing w:line="360" w:lineRule="auto"/>
              <w:ind w:firstLine="482" w:firstLineChars="200"/>
              <w:jc w:val="left"/>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医疗废物暂存间恶臭</w:t>
            </w:r>
          </w:p>
          <w:p>
            <w:pPr>
              <w:adjustRightInd w:val="0"/>
              <w:snapToGrid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w:t>
            </w:r>
            <w:r>
              <w:rPr>
                <w:rFonts w:hint="eastAsia"/>
                <w:bCs/>
                <w:color w:val="000000" w:themeColor="text1"/>
                <w:sz w:val="24"/>
                <w14:textFill>
                  <w14:solidFill>
                    <w14:schemeClr w14:val="tx1"/>
                  </w14:solidFill>
                </w14:textFill>
              </w:rPr>
              <w:t>需新建</w:t>
            </w:r>
            <w:r>
              <w:rPr>
                <w:bCs/>
                <w:color w:val="000000" w:themeColor="text1"/>
                <w:sz w:val="24"/>
                <w14:textFill>
                  <w14:solidFill>
                    <w14:schemeClr w14:val="tx1"/>
                  </w14:solidFill>
                </w14:textFill>
              </w:rPr>
              <w:t>医废暂存间，</w:t>
            </w:r>
            <w:r>
              <w:rPr>
                <w:rFonts w:hint="eastAsia"/>
                <w:color w:val="000000" w:themeColor="text1"/>
                <w:sz w:val="24"/>
                <w14:textFill>
                  <w14:solidFill>
                    <w14:schemeClr w14:val="tx1"/>
                  </w14:solidFill>
                </w14:textFill>
              </w:rPr>
              <w:t>设置在住院综合楼南侧单独一层裙楼内，占地面积80m</w:t>
            </w:r>
            <w:r>
              <w:rPr>
                <w:rFonts w:hint="eastAsia"/>
                <w:color w:val="000000" w:themeColor="text1"/>
                <w:sz w:val="24"/>
                <w:vertAlign w:val="superscript"/>
                <w14:textFill>
                  <w14:solidFill>
                    <w14:schemeClr w14:val="tx1"/>
                  </w14:solidFill>
                </w14:textFill>
              </w:rPr>
              <w:t>2</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在医疗废物储存过程中，会有恶臭产生。恶臭强度和垃圾中有机物腐烂程度有很大关系，其中主要污染物为硫化氢、三甲胺、甲硫醇以及氨等。臭味有害于人体健康，恶臭对人的大脑皮层是一种恶性刺激，长期呆在恶臭环境里，会使人产生恶心、头晕、疲劳、食欲不振等症状。恶臭环境还会使某些疾病恶化。</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治理措施：医疗废物通过专用容器及防漏胶袋密封，恶臭溢出极少；通过加强管理，及时清运各类固废，可有效减低异味对周围大气环境的影响；医疗废物暂存间加强管理，医疗废物定期转运（一般2天转运一次），并加强消毒。</w:t>
            </w:r>
          </w:p>
          <w:p>
            <w:pPr>
              <w:numPr>
                <w:ilvl w:val="0"/>
                <w:numId w:val="18"/>
              </w:numPr>
              <w:adjustRightInd w:val="0"/>
              <w:snapToGrid w:val="0"/>
              <w:spacing w:line="360" w:lineRule="auto"/>
              <w:ind w:firstLine="482" w:firstLineChars="200"/>
              <w:jc w:val="left"/>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检验室废气</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本项目检验室废气主要是来自于试验过程中各种反应药品产生的无组织挥发的药物及试剂气味。</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治理措施：各种药品及试剂气味散发量很小且较为分散，检验室保持良好的通风性，对室内空气进行消毒处理，</w:t>
            </w:r>
            <w:r>
              <w:rPr>
                <w:bCs/>
                <w:color w:val="000000" w:themeColor="text1"/>
                <w:sz w:val="24"/>
                <w14:textFill>
                  <w14:solidFill>
                    <w14:schemeClr w14:val="tx1"/>
                  </w14:solidFill>
                </w14:textFill>
              </w:rPr>
              <w:t>且项目</w:t>
            </w:r>
            <w:r>
              <w:rPr>
                <w:rFonts w:hint="eastAsia"/>
                <w:bCs/>
                <w:color w:val="000000" w:themeColor="text1"/>
                <w:sz w:val="24"/>
                <w14:textFill>
                  <w14:solidFill>
                    <w14:schemeClr w14:val="tx1"/>
                  </w14:solidFill>
                </w14:textFill>
              </w:rPr>
              <w:t>检验室</w:t>
            </w:r>
            <w:r>
              <w:rPr>
                <w:bCs/>
                <w:color w:val="000000" w:themeColor="text1"/>
                <w:sz w:val="24"/>
                <w14:textFill>
                  <w14:solidFill>
                    <w14:schemeClr w14:val="tx1"/>
                  </w14:solidFill>
                </w14:textFill>
              </w:rPr>
              <w:t>废气在</w:t>
            </w:r>
            <w:r>
              <w:rPr>
                <w:rFonts w:hint="eastAsia"/>
                <w:bCs/>
                <w:color w:val="000000" w:themeColor="text1"/>
                <w:sz w:val="24"/>
                <w14:textFill>
                  <w14:solidFill>
                    <w14:schemeClr w14:val="tx1"/>
                  </w14:solidFill>
                </w14:textFill>
              </w:rPr>
              <w:t>检验</w:t>
            </w:r>
            <w:r>
              <w:rPr>
                <w:bCs/>
                <w:color w:val="000000" w:themeColor="text1"/>
                <w:sz w:val="24"/>
                <w14:textFill>
                  <w14:solidFill>
                    <w14:schemeClr w14:val="tx1"/>
                  </w14:solidFill>
                </w14:textFill>
              </w:rPr>
              <w:t>区上方设置</w:t>
            </w:r>
            <w:r>
              <w:rPr>
                <w:rFonts w:hint="eastAsia"/>
                <w:bCs/>
                <w:color w:val="000000" w:themeColor="text1"/>
                <w:sz w:val="24"/>
                <w14:textFill>
                  <w14:solidFill>
                    <w14:schemeClr w14:val="tx1"/>
                  </w14:solidFill>
                </w14:textFill>
              </w:rPr>
              <w:t>集</w:t>
            </w:r>
            <w:r>
              <w:rPr>
                <w:bCs/>
                <w:color w:val="000000" w:themeColor="text1"/>
                <w:sz w:val="24"/>
                <w14:textFill>
                  <w14:solidFill>
                    <w14:schemeClr w14:val="tx1"/>
                  </w14:solidFill>
                </w14:textFill>
              </w:rPr>
              <w:t>气罩收集后经排风系统送至楼顶高空排放，</w:t>
            </w:r>
            <w:r>
              <w:rPr>
                <w:rFonts w:hint="eastAsia"/>
                <w:bCs/>
                <w:color w:val="000000" w:themeColor="text1"/>
                <w:sz w:val="24"/>
                <w14:textFill>
                  <w14:solidFill>
                    <w14:schemeClr w14:val="tx1"/>
                  </w14:solidFill>
                </w14:textFill>
              </w:rPr>
              <w:t>对周围环境影响较小。</w:t>
            </w:r>
          </w:p>
          <w:p>
            <w:pPr>
              <w:numPr>
                <w:ilvl w:val="0"/>
                <w:numId w:val="18"/>
              </w:numPr>
              <w:adjustRightInd w:val="0"/>
              <w:snapToGrid w:val="0"/>
              <w:spacing w:line="360" w:lineRule="auto"/>
              <w:ind w:firstLine="482" w:firstLineChars="200"/>
              <w:jc w:val="left"/>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吸引设备废气</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住院大楼病员排除脓血、痰等废物需依托靠</w:t>
            </w:r>
            <w:r>
              <w:rPr>
                <w:rFonts w:hint="eastAsia"/>
                <w:bCs/>
                <w:color w:val="000000" w:themeColor="text1"/>
                <w:sz w:val="24"/>
                <w14:textFill>
                  <w14:solidFill>
                    <w14:schemeClr w14:val="tx1"/>
                  </w14:solidFill>
                </w14:textFill>
              </w:rPr>
              <w:t>医院</w:t>
            </w:r>
            <w:r>
              <w:rPr>
                <w:bCs/>
                <w:color w:val="000000" w:themeColor="text1"/>
                <w:sz w:val="24"/>
                <w14:textFill>
                  <w14:solidFill>
                    <w14:schemeClr w14:val="tx1"/>
                  </w14:solidFill>
                </w14:textFill>
              </w:rPr>
              <w:t>负压供给系统完成，由真空泵提供负压，将产生少量的废气</w:t>
            </w:r>
            <w:r>
              <w:rPr>
                <w:rFonts w:hint="eastAsia"/>
                <w:bCs/>
                <w:color w:val="000000" w:themeColor="text1"/>
                <w:sz w:val="24"/>
                <w14:textFill>
                  <w14:solidFill>
                    <w14:schemeClr w14:val="tx1"/>
                  </w14:solidFill>
                </w14:textFill>
              </w:rPr>
              <w:t>。</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治理措施：该废气经设备自带消毒装置处理后自由排放，对周围环境不会造成明显影响。</w:t>
            </w:r>
          </w:p>
          <w:p>
            <w:pPr>
              <w:numPr>
                <w:ilvl w:val="0"/>
                <w:numId w:val="18"/>
              </w:numPr>
              <w:adjustRightInd w:val="0"/>
              <w:snapToGrid w:val="0"/>
              <w:spacing w:line="360" w:lineRule="auto"/>
              <w:ind w:firstLine="482" w:firstLineChars="200"/>
              <w:jc w:val="left"/>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洗消中心废气</w:t>
            </w:r>
          </w:p>
          <w:p>
            <w:pPr>
              <w:pStyle w:val="21"/>
              <w:adjustRightInd w:val="0"/>
              <w:spacing w:before="0" w:after="0" w:line="360" w:lineRule="auto"/>
              <w:ind w:right="0"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在住院综合楼南侧单独一层裙楼内，医废暂存间旁设置一间洗消中心，占地面积约40m</w:t>
            </w:r>
            <w:r>
              <w:rPr>
                <w:rFonts w:hint="eastAsia"/>
                <w:color w:val="000000" w:themeColor="text1"/>
                <w:sz w:val="24"/>
                <w:vertAlign w:val="superscript"/>
                <w14:textFill>
                  <w14:solidFill>
                    <w14:schemeClr w14:val="tx1"/>
                  </w14:solidFill>
                </w14:textFill>
              </w:rPr>
              <w:t>2</w:t>
            </w:r>
            <w:r>
              <w:rPr>
                <w:bCs/>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洗消中心</w:t>
            </w:r>
            <w:r>
              <w:rPr>
                <w:rFonts w:hint="eastAsia"/>
                <w:color w:val="000000" w:themeColor="text1"/>
                <w:sz w:val="24"/>
                <w:lang w:eastAsia="zh-CN"/>
                <w14:textFill>
                  <w14:solidFill>
                    <w14:schemeClr w14:val="tx1"/>
                  </w14:solidFill>
                </w14:textFill>
              </w:rPr>
              <w:t>仅对院区卫生清洁使用的拖布、抹布进行清洗、消毒</w:t>
            </w:r>
            <w:r>
              <w:rPr>
                <w:rFonts w:hint="eastAsia"/>
                <w:color w:val="000000" w:themeColor="text1"/>
                <w:sz w:val="24"/>
                <w14:textFill>
                  <w14:solidFill>
                    <w14:schemeClr w14:val="tx1"/>
                  </w14:solidFill>
                </w14:textFill>
              </w:rPr>
              <w:t>，在清洗消毒过程中将产生少量废气。</w:t>
            </w:r>
          </w:p>
          <w:p>
            <w:pPr>
              <w:adjustRightInd w:val="0"/>
              <w:snapToGrid w:val="0"/>
              <w:spacing w:line="360" w:lineRule="auto"/>
              <w:ind w:firstLine="480" w:firstLineChars="200"/>
              <w:jc w:val="left"/>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治理措施：项目洗消废气</w:t>
            </w:r>
            <w:r>
              <w:rPr>
                <w:bCs/>
                <w:color w:val="000000" w:themeColor="text1"/>
                <w:sz w:val="24"/>
                <w14:textFill>
                  <w14:solidFill>
                    <w14:schemeClr w14:val="tx1"/>
                  </w14:solidFill>
                </w14:textFill>
              </w:rPr>
              <w:t>废气产生量很小，</w:t>
            </w:r>
            <w:r>
              <w:rPr>
                <w:rFonts w:hint="eastAsia"/>
                <w:bCs/>
                <w:color w:val="000000" w:themeColor="text1"/>
                <w:sz w:val="24"/>
                <w:lang w:eastAsia="zh-CN"/>
                <w14:textFill>
                  <w14:solidFill>
                    <w14:schemeClr w14:val="tx1"/>
                  </w14:solidFill>
                </w14:textFill>
              </w:rPr>
              <w:t>采用500mg/L的含氯消毒剂溶液等常规消毒措施</w:t>
            </w:r>
            <w:r>
              <w:rPr>
                <w:rFonts w:hint="eastAsia"/>
                <w:bCs/>
                <w:color w:val="000000" w:themeColor="text1"/>
                <w:sz w:val="24"/>
                <w14:textFill>
                  <w14:solidFill>
                    <w14:schemeClr w14:val="tx1"/>
                  </w14:solidFill>
                </w14:textFill>
              </w:rPr>
              <w:t>进行消毒，同时加强通风，使</w:t>
            </w:r>
            <w:r>
              <w:rPr>
                <w:rFonts w:hint="eastAsia"/>
                <w:color w:val="000000" w:themeColor="text1"/>
                <w:sz w:val="24"/>
                <w14:textFill>
                  <w14:solidFill>
                    <w14:schemeClr w14:val="tx1"/>
                  </w14:solidFill>
                </w14:textFill>
              </w:rPr>
              <w:t>洗消中心</w:t>
            </w:r>
            <w:r>
              <w:rPr>
                <w:rFonts w:hint="eastAsia"/>
                <w:bCs/>
                <w:color w:val="000000" w:themeColor="text1"/>
                <w:sz w:val="24"/>
                <w14:textFill>
                  <w14:solidFill>
                    <w14:schemeClr w14:val="tx1"/>
                  </w14:solidFill>
                </w14:textFill>
              </w:rPr>
              <w:t>保持良好的通风性，能够保证给作业人员一个卫生的环境。</w:t>
            </w:r>
          </w:p>
          <w:p>
            <w:pPr>
              <w:numPr>
                <w:ilvl w:val="0"/>
                <w:numId w:val="18"/>
              </w:numPr>
              <w:adjustRightInd w:val="0"/>
              <w:snapToGrid w:val="0"/>
              <w:spacing w:line="360" w:lineRule="auto"/>
              <w:ind w:firstLine="482" w:firstLineChars="200"/>
              <w:jc w:val="left"/>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汽车尾气</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周边地面设置有少量（20个）</w:t>
            </w:r>
            <w:r>
              <w:rPr>
                <w:color w:val="000000" w:themeColor="text1"/>
                <w:sz w:val="24"/>
                <w14:textFill>
                  <w14:solidFill>
                    <w14:schemeClr w14:val="tx1"/>
                  </w14:solidFill>
                </w14:textFill>
              </w:rPr>
              <w:t>小型汽车</w:t>
            </w:r>
            <w:r>
              <w:rPr>
                <w:rFonts w:hint="eastAsia"/>
                <w:color w:val="000000" w:themeColor="text1"/>
                <w:sz w:val="24"/>
                <w14:textFill>
                  <w14:solidFill>
                    <w14:schemeClr w14:val="tx1"/>
                  </w14:solidFill>
                </w14:textFill>
              </w:rPr>
              <w:t>停车</w:t>
            </w:r>
            <w:r>
              <w:rPr>
                <w:color w:val="000000" w:themeColor="text1"/>
                <w:sz w:val="24"/>
                <w14:textFill>
                  <w14:solidFill>
                    <w14:schemeClr w14:val="tx1"/>
                  </w14:solidFill>
                </w14:textFill>
              </w:rPr>
              <w:t>位</w:t>
            </w:r>
            <w:r>
              <w:rPr>
                <w:rFonts w:hint="eastAsia"/>
                <w:color w:val="000000" w:themeColor="text1"/>
                <w:sz w:val="24"/>
                <w14:textFill>
                  <w14:solidFill>
                    <w14:schemeClr w14:val="tx1"/>
                  </w14:solidFill>
                </w14:textFill>
              </w:rPr>
              <w:t>，用于接送病人短时间停放</w:t>
            </w:r>
            <w:r>
              <w:rPr>
                <w:color w:val="000000" w:themeColor="text1"/>
                <w:sz w:val="24"/>
                <w14:textFill>
                  <w14:solidFill>
                    <w14:schemeClr w14:val="tx1"/>
                  </w14:solidFill>
                </w14:textFill>
              </w:rPr>
              <w:t>。项目运营期间，进出医院的机动车会产生汽车尾气。废气主要在汽车怠速状态或启动时产生，汽车尾气中主要含有CO、THC和NO</w:t>
            </w:r>
            <w:r>
              <w:rPr>
                <w:color w:val="000000" w:themeColor="text1"/>
                <w:sz w:val="24"/>
                <w:vertAlign w:val="subscript"/>
                <w14:textFill>
                  <w14:solidFill>
                    <w14:schemeClr w14:val="tx1"/>
                  </w14:solidFill>
                </w14:textFill>
              </w:rPr>
              <w:t>x</w:t>
            </w:r>
            <w:r>
              <w:rPr>
                <w:color w:val="000000" w:themeColor="text1"/>
                <w:sz w:val="24"/>
                <w14:textFill>
                  <w14:solidFill>
                    <w14:schemeClr w14:val="tx1"/>
                  </w14:solidFill>
                </w14:textFill>
              </w:rPr>
              <w:t>等有害成分，对周围空气质量会产生一定的影响。</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治理措施：项目停车位为地面停车位，汽车尾气通过自然扩散排放，通过加强管理，要求车乘人员在等待过程中熄火等待，减少怠速，</w:t>
            </w:r>
            <w:r>
              <w:rPr>
                <w:color w:val="000000" w:themeColor="text1"/>
                <w:kern w:val="0"/>
                <w:sz w:val="24"/>
                <w14:textFill>
                  <w14:solidFill>
                    <w14:schemeClr w14:val="tx1"/>
                  </w14:solidFill>
                </w14:textFill>
              </w:rPr>
              <w:t>同时</w:t>
            </w:r>
            <w:r>
              <w:rPr>
                <w:rFonts w:hint="eastAsia"/>
                <w:color w:val="000000" w:themeColor="text1"/>
                <w:kern w:val="0"/>
                <w:sz w:val="24"/>
                <w14:textFill>
                  <w14:solidFill>
                    <w14:schemeClr w14:val="tx1"/>
                  </w14:solidFill>
                </w14:textFill>
              </w:rPr>
              <w:t>加强</w:t>
            </w:r>
            <w:r>
              <w:rPr>
                <w:color w:val="000000" w:themeColor="text1"/>
                <w:kern w:val="0"/>
                <w:sz w:val="24"/>
                <w14:textFill>
                  <w14:solidFill>
                    <w14:schemeClr w14:val="tx1"/>
                  </w14:solidFill>
                </w14:textFill>
              </w:rPr>
              <w:t>周边绿化，选择对有害气体吸收能力较强的树木，如洋槐、榆树、垂柳等，</w:t>
            </w:r>
            <w:r>
              <w:rPr>
                <w:rFonts w:hint="eastAsia"/>
                <w:color w:val="000000" w:themeColor="text1"/>
                <w:kern w:val="0"/>
                <w:sz w:val="24"/>
                <w14:textFill>
                  <w14:solidFill>
                    <w14:schemeClr w14:val="tx1"/>
                  </w14:solidFill>
                </w14:textFill>
              </w:rPr>
              <w:t>在采取措施后汽车尾气</w:t>
            </w:r>
            <w:r>
              <w:rPr>
                <w:color w:val="000000" w:themeColor="text1"/>
                <w:kern w:val="0"/>
                <w:sz w:val="24"/>
                <w14:textFill>
                  <w14:solidFill>
                    <w14:schemeClr w14:val="tx1"/>
                  </w14:solidFill>
                </w14:textFill>
              </w:rPr>
              <w:t>对大气环境</w:t>
            </w:r>
            <w:r>
              <w:rPr>
                <w:rFonts w:hint="eastAsia"/>
                <w:color w:val="000000" w:themeColor="text1"/>
                <w:kern w:val="0"/>
                <w:sz w:val="24"/>
                <w14:textFill>
                  <w14:solidFill>
                    <w14:schemeClr w14:val="tx1"/>
                  </w14:solidFill>
                </w14:textFill>
              </w:rPr>
              <w:t>较小</w:t>
            </w:r>
            <w:r>
              <w:rPr>
                <w:color w:val="000000" w:themeColor="text1"/>
                <w:sz w:val="24"/>
                <w14:textFill>
                  <w14:solidFill>
                    <w14:schemeClr w14:val="tx1"/>
                  </w14:solidFill>
                </w14:textFill>
              </w:rPr>
              <w:t>。</w:t>
            </w:r>
          </w:p>
          <w:p>
            <w:pPr>
              <w:numPr>
                <w:ilvl w:val="0"/>
                <w:numId w:val="18"/>
              </w:numPr>
              <w:adjustRightInd w:val="0"/>
              <w:snapToGrid w:val="0"/>
              <w:spacing w:line="360" w:lineRule="auto"/>
              <w:ind w:firstLine="482" w:firstLineChars="200"/>
              <w:jc w:val="left"/>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污水处理站恶臭气体</w:t>
            </w:r>
          </w:p>
          <w:p>
            <w:pPr>
              <w:spacing w:line="360" w:lineRule="auto"/>
              <w:ind w:firstLine="480" w:firstLineChars="200"/>
              <w:rPr>
                <w:rFonts w:hint="default"/>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废水经化粪池预处理后依托二期项目污水处理设施进一步处理，污水处理设施位于二期项目西南侧，本项目西侧邻近巴人大道处，污水处理设施运行中会产生恶臭气体，主要含H</w:t>
            </w:r>
            <w:r>
              <w:rPr>
                <w:rFonts w:hint="eastAsia"/>
                <w:color w:val="000000" w:themeColor="text1"/>
                <w:sz w:val="24"/>
                <w:vertAlign w:val="subscript"/>
                <w:lang w:val="en-US" w:eastAsia="zh-CN"/>
                <w14:textFill>
                  <w14:solidFill>
                    <w14:schemeClr w14:val="tx1"/>
                  </w14:solidFill>
                </w14:textFill>
              </w:rPr>
              <w:t>2</w:t>
            </w:r>
            <w:r>
              <w:rPr>
                <w:rFonts w:hint="eastAsia"/>
                <w:color w:val="000000" w:themeColor="text1"/>
                <w:sz w:val="24"/>
                <w:lang w:val="en-US" w:eastAsia="zh-CN"/>
                <w14:textFill>
                  <w14:solidFill>
                    <w14:schemeClr w14:val="tx1"/>
                  </w14:solidFill>
                </w14:textFill>
              </w:rPr>
              <w:t>S、NH</w:t>
            </w:r>
            <w:r>
              <w:rPr>
                <w:rFonts w:hint="eastAsia"/>
                <w:color w:val="000000" w:themeColor="text1"/>
                <w:sz w:val="24"/>
                <w:vertAlign w:val="sub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、病菌等，对周边环境及过往人员产生</w:t>
            </w:r>
            <w:r>
              <w:rPr>
                <w:color w:val="000000" w:themeColor="text1"/>
                <w:sz w:val="24"/>
                <w14:textFill>
                  <w14:solidFill>
                    <w14:schemeClr w14:val="tx1"/>
                  </w14:solidFill>
                </w14:textFill>
              </w:rPr>
              <w:t>一定</w:t>
            </w:r>
            <w:r>
              <w:rPr>
                <w:rFonts w:hint="eastAsia"/>
                <w:color w:val="000000" w:themeColor="text1"/>
                <w:sz w:val="24"/>
                <w:lang w:val="en-US" w:eastAsia="zh-CN"/>
                <w14:textFill>
                  <w14:solidFill>
                    <w14:schemeClr w14:val="tx1"/>
                  </w14:solidFill>
                </w14:textFill>
              </w:rPr>
              <w:t>影响。</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治理措施：项目污水处理</w:t>
            </w:r>
            <w:r>
              <w:rPr>
                <w:rFonts w:hint="eastAsia"/>
                <w:color w:val="000000" w:themeColor="text1"/>
                <w:sz w:val="24"/>
                <w:lang w:val="en-US" w:eastAsia="zh-CN"/>
                <w14:textFill>
                  <w14:solidFill>
                    <w14:schemeClr w14:val="tx1"/>
                  </w14:solidFill>
                </w14:textFill>
              </w:rPr>
              <w:t>设施采取地埋式</w:t>
            </w:r>
            <w:r>
              <w:rPr>
                <w:rFonts w:hint="eastAsia"/>
                <w:color w:val="000000" w:themeColor="text1"/>
                <w:sz w:val="24"/>
                <w14:textFill>
                  <w14:solidFill>
                    <w14:schemeClr w14:val="tx1"/>
                  </w14:solidFill>
                </w14:textFill>
              </w:rPr>
              <w:t>，通过优化设置位置，远离人员活动区域，</w:t>
            </w:r>
            <w:r>
              <w:rPr>
                <w:color w:val="000000" w:themeColor="text1"/>
                <w:kern w:val="0"/>
                <w:sz w:val="24"/>
                <w14:textFill>
                  <w14:solidFill>
                    <w14:schemeClr w14:val="tx1"/>
                  </w14:solidFill>
                </w14:textFill>
              </w:rPr>
              <w:t>同时</w:t>
            </w:r>
            <w:r>
              <w:rPr>
                <w:rFonts w:hint="eastAsia"/>
                <w:color w:val="000000" w:themeColor="text1"/>
                <w:kern w:val="0"/>
                <w:sz w:val="24"/>
                <w14:textFill>
                  <w14:solidFill>
                    <w14:schemeClr w14:val="tx1"/>
                  </w14:solidFill>
                </w14:textFill>
              </w:rPr>
              <w:t>加强</w:t>
            </w:r>
            <w:r>
              <w:rPr>
                <w:rFonts w:hint="eastAsia"/>
                <w:color w:val="000000" w:themeColor="text1"/>
                <w:kern w:val="0"/>
                <w:sz w:val="24"/>
                <w:lang w:val="en-US" w:eastAsia="zh-CN"/>
                <w14:textFill>
                  <w14:solidFill>
                    <w14:schemeClr w14:val="tx1"/>
                  </w14:solidFill>
                </w14:textFill>
              </w:rPr>
              <w:t>了污水处理设施</w:t>
            </w:r>
            <w:r>
              <w:rPr>
                <w:color w:val="000000" w:themeColor="text1"/>
                <w:kern w:val="0"/>
                <w:sz w:val="24"/>
                <w14:textFill>
                  <w14:solidFill>
                    <w14:schemeClr w14:val="tx1"/>
                  </w14:solidFill>
                </w14:textFill>
              </w:rPr>
              <w:t>周边绿化，</w:t>
            </w:r>
            <w:r>
              <w:rPr>
                <w:rFonts w:hint="eastAsia"/>
                <w:color w:val="000000" w:themeColor="text1"/>
                <w:sz w:val="24"/>
                <w14:textFill>
                  <w14:solidFill>
                    <w14:schemeClr w14:val="tx1"/>
                  </w14:solidFill>
                </w14:textFill>
              </w:rPr>
              <w:t>降低恶臭气体对医护人员及周边环境的影响，</w:t>
            </w:r>
            <w:r>
              <w:rPr>
                <w:rFonts w:hint="eastAsia"/>
                <w:color w:val="000000" w:themeColor="text1"/>
                <w:kern w:val="0"/>
                <w:sz w:val="24"/>
                <w14:textFill>
                  <w14:solidFill>
                    <w14:schemeClr w14:val="tx1"/>
                  </w14:solidFill>
                </w14:textFill>
              </w:rPr>
              <w:t>在采取措施后</w:t>
            </w:r>
            <w:r>
              <w:rPr>
                <w:rFonts w:hint="eastAsia"/>
                <w:color w:val="000000" w:themeColor="text1"/>
                <w:kern w:val="0"/>
                <w:sz w:val="24"/>
                <w:lang w:val="en-US" w:eastAsia="zh-CN"/>
                <w14:textFill>
                  <w14:solidFill>
                    <w14:schemeClr w14:val="tx1"/>
                  </w14:solidFill>
                </w14:textFill>
              </w:rPr>
              <w:t>污水处理设施产生的恶臭</w:t>
            </w:r>
            <w:r>
              <w:rPr>
                <w:color w:val="000000" w:themeColor="text1"/>
                <w:kern w:val="0"/>
                <w:sz w:val="24"/>
                <w14:textFill>
                  <w14:solidFill>
                    <w14:schemeClr w14:val="tx1"/>
                  </w14:solidFill>
                </w14:textFill>
              </w:rPr>
              <w:t>对大气环境</w:t>
            </w:r>
            <w:r>
              <w:rPr>
                <w:rFonts w:hint="eastAsia"/>
                <w:color w:val="000000" w:themeColor="text1"/>
                <w:kern w:val="0"/>
                <w:sz w:val="24"/>
                <w:lang w:val="en-US" w:eastAsia="zh-CN"/>
                <w14:textFill>
                  <w14:solidFill>
                    <w14:schemeClr w14:val="tx1"/>
                  </w14:solidFill>
                </w14:textFill>
              </w:rPr>
              <w:t>影响</w:t>
            </w:r>
            <w:r>
              <w:rPr>
                <w:rFonts w:hint="eastAsia"/>
                <w:color w:val="000000" w:themeColor="text1"/>
                <w:kern w:val="0"/>
                <w:sz w:val="24"/>
                <w14:textFill>
                  <w14:solidFill>
                    <w14:schemeClr w14:val="tx1"/>
                  </w14:solidFill>
                </w14:textFill>
              </w:rPr>
              <w:t>较小</w:t>
            </w:r>
            <w:r>
              <w:rPr>
                <w:color w:val="000000" w:themeColor="text1"/>
                <w:sz w:val="24"/>
                <w14:textFill>
                  <w14:solidFill>
                    <w14:schemeClr w14:val="tx1"/>
                  </w14:solidFill>
                </w14:textFill>
              </w:rPr>
              <w:t>。</w:t>
            </w:r>
          </w:p>
          <w:p>
            <w:pPr>
              <w:numPr>
                <w:ilvl w:val="0"/>
                <w:numId w:val="17"/>
              </w:num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废水</w:t>
            </w:r>
          </w:p>
          <w:p>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2.1用排水情况</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建成后编制床位400床，年接诊约12000人次，妇产科年接诊约600人次，新生儿科年接诊约300人次，项目不涉及传染科（不接收传染病人）。项目运营产生的废水主要为医疗废水和生活废水。医疗废水主要为门诊楼的诊疗室废水、手术室废水、住院楼病房废水、特殊废水（检验科</w:t>
            </w:r>
            <w:r>
              <w:rPr>
                <w:rFonts w:hint="eastAsia"/>
                <w:color w:val="000000" w:themeColor="text1"/>
                <w:sz w:val="24"/>
                <w:lang w:val="en-US" w:eastAsia="zh-CN"/>
                <w14:textFill>
                  <w14:solidFill>
                    <w14:schemeClr w14:val="tx1"/>
                  </w14:solidFill>
                </w14:textFill>
              </w:rPr>
              <w:t>检验废液</w:t>
            </w:r>
            <w:r>
              <w:rPr>
                <w:rFonts w:hint="eastAsia"/>
                <w:color w:val="000000" w:themeColor="text1"/>
                <w:sz w:val="24"/>
                <w14:textFill>
                  <w14:solidFill>
                    <w14:schemeClr w14:val="tx1"/>
                  </w14:solidFill>
                </w14:textFill>
              </w:rPr>
              <w:t>）、洗消中心洗浆废水；生活污水主要来源于医护人员生活污水。</w:t>
            </w:r>
          </w:p>
          <w:p>
            <w:pPr>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本项目为住院综合楼建设，不设传染科，医院不接收传染病人。项目建成后主要是为病人提供询医治病的服务。根据项目设计及本次评价内容，需要特别说明的内容如下：</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采用数码洗印设备，运营过程不产生洗印废水；项目不设置传染科，不涉及传染性废水。项目内没有设置口腔科，无含重金属废水产生。项目检验科采用血球计数仪、尿分析仪、生化分析仪等仪器并配合使用试剂带、试剂盒及生物酶试剂等成品进行血、尿、粪的化验，不再采用手工配置含氰、铬试剂的方法化验，无含铬、氰化物废水产生；使用后的检验样品（如血液等）、酶试剂及试剂盒等均作为医疗废物处置；</w:t>
            </w:r>
            <w:r>
              <w:rPr>
                <w:rFonts w:hint="eastAsia"/>
                <w:color w:val="000000" w:themeColor="text1"/>
                <w:sz w:val="24"/>
                <w:lang w:eastAsia="zh-CN"/>
                <w14:textFill>
                  <w14:solidFill>
                    <w14:schemeClr w14:val="tx1"/>
                  </w14:solidFill>
                </w14:textFill>
              </w:rPr>
              <w:t>检验废水主要为检验人员及检验室清洁产生的废水</w:t>
            </w:r>
            <w:r>
              <w:rPr>
                <w:rFonts w:hint="eastAsia"/>
                <w:color w:val="000000" w:themeColor="text1"/>
                <w:sz w:val="24"/>
                <w14:textFill>
                  <w14:solidFill>
                    <w14:schemeClr w14:val="tx1"/>
                  </w14:solidFill>
                </w14:textFill>
              </w:rPr>
              <w:t>。</w:t>
            </w:r>
          </w:p>
          <w:p>
            <w:pPr>
              <w:numPr>
                <w:ilvl w:val="0"/>
                <w:numId w:val="19"/>
              </w:numPr>
              <w:spacing w:line="360" w:lineRule="auto"/>
              <w:ind w:firstLine="482" w:firstLineChars="200"/>
              <w:rPr>
                <w:rFonts w:hint="eastAsia"/>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医疗废水</w:t>
            </w:r>
          </w:p>
          <w:p>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①住院病房用、排水</w:t>
            </w:r>
          </w:p>
          <w:p>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项目设置床位400床，床位入住率按100%计，病房设置独立卫生间，不设置洗浴设施。根据《四川省用水定额》（川府函〔2021〕8号）中规定的参考数据：二级医院用水定额为650L/床位.d，则住院病房用水量260.0m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/d、94900.0m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/a，产污系数按0.85计，住院病房废水产生量221.0m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/d、80665.0m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/a。</w:t>
            </w:r>
          </w:p>
          <w:p>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②门诊用、排水</w:t>
            </w:r>
          </w:p>
          <w:p>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根据建设单位提供资料，项目年接诊约12000人次，则日接待人数为32人/天，根据《四川省用水定额》（川府函〔2021〕8号）中规定的参考数据：门诊用水定额为15L/（人·次），则门诊用水量0.48m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/d、175.2m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/a，产污系数按0.85计，项目门诊废水产生量0.41m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/d、148.92m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/a。</w:t>
            </w:r>
          </w:p>
          <w:p>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③手术用、排水</w:t>
            </w:r>
          </w:p>
          <w:p>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根据建设单位提供资料，项目年接诊约12000人次，妇产科年接诊约600人次，新生儿科年接诊约300人次，则日最大接待人数为35人.次/天。手术用水量约150L/人.次，人数约最大就诊人数的20~40%（本次取30%），则日最大手术人数为11人.次/天，手术用水量为1.65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/d、602.25m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/a，产污系数按0.85计，项目手术废水产生量1.4m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/d、511.91m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/a。</w:t>
            </w:r>
          </w:p>
          <w:p>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③检验室用、排水</w:t>
            </w:r>
          </w:p>
          <w:p>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根据建设单位提供资料，项目年接诊约12000人次，妇产科年接诊约600人次，新生儿科年接诊约300人次，则日最大接待人数为35人.次/天。需检验人数约最大就诊人数的20~40%（本次取30%），则日最大需检验人数为11人.次/天，检验室使用后的检验样品（如血液等）、试剂及试剂盒等均作为医疗废物处置，采用专用容器分类收集后，医疗废物暂存间暂存，委托资质单位处置；检验人员及检验室清洁用水量约2L/人.次，则检验室用水量0.02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/d、7.30m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/a，产污系数按0.85计，检验室废水产生量0.017m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/d、6.21m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/a。</w:t>
            </w:r>
          </w:p>
          <w:p>
            <w:pPr>
              <w:numPr>
                <w:ilvl w:val="0"/>
                <w:numId w:val="19"/>
              </w:numPr>
              <w:spacing w:line="360" w:lineRule="auto"/>
              <w:ind w:firstLine="482" w:firstLineChars="200"/>
              <w:rPr>
                <w:rFonts w:hint="eastAsia"/>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洗消中心用、排水</w:t>
            </w:r>
          </w:p>
          <w:p>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职工工作服和院区床单、被服等委托外单进行清洗、消毒，项目洗消中心仅对院区卫生清洁使用的拖布、抹布进行清洗、消毒，每天最大清洗量约15kg。清洗每公斤拖布、抹布用水量按50L计，洗消中心用水量0.75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/d、273.75m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/a；废水产生系数按0.85计，洗消中心废水产生量0.64m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/d、232.69m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/a。</w:t>
            </w:r>
          </w:p>
          <w:p>
            <w:pPr>
              <w:numPr>
                <w:ilvl w:val="0"/>
                <w:numId w:val="19"/>
              </w:numPr>
              <w:spacing w:line="360" w:lineRule="auto"/>
              <w:ind w:firstLine="482" w:firstLineChars="200"/>
              <w:rPr>
                <w:rFonts w:hint="eastAsia"/>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医务人员生活用、排水</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项目设置医护人员500人，因《四川省用水定额》中无医务人员用水定额，故医务人员用水参照</w:t>
            </w:r>
            <w:r>
              <w:rPr>
                <w:rFonts w:hint="eastAsia"/>
                <w:color w:val="000000" w:themeColor="text1"/>
                <w:sz w:val="24"/>
                <w14:textFill>
                  <w14:solidFill>
                    <w14:schemeClr w14:val="tx1"/>
                  </w14:solidFill>
                </w14:textFill>
              </w:rPr>
              <w:t>《建筑给水排水设计标准》（GB 50015-2019）中</w:t>
            </w:r>
            <w:r>
              <w:rPr>
                <w:rFonts w:hint="eastAsia" w:ascii="Times New Roman" w:hAnsi="Times New Roman" w:eastAsia="宋体" w:cs="Times New Roman"/>
                <w:color w:val="000000" w:themeColor="text1"/>
                <w:sz w:val="24"/>
                <w:lang w:val="en-US" w:eastAsia="zh-CN"/>
                <w14:textFill>
                  <w14:solidFill>
                    <w14:schemeClr w14:val="tx1"/>
                  </w14:solidFill>
                </w14:textFill>
              </w:rPr>
              <w:t>医院住院部医务人员用水定额</w:t>
            </w:r>
            <w:r>
              <w:rPr>
                <w:rFonts w:hint="eastAsia"/>
                <w:color w:val="000000" w:themeColor="text1"/>
                <w:sz w:val="24"/>
                <w14:textFill>
                  <w14:solidFill>
                    <w14:schemeClr w14:val="tx1"/>
                  </w14:solidFill>
                </w14:textFill>
              </w:rPr>
              <w:t>为150~250L/人.班，本次取最大250L/人.班，</w:t>
            </w:r>
            <w:r>
              <w:rPr>
                <w:rFonts w:hint="eastAsia"/>
                <w:color w:val="000000" w:themeColor="text1"/>
                <w:sz w:val="24"/>
                <w:lang w:val="en-US" w:eastAsia="zh-CN"/>
                <w14:textFill>
                  <w14:solidFill>
                    <w14:schemeClr w14:val="tx1"/>
                  </w14:solidFill>
                </w14:textFill>
              </w:rPr>
              <w:t>则医务人员用水量125.00m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/d、45625.00m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/a，产污系数按0.85计，医务人员废水产生量106.25m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/d、38781.25m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/a。</w:t>
            </w:r>
          </w:p>
          <w:p>
            <w:pPr>
              <w:numPr>
                <w:ilvl w:val="0"/>
                <w:numId w:val="19"/>
              </w:numPr>
              <w:spacing w:line="360" w:lineRule="auto"/>
              <w:ind w:firstLine="482" w:firstLineChars="200"/>
              <w:rPr>
                <w:rFonts w:hint="eastAsia"/>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绿化用水</w:t>
            </w:r>
          </w:p>
          <w:p>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项目绿化面积约1407.14m</w:t>
            </w:r>
            <w:r>
              <w:rPr>
                <w:rFonts w:hint="eastAsia"/>
                <w:color w:val="000000" w:themeColor="text1"/>
                <w:sz w:val="24"/>
                <w:vertAlign w:val="superscript"/>
                <w:lang w:val="en-US" w:eastAsia="zh-CN"/>
                <w14:textFill>
                  <w14:solidFill>
                    <w14:schemeClr w14:val="tx1"/>
                  </w14:solidFill>
                </w14:textFill>
              </w:rPr>
              <w:t>2</w:t>
            </w:r>
            <w:r>
              <w:rPr>
                <w:rFonts w:hint="eastAsia"/>
                <w:color w:val="000000" w:themeColor="text1"/>
                <w:sz w:val="24"/>
                <w:lang w:val="en-US" w:eastAsia="zh-CN"/>
                <w14:textFill>
                  <w14:solidFill>
                    <w14:schemeClr w14:val="tx1"/>
                  </w14:solidFill>
                </w14:textFill>
              </w:rPr>
              <w:t>，根据《四川省用水定额》（川府函〔2021〕8号），绿化用水0.77m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/（m</w:t>
            </w:r>
            <w:r>
              <w:rPr>
                <w:rFonts w:hint="eastAsia"/>
                <w:color w:val="000000" w:themeColor="text1"/>
                <w:sz w:val="24"/>
                <w:vertAlign w:val="superscript"/>
                <w:lang w:val="en-US" w:eastAsia="zh-CN"/>
                <w14:textFill>
                  <w14:solidFill>
                    <w14:schemeClr w14:val="tx1"/>
                  </w14:solidFill>
                </w14:textFill>
              </w:rPr>
              <w:t>2</w:t>
            </w:r>
            <w:r>
              <w:rPr>
                <w:rFonts w:hint="eastAsia"/>
                <w:color w:val="000000" w:themeColor="text1"/>
                <w:sz w:val="24"/>
                <w:lang w:val="en-US" w:eastAsia="zh-CN"/>
                <w14:textFill>
                  <w14:solidFill>
                    <w14:schemeClr w14:val="tx1"/>
                  </w14:solidFill>
                </w14:textFill>
              </w:rPr>
              <w:t>.a），则绿化用水量为1083.50m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/a，折合为2.97m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/d。</w:t>
            </w:r>
          </w:p>
          <w:p>
            <w:pPr>
              <w:pStyle w:val="21"/>
              <w:numPr>
                <w:ilvl w:val="0"/>
                <w:numId w:val="0"/>
              </w:numPr>
              <w:adjustRightInd w:val="0"/>
              <w:spacing w:before="0" w:after="0" w:line="360" w:lineRule="auto"/>
              <w:ind w:right="0" w:rightChars="0" w:firstLine="480" w:firstLineChars="200"/>
              <w:rPr>
                <w:rFonts w:hint="eastAsia"/>
                <w:b w:val="0"/>
                <w:bCs w:val="0"/>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项目用排水情况见下表。</w:t>
            </w:r>
          </w:p>
          <w:p>
            <w:pPr>
              <w:numPr>
                <w:ilvl w:val="0"/>
                <w:numId w:val="14"/>
              </w:numPr>
              <w:spacing w:line="360" w:lineRule="auto"/>
              <w:jc w:val="center"/>
              <w:rPr>
                <w:rFonts w:hint="eastAsia"/>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项目用排水情况一览表</w:t>
            </w:r>
          </w:p>
          <w:tbl>
            <w:tblPr>
              <w:tblStyle w:val="23"/>
              <w:tblW w:w="80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688"/>
              <w:gridCol w:w="868"/>
              <w:gridCol w:w="1442"/>
              <w:gridCol w:w="1590"/>
              <w:gridCol w:w="16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6" w:hRule="atLeast"/>
                <w:jc w:val="center"/>
              </w:trPr>
              <w:tc>
                <w:tcPr>
                  <w:tcW w:w="857" w:type="dxa"/>
                  <w:vAlign w:val="center"/>
                </w:tcPr>
                <w:p>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类别</w:t>
                  </w:r>
                </w:p>
              </w:tc>
              <w:tc>
                <w:tcPr>
                  <w:tcW w:w="1688" w:type="dxa"/>
                  <w:shd w:val="clear" w:color="auto" w:fill="auto"/>
                  <w:vAlign w:val="center"/>
                </w:tcPr>
                <w:p>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用水对象</w:t>
                  </w:r>
                </w:p>
              </w:tc>
              <w:tc>
                <w:tcPr>
                  <w:tcW w:w="868" w:type="dxa"/>
                  <w:shd w:val="clear" w:color="auto" w:fill="auto"/>
                  <w:vAlign w:val="center"/>
                </w:tcPr>
                <w:p>
                  <w:pPr>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规模</w:t>
                  </w:r>
                </w:p>
              </w:tc>
              <w:tc>
                <w:tcPr>
                  <w:tcW w:w="1442" w:type="dxa"/>
                  <w:shd w:val="clear" w:color="auto" w:fill="auto"/>
                  <w:vAlign w:val="center"/>
                </w:tcPr>
                <w:p>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用水定额</w:t>
                  </w:r>
                </w:p>
              </w:tc>
              <w:tc>
                <w:tcPr>
                  <w:tcW w:w="1590" w:type="dxa"/>
                  <w:shd w:val="clear" w:color="auto" w:fill="auto"/>
                  <w:vAlign w:val="center"/>
                </w:tcPr>
                <w:p>
                  <w:pPr>
                    <w:jc w:val="center"/>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用水量m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w:t>
                  </w:r>
                </w:p>
              </w:tc>
              <w:tc>
                <w:tcPr>
                  <w:tcW w:w="1633" w:type="dxa"/>
                  <w:shd w:val="clear" w:color="auto" w:fill="auto"/>
                  <w:vAlign w:val="center"/>
                </w:tcPr>
                <w:p>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排水量</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857" w:type="dxa"/>
                  <w:vMerge w:val="restart"/>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t>医疗用水</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住院用水（含陪护人员）</w:t>
                  </w:r>
                </w:p>
              </w:tc>
              <w:tc>
                <w:tcPr>
                  <w:tcW w:w="868"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400床</w:t>
                  </w:r>
                </w:p>
              </w:tc>
              <w:tc>
                <w:tcPr>
                  <w:tcW w:w="1442" w:type="dxa"/>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650L/床.d</w:t>
                  </w:r>
                </w:p>
              </w:tc>
              <w:tc>
                <w:tcPr>
                  <w:tcW w:w="159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260.00</w:t>
                  </w:r>
                </w:p>
              </w:tc>
              <w:tc>
                <w:tcPr>
                  <w:tcW w:w="1633"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221.0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57" w:type="dxa"/>
                  <w:vMerge w:val="continue"/>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门诊用水</w:t>
                  </w:r>
                </w:p>
              </w:tc>
              <w:tc>
                <w:tcPr>
                  <w:tcW w:w="868"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32人</w:t>
                  </w:r>
                </w:p>
              </w:tc>
              <w:tc>
                <w:tcPr>
                  <w:tcW w:w="1442" w:type="dxa"/>
                  <w:shd w:val="clear" w:color="auto" w:fill="auto"/>
                  <w:vAlign w:val="center"/>
                </w:tcPr>
                <w:p>
                  <w:pPr>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en-US"/>
                      <w14:textFill>
                        <w14:solidFill>
                          <w14:schemeClr w14:val="tx1"/>
                        </w14:solidFill>
                      </w14:textFill>
                    </w:rPr>
                    <w:t>15L/</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人.次</w:t>
                  </w:r>
                </w:p>
              </w:tc>
              <w:tc>
                <w:tcPr>
                  <w:tcW w:w="159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0.48</w:t>
                  </w:r>
                </w:p>
              </w:tc>
              <w:tc>
                <w:tcPr>
                  <w:tcW w:w="1633"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857" w:type="dxa"/>
                  <w:vMerge w:val="continue"/>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手术、消毒等医疗用水</w:t>
                  </w:r>
                </w:p>
              </w:tc>
              <w:tc>
                <w:tcPr>
                  <w:tcW w:w="868"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11人</w:t>
                  </w:r>
                </w:p>
              </w:tc>
              <w:tc>
                <w:tcPr>
                  <w:tcW w:w="1442" w:type="dxa"/>
                  <w:shd w:val="clear" w:color="auto" w:fill="auto"/>
                  <w:vAlign w:val="center"/>
                </w:tcPr>
                <w:p>
                  <w:pPr>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cs="Times New Roman"/>
                      <w:bCs/>
                      <w:color w:val="000000" w:themeColor="text1"/>
                      <w:kern w:val="0"/>
                      <w:sz w:val="21"/>
                      <w:szCs w:val="21"/>
                      <w:lang w:val="en-US" w:eastAsia="zh-CN"/>
                      <w14:textFill>
                        <w14:solidFill>
                          <w14:schemeClr w14:val="tx1"/>
                        </w14:solidFill>
                      </w14:textFill>
                    </w:rPr>
                    <w:t>150</w:t>
                  </w:r>
                  <w:r>
                    <w:rPr>
                      <w:rFonts w:hint="default" w:ascii="Times New Roman" w:hAnsi="Times New Roman" w:eastAsia="宋体" w:cs="Times New Roman"/>
                      <w:bCs/>
                      <w:color w:val="000000" w:themeColor="text1"/>
                      <w:kern w:val="0"/>
                      <w:sz w:val="21"/>
                      <w:szCs w:val="21"/>
                      <w:lang w:val="en-US" w:eastAsia="en-US"/>
                      <w14:textFill>
                        <w14:solidFill>
                          <w14:schemeClr w14:val="tx1"/>
                        </w14:solidFill>
                      </w14:textFill>
                    </w:rPr>
                    <w:t>L/</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人.次</w:t>
                  </w:r>
                </w:p>
              </w:tc>
              <w:tc>
                <w:tcPr>
                  <w:tcW w:w="159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1.65</w:t>
                  </w:r>
                </w:p>
              </w:tc>
              <w:tc>
                <w:tcPr>
                  <w:tcW w:w="1633"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57" w:type="dxa"/>
                  <w:vMerge w:val="continue"/>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洗消中心用水</w:t>
                  </w:r>
                </w:p>
              </w:tc>
              <w:tc>
                <w:tcPr>
                  <w:tcW w:w="868"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15kg</w:t>
                  </w:r>
                </w:p>
              </w:tc>
              <w:tc>
                <w:tcPr>
                  <w:tcW w:w="1442" w:type="dxa"/>
                  <w:shd w:val="clear" w:color="auto" w:fill="auto"/>
                  <w:vAlign w:val="center"/>
                </w:tcPr>
                <w:p>
                  <w:pPr>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w:t>
                  </w:r>
                  <w:r>
                    <w:rPr>
                      <w:rFonts w:hint="default" w:ascii="Times New Roman" w:hAnsi="Times New Roman" w:eastAsia="宋体" w:cs="Times New Roman"/>
                      <w:i w:val="0"/>
                      <w:iCs w:val="0"/>
                      <w:color w:val="000000" w:themeColor="text1"/>
                      <w:kern w:val="0"/>
                      <w:sz w:val="21"/>
                      <w:szCs w:val="21"/>
                      <w:u w:val="none"/>
                      <w:lang w:val="en-US" w:eastAsia="en-US" w:bidi="ar"/>
                      <w14:textFill>
                        <w14:solidFill>
                          <w14:schemeClr w14:val="tx1"/>
                        </w14:solidFill>
                      </w14:textFill>
                    </w:rPr>
                    <w:t>L/kg</w:t>
                  </w:r>
                </w:p>
              </w:tc>
              <w:tc>
                <w:tcPr>
                  <w:tcW w:w="159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0.75</w:t>
                  </w:r>
                </w:p>
              </w:tc>
              <w:tc>
                <w:tcPr>
                  <w:tcW w:w="1633"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57" w:type="dxa"/>
                  <w:vMerge w:val="continue"/>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检验室</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用水</w:t>
                  </w:r>
                </w:p>
              </w:tc>
              <w:tc>
                <w:tcPr>
                  <w:tcW w:w="868"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11人</w:t>
                  </w:r>
                </w:p>
              </w:tc>
              <w:tc>
                <w:tcPr>
                  <w:tcW w:w="1442" w:type="dxa"/>
                  <w:shd w:val="clear" w:color="auto" w:fill="auto"/>
                  <w:vAlign w:val="center"/>
                </w:tcPr>
                <w:p>
                  <w:pPr>
                    <w:jc w:val="center"/>
                    <w:rPr>
                      <w:rFonts w:hint="default" w:ascii="Times New Roman" w:hAnsi="Times New Roman" w:eastAsia="宋体" w:cs="Times New Roman"/>
                      <w:i w:val="0"/>
                      <w:iCs w:val="0"/>
                      <w:color w:val="000000" w:themeColor="text1"/>
                      <w:kern w:val="0"/>
                      <w:sz w:val="21"/>
                      <w:szCs w:val="21"/>
                      <w:u w:val="none"/>
                      <w:lang w:val="en-US" w:eastAsia="en-US" w:bidi="ar"/>
                      <w14:textFill>
                        <w14:solidFill>
                          <w14:schemeClr w14:val="tx1"/>
                        </w14:solidFill>
                      </w14:textFill>
                    </w:rPr>
                  </w:pPr>
                  <w:r>
                    <w:rPr>
                      <w:rFonts w:hint="eastAsia" w:cs="Times New Roman"/>
                      <w:bCs/>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bCs/>
                      <w:color w:val="000000" w:themeColor="text1"/>
                      <w:kern w:val="0"/>
                      <w:sz w:val="21"/>
                      <w:szCs w:val="21"/>
                      <w:lang w:val="en-US" w:eastAsia="en-US"/>
                      <w14:textFill>
                        <w14:solidFill>
                          <w14:schemeClr w14:val="tx1"/>
                        </w14:solidFill>
                      </w14:textFill>
                    </w:rPr>
                    <w:t>L/</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人.次</w:t>
                  </w:r>
                </w:p>
              </w:tc>
              <w:tc>
                <w:tcPr>
                  <w:tcW w:w="159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0.02</w:t>
                  </w:r>
                </w:p>
              </w:tc>
              <w:tc>
                <w:tcPr>
                  <w:tcW w:w="1633"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857" w:type="dxa"/>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t>生活用水</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医护人员用水</w:t>
                  </w:r>
                </w:p>
              </w:tc>
              <w:tc>
                <w:tcPr>
                  <w:tcW w:w="868"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500</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人</w:t>
                  </w:r>
                </w:p>
              </w:tc>
              <w:tc>
                <w:tcPr>
                  <w:tcW w:w="1442" w:type="dxa"/>
                  <w:shd w:val="clear" w:color="auto" w:fill="auto"/>
                  <w:vAlign w:val="center"/>
                </w:tcPr>
                <w:p>
                  <w:pPr>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250</w:t>
                  </w:r>
                  <w:r>
                    <w:rPr>
                      <w:rFonts w:hint="default" w:ascii="Times New Roman" w:hAnsi="Times New Roman" w:eastAsia="宋体" w:cs="Times New Roman"/>
                      <w:bCs/>
                      <w:color w:val="000000" w:themeColor="text1"/>
                      <w:kern w:val="0"/>
                      <w:sz w:val="21"/>
                      <w:szCs w:val="21"/>
                      <w:lang w:val="en-US" w:eastAsia="en-US"/>
                      <w14:textFill>
                        <w14:solidFill>
                          <w14:schemeClr w14:val="tx1"/>
                        </w14:solidFill>
                      </w14:textFill>
                    </w:rPr>
                    <w:t>L/</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人.d</w:t>
                  </w:r>
                </w:p>
              </w:tc>
              <w:tc>
                <w:tcPr>
                  <w:tcW w:w="159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125.00</w:t>
                  </w:r>
                </w:p>
              </w:tc>
              <w:tc>
                <w:tcPr>
                  <w:tcW w:w="1633"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106.25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857" w:type="dxa"/>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t>绿化用水</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场区绿地</w:t>
                  </w:r>
                </w:p>
              </w:tc>
              <w:tc>
                <w:tcPr>
                  <w:tcW w:w="868"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1407.14m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2</w:t>
                  </w:r>
                </w:p>
              </w:tc>
              <w:tc>
                <w:tcPr>
                  <w:tcW w:w="1442"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0.77m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·a）</w:t>
                  </w:r>
                </w:p>
              </w:tc>
              <w:tc>
                <w:tcPr>
                  <w:tcW w:w="1590"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2.97</w:t>
                  </w:r>
                </w:p>
              </w:tc>
              <w:tc>
                <w:tcPr>
                  <w:tcW w:w="1633"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45" w:type="dxa"/>
                  <w:gridSpan w:val="2"/>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t>未预见用水</w:t>
                  </w:r>
                </w:p>
              </w:tc>
              <w:tc>
                <w:tcPr>
                  <w:tcW w:w="2310" w:type="dxa"/>
                  <w:gridSpan w:val="2"/>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按上述用水5%计</w:t>
                  </w:r>
                </w:p>
              </w:tc>
              <w:tc>
                <w:tcPr>
                  <w:tcW w:w="159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19.54</w:t>
                  </w:r>
                </w:p>
              </w:tc>
              <w:tc>
                <w:tcPr>
                  <w:tcW w:w="1633"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855" w:type="dxa"/>
                  <w:gridSpan w:val="4"/>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t>合计</w:t>
                  </w:r>
                </w:p>
              </w:tc>
              <w:tc>
                <w:tcPr>
                  <w:tcW w:w="159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410.41</w:t>
                  </w:r>
                </w:p>
              </w:tc>
              <w:tc>
                <w:tcPr>
                  <w:tcW w:w="1633"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329.72</w:t>
                  </w:r>
                </w:p>
              </w:tc>
            </w:tr>
          </w:tbl>
          <w:p>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2.2废水排放去向</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项目运营期产生的</w:t>
            </w:r>
            <w:r>
              <w:rPr>
                <w:rFonts w:hint="eastAsia"/>
                <w:color w:val="000000" w:themeColor="text1"/>
                <w:sz w:val="24"/>
                <w:lang w:val="en-US" w:eastAsia="zh-CN"/>
                <w14:textFill>
                  <w14:solidFill>
                    <w14:schemeClr w14:val="tx1"/>
                  </w14:solidFill>
                </w14:textFill>
              </w:rPr>
              <w:t>洗消废水、生活污水、医疗废水经化粪池</w:t>
            </w:r>
            <w:r>
              <w:rPr>
                <w:rFonts w:hint="eastAsia"/>
                <w:color w:val="000000" w:themeColor="text1"/>
                <w:sz w:val="24"/>
                <w14:textFill>
                  <w14:solidFill>
                    <w14:schemeClr w14:val="tx1"/>
                  </w14:solidFill>
                </w14:textFill>
              </w:rPr>
              <w:t>预处理后进入二期项目污水处理站，处理达到</w:t>
            </w:r>
            <w:r>
              <w:rPr>
                <w:rFonts w:hint="eastAsia"/>
                <w:color w:val="000000" w:themeColor="text1"/>
                <w:sz w:val="24"/>
                <w:lang w:eastAsia="zh-CN"/>
                <w14:textFill>
                  <w14:solidFill>
                    <w14:schemeClr w14:val="tx1"/>
                  </w14:solidFill>
                </w14:textFill>
              </w:rPr>
              <w:t>《医疗机构水污染物排放标准》（GB18466-2005）表2中预处理标准，氨氮、总磷达到《污水排入城市下水道水质标准》（GB/T31962-2015）表1中A级标准</w:t>
            </w:r>
            <w:r>
              <w:rPr>
                <w:rFonts w:hint="eastAsia"/>
                <w:color w:val="000000" w:themeColor="text1"/>
                <w:sz w:val="24"/>
                <w14:textFill>
                  <w14:solidFill>
                    <w14:schemeClr w14:val="tx1"/>
                  </w14:solidFill>
                </w14:textFill>
              </w:rPr>
              <w:t>，排入市政污水管网，最终进入宣汉县城市生活污水处理厂进行处理。</w:t>
            </w:r>
          </w:p>
          <w:p>
            <w:pPr>
              <w:snapToGrid w:val="0"/>
              <w:spacing w:line="360" w:lineRule="auto"/>
              <w:ind w:firstLine="480"/>
              <w:rPr>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项目水量平衡图如下图所示。</w:t>
            </w:r>
          </w:p>
          <w:p>
            <w:pPr>
              <w:pStyle w:val="21"/>
              <w:ind w:firstLine="0" w:firstLineChars="0"/>
              <w:jc w:val="center"/>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462270" cy="4490720"/>
                  <wp:effectExtent l="0" t="0" r="5080" b="508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7"/>
                          <a:stretch>
                            <a:fillRect/>
                          </a:stretch>
                        </pic:blipFill>
                        <pic:spPr>
                          <a:xfrm>
                            <a:off x="0" y="0"/>
                            <a:ext cx="5462270" cy="4490720"/>
                          </a:xfrm>
                          <a:prstGeom prst="rect">
                            <a:avLst/>
                          </a:prstGeom>
                          <a:noFill/>
                          <a:ln>
                            <a:noFill/>
                          </a:ln>
                        </pic:spPr>
                      </pic:pic>
                    </a:graphicData>
                  </a:graphic>
                </wp:inline>
              </w:drawing>
            </w:r>
          </w:p>
          <w:p>
            <w:pPr>
              <w:numPr>
                <w:ilvl w:val="0"/>
                <w:numId w:val="20"/>
              </w:numPr>
              <w:spacing w:line="360" w:lineRule="auto"/>
              <w:jc w:val="center"/>
              <w:rPr>
                <w:rFonts w:cs="宋体"/>
                <w:b/>
                <w:bCs/>
                <w:color w:val="000000" w:themeColor="text1"/>
                <w:kern w:val="0"/>
                <w:sz w:val="24"/>
                <w14:textFill>
                  <w14:solidFill>
                    <w14:schemeClr w14:val="tx1"/>
                  </w14:solidFill>
                </w14:textFill>
              </w:rPr>
            </w:pPr>
            <w:r>
              <w:rPr>
                <w:rFonts w:cs="宋体"/>
                <w:b/>
                <w:bCs/>
                <w:color w:val="000000" w:themeColor="text1"/>
                <w:kern w:val="0"/>
                <w:sz w:val="24"/>
                <w14:textFill>
                  <w14:solidFill>
                    <w14:schemeClr w14:val="tx1"/>
                  </w14:solidFill>
                </w14:textFill>
              </w:rPr>
              <w:t>项目水平衡图   m</w:t>
            </w:r>
            <w:r>
              <w:rPr>
                <w:rFonts w:cs="宋体"/>
                <w:b/>
                <w:bCs/>
                <w:color w:val="000000" w:themeColor="text1"/>
                <w:kern w:val="0"/>
                <w:sz w:val="24"/>
                <w:vertAlign w:val="superscript"/>
                <w14:textFill>
                  <w14:solidFill>
                    <w14:schemeClr w14:val="tx1"/>
                  </w14:solidFill>
                </w14:textFill>
              </w:rPr>
              <w:t>3</w:t>
            </w:r>
            <w:r>
              <w:rPr>
                <w:rFonts w:cs="宋体"/>
                <w:b/>
                <w:bCs/>
                <w:color w:val="000000" w:themeColor="text1"/>
                <w:kern w:val="0"/>
                <w:sz w:val="24"/>
                <w14:textFill>
                  <w14:solidFill>
                    <w14:schemeClr w14:val="tx1"/>
                  </w14:solidFill>
                </w14:textFill>
              </w:rPr>
              <w:t>/d</w:t>
            </w:r>
          </w:p>
          <w:p>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2.3废水污染物产生及排放总量</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参考《医院污水处理工程技术规范》（HJ2029-2013）表1医院污水水质指标参考数据及类比医院废水水质浓度，在考虑最不利情况下，项目废水主要污染物产生浓度取参考数据的最大值。项目综合废水经预处理后进入二期项目污水处理站，处理达到</w:t>
            </w:r>
            <w:r>
              <w:rPr>
                <w:rFonts w:hint="eastAsia"/>
                <w:color w:val="000000" w:themeColor="text1"/>
                <w:sz w:val="24"/>
                <w:lang w:eastAsia="zh-CN"/>
                <w14:textFill>
                  <w14:solidFill>
                    <w14:schemeClr w14:val="tx1"/>
                  </w14:solidFill>
                </w14:textFill>
              </w:rPr>
              <w:t>《医疗机构水污染物排放标准》（GB18466-2005）表2中预处理标准，氨氮、总磷达到《污水排入城市下水道水质标准》（GB/T31962-2015）表1中A级标准</w:t>
            </w:r>
            <w:r>
              <w:rPr>
                <w:rFonts w:hint="eastAsia"/>
                <w:color w:val="000000" w:themeColor="text1"/>
                <w:sz w:val="24"/>
                <w14:textFill>
                  <w14:solidFill>
                    <w14:schemeClr w14:val="tx1"/>
                  </w14:solidFill>
                </w14:textFill>
              </w:rPr>
              <w:t>，排入市政污水管网，最终进入宣汉县城市生活污水处理厂进行处理。则项目废水污染物产排量核算见下表。</w:t>
            </w:r>
          </w:p>
          <w:p>
            <w:pPr>
              <w:numPr>
                <w:ilvl w:val="0"/>
                <w:numId w:val="14"/>
              </w:numPr>
              <w:spacing w:line="36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项目废水主要污染物产排情况一览表</w:t>
            </w:r>
          </w:p>
          <w:tbl>
            <w:tblPr>
              <w:tblStyle w:val="23"/>
              <w:tblW w:w="81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12"/>
              <w:gridCol w:w="1066"/>
              <w:gridCol w:w="1035"/>
              <w:gridCol w:w="1035"/>
              <w:gridCol w:w="1035"/>
              <w:gridCol w:w="1035"/>
              <w:gridCol w:w="10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21" w:hRule="atLeast"/>
                <w:jc w:val="center"/>
              </w:trPr>
              <w:tc>
                <w:tcPr>
                  <w:tcW w:w="1912" w:type="dxa"/>
                  <w:vMerge w:val="restart"/>
                  <w:vAlign w:val="center"/>
                </w:tcPr>
                <w:p>
                  <w:pPr>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项目</w:t>
                  </w:r>
                </w:p>
              </w:tc>
              <w:tc>
                <w:tcPr>
                  <w:tcW w:w="1066" w:type="dxa"/>
                  <w:vMerge w:val="restart"/>
                  <w:shd w:val="clear" w:color="auto" w:fill="auto"/>
                  <w:vAlign w:val="center"/>
                </w:tcPr>
                <w:p>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单位</w:t>
                  </w:r>
                </w:p>
              </w:tc>
              <w:tc>
                <w:tcPr>
                  <w:tcW w:w="5181" w:type="dxa"/>
                  <w:gridSpan w:val="5"/>
                  <w:shd w:val="clear" w:color="auto" w:fill="auto"/>
                  <w:vAlign w:val="center"/>
                </w:tcPr>
                <w:p>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912" w:type="dxa"/>
                  <w:vMerge w:val="continue"/>
                  <w:vAlign w:val="center"/>
                </w:tcPr>
                <w:p>
                  <w:pPr>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1066" w:type="dxa"/>
                  <w:vMerge w:val="continue"/>
                  <w:shd w:val="clear" w:color="auto" w:fill="auto"/>
                  <w:vAlign w:val="center"/>
                </w:tcPr>
                <w:p>
                  <w:pPr>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1035"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COD</w:t>
                  </w:r>
                </w:p>
              </w:tc>
              <w:tc>
                <w:tcPr>
                  <w:tcW w:w="10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BOD</w:t>
                  </w:r>
                  <w:r>
                    <w:rPr>
                      <w:rFonts w:hint="eastAsia" w:cs="Times New Roman"/>
                      <w:color w:val="000000" w:themeColor="text1"/>
                      <w:sz w:val="21"/>
                      <w:szCs w:val="21"/>
                      <w:vertAlign w:val="subscript"/>
                      <w:lang w:val="en-US" w:eastAsia="zh-CN"/>
                      <w14:textFill>
                        <w14:solidFill>
                          <w14:schemeClr w14:val="tx1"/>
                        </w14:solidFill>
                      </w14:textFill>
                    </w:rPr>
                    <w:t>5</w:t>
                  </w:r>
                </w:p>
              </w:tc>
              <w:tc>
                <w:tcPr>
                  <w:tcW w:w="10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NH</w:t>
                  </w:r>
                  <w:r>
                    <w:rPr>
                      <w:rFonts w:hint="eastAsia" w:cs="Times New Roman"/>
                      <w:color w:val="000000" w:themeColor="text1"/>
                      <w:sz w:val="21"/>
                      <w:szCs w:val="21"/>
                      <w:vertAlign w:val="sub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-N</w:t>
                  </w:r>
                </w:p>
              </w:tc>
              <w:tc>
                <w:tcPr>
                  <w:tcW w:w="10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SS</w:t>
                  </w:r>
                </w:p>
              </w:tc>
              <w:tc>
                <w:tcPr>
                  <w:tcW w:w="104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总磷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6" w:hRule="atLeast"/>
                <w:jc w:val="center"/>
              </w:trPr>
              <w:tc>
                <w:tcPr>
                  <w:tcW w:w="1912" w:type="dxa"/>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综合废水排放量</w:t>
                  </w:r>
                </w:p>
              </w:tc>
              <w:tc>
                <w:tcPr>
                  <w:tcW w:w="106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m</w:t>
                  </w:r>
                  <w:r>
                    <w:rPr>
                      <w:rFonts w:hint="eastAsia" w:cs="Times New Roman"/>
                      <w:color w:val="000000" w:themeColor="text1"/>
                      <w:kern w:val="2"/>
                      <w:sz w:val="21"/>
                      <w:szCs w:val="21"/>
                      <w:vertAlign w:val="superscript"/>
                      <w:lang w:val="en-US" w:eastAsia="zh-CN" w:bidi="ar-SA"/>
                      <w14:textFill>
                        <w14:solidFill>
                          <w14:schemeClr w14:val="tx1"/>
                        </w14:solidFill>
                      </w14:textFill>
                    </w:rPr>
                    <w:t>3</w:t>
                  </w:r>
                  <w:r>
                    <w:rPr>
                      <w:rFonts w:hint="eastAsia" w:cs="Times New Roman"/>
                      <w:color w:val="000000" w:themeColor="text1"/>
                      <w:kern w:val="2"/>
                      <w:sz w:val="21"/>
                      <w:szCs w:val="21"/>
                      <w:lang w:val="en-US" w:eastAsia="zh-CN" w:bidi="ar-SA"/>
                      <w14:textFill>
                        <w14:solidFill>
                          <w14:schemeClr w14:val="tx1"/>
                        </w14:solidFill>
                      </w14:textFill>
                    </w:rPr>
                    <w:t>/a</w:t>
                  </w:r>
                </w:p>
              </w:tc>
              <w:tc>
                <w:tcPr>
                  <w:tcW w:w="5181" w:type="dxa"/>
                  <w:gridSpan w:val="5"/>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120345.98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912" w:type="dxa"/>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产生浓度</w:t>
                  </w:r>
                </w:p>
              </w:tc>
              <w:tc>
                <w:tcPr>
                  <w:tcW w:w="106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mg/L</w:t>
                  </w:r>
                </w:p>
              </w:tc>
              <w:tc>
                <w:tcPr>
                  <w:tcW w:w="1035"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300</w:t>
                  </w:r>
                </w:p>
              </w:tc>
              <w:tc>
                <w:tcPr>
                  <w:tcW w:w="1035" w:type="dxa"/>
                  <w:shd w:val="clear" w:color="auto" w:fill="auto"/>
                  <w:vAlign w:val="center"/>
                </w:tcPr>
                <w:p>
                  <w:pPr>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cs="Times New Roman"/>
                      <w:bCs/>
                      <w:color w:val="000000" w:themeColor="text1"/>
                      <w:kern w:val="0"/>
                      <w:sz w:val="21"/>
                      <w:szCs w:val="21"/>
                      <w:lang w:val="en-US" w:eastAsia="zh-CN"/>
                      <w14:textFill>
                        <w14:solidFill>
                          <w14:schemeClr w14:val="tx1"/>
                        </w14:solidFill>
                      </w14:textFill>
                    </w:rPr>
                    <w:t>150</w:t>
                  </w:r>
                </w:p>
              </w:tc>
              <w:tc>
                <w:tcPr>
                  <w:tcW w:w="10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w:t>
                  </w:r>
                </w:p>
              </w:tc>
              <w:tc>
                <w:tcPr>
                  <w:tcW w:w="10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120</w:t>
                  </w:r>
                </w:p>
              </w:tc>
              <w:tc>
                <w:tcPr>
                  <w:tcW w:w="104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6" w:hRule="atLeast"/>
                <w:jc w:val="center"/>
              </w:trPr>
              <w:tc>
                <w:tcPr>
                  <w:tcW w:w="1912" w:type="dxa"/>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cs="Times New Roman"/>
                      <w:bCs/>
                      <w:color w:val="000000" w:themeColor="text1"/>
                      <w:kern w:val="0"/>
                      <w:sz w:val="21"/>
                      <w:szCs w:val="21"/>
                      <w:lang w:val="en-US" w:eastAsia="zh-CN" w:bidi="ar-SA"/>
                      <w14:textFill>
                        <w14:solidFill>
                          <w14:schemeClr w14:val="tx1"/>
                        </w14:solidFill>
                      </w14:textFill>
                    </w:rPr>
                    <w:t>污染物产生量</w:t>
                  </w:r>
                </w:p>
              </w:tc>
              <w:tc>
                <w:tcPr>
                  <w:tcW w:w="106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t/a</w:t>
                  </w:r>
                </w:p>
              </w:tc>
              <w:tc>
                <w:tcPr>
                  <w:tcW w:w="1035" w:type="dxa"/>
                  <w:shd w:val="clear" w:color="auto" w:fill="auto"/>
                  <w:vAlign w:val="center"/>
                </w:tcPr>
                <w:p>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36.10</w:t>
                  </w:r>
                </w:p>
              </w:tc>
              <w:tc>
                <w:tcPr>
                  <w:tcW w:w="1035" w:type="dxa"/>
                  <w:shd w:val="clear" w:color="auto" w:fill="auto"/>
                  <w:vAlign w:val="center"/>
                </w:tcPr>
                <w:p>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18.05</w:t>
                  </w:r>
                </w:p>
              </w:tc>
              <w:tc>
                <w:tcPr>
                  <w:tcW w:w="1035" w:type="dxa"/>
                  <w:shd w:val="clear" w:color="auto" w:fill="auto"/>
                  <w:vAlign w:val="center"/>
                </w:tcPr>
                <w:p>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default" w:cs="Times New Roman"/>
                      <w:color w:val="000000" w:themeColor="text1"/>
                      <w:kern w:val="2"/>
                      <w:sz w:val="21"/>
                      <w:szCs w:val="21"/>
                      <w:lang w:val="en-US" w:eastAsia="zh-CN" w:bidi="ar-SA"/>
                      <w14:textFill>
                        <w14:solidFill>
                          <w14:schemeClr w14:val="tx1"/>
                        </w14:solidFill>
                      </w14:textFill>
                    </w:rPr>
                    <w:t>6.02</w:t>
                  </w:r>
                </w:p>
              </w:tc>
              <w:tc>
                <w:tcPr>
                  <w:tcW w:w="1035" w:type="dxa"/>
                  <w:shd w:val="clear" w:color="auto" w:fill="auto"/>
                  <w:vAlign w:val="center"/>
                </w:tcPr>
                <w:p>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default" w:cs="Times New Roman"/>
                      <w:color w:val="000000" w:themeColor="text1"/>
                      <w:kern w:val="2"/>
                      <w:sz w:val="21"/>
                      <w:szCs w:val="21"/>
                      <w:lang w:val="en-US" w:eastAsia="zh-CN" w:bidi="ar-SA"/>
                      <w14:textFill>
                        <w14:solidFill>
                          <w14:schemeClr w14:val="tx1"/>
                        </w14:solidFill>
                      </w14:textFill>
                    </w:rPr>
                    <w:t>14.44</w:t>
                  </w:r>
                </w:p>
              </w:tc>
              <w:tc>
                <w:tcPr>
                  <w:tcW w:w="1041" w:type="dxa"/>
                  <w:shd w:val="clear" w:color="auto" w:fill="auto"/>
                  <w:vAlign w:val="center"/>
                </w:tcPr>
                <w:p>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default" w:cs="Times New Roman"/>
                      <w:color w:val="000000" w:themeColor="text1"/>
                      <w:kern w:val="2"/>
                      <w:sz w:val="21"/>
                      <w:szCs w:val="21"/>
                      <w:lang w:val="en-US" w:eastAsia="zh-CN" w:bidi="ar-SA"/>
                      <w14:textFill>
                        <w14:solidFill>
                          <w14:schemeClr w14:val="tx1"/>
                        </w14:solidFill>
                      </w14:textFill>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912" w:type="dxa"/>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排放浓度</w:t>
                  </w:r>
                </w:p>
              </w:tc>
              <w:tc>
                <w:tcPr>
                  <w:tcW w:w="106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mg/L</w:t>
                  </w:r>
                </w:p>
              </w:tc>
              <w:tc>
                <w:tcPr>
                  <w:tcW w:w="1035" w:type="dxa"/>
                  <w:shd w:val="clear" w:color="auto" w:fill="auto"/>
                  <w:vAlign w:val="center"/>
                </w:tcPr>
                <w:p>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default" w:cs="Times New Roman"/>
                      <w:color w:val="000000" w:themeColor="text1"/>
                      <w:kern w:val="2"/>
                      <w:sz w:val="21"/>
                      <w:szCs w:val="21"/>
                      <w:lang w:val="en-US" w:eastAsia="zh-CN" w:bidi="ar-SA"/>
                      <w14:textFill>
                        <w14:solidFill>
                          <w14:schemeClr w14:val="tx1"/>
                        </w14:solidFill>
                      </w14:textFill>
                    </w:rPr>
                    <w:t>250</w:t>
                  </w:r>
                </w:p>
              </w:tc>
              <w:tc>
                <w:tcPr>
                  <w:tcW w:w="1035" w:type="dxa"/>
                  <w:shd w:val="clear" w:color="auto" w:fill="auto"/>
                  <w:vAlign w:val="center"/>
                </w:tcPr>
                <w:p>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default" w:cs="Times New Roman"/>
                      <w:color w:val="000000" w:themeColor="text1"/>
                      <w:kern w:val="2"/>
                      <w:sz w:val="21"/>
                      <w:szCs w:val="21"/>
                      <w:lang w:val="en-US" w:eastAsia="zh-CN" w:bidi="ar-SA"/>
                      <w14:textFill>
                        <w14:solidFill>
                          <w14:schemeClr w14:val="tx1"/>
                        </w14:solidFill>
                      </w14:textFill>
                    </w:rPr>
                    <w:t>100</w:t>
                  </w:r>
                </w:p>
              </w:tc>
              <w:tc>
                <w:tcPr>
                  <w:tcW w:w="1035" w:type="dxa"/>
                  <w:shd w:val="clear" w:color="auto" w:fill="auto"/>
                  <w:vAlign w:val="center"/>
                </w:tcPr>
                <w:p>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45</w:t>
                  </w:r>
                </w:p>
              </w:tc>
              <w:tc>
                <w:tcPr>
                  <w:tcW w:w="1035" w:type="dxa"/>
                  <w:shd w:val="clear" w:color="auto" w:fill="auto"/>
                  <w:vAlign w:val="center"/>
                </w:tcPr>
                <w:p>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default" w:cs="Times New Roman"/>
                      <w:color w:val="000000" w:themeColor="text1"/>
                      <w:kern w:val="2"/>
                      <w:sz w:val="21"/>
                      <w:szCs w:val="21"/>
                      <w:lang w:val="en-US" w:eastAsia="zh-CN" w:bidi="ar-SA"/>
                      <w14:textFill>
                        <w14:solidFill>
                          <w14:schemeClr w14:val="tx1"/>
                        </w14:solidFill>
                      </w14:textFill>
                    </w:rPr>
                    <w:t>60</w:t>
                  </w:r>
                </w:p>
              </w:tc>
              <w:tc>
                <w:tcPr>
                  <w:tcW w:w="1041" w:type="dxa"/>
                  <w:shd w:val="clear" w:color="auto" w:fill="auto"/>
                  <w:vAlign w:val="center"/>
                </w:tcPr>
                <w:p>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87" w:hRule="atLeast"/>
                <w:jc w:val="center"/>
              </w:trPr>
              <w:tc>
                <w:tcPr>
                  <w:tcW w:w="1912"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bCs/>
                      <w:color w:val="000000" w:themeColor="text1"/>
                      <w:kern w:val="0"/>
                      <w:sz w:val="21"/>
                      <w:szCs w:val="21"/>
                      <w:lang w:val="en-US" w:eastAsia="zh-CN" w:bidi="ar-SA"/>
                      <w14:textFill>
                        <w14:solidFill>
                          <w14:schemeClr w14:val="tx1"/>
                        </w14:solidFill>
                      </w14:textFill>
                    </w:rPr>
                    <w:t>污染物排放量</w:t>
                  </w:r>
                </w:p>
              </w:tc>
              <w:tc>
                <w:tcPr>
                  <w:tcW w:w="1066" w:type="dxa"/>
                  <w:vAlign w:val="center"/>
                </w:tcPr>
                <w:p>
                  <w:pPr>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t/a</w:t>
                  </w:r>
                </w:p>
              </w:tc>
              <w:tc>
                <w:tcPr>
                  <w:tcW w:w="1035" w:type="dxa"/>
                  <w:shd w:val="clear" w:color="auto" w:fill="auto"/>
                  <w:vAlign w:val="center"/>
                </w:tcPr>
                <w:p>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30.09</w:t>
                  </w:r>
                </w:p>
              </w:tc>
              <w:tc>
                <w:tcPr>
                  <w:tcW w:w="1035" w:type="dxa"/>
                  <w:shd w:val="clear" w:color="auto" w:fill="auto"/>
                  <w:vAlign w:val="center"/>
                </w:tcPr>
                <w:p>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12.03</w:t>
                  </w:r>
                </w:p>
              </w:tc>
              <w:tc>
                <w:tcPr>
                  <w:tcW w:w="1035" w:type="dxa"/>
                  <w:shd w:val="clear" w:color="auto" w:fill="auto"/>
                  <w:vAlign w:val="center"/>
                </w:tcPr>
                <w:p>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5.42</w:t>
                  </w:r>
                </w:p>
              </w:tc>
              <w:tc>
                <w:tcPr>
                  <w:tcW w:w="1035" w:type="dxa"/>
                  <w:shd w:val="clear" w:color="auto" w:fill="auto"/>
                  <w:vAlign w:val="center"/>
                </w:tcPr>
                <w:p>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7.22</w:t>
                  </w:r>
                </w:p>
              </w:tc>
              <w:tc>
                <w:tcPr>
                  <w:tcW w:w="1041" w:type="dxa"/>
                  <w:shd w:val="clear" w:color="auto" w:fill="auto"/>
                  <w:vAlign w:val="center"/>
                </w:tcPr>
                <w:p>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0.96</w:t>
                  </w:r>
                </w:p>
              </w:tc>
            </w:tr>
          </w:tbl>
          <w:p>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2.4本项目污水处理工艺及达标可行性分析</w:t>
            </w:r>
          </w:p>
          <w:p>
            <w:pPr>
              <w:autoSpaceDE w:val="0"/>
              <w:autoSpaceDN w:val="0"/>
              <w:spacing w:line="360" w:lineRule="auto"/>
              <w:ind w:firstLine="482"/>
              <w:jc w:val="left"/>
              <w:textAlignment w:val="baseline"/>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按照《医疗污水处理工程技术规范》（HJ2029-2013）的废水处理要求，</w:t>
            </w:r>
            <w:r>
              <w:rPr>
                <w:rFonts w:hint="eastAsia"/>
                <w:color w:val="000000" w:themeColor="text1"/>
                <w:kern w:val="0"/>
                <w:sz w:val="24"/>
                <w14:textFill>
                  <w14:solidFill>
                    <w14:schemeClr w14:val="tx1"/>
                  </w14:solidFill>
                </w14:textFill>
              </w:rPr>
              <w:t>医院污水采用“一级强化+二氧化氯消毒”的工艺。</w:t>
            </w:r>
          </w:p>
          <w:p>
            <w:pPr>
              <w:autoSpaceDE w:val="0"/>
              <w:autoSpaceDN w:val="0"/>
              <w:spacing w:line="360" w:lineRule="auto"/>
              <w:ind w:firstLine="482"/>
              <w:jc w:val="left"/>
              <w:textAlignment w:val="baseline"/>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本项目污水处理依托二期项目污水处理设施，依据项目设计资料，二期项目污水处理设施拟采用“</w:t>
            </w:r>
            <w:r>
              <w:rPr>
                <w:color w:val="000000" w:themeColor="text1"/>
                <w:kern w:val="0"/>
                <w:sz w:val="24"/>
                <w14:textFill>
                  <w14:solidFill>
                    <w14:schemeClr w14:val="tx1"/>
                  </w14:solidFill>
                </w14:textFill>
              </w:rPr>
              <w:t>格栅井→</w:t>
            </w:r>
            <w:r>
              <w:rPr>
                <w:rFonts w:hint="eastAsia"/>
                <w:color w:val="000000" w:themeColor="text1"/>
                <w:kern w:val="0"/>
                <w:sz w:val="24"/>
                <w14:textFill>
                  <w14:solidFill>
                    <w14:schemeClr w14:val="tx1"/>
                  </w14:solidFill>
                </w14:textFill>
              </w:rPr>
              <w:t>厌氧池</w:t>
            </w:r>
            <w:r>
              <w:rPr>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好氧</w:t>
            </w:r>
            <w:r>
              <w:rPr>
                <w:color w:val="000000" w:themeColor="text1"/>
                <w:kern w:val="0"/>
                <w:sz w:val="24"/>
                <w14:textFill>
                  <w14:solidFill>
                    <w14:schemeClr w14:val="tx1"/>
                  </w14:solidFill>
                </w14:textFill>
              </w:rPr>
              <w:t>池→</w:t>
            </w:r>
            <w:r>
              <w:rPr>
                <w:rFonts w:hint="eastAsia"/>
                <w:color w:val="000000" w:themeColor="text1"/>
                <w:kern w:val="0"/>
                <w:sz w:val="24"/>
                <w14:textFill>
                  <w14:solidFill>
                    <w14:schemeClr w14:val="tx1"/>
                  </w14:solidFill>
                </w14:textFill>
              </w:rPr>
              <w:t>二</w:t>
            </w:r>
            <w:r>
              <w:rPr>
                <w:color w:val="000000" w:themeColor="text1"/>
                <w:kern w:val="0"/>
                <w:sz w:val="24"/>
                <w14:textFill>
                  <w14:solidFill>
                    <w14:schemeClr w14:val="tx1"/>
                  </w14:solidFill>
                </w14:textFill>
              </w:rPr>
              <w:t>沉淀池→</w:t>
            </w:r>
            <w:r>
              <w:rPr>
                <w:rFonts w:hint="eastAsia"/>
                <w:color w:val="000000" w:themeColor="text1"/>
                <w:kern w:val="0"/>
                <w:sz w:val="24"/>
                <w14:textFill>
                  <w14:solidFill>
                    <w14:schemeClr w14:val="tx1"/>
                  </w14:solidFill>
                </w14:textFill>
              </w:rPr>
              <w:t>接触</w:t>
            </w:r>
            <w:r>
              <w:rPr>
                <w:color w:val="000000" w:themeColor="text1"/>
                <w:kern w:val="0"/>
                <w:sz w:val="24"/>
                <w14:textFill>
                  <w14:solidFill>
                    <w14:schemeClr w14:val="tx1"/>
                  </w14:solidFill>
                </w14:textFill>
              </w:rPr>
              <w:t>消毒池</w:t>
            </w:r>
            <w:r>
              <w:rPr>
                <w:rFonts w:hint="eastAsia"/>
                <w:color w:val="000000" w:themeColor="text1"/>
                <w:kern w:val="0"/>
                <w:sz w:val="24"/>
                <w14:textFill>
                  <w14:solidFill>
                    <w14:schemeClr w14:val="tx1"/>
                  </w14:solidFill>
                </w14:textFill>
              </w:rPr>
              <w:t>”处理工艺，污水处理规模1500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，污水经</w:t>
            </w:r>
            <w:r>
              <w:rPr>
                <w:color w:val="000000" w:themeColor="text1"/>
                <w:sz w:val="24"/>
                <w14:textFill>
                  <w14:solidFill>
                    <w14:schemeClr w14:val="tx1"/>
                  </w14:solidFill>
                </w14:textFill>
              </w:rPr>
              <w:t>污水处理</w:t>
            </w:r>
            <w:r>
              <w:rPr>
                <w:rFonts w:hint="eastAsia"/>
                <w:color w:val="000000" w:themeColor="text1"/>
                <w:sz w:val="24"/>
                <w14:textFill>
                  <w14:solidFill>
                    <w14:schemeClr w14:val="tx1"/>
                  </w14:solidFill>
                </w14:textFill>
              </w:rPr>
              <w:t>设施处理后排入</w:t>
            </w:r>
            <w:r>
              <w:rPr>
                <w:color w:val="000000" w:themeColor="text1"/>
                <w:kern w:val="0"/>
                <w:sz w:val="24"/>
                <w14:textFill>
                  <w14:solidFill>
                    <w14:schemeClr w14:val="tx1"/>
                  </w14:solidFill>
                </w14:textFill>
              </w:rPr>
              <w:t>市政污水管网，</w:t>
            </w:r>
            <w:r>
              <w:rPr>
                <w:rFonts w:hint="eastAsia"/>
                <w:color w:val="000000" w:themeColor="text1"/>
                <w:kern w:val="0"/>
                <w:sz w:val="24"/>
                <w14:textFill>
                  <w14:solidFill>
                    <w14:schemeClr w14:val="tx1"/>
                  </w14:solidFill>
                </w14:textFill>
              </w:rPr>
              <w:t>经</w:t>
            </w:r>
            <w:r>
              <w:rPr>
                <w:rFonts w:hint="eastAsia"/>
                <w:color w:val="000000" w:themeColor="text1"/>
                <w:sz w:val="24"/>
                <w14:textFill>
                  <w14:solidFill>
                    <w14:schemeClr w14:val="tx1"/>
                  </w14:solidFill>
                </w14:textFill>
              </w:rPr>
              <w:t>宣汉县城市生活污水处理厂处理达到《城镇污水处理厂污染物排放标准》（GB18918-2002）一级标准的A类标准后排入州河。</w:t>
            </w:r>
          </w:p>
          <w:p>
            <w:pPr>
              <w:autoSpaceDE w:val="0"/>
              <w:autoSpaceDN w:val="0"/>
              <w:spacing w:line="360" w:lineRule="auto"/>
              <w:ind w:firstLine="482"/>
              <w:jc w:val="left"/>
              <w:textAlignment w:val="baseline"/>
              <w:rPr>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二期污水处理水设施在设计时已考虑本项目污水量，因此本项目依托二期污水处理设施可行。同时，二期采用的污水处理工艺为</w:t>
            </w:r>
            <w:r>
              <w:rPr>
                <w:color w:val="000000" w:themeColor="text1"/>
                <w:kern w:val="0"/>
                <w:sz w:val="24"/>
                <w14:textFill>
                  <w14:solidFill>
                    <w14:schemeClr w14:val="tx1"/>
                  </w14:solidFill>
                </w14:textFill>
              </w:rPr>
              <w:t>《医疗污水处理工程技术规范》（HJ2029-2013）推荐的</w:t>
            </w:r>
            <w:r>
              <w:rPr>
                <w:rFonts w:hint="eastAsia"/>
                <w:color w:val="000000" w:themeColor="text1"/>
                <w:kern w:val="0"/>
                <w:sz w:val="24"/>
                <w14:textFill>
                  <w14:solidFill>
                    <w14:schemeClr w14:val="tx1"/>
                  </w14:solidFill>
                </w14:textFill>
              </w:rPr>
              <w:t>“一级强化+二氧化氯消毒”的工艺</w:t>
            </w:r>
            <w:r>
              <w:rPr>
                <w:color w:val="000000" w:themeColor="text1"/>
                <w:kern w:val="0"/>
                <w:sz w:val="24"/>
                <w14:textFill>
                  <w14:solidFill>
                    <w14:schemeClr w14:val="tx1"/>
                  </w14:solidFill>
                </w14:textFill>
              </w:rPr>
              <w:t>，具有成熟可靠的实际案例。经对同类医院调研</w:t>
            </w:r>
            <w:r>
              <w:rPr>
                <w:rFonts w:hint="eastAsia"/>
                <w:color w:val="000000" w:themeColor="text1"/>
                <w:kern w:val="0"/>
                <w:sz w:val="24"/>
                <w14:textFill>
                  <w14:solidFill>
                    <w14:schemeClr w14:val="tx1"/>
                  </w14:solidFill>
                </w14:textFill>
              </w:rPr>
              <w:t>，医院综合污水在采取上述污水处理工艺处理后，</w:t>
            </w:r>
            <w:r>
              <w:rPr>
                <w:color w:val="000000" w:themeColor="text1"/>
                <w:kern w:val="0"/>
                <w:sz w:val="24"/>
                <w14:textFill>
                  <w14:solidFill>
                    <w14:schemeClr w14:val="tx1"/>
                  </w14:solidFill>
                </w14:textFill>
              </w:rPr>
              <w:t>废水水质</w:t>
            </w:r>
            <w:r>
              <w:rPr>
                <w:rFonts w:hint="eastAsia"/>
                <w:color w:val="000000" w:themeColor="text1"/>
                <w:kern w:val="0"/>
                <w:sz w:val="24"/>
                <w14:textFill>
                  <w14:solidFill>
                    <w14:schemeClr w14:val="tx1"/>
                  </w14:solidFill>
                </w14:textFill>
              </w:rPr>
              <w:t>能达到</w:t>
            </w:r>
            <w:r>
              <w:rPr>
                <w:rFonts w:hint="eastAsia"/>
                <w:color w:val="000000" w:themeColor="text1"/>
                <w:sz w:val="24"/>
                <w:lang w:eastAsia="zh-CN"/>
                <w14:textFill>
                  <w14:solidFill>
                    <w14:schemeClr w14:val="tx1"/>
                  </w14:solidFill>
                </w14:textFill>
              </w:rPr>
              <w:t>《医疗机构水污染物排放标准》（GB18466-2005）表2中预处理标准，氨氮、总磷达到《污水排入城市下水道水质标准》（GB/T31962-2015）表1中A级标准</w:t>
            </w:r>
            <w:r>
              <w:rPr>
                <w:color w:val="000000" w:themeColor="text1"/>
                <w:kern w:val="0"/>
                <w:sz w:val="24"/>
                <w14:textFill>
                  <w14:solidFill>
                    <w14:schemeClr w14:val="tx1"/>
                  </w14:solidFill>
                </w14:textFill>
              </w:rPr>
              <w:t>。</w:t>
            </w:r>
          </w:p>
          <w:p>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2.5废水进入宣汉县城市生活污水处理厂可行性分析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根据现场调查，项目所在地位于</w:t>
            </w:r>
            <w:r>
              <w:rPr>
                <w:rFonts w:hint="eastAsia"/>
                <w:color w:val="000000" w:themeColor="text1"/>
                <w:sz w:val="24"/>
                <w14:textFill>
                  <w14:solidFill>
                    <w14:schemeClr w14:val="tx1"/>
                  </w14:solidFill>
                </w14:textFill>
              </w:rPr>
              <w:t>宣汉县城市生活污水处理厂</w:t>
            </w:r>
            <w:r>
              <w:rPr>
                <w:color w:val="000000" w:themeColor="text1"/>
                <w:sz w:val="24"/>
                <w14:textFill>
                  <w14:solidFill>
                    <w14:schemeClr w14:val="tx1"/>
                  </w14:solidFill>
                </w14:textFill>
              </w:rPr>
              <w:t>管网服务范围区域，目前管网已建设到紧邻本项目的城市道路，本项目建成后，废水可接入市政污水管网，进入</w:t>
            </w:r>
            <w:r>
              <w:rPr>
                <w:rFonts w:hint="eastAsia"/>
                <w:color w:val="000000" w:themeColor="text1"/>
                <w:sz w:val="24"/>
                <w14:textFill>
                  <w14:solidFill>
                    <w14:schemeClr w14:val="tx1"/>
                  </w14:solidFill>
                </w14:textFill>
              </w:rPr>
              <w:t>宣汉县城市生活污水处理厂</w:t>
            </w:r>
            <w:r>
              <w:rPr>
                <w:color w:val="000000" w:themeColor="text1"/>
                <w:sz w:val="24"/>
                <w14:textFill>
                  <w14:solidFill>
                    <w14:schemeClr w14:val="tx1"/>
                  </w14:solidFill>
                </w14:textFill>
              </w:rPr>
              <w:t>处理达标后排入</w:t>
            </w:r>
            <w:r>
              <w:rPr>
                <w:rFonts w:hint="eastAsia"/>
                <w:color w:val="000000" w:themeColor="text1"/>
                <w:sz w:val="24"/>
                <w14:textFill>
                  <w14:solidFill>
                    <w14:schemeClr w14:val="tx1"/>
                  </w14:solidFill>
                </w14:textFill>
              </w:rPr>
              <w:t>州河</w:t>
            </w:r>
            <w:r>
              <w:rPr>
                <w:color w:val="000000" w:themeColor="text1"/>
                <w:sz w:val="24"/>
                <w14:textFill>
                  <w14:solidFill>
                    <w14:schemeClr w14:val="tx1"/>
                  </w14:solidFill>
                </w14:textFill>
              </w:rPr>
              <w:t>。</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宣汉县城市生活污水处理厂一期日处理规模2.5万m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/d，采用ICEAS工艺，2018年进行污水处理厂提标改造及二期工程，项目改扩建完成后，宣汉县城市生活污水处理厂处理总能力为5.0万m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/d，污水经处理达到《城镇污水处理厂污染物排放标准》（GB18918-2002）一级标准的A类标准后排入州河。</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目前，宣汉县污水处理厂的污水处理负荷约为4.65万m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/d，尚余有0.35万m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/d的处理能力，本项目废水排放量为</w:t>
            </w:r>
            <w:r>
              <w:rPr>
                <w:rFonts w:hint="eastAsia"/>
                <w:b w:val="0"/>
                <w:bCs w:val="0"/>
                <w:color w:val="000000" w:themeColor="text1"/>
                <w:sz w:val="24"/>
                <w:lang w:eastAsia="zh-CN"/>
                <w14:textFill>
                  <w14:solidFill>
                    <w14:schemeClr w14:val="tx1"/>
                  </w14:solidFill>
                </w14:textFill>
              </w:rPr>
              <w:t>329.72</w:t>
            </w:r>
            <w:r>
              <w:rPr>
                <w:rFonts w:hint="eastAsia"/>
                <w:color w:val="000000" w:themeColor="text1"/>
                <w:sz w:val="24"/>
                <w:highlight w:val="none"/>
                <w:lang w:val="en-US" w:eastAsia="zh-CN"/>
                <w14:textFill>
                  <w14:solidFill>
                    <w14:schemeClr w14:val="tx1"/>
                  </w14:solidFill>
                </w14:textFill>
              </w:rPr>
              <w:t>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/d，</w:t>
            </w:r>
            <w:r>
              <w:rPr>
                <w:b w:val="0"/>
                <w:bCs w:val="0"/>
                <w:color w:val="000000" w:themeColor="text1"/>
                <w:sz w:val="24"/>
                <w14:textFill>
                  <w14:solidFill>
                    <w14:schemeClr w14:val="tx1"/>
                  </w14:solidFill>
                </w14:textFill>
              </w:rPr>
              <w:t>仅占污水厂的污染负荷约</w:t>
            </w:r>
            <w:r>
              <w:rPr>
                <w:rFonts w:hint="eastAsia"/>
                <w:b w:val="0"/>
                <w:bCs w:val="0"/>
                <w:color w:val="000000" w:themeColor="text1"/>
                <w:sz w:val="24"/>
                <w:lang w:val="en-US" w:eastAsia="zh-CN"/>
                <w14:textFill>
                  <w14:solidFill>
                    <w14:schemeClr w14:val="tx1"/>
                  </w14:solidFill>
                </w14:textFill>
              </w:rPr>
              <w:t>0.66</w:t>
            </w:r>
            <w:r>
              <w:rPr>
                <w:b w:val="0"/>
                <w:bCs w:val="0"/>
                <w:color w:val="000000" w:themeColor="text1"/>
                <w:sz w:val="24"/>
                <w14:textFill>
                  <w14:solidFill>
                    <w14:schemeClr w14:val="tx1"/>
                  </w14:solidFill>
                </w14:textFill>
              </w:rPr>
              <w:t>%，</w:t>
            </w:r>
            <w:r>
              <w:rPr>
                <w:color w:val="000000" w:themeColor="text1"/>
                <w:sz w:val="24"/>
                <w14:textFill>
                  <w14:solidFill>
                    <w14:schemeClr w14:val="tx1"/>
                  </w14:solidFill>
                </w14:textFill>
              </w:rPr>
              <w:t>进水水质均能满足</w:t>
            </w:r>
            <w:r>
              <w:rPr>
                <w:rFonts w:hint="eastAsia"/>
                <w:color w:val="000000" w:themeColor="text1"/>
                <w:sz w:val="24"/>
                <w14:textFill>
                  <w14:solidFill>
                    <w14:schemeClr w14:val="tx1"/>
                  </w14:solidFill>
                </w14:textFill>
              </w:rPr>
              <w:t>宣汉县城市生活污水处理厂</w:t>
            </w:r>
            <w:r>
              <w:rPr>
                <w:color w:val="000000" w:themeColor="text1"/>
                <w:sz w:val="24"/>
                <w14:textFill>
                  <w14:solidFill>
                    <w14:schemeClr w14:val="tx1"/>
                  </w14:solidFill>
                </w14:textFill>
              </w:rPr>
              <w:t>进水水质，</w:t>
            </w:r>
            <w:r>
              <w:rPr>
                <w:rFonts w:hint="eastAsia"/>
                <w:color w:val="000000" w:themeColor="text1"/>
                <w:sz w:val="24"/>
                <w14:textFill>
                  <w14:solidFill>
                    <w14:schemeClr w14:val="tx1"/>
                  </w14:solidFill>
                </w14:textFill>
              </w:rPr>
              <w:t>且</w:t>
            </w:r>
            <w:r>
              <w:rPr>
                <w:color w:val="000000" w:themeColor="text1"/>
                <w:sz w:val="24"/>
                <w14:textFill>
                  <w14:solidFill>
                    <w14:schemeClr w14:val="tx1"/>
                  </w14:solidFill>
                </w14:textFill>
              </w:rPr>
              <w:t>医疗废水可生化性强，不会对污水厂稳定运行产生不良影响。</w:t>
            </w:r>
            <w:r>
              <w:rPr>
                <w:rFonts w:hint="eastAsia"/>
                <w:color w:val="000000" w:themeColor="text1"/>
                <w:sz w:val="24"/>
                <w14:textFill>
                  <w14:solidFill>
                    <w14:schemeClr w14:val="tx1"/>
                  </w14:solidFill>
                </w14:textFill>
              </w:rPr>
              <w:t>因此，项目污水经预处理后进入宣汉县城市生活污水处理厂处理是可行的。</w:t>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综上，本项目营运期污水处理措施是可行的</w:t>
            </w:r>
            <w:r>
              <w:rPr>
                <w:rFonts w:hint="eastAsia"/>
                <w:color w:val="000000" w:themeColor="text1"/>
                <w:sz w:val="24"/>
                <w14:textFill>
                  <w14:solidFill>
                    <w14:schemeClr w14:val="tx1"/>
                  </w14:solidFill>
                </w14:textFill>
              </w:rPr>
              <w:t>。</w:t>
            </w:r>
          </w:p>
          <w:p>
            <w:pPr>
              <w:numPr>
                <w:ilvl w:val="0"/>
                <w:numId w:val="17"/>
              </w:num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噪声</w:t>
            </w:r>
          </w:p>
          <w:p>
            <w:pPr>
              <w:numPr>
                <w:ilvl w:val="0"/>
                <w:numId w:val="21"/>
              </w:numPr>
              <w:snapToGrid w:val="0"/>
              <w:spacing w:line="360" w:lineRule="auto"/>
              <w:ind w:firstLine="48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噪声源强及降噪措施</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营运期噪声源主要为设备噪声、交通噪声以及就诊人员流动产生的社会噪声，其中设备噪声主要来至电机、风机、真空泵、空压机、中央空调等，本项目营运期噪声值在60~95dB（A）之间。本项目营运期主要噪声源强统计见下表。</w:t>
            </w:r>
          </w:p>
          <w:p>
            <w:pPr>
              <w:numPr>
                <w:ilvl w:val="0"/>
                <w:numId w:val="14"/>
              </w:numPr>
              <w:spacing w:line="36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本项目营运期主要噪声源强</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1238"/>
              <w:gridCol w:w="1115"/>
              <w:gridCol w:w="1257"/>
              <w:gridCol w:w="1099"/>
              <w:gridCol w:w="2269"/>
              <w:gridCol w:w="14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34" w:hRule="atLeast"/>
                <w:jc w:val="center"/>
              </w:trPr>
              <w:tc>
                <w:tcPr>
                  <w:tcW w:w="1238"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噪声源</w:t>
                  </w:r>
                </w:p>
              </w:tc>
              <w:tc>
                <w:tcPr>
                  <w:tcW w:w="1115"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设备</w:t>
                  </w:r>
                </w:p>
              </w:tc>
              <w:tc>
                <w:tcPr>
                  <w:tcW w:w="1257"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源强</w:t>
                  </w:r>
                  <w:r>
                    <w:rPr>
                      <w:rFonts w:hint="eastAsia"/>
                      <w:bCs/>
                      <w:color w:val="000000" w:themeColor="text1"/>
                      <w:kern w:val="0"/>
                      <w:szCs w:val="21"/>
                      <w:lang w:eastAsia="en-US"/>
                      <w14:textFill>
                        <w14:solidFill>
                          <w14:schemeClr w14:val="tx1"/>
                        </w14:solidFill>
                      </w14:textFill>
                    </w:rPr>
                    <w:t>dB（A）</w:t>
                  </w:r>
                </w:p>
              </w:tc>
              <w:tc>
                <w:tcPr>
                  <w:tcW w:w="1099"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建设位置</w:t>
                  </w:r>
                </w:p>
              </w:tc>
              <w:tc>
                <w:tcPr>
                  <w:tcW w:w="2269"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处理措施要求</w:t>
                  </w:r>
                </w:p>
              </w:tc>
              <w:tc>
                <w:tcPr>
                  <w:tcW w:w="1420"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18" w:hRule="atLeast"/>
                <w:jc w:val="center"/>
              </w:trPr>
              <w:tc>
                <w:tcPr>
                  <w:tcW w:w="1238"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电梯机房</w:t>
                  </w:r>
                </w:p>
              </w:tc>
              <w:tc>
                <w:tcPr>
                  <w:tcW w:w="1115"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电机等</w:t>
                  </w:r>
                </w:p>
              </w:tc>
              <w:tc>
                <w:tcPr>
                  <w:tcW w:w="1257"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70</w:t>
                  </w:r>
                </w:p>
              </w:tc>
              <w:tc>
                <w:tcPr>
                  <w:tcW w:w="1099"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楼顶</w:t>
                  </w:r>
                </w:p>
              </w:tc>
              <w:tc>
                <w:tcPr>
                  <w:tcW w:w="2269"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室内放置、减震、地埋室内放置</w:t>
                  </w:r>
                </w:p>
              </w:tc>
              <w:tc>
                <w:tcPr>
                  <w:tcW w:w="1420" w:type="dxa"/>
                  <w:vMerge w:val="restart"/>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设备噪声、间断排放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18" w:hRule="atLeast"/>
                <w:jc w:val="center"/>
              </w:trPr>
              <w:tc>
                <w:tcPr>
                  <w:tcW w:w="1238"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通风机房</w:t>
                  </w:r>
                </w:p>
              </w:tc>
              <w:tc>
                <w:tcPr>
                  <w:tcW w:w="1115"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风机等</w:t>
                  </w:r>
                </w:p>
              </w:tc>
              <w:tc>
                <w:tcPr>
                  <w:tcW w:w="1257"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85</w:t>
                  </w:r>
                </w:p>
              </w:tc>
              <w:tc>
                <w:tcPr>
                  <w:tcW w:w="1099"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设备间</w:t>
                  </w:r>
                </w:p>
              </w:tc>
              <w:tc>
                <w:tcPr>
                  <w:tcW w:w="2269"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消声器</w:t>
                  </w:r>
                </w:p>
              </w:tc>
              <w:tc>
                <w:tcPr>
                  <w:tcW w:w="1420" w:type="dxa"/>
                  <w:vMerge w:val="continue"/>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18" w:hRule="atLeast"/>
                <w:jc w:val="center"/>
              </w:trPr>
              <w:tc>
                <w:tcPr>
                  <w:tcW w:w="1238"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配电房</w:t>
                  </w:r>
                </w:p>
              </w:tc>
              <w:tc>
                <w:tcPr>
                  <w:tcW w:w="1115"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配电设备</w:t>
                  </w:r>
                </w:p>
              </w:tc>
              <w:tc>
                <w:tcPr>
                  <w:tcW w:w="1257"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95</w:t>
                  </w:r>
                </w:p>
              </w:tc>
              <w:tc>
                <w:tcPr>
                  <w:tcW w:w="1099"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设备间</w:t>
                  </w:r>
                </w:p>
              </w:tc>
              <w:tc>
                <w:tcPr>
                  <w:tcW w:w="2269"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地下室内放置、减震、消声</w:t>
                  </w:r>
                </w:p>
              </w:tc>
              <w:tc>
                <w:tcPr>
                  <w:tcW w:w="1420"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设备噪声、连续排放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18" w:hRule="atLeast"/>
                <w:jc w:val="center"/>
              </w:trPr>
              <w:tc>
                <w:tcPr>
                  <w:tcW w:w="1238" w:type="dxa"/>
                  <w:vMerge w:val="restart"/>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中央空调</w:t>
                  </w:r>
                </w:p>
              </w:tc>
              <w:tc>
                <w:tcPr>
                  <w:tcW w:w="1115"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空调机组</w:t>
                  </w:r>
                </w:p>
              </w:tc>
              <w:tc>
                <w:tcPr>
                  <w:tcW w:w="1257"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80</w:t>
                  </w:r>
                </w:p>
              </w:tc>
              <w:tc>
                <w:tcPr>
                  <w:tcW w:w="1099"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各楼层设备间</w:t>
                  </w:r>
                </w:p>
              </w:tc>
              <w:tc>
                <w:tcPr>
                  <w:tcW w:w="2269"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设置隔声间、基础减震、定期维护、消声器</w:t>
                  </w:r>
                </w:p>
              </w:tc>
              <w:tc>
                <w:tcPr>
                  <w:tcW w:w="1420" w:type="dxa"/>
                  <w:vMerge w:val="restart"/>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设备噪声、夏冬季排放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620" w:hRule="atLeast"/>
                <w:jc w:val="center"/>
              </w:trPr>
              <w:tc>
                <w:tcPr>
                  <w:tcW w:w="1238" w:type="dxa"/>
                  <w:vMerge w:val="continue"/>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p>
              </w:tc>
              <w:tc>
                <w:tcPr>
                  <w:tcW w:w="1115"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冷却塔</w:t>
                  </w:r>
                </w:p>
              </w:tc>
              <w:tc>
                <w:tcPr>
                  <w:tcW w:w="1257"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95</w:t>
                  </w:r>
                </w:p>
              </w:tc>
              <w:tc>
                <w:tcPr>
                  <w:tcW w:w="1099"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各楼层设备间</w:t>
                  </w:r>
                </w:p>
              </w:tc>
              <w:tc>
                <w:tcPr>
                  <w:tcW w:w="2269"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选用低噪声设备、设置隔声间、在中央空调冷却塔脚座、压缩机与地面间安装阻尼弹簧减振器并作加固处理</w:t>
                  </w:r>
                </w:p>
              </w:tc>
              <w:tc>
                <w:tcPr>
                  <w:tcW w:w="1420" w:type="dxa"/>
                  <w:vMerge w:val="continue"/>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41" w:hRule="atLeast"/>
                <w:jc w:val="center"/>
              </w:trPr>
              <w:tc>
                <w:tcPr>
                  <w:tcW w:w="1238"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运输道路、地面停车场</w:t>
                  </w:r>
                </w:p>
              </w:tc>
              <w:tc>
                <w:tcPr>
                  <w:tcW w:w="1115"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汽车</w:t>
                  </w:r>
                </w:p>
              </w:tc>
              <w:tc>
                <w:tcPr>
                  <w:tcW w:w="1257"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60~85</w:t>
                  </w:r>
                </w:p>
              </w:tc>
              <w:tc>
                <w:tcPr>
                  <w:tcW w:w="1099"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运输道路、地面停车场</w:t>
                  </w:r>
                </w:p>
              </w:tc>
              <w:tc>
                <w:tcPr>
                  <w:tcW w:w="2269"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加强管理</w:t>
                  </w:r>
                </w:p>
              </w:tc>
              <w:tc>
                <w:tcPr>
                  <w:tcW w:w="1420" w:type="dxa"/>
                  <w:tcBorders>
                    <w:tl2br w:val="nil"/>
                    <w:tr2bl w:val="nil"/>
                  </w:tcBorders>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交通噪声</w:t>
                  </w:r>
                </w:p>
              </w:tc>
            </w:tr>
          </w:tbl>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为了进一步降低营运期噪声对周围环境的影响，本项目还可以采取以下降噪措施：</w:t>
            </w:r>
          </w:p>
          <w:p>
            <w:pPr>
              <w:numPr>
                <w:ilvl w:val="0"/>
                <w:numId w:val="22"/>
              </w:num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选用低噪声设备，在选型上使用国内外先讲的低噪声设备。</w:t>
            </w:r>
          </w:p>
          <w:p>
            <w:pPr>
              <w:numPr>
                <w:ilvl w:val="0"/>
                <w:numId w:val="22"/>
              </w:num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合理布置噪声源，将真空泵、空压机、风机等动力设备布置在设备房内。</w:t>
            </w:r>
          </w:p>
          <w:p>
            <w:pPr>
              <w:numPr>
                <w:ilvl w:val="0"/>
                <w:numId w:val="22"/>
              </w:num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基座减振，在中央空调冷却塔脚座、压缩机与地面间安装阻尼弹簧减振器并作加固处理。</w:t>
            </w:r>
          </w:p>
          <w:p>
            <w:pPr>
              <w:numPr>
                <w:ilvl w:val="0"/>
                <w:numId w:val="22"/>
              </w:num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隔声削减，中央空调、压缩机、风机加装隔声罩，并在布置区域四周设置隔声屏障。</w:t>
            </w:r>
          </w:p>
          <w:p>
            <w:pPr>
              <w:numPr>
                <w:ilvl w:val="0"/>
                <w:numId w:val="22"/>
              </w:num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加强管理，医疗综合楼内过道、大厅以及主要人员流动处，设置“禁止喧哗”、“保持安静”和“静”等标志。</w:t>
            </w:r>
          </w:p>
          <w:p>
            <w:pPr>
              <w:numPr>
                <w:ilvl w:val="0"/>
                <w:numId w:val="22"/>
              </w:num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交通噪声，项目住院综合周边设置地面停车场，停车场来往车辆将产生交通噪声，对区域噪声贡献较大，其主要控制措施如下：</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①预留救护车通道，使救护车进出畅通，驶入停车场的车辆不得怠速停车，并使车辆进出畅通，消除车辆在医院发生阻塞道路、鸣笛现象的可能。</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②同时规范管理院内地面区域，尽量减少区内机动车停车数量，减少机动车噪声对医院及周边环境的影响。</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③为避免救护车出入对周边居民的影响，评价要求救护车进出医院时，禁止启用警报器，避免对周边住户的休息产生干扰。</w:t>
            </w:r>
          </w:p>
          <w:p>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（2）噪声预测</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预测计算方法</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利用噪声衰减模式计算出各个不同位置的噪声源强对不同监测点的贡献值，然后将每个监测点的噪声贡献值叠加即得到本工程噪声源对各监测点的噪声贡献值，最后与监测点的噪声本底监测值叠加，得到各监测点的预测值。</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考虑到对保护环境有利，采用噪声衰减模式和多源叠加模式。</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w:t>
            </w:r>
            <w:r>
              <w:rPr>
                <w:color w:val="000000" w:themeColor="text1"/>
                <w:sz w:val="24"/>
                <w14:textFill>
                  <w14:solidFill>
                    <w14:schemeClr w14:val="tx1"/>
                  </w14:solidFill>
                </w14:textFill>
              </w:rPr>
              <w:t>噪声衰减模式</w:t>
            </w:r>
          </w:p>
          <w:p>
            <w:pPr>
              <w:spacing w:line="360" w:lineRule="auto"/>
              <w:jc w:val="center"/>
              <w:rPr>
                <w:color w:val="000000" w:themeColor="text1"/>
                <w:sz w:val="24"/>
                <w14:textFill>
                  <w14:solidFill>
                    <w14:schemeClr w14:val="tx1"/>
                  </w14:solidFill>
                </w14:textFill>
              </w:rPr>
            </w:pPr>
            <w:r>
              <w:rPr>
                <w:color w:val="000000" w:themeColor="text1"/>
                <w:position w:val="-10"/>
                <w:sz w:val="24"/>
                <w14:textFill>
                  <w14:solidFill>
                    <w14:schemeClr w14:val="tx1"/>
                  </w14:solidFill>
                </w14:textFill>
              </w:rPr>
              <w:object>
                <v:shape id="_x0000_i1025" o:spt="75" type="#_x0000_t75" style="height:21.3pt;width:130.25pt;" o:ole="t" filled="f" o:preferrelative="t" stroked="f" coordsize="21600,21600">
                  <v:path/>
                  <v:fill on="f" focussize="0,0"/>
                  <v:stroke on="f" joinstyle="miter"/>
                  <v:imagedata r:id="rId19" o:title=""/>
                  <o:lock v:ext="edit" aspectratio="t"/>
                  <w10:wrap type="none"/>
                  <w10:anchorlock/>
                </v:shape>
                <o:OLEObject Type="Embed" ProgID="Equation.KSEE3" ShapeID="_x0000_i1025" DrawAspect="Content" ObjectID="_1468075725" r:id="rId18">
                  <o:LockedField>false</o:LockedField>
                </o:OLEObject>
              </w:objec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式中：Lp——距离声源r米处的声压级；</w:t>
            </w:r>
          </w:p>
          <w:p>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Lw——声源声功率级；</w:t>
            </w:r>
          </w:p>
          <w:p>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R——距离声源中心的距离；</w:t>
            </w:r>
          </w:p>
          <w:p>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K——修正值。</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对于同一声源可知r1和r2处声压级L1和L2间关系为：</w:t>
            </w:r>
          </w:p>
          <w:p>
            <w:pPr>
              <w:spacing w:line="360" w:lineRule="auto"/>
              <w:jc w:val="center"/>
              <w:rPr>
                <w:rStyle w:val="35"/>
                <w:rFonts w:cs="Times New Roman"/>
                <w:color w:val="000000" w:themeColor="text1"/>
                <w14:textFill>
                  <w14:solidFill>
                    <w14:schemeClr w14:val="tx1"/>
                  </w14:solidFill>
                </w14:textFill>
              </w:rPr>
            </w:pPr>
            <w:r>
              <w:rPr>
                <w:color w:val="000000" w:themeColor="text1"/>
                <w:position w:val="-10"/>
                <w:sz w:val="24"/>
                <w14:textFill>
                  <w14:solidFill>
                    <w14:schemeClr w14:val="tx1"/>
                  </w14:solidFill>
                </w14:textFill>
              </w:rPr>
              <w:object>
                <v:shape id="_x0000_i1026" o:spt="75" type="#_x0000_t75" style="height:21.9pt;width:127.75pt;" o:ole="t" filled="f" o:preferrelative="t" stroked="f" coordsize="21600,21600">
                  <v:path/>
                  <v:fill on="f" focussize="0,0"/>
                  <v:stroke on="f" joinstyle="miter"/>
                  <v:imagedata r:id="rId21" o:title=""/>
                  <o:lock v:ext="edit" aspectratio="t"/>
                  <w10:wrap type="none"/>
                  <w10:anchorlock/>
                </v:shape>
                <o:OLEObject Type="Embed" ProgID="Equation.KSEE3" ShapeID="_x0000_i1026" DrawAspect="Content" ObjectID="_1468075726" r:id="rId20">
                  <o:LockedField>false</o:LockedField>
                </o:OLEObject>
              </w:objec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w:t>
            </w:r>
            <w:r>
              <w:rPr>
                <w:color w:val="000000" w:themeColor="text1"/>
                <w:sz w:val="24"/>
                <w14:textFill>
                  <w14:solidFill>
                    <w14:schemeClr w14:val="tx1"/>
                  </w14:solidFill>
                </w14:textFill>
              </w:rPr>
              <w:t>多源叠加模式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在预测过程中，根据实际情况把各具体复杂的噪声源简化为点声源进行计算，再将其计算结果与本底进行能量叠加，得到该处噪声预测值。</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对于任何一个预测点，其总噪声效应是多个叠加声级（即各声源分别在该点的贡献值L2和本底噪声值）的能量总和，其计算式如下：</w:t>
            </w:r>
          </w:p>
          <w:p>
            <w:pPr>
              <w:spacing w:line="360" w:lineRule="auto"/>
              <w:jc w:val="center"/>
              <w:rPr>
                <w:color w:val="000000" w:themeColor="text1"/>
                <w:sz w:val="24"/>
                <w14:textFill>
                  <w14:solidFill>
                    <w14:schemeClr w14:val="tx1"/>
                  </w14:solidFill>
                </w14:textFill>
              </w:rPr>
            </w:pPr>
            <w:r>
              <w:rPr>
                <w:color w:val="000000" w:themeColor="text1"/>
                <w:position w:val="-28"/>
                <w:sz w:val="24"/>
                <w14:textFill>
                  <w14:solidFill>
                    <w14:schemeClr w14:val="tx1"/>
                  </w14:solidFill>
                </w14:textFill>
              </w:rPr>
              <w:object>
                <v:shape id="_x0000_i1027" o:spt="75" type="#_x0000_t75" style="height:41.95pt;width:120.85pt;" o:ole="t" filled="f" o:preferrelative="t" stroked="f" coordsize="21600,21600">
                  <v:path/>
                  <v:fill on="f" focussize="0,0"/>
                  <v:stroke on="f" joinstyle="miter"/>
                  <v:imagedata r:id="rId23" o:title=""/>
                  <o:lock v:ext="edit" aspectratio="t"/>
                  <w10:wrap type="none"/>
                  <w10:anchorlock/>
                </v:shape>
                <o:OLEObject Type="Embed" ProgID="Equation.KSEE3" ShapeID="_x0000_i1027" DrawAspect="Content" ObjectID="_1468075727" r:id="rId22">
                  <o:LockedField>false</o:LockedField>
                </o:OLEObject>
              </w:object>
            </w:r>
          </w:p>
          <w:p>
            <w:pPr>
              <w:spacing w:line="360" w:lineRule="auto"/>
              <w:ind w:firstLine="960" w:firstLineChars="400"/>
              <w:rPr>
                <w:color w:val="000000" w:themeColor="text1"/>
                <w:sz w:val="24"/>
                <w14:textFill>
                  <w14:solidFill>
                    <w14:schemeClr w14:val="tx1"/>
                  </w14:solidFill>
                </w14:textFill>
              </w:rPr>
            </w:pPr>
            <w:r>
              <w:rPr>
                <w:color w:val="000000" w:themeColor="text1"/>
                <w:sz w:val="24"/>
                <w14:textFill>
                  <w14:solidFill>
                    <w14:schemeClr w14:val="tx1"/>
                  </w14:solidFill>
                </w14:textFill>
              </w:rPr>
              <w:t>式中：L——某点噪声总叠加值，dB</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p>
          <w:p>
            <w:pPr>
              <w:spacing w:line="360" w:lineRule="auto"/>
              <w:ind w:firstLine="1680" w:firstLineChars="700"/>
              <w:rPr>
                <w:color w:val="000000" w:themeColor="text1"/>
                <w:sz w:val="24"/>
                <w14:textFill>
                  <w14:solidFill>
                    <w14:schemeClr w14:val="tx1"/>
                  </w14:solidFill>
                </w14:textFill>
              </w:rPr>
            </w:pPr>
            <w:r>
              <w:rPr>
                <w:color w:val="000000" w:themeColor="text1"/>
                <w:sz w:val="24"/>
                <w14:textFill>
                  <w14:solidFill>
                    <w14:schemeClr w14:val="tx1"/>
                  </w14:solidFill>
                </w14:textFill>
              </w:rPr>
              <w:t>Li——第i个声源的噪声值，dB</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p>
          <w:p>
            <w:pPr>
              <w:spacing w:line="360" w:lineRule="auto"/>
              <w:ind w:firstLine="1680" w:firstLineChars="700"/>
              <w:rPr>
                <w:color w:val="000000" w:themeColor="text1"/>
                <w:sz w:val="24"/>
                <w14:textFill>
                  <w14:solidFill>
                    <w14:schemeClr w14:val="tx1"/>
                  </w14:solidFill>
                </w14:textFill>
              </w:rPr>
            </w:pPr>
            <w:r>
              <w:rPr>
                <w:color w:val="000000" w:themeColor="text1"/>
                <w:sz w:val="24"/>
                <w14:textFill>
                  <w14:solidFill>
                    <w14:schemeClr w14:val="tx1"/>
                  </w14:solidFill>
                </w14:textFill>
              </w:rPr>
              <w:t>n——声源个数。</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预测结果分析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lang w:val="de-DE"/>
                <w14:textFill>
                  <w14:solidFill>
                    <w14:schemeClr w14:val="tx1"/>
                  </w14:solidFill>
                </w14:textFill>
              </w:rPr>
              <w:t>根据项目</w:t>
            </w:r>
            <w:r>
              <w:rPr>
                <w:rFonts w:hint="eastAsia"/>
                <w:color w:val="000000" w:themeColor="text1"/>
                <w:sz w:val="24"/>
                <w:lang w:val="de-DE"/>
                <w14:textFill>
                  <w14:solidFill>
                    <w14:schemeClr w14:val="tx1"/>
                  </w14:solidFill>
                </w14:textFill>
              </w:rPr>
              <w:t>场区</w:t>
            </w:r>
            <w:r>
              <w:rPr>
                <w:color w:val="000000" w:themeColor="text1"/>
                <w:sz w:val="24"/>
                <w:lang w:val="de-DE"/>
                <w14:textFill>
                  <w14:solidFill>
                    <w14:schemeClr w14:val="tx1"/>
                  </w14:solidFill>
                </w14:textFill>
              </w:rPr>
              <w:t>布局图和主要噪声源距离估算，并采用上述点源距离衰减模式，求出该项目主要噪声源噪声对厂界的噪声贡献值。</w:t>
            </w:r>
            <w:r>
              <w:rPr>
                <w:color w:val="000000" w:themeColor="text1"/>
                <w:sz w:val="24"/>
                <w14:textFill>
                  <w14:solidFill>
                    <w14:schemeClr w14:val="tx1"/>
                  </w14:solidFill>
                </w14:textFill>
              </w:rPr>
              <w:t>各预测点的影响值详见下表。</w:t>
            </w:r>
          </w:p>
          <w:p>
            <w:pPr>
              <w:numPr>
                <w:ilvl w:val="0"/>
                <w:numId w:val="14"/>
              </w:numPr>
              <w:spacing w:line="360" w:lineRule="auto"/>
              <w:jc w:val="center"/>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 xml:space="preserve">项目噪声预测表  </w:t>
            </w:r>
            <w:r>
              <w:rPr>
                <w:rFonts w:hint="eastAsia"/>
                <w:color w:val="000000" w:themeColor="text1"/>
                <w:sz w:val="24"/>
                <w14:textFill>
                  <w14:solidFill>
                    <w14:schemeClr w14:val="tx1"/>
                  </w14:solidFill>
                </w14:textFill>
              </w:rPr>
              <w:t xml:space="preserve">     单位：dB（A）</w:t>
            </w:r>
          </w:p>
          <w:tbl>
            <w:tblPr>
              <w:tblStyle w:val="23"/>
              <w:tblW w:w="830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16"/>
              <w:gridCol w:w="1065"/>
              <w:gridCol w:w="1065"/>
              <w:gridCol w:w="1065"/>
              <w:gridCol w:w="1065"/>
              <w:gridCol w:w="1065"/>
              <w:gridCol w:w="106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1916" w:type="dxa"/>
                  <w:vMerge w:val="restart"/>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点位</w:t>
                  </w:r>
                </w:p>
              </w:tc>
              <w:tc>
                <w:tcPr>
                  <w:tcW w:w="1065" w:type="dxa"/>
                  <w:vMerge w:val="restart"/>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贡献值</w:t>
                  </w:r>
                </w:p>
              </w:tc>
              <w:tc>
                <w:tcPr>
                  <w:tcW w:w="2130" w:type="dxa"/>
                  <w:gridSpan w:val="2"/>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本底</w:t>
                  </w:r>
                </w:p>
              </w:tc>
              <w:tc>
                <w:tcPr>
                  <w:tcW w:w="2130" w:type="dxa"/>
                  <w:gridSpan w:val="2"/>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预测</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标准值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1916" w:type="dxa"/>
                  <w:vMerge w:val="continue"/>
                  <w:tcBorders>
                    <w:tl2br w:val="nil"/>
                    <w:tr2bl w:val="nil"/>
                  </w:tcBorders>
                  <w:shd w:val="clear" w:color="auto" w:fill="auto"/>
                  <w:vAlign w:val="center"/>
                </w:tcPr>
                <w:p>
                  <w:pPr>
                    <w:jc w:val="center"/>
                    <w:rPr>
                      <w:color w:val="000000" w:themeColor="text1"/>
                      <w:szCs w:val="21"/>
                      <w14:textFill>
                        <w14:solidFill>
                          <w14:schemeClr w14:val="tx1"/>
                        </w14:solidFill>
                      </w14:textFill>
                    </w:rPr>
                  </w:pPr>
                </w:p>
              </w:tc>
              <w:tc>
                <w:tcPr>
                  <w:tcW w:w="1065" w:type="dxa"/>
                  <w:vMerge w:val="continue"/>
                  <w:tcBorders>
                    <w:tl2br w:val="nil"/>
                    <w:tr2bl w:val="nil"/>
                  </w:tcBorders>
                  <w:shd w:val="clear" w:color="auto" w:fill="auto"/>
                  <w:vAlign w:val="center"/>
                </w:tcPr>
                <w:p>
                  <w:pPr>
                    <w:jc w:val="center"/>
                    <w:rPr>
                      <w:color w:val="000000" w:themeColor="text1"/>
                      <w:szCs w:val="21"/>
                      <w14:textFill>
                        <w14:solidFill>
                          <w14:schemeClr w14:val="tx1"/>
                        </w14:solidFill>
                      </w14:textFill>
                    </w:rPr>
                  </w:pP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昼间</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夜间</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昼间</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夜间</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昼、夜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1916"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东厂界</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46.9</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65" w:type="dxa"/>
                  <w:vMerge w:val="restart"/>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1916"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南厂界</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43.6</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65" w:type="dxa"/>
                  <w:vMerge w:val="continue"/>
                  <w:tcBorders>
                    <w:tl2br w:val="nil"/>
                    <w:tr2bl w:val="nil"/>
                  </w:tcBorders>
                  <w:shd w:val="clear" w:color="auto" w:fill="auto"/>
                  <w:vAlign w:val="center"/>
                </w:tcPr>
                <w:p>
                  <w:pPr>
                    <w:jc w:val="center"/>
                    <w:rPr>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1916"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西厂界</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48.6</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65" w:type="dxa"/>
                  <w:vMerge w:val="continue"/>
                  <w:tcBorders>
                    <w:tl2br w:val="nil"/>
                    <w:tr2bl w:val="nil"/>
                  </w:tcBorders>
                  <w:shd w:val="clear" w:color="auto" w:fill="auto"/>
                  <w:vAlign w:val="center"/>
                </w:tcPr>
                <w:p>
                  <w:pPr>
                    <w:jc w:val="center"/>
                    <w:rPr>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1916" w:type="dxa"/>
                  <w:tcBorders>
                    <w:tl2br w:val="nil"/>
                    <w:tr2bl w:val="nil"/>
                  </w:tcBorders>
                  <w:shd w:val="clear" w:color="auto" w:fill="auto"/>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北厂界</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42.9</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065" w:type="dxa"/>
                  <w:vMerge w:val="continue"/>
                  <w:tcBorders>
                    <w:tl2br w:val="nil"/>
                    <w:tr2bl w:val="nil"/>
                  </w:tcBorders>
                  <w:shd w:val="clear" w:color="auto" w:fill="auto"/>
                  <w:vAlign w:val="center"/>
                </w:tcPr>
                <w:p>
                  <w:pPr>
                    <w:jc w:val="center"/>
                    <w:rPr>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1916" w:type="dxa"/>
                  <w:tcBorders>
                    <w:tl2br w:val="nil"/>
                    <w:tr2bl w:val="nil"/>
                  </w:tcBorders>
                  <w:shd w:val="clear" w:color="auto" w:fill="auto"/>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南厂界外敏感点</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35.5</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53.5</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41.0</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53.6</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42.1</w:t>
                  </w:r>
                </w:p>
              </w:tc>
              <w:tc>
                <w:tcPr>
                  <w:tcW w:w="1065" w:type="dxa"/>
                  <w:vMerge w:val="continue"/>
                  <w:tcBorders>
                    <w:tl2br w:val="nil"/>
                    <w:tr2bl w:val="nil"/>
                  </w:tcBorders>
                  <w:shd w:val="clear" w:color="auto" w:fill="auto"/>
                  <w:noWrap/>
                  <w:vAlign w:val="center"/>
                </w:tcPr>
                <w:p>
                  <w:pPr>
                    <w:jc w:val="center"/>
                    <w:rPr>
                      <w:color w:val="000000" w:themeColor="text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1" w:hRule="atLeast"/>
                <w:jc w:val="center"/>
              </w:trPr>
              <w:tc>
                <w:tcPr>
                  <w:tcW w:w="1916" w:type="dxa"/>
                  <w:tcBorders>
                    <w:tl2br w:val="nil"/>
                    <w:tr2bl w:val="nil"/>
                  </w:tcBorders>
                  <w:shd w:val="clear" w:color="auto" w:fill="auto"/>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西北厂界外敏感点</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32.9</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53.5</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43.5</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53.5</w:t>
                  </w:r>
                </w:p>
              </w:tc>
              <w:tc>
                <w:tcPr>
                  <w:tcW w:w="1065"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43.9</w:t>
                  </w:r>
                </w:p>
              </w:tc>
              <w:tc>
                <w:tcPr>
                  <w:tcW w:w="1065" w:type="dxa"/>
                  <w:vMerge w:val="continue"/>
                  <w:tcBorders>
                    <w:tl2br w:val="nil"/>
                    <w:tr2bl w:val="nil"/>
                  </w:tcBorders>
                  <w:shd w:val="clear" w:color="auto" w:fill="auto"/>
                  <w:noWrap/>
                  <w:vAlign w:val="center"/>
                </w:tcPr>
                <w:p>
                  <w:pPr>
                    <w:jc w:val="center"/>
                    <w:rPr>
                      <w:color w:val="000000" w:themeColor="text1"/>
                      <w:szCs w:val="21"/>
                      <w14:textFill>
                        <w14:solidFill>
                          <w14:schemeClr w14:val="tx1"/>
                        </w14:solidFill>
                      </w14:textFill>
                    </w:rPr>
                  </w:pPr>
                </w:p>
              </w:tc>
            </w:tr>
          </w:tbl>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根据上表可</w:t>
            </w:r>
            <w:r>
              <w:rPr>
                <w:rFonts w:hint="eastAsia"/>
                <w:color w:val="000000" w:themeColor="text1"/>
                <w:sz w:val="24"/>
                <w14:textFill>
                  <w14:solidFill>
                    <w14:schemeClr w14:val="tx1"/>
                  </w14:solidFill>
                </w14:textFill>
              </w:rPr>
              <w:t>知</w:t>
            </w:r>
            <w:r>
              <w:rPr>
                <w:color w:val="000000" w:themeColor="text1"/>
                <w:sz w:val="24"/>
                <w14:textFill>
                  <w14:solidFill>
                    <w14:schemeClr w14:val="tx1"/>
                  </w14:solidFill>
                </w14:textFill>
              </w:rPr>
              <w:t>，本项目厂界噪声贡献值均达到《工业企业厂界环境噪声排放标准》（GB12348-2008）的</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类标准限值要求</w:t>
            </w:r>
            <w:r>
              <w:rPr>
                <w:rFonts w:hint="eastAsia"/>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周边敏感点处噪声预测值</w:t>
            </w:r>
            <w:r>
              <w:rPr>
                <w:rFonts w:hAnsi="宋体"/>
                <w:color w:val="000000" w:themeColor="text1"/>
                <w:sz w:val="24"/>
                <w14:textFill>
                  <w14:solidFill>
                    <w14:schemeClr w14:val="tx1"/>
                  </w14:solidFill>
                </w14:textFill>
              </w:rPr>
              <w:t>满足</w:t>
            </w:r>
            <w:r>
              <w:rPr>
                <w:rFonts w:hint="eastAsia" w:hAnsi="宋体"/>
                <w:color w:val="000000" w:themeColor="text1"/>
                <w:sz w:val="24"/>
                <w14:textFill>
                  <w14:solidFill>
                    <w14:schemeClr w14:val="tx1"/>
                  </w14:solidFill>
                </w14:textFill>
              </w:rPr>
              <w:t>《声环境质量标准》（GB3096-2008）2类标准</w:t>
            </w:r>
            <w:r>
              <w:rPr>
                <w:rFonts w:hAnsi="宋体"/>
                <w:color w:val="000000" w:themeColor="text1"/>
                <w:sz w:val="24"/>
                <w14:textFill>
                  <w14:solidFill>
                    <w14:schemeClr w14:val="tx1"/>
                  </w14:solidFill>
                </w14:textFill>
              </w:rPr>
              <w:t>要求，</w:t>
            </w:r>
            <w:r>
              <w:rPr>
                <w:rFonts w:hint="eastAsia"/>
                <w:color w:val="000000" w:themeColor="text1"/>
                <w:sz w:val="24"/>
                <w14:textFill>
                  <w14:solidFill>
                    <w14:schemeClr w14:val="tx1"/>
                  </w14:solidFill>
                </w14:textFill>
              </w:rPr>
              <w:t>故项目噪声对声环境影响甚微。</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等值声线预测</w:t>
            </w:r>
          </w:p>
          <w:p>
            <w:pPr>
              <w:spacing w:line="360" w:lineRule="auto"/>
              <w:ind w:firstLine="480" w:firstLineChars="200"/>
              <w:rPr>
                <w:color w:val="000000" w:themeColor="text1"/>
                <w:sz w:val="24"/>
                <w:lang w:val="de-DE"/>
                <w14:textFill>
                  <w14:solidFill>
                    <w14:schemeClr w14:val="tx1"/>
                  </w14:solidFill>
                </w14:textFill>
              </w:rPr>
            </w:pPr>
            <w:r>
              <w:rPr>
                <w:color w:val="000000" w:themeColor="text1"/>
                <w:sz w:val="24"/>
                <w:lang w:val="de-DE"/>
                <w14:textFill>
                  <w14:solidFill>
                    <w14:schemeClr w14:val="tx1"/>
                  </w14:solidFill>
                </w14:textFill>
              </w:rPr>
              <w:t>预测将各噪声源叠加后作为点噪声源，在采取防噪措施情况下各评价点的噪声情况，将预测结果绘制成等</w:t>
            </w:r>
            <w:r>
              <w:rPr>
                <w:color w:val="000000" w:themeColor="text1"/>
                <w:sz w:val="24"/>
                <w14:textFill>
                  <w14:solidFill>
                    <w14:schemeClr w14:val="tx1"/>
                  </w14:solidFill>
                </w14:textFill>
              </w:rPr>
              <w:t>A声级曲线图，场地噪声贡献等声级线图见下图</w:t>
            </w:r>
            <w:r>
              <w:rPr>
                <w:color w:val="000000" w:themeColor="text1"/>
                <w:sz w:val="24"/>
                <w:lang w:val="de-DE"/>
                <w14:textFill>
                  <w14:solidFill>
                    <w14:schemeClr w14:val="tx1"/>
                  </w14:solidFill>
                </w14:textFill>
              </w:rPr>
              <w:t>。</w:t>
            </w:r>
          </w:p>
          <w:p>
            <w:pPr>
              <w:pStyle w:val="31"/>
              <w:jc w:val="center"/>
              <w:rPr>
                <w:color w:val="000000" w:themeColor="text1"/>
                <w:lang w:val="de-DE"/>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468620" cy="4905375"/>
                  <wp:effectExtent l="0" t="0" r="17780" b="9525"/>
                  <wp:docPr id="5" name="图片 5" descr="宣汉第三人民医院外迁噪声预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宣汉第三人民医院外迁噪声预测图"/>
                          <pic:cNvPicPr>
                            <a:picLocks noChangeAspect="1"/>
                          </pic:cNvPicPr>
                        </pic:nvPicPr>
                        <pic:blipFill>
                          <a:blip r:embed="rId24"/>
                          <a:stretch>
                            <a:fillRect/>
                          </a:stretch>
                        </pic:blipFill>
                        <pic:spPr>
                          <a:xfrm>
                            <a:off x="0" y="0"/>
                            <a:ext cx="5468620" cy="4905375"/>
                          </a:xfrm>
                          <a:prstGeom prst="rect">
                            <a:avLst/>
                          </a:prstGeom>
                        </pic:spPr>
                      </pic:pic>
                    </a:graphicData>
                  </a:graphic>
                </wp:inline>
              </w:drawing>
            </w:r>
          </w:p>
          <w:p>
            <w:pPr>
              <w:numPr>
                <w:ilvl w:val="0"/>
                <w:numId w:val="20"/>
              </w:numPr>
              <w:spacing w:line="360" w:lineRule="auto"/>
              <w:jc w:val="center"/>
              <w:rPr>
                <w:rFonts w:cs="宋体"/>
                <w:b/>
                <w:bCs/>
                <w:color w:val="000000" w:themeColor="text1"/>
                <w:kern w:val="0"/>
                <w:sz w:val="24"/>
                <w14:textFill>
                  <w14:solidFill>
                    <w14:schemeClr w14:val="tx1"/>
                  </w14:solidFill>
                </w14:textFill>
              </w:rPr>
            </w:pPr>
            <w:r>
              <w:rPr>
                <w:rFonts w:cs="宋体"/>
                <w:b/>
                <w:bCs/>
                <w:color w:val="000000" w:themeColor="text1"/>
                <w:kern w:val="0"/>
                <w:sz w:val="24"/>
                <w14:textFill>
                  <w14:solidFill>
                    <w14:schemeClr w14:val="tx1"/>
                  </w14:solidFill>
                </w14:textFill>
              </w:rPr>
              <w:t>项目运营</w:t>
            </w:r>
            <w:r>
              <w:rPr>
                <w:rFonts w:hint="eastAsia" w:cs="宋体"/>
                <w:b/>
                <w:bCs/>
                <w:color w:val="000000" w:themeColor="text1"/>
                <w:kern w:val="0"/>
                <w:sz w:val="24"/>
                <w14:textFill>
                  <w14:solidFill>
                    <w14:schemeClr w14:val="tx1"/>
                  </w14:solidFill>
                </w14:textFill>
              </w:rPr>
              <w:t>期等声线示意图</w:t>
            </w:r>
          </w:p>
          <w:p>
            <w:p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综上</w:t>
            </w:r>
            <w:r>
              <w:rPr>
                <w:rFonts w:hAnsi="宋体"/>
                <w:color w:val="000000" w:themeColor="text1"/>
                <w:sz w:val="24"/>
                <w14:textFill>
                  <w14:solidFill>
                    <w14:schemeClr w14:val="tx1"/>
                  </w14:solidFill>
                </w14:textFill>
              </w:rPr>
              <w:t>，本项目运营期最近敏感点</w:t>
            </w:r>
            <w:r>
              <w:rPr>
                <w:rFonts w:hint="eastAsia" w:hAnsi="宋体"/>
                <w:color w:val="000000" w:themeColor="text1"/>
                <w:sz w:val="24"/>
                <w14:textFill>
                  <w14:solidFill>
                    <w14:schemeClr w14:val="tx1"/>
                  </w14:solidFill>
                </w14:textFill>
              </w:rPr>
              <w:t>为项目南侧50~240m巴人大道廉租房惠民小区，其</w:t>
            </w:r>
            <w:r>
              <w:rPr>
                <w:rFonts w:hAnsi="宋体"/>
                <w:color w:val="000000" w:themeColor="text1"/>
                <w:sz w:val="24"/>
                <w14:textFill>
                  <w14:solidFill>
                    <w14:schemeClr w14:val="tx1"/>
                  </w14:solidFill>
                </w14:textFill>
              </w:rPr>
              <w:t>LWECPN</w:t>
            </w:r>
            <w:r>
              <w:rPr>
                <w:rFonts w:hint="eastAsia" w:hAnsi="宋体"/>
                <w:color w:val="000000" w:themeColor="text1"/>
                <w:sz w:val="24"/>
                <w14:textFill>
                  <w14:solidFill>
                    <w14:schemeClr w14:val="tx1"/>
                  </w14:solidFill>
                </w14:textFill>
              </w:rPr>
              <w:t>在40</w:t>
            </w:r>
            <w:r>
              <w:rPr>
                <w:rFonts w:hAnsi="宋体"/>
                <w:color w:val="000000" w:themeColor="text1"/>
                <w:sz w:val="24"/>
                <w14:textFill>
                  <w14:solidFill>
                    <w14:schemeClr w14:val="tx1"/>
                  </w14:solidFill>
                </w14:textFill>
              </w:rPr>
              <w:t>dB</w:t>
            </w:r>
            <w:r>
              <w:rPr>
                <w:rFonts w:hint="eastAsia" w:hAnsi="宋体"/>
                <w:color w:val="000000" w:themeColor="text1"/>
                <w:sz w:val="24"/>
                <w14:textFill>
                  <w14:solidFill>
                    <w14:schemeClr w14:val="tx1"/>
                  </w14:solidFill>
                </w14:textFill>
              </w:rPr>
              <w:t>以下，因此</w:t>
            </w:r>
            <w:r>
              <w:rPr>
                <w:rFonts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本项目厂界噪声</w:t>
            </w:r>
            <w:r>
              <w:rPr>
                <w:rFonts w:hint="eastAsia"/>
                <w:color w:val="000000" w:themeColor="text1"/>
                <w:sz w:val="24"/>
                <w14:textFill>
                  <w14:solidFill>
                    <w14:schemeClr w14:val="tx1"/>
                  </w14:solidFill>
                </w14:textFill>
              </w:rPr>
              <w:t>能</w:t>
            </w:r>
            <w:r>
              <w:rPr>
                <w:color w:val="000000" w:themeColor="text1"/>
                <w:sz w:val="24"/>
                <w14:textFill>
                  <w14:solidFill>
                    <w14:schemeClr w14:val="tx1"/>
                  </w14:solidFill>
                </w14:textFill>
              </w:rPr>
              <w:t>达到《工业企业厂界环境噪声排放标准》（GB12348-2008）的</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类标准限值要求</w:t>
            </w:r>
            <w:r>
              <w:rPr>
                <w:rFonts w:hint="eastAsia"/>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周边敏感点处噪声预测值</w:t>
            </w:r>
            <w:r>
              <w:rPr>
                <w:rFonts w:hAnsi="宋体"/>
                <w:color w:val="000000" w:themeColor="text1"/>
                <w:sz w:val="24"/>
                <w14:textFill>
                  <w14:solidFill>
                    <w14:schemeClr w14:val="tx1"/>
                  </w14:solidFill>
                </w14:textFill>
              </w:rPr>
              <w:t>满足</w:t>
            </w:r>
            <w:r>
              <w:rPr>
                <w:rFonts w:hint="eastAsia" w:hAnsi="宋体"/>
                <w:color w:val="000000" w:themeColor="text1"/>
                <w:sz w:val="24"/>
                <w14:textFill>
                  <w14:solidFill>
                    <w14:schemeClr w14:val="tx1"/>
                  </w14:solidFill>
                </w14:textFill>
              </w:rPr>
              <w:t>《声环境质量标准》（GB3096-2008）2类标准</w:t>
            </w:r>
            <w:r>
              <w:rPr>
                <w:rFonts w:hAnsi="宋体"/>
                <w:color w:val="000000" w:themeColor="text1"/>
                <w:sz w:val="24"/>
                <w14:textFill>
                  <w14:solidFill>
                    <w14:schemeClr w14:val="tx1"/>
                  </w14:solidFill>
                </w14:textFill>
              </w:rPr>
              <w:t>要求，</w:t>
            </w:r>
            <w:r>
              <w:rPr>
                <w:rFonts w:hint="eastAsia" w:hAnsi="宋体"/>
                <w:color w:val="000000" w:themeColor="text1"/>
                <w:sz w:val="24"/>
                <w14:textFill>
                  <w14:solidFill>
                    <w14:schemeClr w14:val="tx1"/>
                  </w14:solidFill>
                </w14:textFill>
              </w:rPr>
              <w:t>项目运营</w:t>
            </w:r>
            <w:r>
              <w:rPr>
                <w:rFonts w:hAnsi="宋体"/>
                <w:color w:val="000000" w:themeColor="text1"/>
                <w:sz w:val="24"/>
                <w14:textFill>
                  <w14:solidFill>
                    <w14:schemeClr w14:val="tx1"/>
                  </w14:solidFill>
                </w14:textFill>
              </w:rPr>
              <w:t>噪声对周围环境噪声影响较小。</w:t>
            </w:r>
          </w:p>
          <w:p>
            <w:pPr>
              <w:numPr>
                <w:ilvl w:val="0"/>
                <w:numId w:val="17"/>
              </w:num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固体废物</w:t>
            </w:r>
          </w:p>
          <w:p>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本项目营运期产生的固废主要有生活垃圾</w:t>
            </w:r>
            <w:r>
              <w:rPr>
                <w:rFonts w:hint="eastAsia"/>
                <w:color w:val="000000" w:themeColor="text1"/>
                <w:kern w:val="0"/>
                <w:sz w:val="24"/>
                <w14:textFill>
                  <w14:solidFill>
                    <w14:schemeClr w14:val="tx1"/>
                  </w14:solidFill>
                </w14:textFill>
              </w:rPr>
              <w:t>、未感染的输液瓶（袋）</w:t>
            </w:r>
            <w:r>
              <w:rPr>
                <w:rFonts w:hint="eastAsia"/>
                <w:color w:val="000000" w:themeColor="text1"/>
                <w:kern w:val="0"/>
                <w:sz w:val="24"/>
                <w:lang w:val="en-US" w:eastAsia="zh-CN"/>
                <w14:textFill>
                  <w14:solidFill>
                    <w14:schemeClr w14:val="tx1"/>
                  </w14:solidFill>
                </w14:textFill>
              </w:rPr>
              <w:t>等一般固废</w:t>
            </w:r>
            <w:r>
              <w:rPr>
                <w:rFonts w:hint="eastAsia"/>
                <w:color w:val="000000" w:themeColor="text1"/>
                <w:kern w:val="0"/>
                <w:sz w:val="24"/>
                <w14:textFill>
                  <w14:solidFill>
                    <w14:schemeClr w14:val="tx1"/>
                  </w14:solidFill>
                </w14:textFill>
              </w:rPr>
              <w:t>和</w:t>
            </w:r>
            <w:r>
              <w:rPr>
                <w:rFonts w:hint="eastAsia"/>
                <w:color w:val="000000" w:themeColor="text1"/>
                <w:kern w:val="0"/>
                <w:sz w:val="24"/>
                <w:lang w:val="en-US" w:eastAsia="zh-CN"/>
                <w14:textFill>
                  <w14:solidFill>
                    <w14:schemeClr w14:val="tx1"/>
                  </w14:solidFill>
                </w14:textFill>
              </w:rPr>
              <w:t>医疗废物、检验废液、污水处理站污泥等危险</w:t>
            </w:r>
            <w:r>
              <w:rPr>
                <w:color w:val="000000" w:themeColor="text1"/>
                <w:kern w:val="0"/>
                <w:sz w:val="24"/>
                <w14:textFill>
                  <w14:solidFill>
                    <w14:schemeClr w14:val="tx1"/>
                  </w14:solidFill>
                </w14:textFill>
              </w:rPr>
              <w:t>废物。</w:t>
            </w:r>
          </w:p>
          <w:p>
            <w:pPr>
              <w:numPr>
                <w:ilvl w:val="0"/>
                <w:numId w:val="0"/>
              </w:numPr>
              <w:spacing w:line="360" w:lineRule="auto"/>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4.1一般</w:t>
            </w:r>
            <w:r>
              <w:rPr>
                <w:rFonts w:hint="eastAsia"/>
                <w:b/>
                <w:color w:val="000000" w:themeColor="text1"/>
                <w:sz w:val="24"/>
                <w14:textFill>
                  <w14:solidFill>
                    <w14:schemeClr w14:val="tx1"/>
                  </w14:solidFill>
                </w14:textFill>
              </w:rPr>
              <w:t>固体废物</w:t>
            </w:r>
          </w:p>
          <w:p>
            <w:pPr>
              <w:numPr>
                <w:ilvl w:val="0"/>
                <w:numId w:val="23"/>
              </w:numPr>
              <w:spacing w:line="360" w:lineRule="auto"/>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生活垃圾</w:t>
            </w:r>
          </w:p>
          <w:p>
            <w:pPr>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根据建设单位提供资料，本项目建成后</w:t>
            </w:r>
            <w:r>
              <w:rPr>
                <w:rFonts w:hint="eastAsia"/>
                <w:color w:val="000000" w:themeColor="text1"/>
                <w:sz w:val="24"/>
                <w14:textFill>
                  <w14:solidFill>
                    <w14:schemeClr w14:val="tx1"/>
                  </w14:solidFill>
                </w14:textFill>
              </w:rPr>
              <w:t>医院职工</w:t>
            </w:r>
            <w:r>
              <w:rPr>
                <w:rFonts w:hint="eastAsia"/>
                <w:color w:val="000000" w:themeColor="text1"/>
                <w:sz w:val="24"/>
                <w:lang w:eastAsia="zh-CN"/>
                <w14:textFill>
                  <w14:solidFill>
                    <w14:schemeClr w14:val="tx1"/>
                  </w14:solidFill>
                </w14:textFill>
              </w:rPr>
              <w:t>500</w:t>
            </w:r>
            <w:r>
              <w:rPr>
                <w:rFonts w:hint="eastAsia"/>
                <w:color w:val="000000" w:themeColor="text1"/>
                <w:sz w:val="24"/>
                <w14:textFill>
                  <w14:solidFill>
                    <w14:schemeClr w14:val="tx1"/>
                  </w14:solidFill>
                </w14:textFill>
              </w:rPr>
              <w:t>人，</w:t>
            </w:r>
            <w:r>
              <w:rPr>
                <w:rFonts w:hint="eastAsia"/>
                <w:color w:val="000000" w:themeColor="text1"/>
                <w:kern w:val="0"/>
                <w:sz w:val="24"/>
                <w:lang w:bidi="ar"/>
                <w14:textFill>
                  <w14:solidFill>
                    <w14:schemeClr w14:val="tx1"/>
                  </w14:solidFill>
                </w14:textFill>
              </w:rPr>
              <w:t>编制床位400床，年接诊约12000人次，妇产科年接诊约600人次，新生儿科年接诊约300人次，则日最大接待人数为35人.次/天。</w:t>
            </w:r>
          </w:p>
          <w:p>
            <w:pPr>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职工人员生活垃圾以0.5kg/人次.d计，住院病人生活垃圾按1.0kg/床.d计，门诊病人生活垃圾按0.2kg/人次.d计，则项目生活垃圾产生量</w:t>
            </w:r>
            <w:r>
              <w:rPr>
                <w:rFonts w:hint="eastAsia"/>
                <w:color w:val="000000" w:themeColor="text1"/>
                <w:kern w:val="0"/>
                <w:sz w:val="24"/>
                <w:lang w:eastAsia="zh-CN" w:bidi="ar"/>
                <w14:textFill>
                  <w14:solidFill>
                    <w14:schemeClr w14:val="tx1"/>
                  </w14:solidFill>
                </w14:textFill>
              </w:rPr>
              <w:t>657.00</w:t>
            </w:r>
            <w:r>
              <w:rPr>
                <w:rFonts w:hint="eastAsia"/>
                <w:color w:val="000000" w:themeColor="text1"/>
                <w:kern w:val="0"/>
                <w:sz w:val="24"/>
                <w:lang w:bidi="ar"/>
                <w14:textFill>
                  <w14:solidFill>
                    <w14:schemeClr w14:val="tx1"/>
                  </w14:solidFill>
                </w14:textFill>
              </w:rPr>
              <w:t>kg/d、</w:t>
            </w:r>
            <w:r>
              <w:rPr>
                <w:rFonts w:hint="eastAsia"/>
                <w:color w:val="000000" w:themeColor="text1"/>
                <w:kern w:val="0"/>
                <w:sz w:val="24"/>
                <w:lang w:eastAsia="zh-CN" w:bidi="ar"/>
                <w14:textFill>
                  <w14:solidFill>
                    <w14:schemeClr w14:val="tx1"/>
                  </w14:solidFill>
                </w14:textFill>
              </w:rPr>
              <w:t>239.81</w:t>
            </w:r>
            <w:r>
              <w:rPr>
                <w:rFonts w:hint="eastAsia"/>
                <w:color w:val="000000" w:themeColor="text1"/>
                <w:kern w:val="0"/>
                <w:sz w:val="24"/>
                <w:lang w:bidi="ar"/>
                <w14:textFill>
                  <w14:solidFill>
                    <w14:schemeClr w14:val="tx1"/>
                  </w14:solidFill>
                </w14:textFill>
              </w:rPr>
              <w:t>t/a。</w:t>
            </w:r>
          </w:p>
          <w:p>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lang w:bidi="ar"/>
                <w14:textFill>
                  <w14:solidFill>
                    <w14:schemeClr w14:val="tx1"/>
                  </w14:solidFill>
                </w14:textFill>
              </w:rPr>
              <w:t>生活垃圾经统一收集后交由当地环卫部门定期清运处置。</w:t>
            </w:r>
            <w:r>
              <w:rPr>
                <w:color w:val="000000" w:themeColor="text1"/>
                <w:kern w:val="0"/>
                <w:sz w:val="24"/>
                <w14:textFill>
                  <w14:solidFill>
                    <w14:schemeClr w14:val="tx1"/>
                  </w14:solidFill>
                </w14:textFill>
              </w:rPr>
              <w:t>本</w:t>
            </w:r>
            <w:r>
              <w:rPr>
                <w:rFonts w:hint="eastAsia"/>
                <w:color w:val="000000" w:themeColor="text1"/>
                <w:kern w:val="0"/>
                <w:sz w:val="24"/>
                <w14:textFill>
                  <w14:solidFill>
                    <w14:schemeClr w14:val="tx1"/>
                  </w14:solidFill>
                </w14:textFill>
              </w:rPr>
              <w:t>项目</w:t>
            </w:r>
            <w:r>
              <w:rPr>
                <w:color w:val="000000" w:themeColor="text1"/>
                <w:kern w:val="0"/>
                <w:sz w:val="24"/>
                <w14:textFill>
                  <w14:solidFill>
                    <w14:schemeClr w14:val="tx1"/>
                  </w14:solidFill>
                </w14:textFill>
              </w:rPr>
              <w:t>生活垃圾产生情况详见</w:t>
            </w:r>
            <w:r>
              <w:rPr>
                <w:rFonts w:hint="eastAsia"/>
                <w:color w:val="000000" w:themeColor="text1"/>
                <w:kern w:val="0"/>
                <w:sz w:val="24"/>
                <w14:textFill>
                  <w14:solidFill>
                    <w14:schemeClr w14:val="tx1"/>
                  </w14:solidFill>
                </w14:textFill>
              </w:rPr>
              <w:t>下</w:t>
            </w:r>
            <w:r>
              <w:rPr>
                <w:color w:val="000000" w:themeColor="text1"/>
                <w:kern w:val="0"/>
                <w:sz w:val="24"/>
                <w14:textFill>
                  <w14:solidFill>
                    <w14:schemeClr w14:val="tx1"/>
                  </w14:solidFill>
                </w14:textFill>
              </w:rPr>
              <w:t>表。</w:t>
            </w:r>
          </w:p>
          <w:p>
            <w:pPr>
              <w:numPr>
                <w:ilvl w:val="0"/>
                <w:numId w:val="14"/>
              </w:numPr>
              <w:spacing w:line="36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生活垃圾产生情况一览表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352"/>
              <w:gridCol w:w="1352"/>
              <w:gridCol w:w="1"/>
              <w:gridCol w:w="1351"/>
              <w:gridCol w:w="1352"/>
              <w:gridCol w:w="2"/>
              <w:gridCol w:w="1350"/>
              <w:gridCol w:w="13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12" w:hRule="atLeast"/>
                <w:jc w:val="center"/>
              </w:trPr>
              <w:tc>
                <w:tcPr>
                  <w:tcW w:w="1352" w:type="dxa"/>
                  <w:tcBorders>
                    <w:tl2br w:val="nil"/>
                    <w:tr2bl w:val="nil"/>
                  </w:tcBorders>
                  <w:noWrap w:val="0"/>
                  <w:vAlign w:val="center"/>
                </w:tcPr>
                <w:p>
                  <w:pPr>
                    <w:spacing w:line="32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编号</w:t>
                  </w:r>
                </w:p>
              </w:tc>
              <w:tc>
                <w:tcPr>
                  <w:tcW w:w="1352" w:type="dxa"/>
                  <w:tcBorders>
                    <w:tl2br w:val="nil"/>
                    <w:tr2bl w:val="nil"/>
                  </w:tcBorders>
                  <w:noWrap w:val="0"/>
                  <w:vAlign w:val="center"/>
                </w:tcPr>
                <w:p>
                  <w:pPr>
                    <w:spacing w:line="32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名称</w:t>
                  </w:r>
                </w:p>
              </w:tc>
              <w:tc>
                <w:tcPr>
                  <w:tcW w:w="1352" w:type="dxa"/>
                  <w:gridSpan w:val="2"/>
                  <w:tcBorders>
                    <w:tl2br w:val="nil"/>
                    <w:tr2bl w:val="nil"/>
                  </w:tcBorders>
                  <w:noWrap w:val="0"/>
                  <w:vAlign w:val="center"/>
                </w:tcPr>
                <w:p>
                  <w:pPr>
                    <w:spacing w:line="32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产生系数</w:t>
                  </w:r>
                </w:p>
              </w:tc>
              <w:tc>
                <w:tcPr>
                  <w:tcW w:w="1352" w:type="dxa"/>
                  <w:tcBorders>
                    <w:tl2br w:val="nil"/>
                    <w:tr2bl w:val="nil"/>
                  </w:tcBorders>
                  <w:noWrap w:val="0"/>
                  <w:vAlign w:val="center"/>
                </w:tcPr>
                <w:p>
                  <w:pPr>
                    <w:spacing w:line="32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规模</w:t>
                  </w:r>
                </w:p>
              </w:tc>
              <w:tc>
                <w:tcPr>
                  <w:tcW w:w="1352" w:type="dxa"/>
                  <w:gridSpan w:val="2"/>
                  <w:tcBorders>
                    <w:tl2br w:val="nil"/>
                    <w:tr2bl w:val="nil"/>
                  </w:tcBorders>
                  <w:noWrap w:val="0"/>
                  <w:vAlign w:val="center"/>
                </w:tcPr>
                <w:p>
                  <w:pPr>
                    <w:spacing w:line="32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产生量kg/d</w:t>
                  </w:r>
                </w:p>
              </w:tc>
              <w:tc>
                <w:tcPr>
                  <w:tcW w:w="1355" w:type="dxa"/>
                  <w:tcBorders>
                    <w:tl2br w:val="nil"/>
                    <w:tr2bl w:val="nil"/>
                  </w:tcBorders>
                  <w:noWrap w:val="0"/>
                  <w:vAlign w:val="center"/>
                </w:tcPr>
                <w:p>
                  <w:pPr>
                    <w:spacing w:line="320" w:lineRule="atLeast"/>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95" w:hRule="atLeast"/>
                <w:jc w:val="center"/>
              </w:trPr>
              <w:tc>
                <w:tcPr>
                  <w:tcW w:w="1352" w:type="dxa"/>
                  <w:tcBorders>
                    <w:tl2br w:val="nil"/>
                    <w:tr2bl w:val="nil"/>
                  </w:tcBorders>
                  <w:noWrap w:val="0"/>
                  <w:vAlign w:val="center"/>
                </w:tcPr>
                <w:p>
                  <w:pPr>
                    <w:spacing w:line="32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35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职工</w:t>
                  </w:r>
                </w:p>
              </w:tc>
              <w:tc>
                <w:tcPr>
                  <w:tcW w:w="1352" w:type="dxa"/>
                  <w:gridSpan w:val="2"/>
                  <w:tcBorders>
                    <w:tl2br w:val="nil"/>
                    <w:tr2bl w:val="nil"/>
                  </w:tcBorders>
                  <w:noWrap w:val="0"/>
                  <w:vAlign w:val="center"/>
                </w:tcPr>
                <w:p>
                  <w:pPr>
                    <w:spacing w:line="32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kg/人·d</w:t>
                  </w:r>
                </w:p>
              </w:tc>
              <w:tc>
                <w:tcPr>
                  <w:tcW w:w="1352" w:type="dxa"/>
                  <w:tcBorders>
                    <w:tl2br w:val="nil"/>
                    <w:tr2bl w:val="nil"/>
                  </w:tcBorders>
                  <w:noWrap w:val="0"/>
                  <w:vAlign w:val="center"/>
                </w:tcPr>
                <w:p>
                  <w:pPr>
                    <w:spacing w:line="32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500</w:t>
                  </w:r>
                  <w:r>
                    <w:rPr>
                      <w:rFonts w:hint="default" w:ascii="Times New Roman" w:hAnsi="Times New Roman" w:eastAsia="宋体" w:cs="Times New Roman"/>
                      <w:color w:val="000000" w:themeColor="text1"/>
                      <w:sz w:val="21"/>
                      <w:szCs w:val="21"/>
                      <w14:textFill>
                        <w14:solidFill>
                          <w14:schemeClr w14:val="tx1"/>
                        </w14:solidFill>
                      </w14:textFill>
                    </w:rPr>
                    <w:t>人</w:t>
                  </w:r>
                </w:p>
              </w:tc>
              <w:tc>
                <w:tcPr>
                  <w:tcW w:w="1352"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250.00</w:t>
                  </w:r>
                </w:p>
              </w:tc>
              <w:tc>
                <w:tcPr>
                  <w:tcW w:w="13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91.25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5" w:hRule="atLeast"/>
                <w:jc w:val="center"/>
              </w:trPr>
              <w:tc>
                <w:tcPr>
                  <w:tcW w:w="1352" w:type="dxa"/>
                  <w:tcBorders>
                    <w:tl2br w:val="nil"/>
                    <w:tr2bl w:val="nil"/>
                  </w:tcBorders>
                  <w:noWrap w:val="0"/>
                  <w:vAlign w:val="center"/>
                </w:tcPr>
                <w:p>
                  <w:pPr>
                    <w:spacing w:line="32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35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住院病人</w:t>
                  </w:r>
                </w:p>
              </w:tc>
              <w:tc>
                <w:tcPr>
                  <w:tcW w:w="1352" w:type="dxa"/>
                  <w:gridSpan w:val="2"/>
                  <w:tcBorders>
                    <w:tl2br w:val="nil"/>
                    <w:tr2bl w:val="nil"/>
                  </w:tcBorders>
                  <w:noWrap w:val="0"/>
                  <w:vAlign w:val="center"/>
                </w:tcPr>
                <w:p>
                  <w:pPr>
                    <w:spacing w:line="32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kg/床·d</w:t>
                  </w:r>
                </w:p>
              </w:tc>
              <w:tc>
                <w:tcPr>
                  <w:tcW w:w="1352" w:type="dxa"/>
                  <w:tcBorders>
                    <w:tl2br w:val="nil"/>
                    <w:tr2bl w:val="nil"/>
                  </w:tcBorders>
                  <w:noWrap w:val="0"/>
                  <w:vAlign w:val="center"/>
                </w:tcPr>
                <w:p>
                  <w:pPr>
                    <w:spacing w:line="32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400</w:t>
                  </w:r>
                  <w:r>
                    <w:rPr>
                      <w:rFonts w:hint="default" w:ascii="Times New Roman" w:hAnsi="Times New Roman" w:eastAsia="宋体" w:cs="Times New Roman"/>
                      <w:color w:val="000000" w:themeColor="text1"/>
                      <w:sz w:val="21"/>
                      <w:szCs w:val="21"/>
                      <w14:textFill>
                        <w14:solidFill>
                          <w14:schemeClr w14:val="tx1"/>
                        </w14:solidFill>
                      </w14:textFill>
                    </w:rPr>
                    <w:t>床</w:t>
                  </w:r>
                </w:p>
              </w:tc>
              <w:tc>
                <w:tcPr>
                  <w:tcW w:w="1352"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400.00</w:t>
                  </w:r>
                </w:p>
              </w:tc>
              <w:tc>
                <w:tcPr>
                  <w:tcW w:w="13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5" w:hRule="atLeast"/>
                <w:jc w:val="center"/>
              </w:trPr>
              <w:tc>
                <w:tcPr>
                  <w:tcW w:w="1352" w:type="dxa"/>
                  <w:tcBorders>
                    <w:right w:val="single" w:color="auto" w:sz="4" w:space="0"/>
                    <w:tl2br w:val="nil"/>
                    <w:tr2bl w:val="nil"/>
                  </w:tcBorders>
                  <w:noWrap w:val="0"/>
                  <w:vAlign w:val="center"/>
                </w:tcPr>
                <w:p>
                  <w:pPr>
                    <w:spacing w:line="32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352" w:type="dxa"/>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门诊病人</w:t>
                  </w:r>
                </w:p>
              </w:tc>
              <w:tc>
                <w:tcPr>
                  <w:tcW w:w="1352" w:type="dxa"/>
                  <w:gridSpan w:val="2"/>
                  <w:tcBorders>
                    <w:right w:val="single" w:color="auto" w:sz="4" w:space="0"/>
                    <w:tl2br w:val="nil"/>
                    <w:tr2bl w:val="nil"/>
                  </w:tcBorders>
                  <w:noWrap w:val="0"/>
                  <w:vAlign w:val="center"/>
                </w:tcPr>
                <w:p>
                  <w:pPr>
                    <w:spacing w:line="32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kg/人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次</w:t>
                  </w:r>
                  <w:r>
                    <w:rPr>
                      <w:rFonts w:hint="default" w:ascii="Times New Roman" w:hAnsi="Times New Roman" w:eastAsia="宋体" w:cs="Times New Roman"/>
                      <w:color w:val="000000" w:themeColor="text1"/>
                      <w:sz w:val="21"/>
                      <w:szCs w:val="21"/>
                      <w14:textFill>
                        <w14:solidFill>
                          <w14:schemeClr w14:val="tx1"/>
                        </w14:solidFill>
                      </w14:textFill>
                    </w:rPr>
                    <w:t>·d</w:t>
                  </w:r>
                </w:p>
              </w:tc>
              <w:tc>
                <w:tcPr>
                  <w:tcW w:w="1352" w:type="dxa"/>
                  <w:tcBorders>
                    <w:left w:val="single" w:color="auto" w:sz="4" w:space="0"/>
                    <w:tl2br w:val="nil"/>
                    <w:tr2bl w:val="nil"/>
                  </w:tcBorders>
                  <w:noWrap w:val="0"/>
                  <w:vAlign w:val="center"/>
                </w:tcPr>
                <w:p>
                  <w:pPr>
                    <w:spacing w:line="32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w:t>
                  </w:r>
                  <w:r>
                    <w:rPr>
                      <w:rFonts w:hint="default" w:ascii="Times New Roman" w:hAnsi="Times New Roman" w:eastAsia="宋体" w:cs="Times New Roman"/>
                      <w:color w:val="000000" w:themeColor="text1"/>
                      <w:sz w:val="21"/>
                      <w:szCs w:val="21"/>
                      <w14:textFill>
                        <w14:solidFill>
                          <w14:schemeClr w14:val="tx1"/>
                        </w14:solidFill>
                      </w14:textFill>
                    </w:rPr>
                    <w:t>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次/d</w:t>
                  </w:r>
                </w:p>
              </w:tc>
              <w:tc>
                <w:tcPr>
                  <w:tcW w:w="1352" w:type="dxa"/>
                  <w:gridSpan w:val="2"/>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7.00</w:t>
                  </w:r>
                </w:p>
              </w:tc>
              <w:tc>
                <w:tcPr>
                  <w:tcW w:w="1355" w:type="dxa"/>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430" w:hRule="atLeast"/>
                <w:jc w:val="center"/>
              </w:trPr>
              <w:tc>
                <w:tcPr>
                  <w:tcW w:w="1352" w:type="dxa"/>
                  <w:tcBorders>
                    <w:right w:val="single" w:color="auto" w:sz="4" w:space="0"/>
                    <w:tl2br w:val="nil"/>
                    <w:tr2bl w:val="nil"/>
                  </w:tcBorders>
                  <w:noWrap w:val="0"/>
                  <w:vAlign w:val="center"/>
                </w:tcPr>
                <w:p>
                  <w:pPr>
                    <w:spacing w:line="320" w:lineRule="atLeas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353" w:type="dxa"/>
                  <w:gridSpan w:val="2"/>
                  <w:tcBorders>
                    <w:left w:val="single" w:color="auto" w:sz="4" w:space="0"/>
                    <w:tl2br w:val="nil"/>
                    <w:tr2bl w:val="nil"/>
                  </w:tcBorders>
                  <w:noWrap w:val="0"/>
                  <w:vAlign w:val="center"/>
                </w:tcPr>
                <w:p>
                  <w:pPr>
                    <w:spacing w:line="320" w:lineRule="atLeas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合计</w:t>
                  </w:r>
                </w:p>
              </w:tc>
              <w:tc>
                <w:tcPr>
                  <w:tcW w:w="1351" w:type="dxa"/>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354" w:type="dxa"/>
                  <w:gridSpan w:val="2"/>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350" w:type="dxa"/>
                  <w:tcBorders>
                    <w:righ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657.00</w:t>
                  </w:r>
                </w:p>
              </w:tc>
              <w:tc>
                <w:tcPr>
                  <w:tcW w:w="1355" w:type="dxa"/>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239.81</w:t>
                  </w:r>
                </w:p>
              </w:tc>
            </w:tr>
          </w:tbl>
          <w:p>
            <w:pPr>
              <w:numPr>
                <w:ilvl w:val="0"/>
                <w:numId w:val="23"/>
              </w:num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未感染的输液瓶（袋）</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根据《关于在医疗机构推进生活垃圾分类管理的通知》（国卫办医发</w:t>
            </w:r>
            <w:r>
              <w:rPr>
                <w:rFonts w:hint="eastAsia" w:ascii="宋体" w:hAnsi="宋体" w:cs="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2017</w:t>
            </w:r>
            <w:r>
              <w:rPr>
                <w:rFonts w:hint="eastAsia" w:ascii="宋体" w:hAnsi="宋体" w:cs="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30号）可知，“对于未被患者血液、体液和排泄物等污染的输液瓶（袋），应当在其与输液管连接处去除输液管后单独集中回收、存放。去除后的输液管、针头等应当严格按照医疗危险废物处理，严禁混入未被污染的输液瓶（袋）及其他生活垃圾中。残留少量经稀释的普通药液的输液瓶（袋），可以按照未被污染的输液瓶（袋）处理。但存在下列情形的输液瓶（袋），即使未被患者血液、体液和排泄物等污染，也不得纳入一般固废管理：①在传染病区使用，或者用于传染病患者、疑似传染病患者以及采取隔离措施的其他患者的输液瓶（袋），应当按照感染性医疗废物处理。②输液涉及使用细胞毒性药物（如肿瘤化疗药物等）的输液瓶（袋），应当按照药物性医疗废物处理。③输液涉及使用麻醉类药品、精神类药品、易制毒药品和放射性药品的输液瓶（袋），应当严格按照相关规定处理。”</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根据业主提供的资料，结合第三人民医院经营情况，本项目建成后可纳入一般固废管理的未感染的输液瓶（袋）产生量预计约10.0t/a。</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项目产生的未感染的输液瓶（袋）经分类收集后交由重庆春字医用输液瓶回收有限公司通川分公司处理。</w:t>
            </w:r>
          </w:p>
          <w:p>
            <w:pPr>
              <w:numPr>
                <w:ilvl w:val="0"/>
                <w:numId w:val="0"/>
              </w:numPr>
              <w:spacing w:line="360" w:lineRule="auto"/>
              <w:rPr>
                <w:rFonts w:hint="eastAsia"/>
                <w:b/>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4.2危险废物</w:t>
            </w:r>
          </w:p>
          <w:p>
            <w:pPr>
              <w:numPr>
                <w:ilvl w:val="0"/>
                <w:numId w:val="24"/>
              </w:numPr>
              <w:spacing w:line="360" w:lineRule="auto"/>
              <w:ind w:firstLine="482" w:firstLineChars="200"/>
              <w:rPr>
                <w:rFonts w:hint="eastAsia"/>
                <w:b/>
                <w:color w:val="000000" w:themeColor="text1"/>
                <w:kern w:val="0"/>
                <w:sz w:val="24"/>
                <w:lang w:val="en-US" w:eastAsia="zh-CN"/>
                <w14:textFill>
                  <w14:solidFill>
                    <w14:schemeClr w14:val="tx1"/>
                  </w14:solidFill>
                </w14:textFill>
              </w:rPr>
            </w:pPr>
            <w:r>
              <w:rPr>
                <w:rFonts w:hint="eastAsia"/>
                <w:b/>
                <w:color w:val="000000" w:themeColor="text1"/>
                <w:kern w:val="0"/>
                <w:sz w:val="24"/>
                <w:lang w:val="en-US" w:eastAsia="zh-CN"/>
                <w14:textFill>
                  <w14:solidFill>
                    <w14:schemeClr w14:val="tx1"/>
                  </w14:solidFill>
                </w14:textFill>
              </w:rPr>
              <w:t>医疗废物</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本评价按照《建设项目危险废物环境影响评价指南》要求编写，先鉴别、给出危废特性、类别、代码、处置方式。</w:t>
            </w:r>
          </w:p>
          <w:p>
            <w:pPr>
              <w:spacing w:line="360" w:lineRule="auto"/>
              <w:ind w:firstLine="482" w:firstLineChars="200"/>
              <w:rPr>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1）医疗</w:t>
            </w:r>
            <w:r>
              <w:rPr>
                <w:b/>
                <w:bCs/>
                <w:color w:val="000000" w:themeColor="text1"/>
                <w:sz w:val="24"/>
                <w14:textFill>
                  <w14:solidFill>
                    <w14:schemeClr w14:val="tx1"/>
                  </w14:solidFill>
                </w14:textFill>
              </w:rPr>
              <w:t>废物分类</w:t>
            </w:r>
          </w:p>
          <w:p>
            <w:pPr>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根据《国家危险废物名录》（2021年版），项目主要产生“名录”所列的</w:t>
            </w:r>
            <w:r>
              <w:rPr>
                <w:color w:val="000000" w:themeColor="text1"/>
                <w:kern w:val="0"/>
                <w:sz w:val="24"/>
                <w:lang w:bidi="ar"/>
                <w14:textFill>
                  <w14:solidFill>
                    <w14:schemeClr w14:val="tx1"/>
                  </w14:solidFill>
                </w14:textFill>
              </w:rPr>
              <w:t>HW01</w:t>
            </w:r>
            <w:r>
              <w:rPr>
                <w:rFonts w:hint="eastAsia"/>
                <w:color w:val="000000" w:themeColor="text1"/>
                <w:kern w:val="0"/>
                <w:sz w:val="24"/>
                <w:lang w:bidi="ar"/>
                <w14:textFill>
                  <w14:solidFill>
                    <w14:schemeClr w14:val="tx1"/>
                  </w14:solidFill>
                </w14:textFill>
              </w:rPr>
              <w:t>类医疗危险废物，医疗固体废物含有感染性废物（废物代码为</w:t>
            </w:r>
            <w:r>
              <w:rPr>
                <w:color w:val="000000" w:themeColor="text1"/>
                <w:kern w:val="0"/>
                <w:sz w:val="24"/>
                <w:lang w:bidi="ar"/>
                <w14:textFill>
                  <w14:solidFill>
                    <w14:schemeClr w14:val="tx1"/>
                  </w14:solidFill>
                </w14:textFill>
              </w:rPr>
              <w:t>8</w:t>
            </w:r>
            <w:r>
              <w:rPr>
                <w:rFonts w:hint="eastAsia"/>
                <w:color w:val="000000" w:themeColor="text1"/>
                <w:kern w:val="0"/>
                <w:sz w:val="24"/>
                <w:lang w:bidi="ar"/>
                <w14:textFill>
                  <w14:solidFill>
                    <w14:schemeClr w14:val="tx1"/>
                  </w14:solidFill>
                </w14:textFill>
              </w:rPr>
              <w:t>4</w:t>
            </w:r>
            <w:r>
              <w:rPr>
                <w:color w:val="000000" w:themeColor="text1"/>
                <w:kern w:val="0"/>
                <w:sz w:val="24"/>
                <w:lang w:bidi="ar"/>
                <w14:textFill>
                  <w14:solidFill>
                    <w14:schemeClr w14:val="tx1"/>
                  </w14:solidFill>
                </w14:textFill>
              </w:rPr>
              <w:t>1-001-01</w:t>
            </w:r>
            <w:r>
              <w:rPr>
                <w:rFonts w:hint="eastAsia"/>
                <w:color w:val="000000" w:themeColor="text1"/>
                <w:kern w:val="0"/>
                <w:sz w:val="24"/>
                <w:lang w:bidi="ar"/>
                <w14:textFill>
                  <w14:solidFill>
                    <w14:schemeClr w14:val="tx1"/>
                  </w14:solidFill>
                </w14:textFill>
              </w:rPr>
              <w:t>）、损伤性废物（废物代码为</w:t>
            </w:r>
            <w:r>
              <w:rPr>
                <w:color w:val="000000" w:themeColor="text1"/>
                <w:kern w:val="0"/>
                <w:sz w:val="24"/>
                <w:lang w:bidi="ar"/>
                <w14:textFill>
                  <w14:solidFill>
                    <w14:schemeClr w14:val="tx1"/>
                  </w14:solidFill>
                </w14:textFill>
              </w:rPr>
              <w:t>8</w:t>
            </w:r>
            <w:r>
              <w:rPr>
                <w:rFonts w:hint="eastAsia"/>
                <w:color w:val="000000" w:themeColor="text1"/>
                <w:kern w:val="0"/>
                <w:sz w:val="24"/>
                <w:lang w:bidi="ar"/>
                <w14:textFill>
                  <w14:solidFill>
                    <w14:schemeClr w14:val="tx1"/>
                  </w14:solidFill>
                </w14:textFill>
              </w:rPr>
              <w:t>4</w:t>
            </w:r>
            <w:r>
              <w:rPr>
                <w:color w:val="000000" w:themeColor="text1"/>
                <w:kern w:val="0"/>
                <w:sz w:val="24"/>
                <w:lang w:bidi="ar"/>
                <w14:textFill>
                  <w14:solidFill>
                    <w14:schemeClr w14:val="tx1"/>
                  </w14:solidFill>
                </w14:textFill>
              </w:rPr>
              <w:t>1-002-01</w:t>
            </w:r>
            <w:r>
              <w:rPr>
                <w:rFonts w:hint="eastAsia"/>
                <w:color w:val="000000" w:themeColor="text1"/>
                <w:kern w:val="0"/>
                <w:sz w:val="24"/>
                <w:lang w:bidi="ar"/>
                <w14:textFill>
                  <w14:solidFill>
                    <w14:schemeClr w14:val="tx1"/>
                  </w14:solidFill>
                </w14:textFill>
              </w:rPr>
              <w:t>）、病理性废物（废物代码为</w:t>
            </w:r>
            <w:r>
              <w:rPr>
                <w:color w:val="000000" w:themeColor="text1"/>
                <w:kern w:val="0"/>
                <w:sz w:val="24"/>
                <w:lang w:bidi="ar"/>
                <w14:textFill>
                  <w14:solidFill>
                    <w14:schemeClr w14:val="tx1"/>
                  </w14:solidFill>
                </w14:textFill>
              </w:rPr>
              <w:t>8</w:t>
            </w:r>
            <w:r>
              <w:rPr>
                <w:rFonts w:hint="eastAsia"/>
                <w:color w:val="000000" w:themeColor="text1"/>
                <w:kern w:val="0"/>
                <w:sz w:val="24"/>
                <w:lang w:bidi="ar"/>
                <w14:textFill>
                  <w14:solidFill>
                    <w14:schemeClr w14:val="tx1"/>
                  </w14:solidFill>
                </w14:textFill>
              </w:rPr>
              <w:t>4</w:t>
            </w:r>
            <w:r>
              <w:rPr>
                <w:color w:val="000000" w:themeColor="text1"/>
                <w:kern w:val="0"/>
                <w:sz w:val="24"/>
                <w:lang w:bidi="ar"/>
                <w14:textFill>
                  <w14:solidFill>
                    <w14:schemeClr w14:val="tx1"/>
                  </w14:solidFill>
                </w14:textFill>
              </w:rPr>
              <w:t>1-003-01</w:t>
            </w:r>
            <w:r>
              <w:rPr>
                <w:rFonts w:hint="eastAsia"/>
                <w:color w:val="000000" w:themeColor="text1"/>
                <w:kern w:val="0"/>
                <w:sz w:val="24"/>
                <w:lang w:bidi="ar"/>
                <w14:textFill>
                  <w14:solidFill>
                    <w14:schemeClr w14:val="tx1"/>
                  </w14:solidFill>
                </w14:textFill>
              </w:rPr>
              <w:t>）、化学性废物（废物代码为</w:t>
            </w:r>
            <w:r>
              <w:rPr>
                <w:color w:val="000000" w:themeColor="text1"/>
                <w:kern w:val="0"/>
                <w:sz w:val="24"/>
                <w:lang w:bidi="ar"/>
                <w14:textFill>
                  <w14:solidFill>
                    <w14:schemeClr w14:val="tx1"/>
                  </w14:solidFill>
                </w14:textFill>
              </w:rPr>
              <w:t>8</w:t>
            </w:r>
            <w:r>
              <w:rPr>
                <w:rFonts w:hint="eastAsia"/>
                <w:color w:val="000000" w:themeColor="text1"/>
                <w:kern w:val="0"/>
                <w:sz w:val="24"/>
                <w:lang w:bidi="ar"/>
                <w14:textFill>
                  <w14:solidFill>
                    <w14:schemeClr w14:val="tx1"/>
                  </w14:solidFill>
                </w14:textFill>
              </w:rPr>
              <w:t>4</w:t>
            </w:r>
            <w:r>
              <w:rPr>
                <w:color w:val="000000" w:themeColor="text1"/>
                <w:kern w:val="0"/>
                <w:sz w:val="24"/>
                <w:lang w:bidi="ar"/>
                <w14:textFill>
                  <w14:solidFill>
                    <w14:schemeClr w14:val="tx1"/>
                  </w14:solidFill>
                </w14:textFill>
              </w:rPr>
              <w:t>1-004-01</w:t>
            </w:r>
            <w:r>
              <w:rPr>
                <w:rFonts w:hint="eastAsia"/>
                <w:color w:val="000000" w:themeColor="text1"/>
                <w:kern w:val="0"/>
                <w:sz w:val="24"/>
                <w:lang w:bidi="ar"/>
                <w14:textFill>
                  <w14:solidFill>
                    <w14:schemeClr w14:val="tx1"/>
                  </w14:solidFill>
                </w14:textFill>
              </w:rPr>
              <w:t>）、药物性废物（废物代码为</w:t>
            </w:r>
            <w:r>
              <w:rPr>
                <w:color w:val="000000" w:themeColor="text1"/>
                <w:kern w:val="0"/>
                <w:sz w:val="24"/>
                <w:lang w:bidi="ar"/>
                <w14:textFill>
                  <w14:solidFill>
                    <w14:schemeClr w14:val="tx1"/>
                  </w14:solidFill>
                </w14:textFill>
              </w:rPr>
              <w:t>8</w:t>
            </w:r>
            <w:r>
              <w:rPr>
                <w:rFonts w:hint="eastAsia"/>
                <w:color w:val="000000" w:themeColor="text1"/>
                <w:kern w:val="0"/>
                <w:sz w:val="24"/>
                <w:lang w:bidi="ar"/>
                <w14:textFill>
                  <w14:solidFill>
                    <w14:schemeClr w14:val="tx1"/>
                  </w14:solidFill>
                </w14:textFill>
              </w:rPr>
              <w:t>4</w:t>
            </w:r>
            <w:r>
              <w:rPr>
                <w:color w:val="000000" w:themeColor="text1"/>
                <w:kern w:val="0"/>
                <w:sz w:val="24"/>
                <w:lang w:bidi="ar"/>
                <w14:textFill>
                  <w14:solidFill>
                    <w14:schemeClr w14:val="tx1"/>
                  </w14:solidFill>
                </w14:textFill>
              </w:rPr>
              <w:t>1-005-01</w:t>
            </w:r>
            <w:r>
              <w:rPr>
                <w:rFonts w:hint="eastAsia"/>
                <w:color w:val="000000" w:themeColor="text1"/>
                <w:kern w:val="0"/>
                <w:sz w:val="24"/>
                <w:lang w:bidi="ar"/>
                <w14:textFill>
                  <w14:solidFill>
                    <w14:schemeClr w14:val="tx1"/>
                  </w14:solidFill>
                </w14:textFill>
              </w:rPr>
              <w:t>）。根据《医疗废物分类目录》（2021年版）医疗废物分类见下表。</w:t>
            </w:r>
          </w:p>
          <w:p>
            <w:pPr>
              <w:numPr>
                <w:ilvl w:val="0"/>
                <w:numId w:val="14"/>
              </w:numPr>
              <w:spacing w:line="36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医疗废物来源及危害组分</w:t>
            </w:r>
          </w:p>
          <w:tbl>
            <w:tblPr>
              <w:tblStyle w:val="23"/>
              <w:tblW w:w="839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6"/>
              <w:gridCol w:w="1297"/>
              <w:gridCol w:w="3390"/>
              <w:gridCol w:w="30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62" w:hRule="atLeast"/>
                <w:jc w:val="center"/>
              </w:trPr>
              <w:tc>
                <w:tcPr>
                  <w:tcW w:w="666" w:type="dxa"/>
                  <w:tcBorders>
                    <w:tl2br w:val="nil"/>
                    <w:tr2bl w:val="nil"/>
                  </w:tcBorders>
                  <w:vAlign w:val="center"/>
                </w:tcPr>
                <w:p>
                  <w:pPr>
                    <w:spacing w:before="24" w:beforeLines="10" w:after="24" w:afterLines="1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类别</w:t>
                  </w:r>
                </w:p>
              </w:tc>
              <w:tc>
                <w:tcPr>
                  <w:tcW w:w="1297" w:type="dxa"/>
                  <w:tcBorders>
                    <w:tl2br w:val="nil"/>
                    <w:tr2bl w:val="nil"/>
                  </w:tcBorders>
                  <w:vAlign w:val="center"/>
                </w:tcPr>
                <w:p>
                  <w:pPr>
                    <w:spacing w:before="24" w:beforeLines="10" w:after="24" w:afterLines="1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特征</w:t>
                  </w:r>
                </w:p>
              </w:tc>
              <w:tc>
                <w:tcPr>
                  <w:tcW w:w="3390" w:type="dxa"/>
                  <w:tcBorders>
                    <w:tl2br w:val="nil"/>
                    <w:tr2bl w:val="nil"/>
                  </w:tcBorders>
                  <w:vAlign w:val="center"/>
                </w:tcPr>
                <w:p>
                  <w:pPr>
                    <w:spacing w:before="24" w:beforeLines="10" w:after="24" w:afterLines="1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常见组分或废物名称</w:t>
                  </w:r>
                </w:p>
              </w:tc>
              <w:tc>
                <w:tcPr>
                  <w:tcW w:w="3045" w:type="dxa"/>
                  <w:tcBorders>
                    <w:tl2br w:val="nil"/>
                    <w:tr2bl w:val="nil"/>
                  </w:tcBorders>
                  <w:vAlign w:val="center"/>
                </w:tcPr>
                <w:p>
                  <w:pPr>
                    <w:spacing w:before="24" w:beforeLines="10" w:after="24" w:afterLines="1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收集方式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421" w:hRule="atLeast"/>
                <w:jc w:val="center"/>
              </w:trPr>
              <w:tc>
                <w:tcPr>
                  <w:tcW w:w="666" w:type="dxa"/>
                  <w:tcBorders>
                    <w:tl2br w:val="nil"/>
                    <w:tr2bl w:val="nil"/>
                  </w:tcBorders>
                  <w:vAlign w:val="center"/>
                </w:tcPr>
                <w:p>
                  <w:pPr>
                    <w:spacing w:before="24" w:beforeLines="10" w:after="24" w:afterLines="1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感染性废物</w:t>
                  </w:r>
                </w:p>
              </w:tc>
              <w:tc>
                <w:tcPr>
                  <w:tcW w:w="1297" w:type="dxa"/>
                  <w:tcBorders>
                    <w:tl2br w:val="nil"/>
                    <w:tr2bl w:val="nil"/>
                  </w:tcBorders>
                  <w:vAlign w:val="center"/>
                </w:tcPr>
                <w:p>
                  <w:p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携带病原微生物具有引发感染性疾病传播危险的医疗废物。</w:t>
                  </w:r>
                </w:p>
              </w:tc>
              <w:tc>
                <w:tcPr>
                  <w:tcW w:w="3390" w:type="dxa"/>
                  <w:tcBorders>
                    <w:tl2br w:val="nil"/>
                    <w:tr2bl w:val="nil"/>
                  </w:tcBorders>
                  <w:vAlign w:val="center"/>
                </w:tcPr>
                <w:p>
                  <w:pPr>
                    <w:numPr>
                      <w:ilvl w:val="0"/>
                      <w:numId w:val="25"/>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被</w:t>
                  </w:r>
                  <w:r>
                    <w:rPr>
                      <w:rFonts w:hint="eastAsia"/>
                      <w:color w:val="000000" w:themeColor="text1"/>
                      <w:szCs w:val="21"/>
                      <w14:textFill>
                        <w14:solidFill>
                          <w14:schemeClr w14:val="tx1"/>
                        </w14:solidFill>
                      </w14:textFill>
                    </w:rPr>
                    <w:t>患者</w:t>
                  </w:r>
                  <w:r>
                    <w:rPr>
                      <w:color w:val="000000" w:themeColor="text1"/>
                      <w:szCs w:val="21"/>
                      <w14:textFill>
                        <w14:solidFill>
                          <w14:schemeClr w14:val="tx1"/>
                        </w14:solidFill>
                      </w14:textFill>
                    </w:rPr>
                    <w:t>血液、体液、排泄物</w:t>
                  </w:r>
                  <w:r>
                    <w:rPr>
                      <w:rFonts w:hint="eastAsia"/>
                      <w:color w:val="000000" w:themeColor="text1"/>
                      <w:szCs w:val="21"/>
                      <w14:textFill>
                        <w14:solidFill>
                          <w14:schemeClr w14:val="tx1"/>
                        </w14:solidFill>
                      </w14:textFill>
                    </w:rPr>
                    <w:t>等</w:t>
                  </w:r>
                  <w:r>
                    <w:rPr>
                      <w:color w:val="000000" w:themeColor="text1"/>
                      <w:szCs w:val="21"/>
                      <w14:textFill>
                        <w14:solidFill>
                          <w14:schemeClr w14:val="tx1"/>
                        </w14:solidFill>
                      </w14:textFill>
                    </w:rPr>
                    <w:t>污染的</w:t>
                  </w:r>
                  <w:r>
                    <w:rPr>
                      <w:rFonts w:hint="eastAsia"/>
                      <w:color w:val="000000" w:themeColor="text1"/>
                      <w:szCs w:val="21"/>
                      <w14:textFill>
                        <w14:solidFill>
                          <w14:schemeClr w14:val="tx1"/>
                        </w14:solidFill>
                      </w14:textFill>
                    </w:rPr>
                    <w:t>除锐器以外的废物；</w:t>
                  </w:r>
                </w:p>
                <w:p>
                  <w:pPr>
                    <w:numPr>
                      <w:ilvl w:val="0"/>
                      <w:numId w:val="25"/>
                    </w:numPr>
                    <w:spacing w:before="24" w:beforeLines="10" w:after="24" w:afterLines="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使用后的一次性使用医疗器械，如注射器、输液器、透析器等；</w:t>
                  </w:r>
                </w:p>
                <w:p>
                  <w:pPr>
                    <w:numPr>
                      <w:ilvl w:val="0"/>
                      <w:numId w:val="25"/>
                    </w:numPr>
                    <w:spacing w:before="24" w:beforeLines="10" w:after="24" w:afterLines="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病原微生物实验室废弃的病原体培养基、标本，菌种和毒种保存液及其容器；其他实验室及科室废弃的血液、血清、分泌物等标本和容器；</w:t>
                  </w:r>
                </w:p>
                <w:p>
                  <w:pPr>
                    <w:numPr>
                      <w:ilvl w:val="0"/>
                      <w:numId w:val="25"/>
                    </w:numPr>
                    <w:spacing w:before="24" w:beforeLines="10" w:after="24" w:afterLines="1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隔离传染病患者或者疑似传染病患者产生的废弃物。</w:t>
                  </w:r>
                </w:p>
              </w:tc>
              <w:tc>
                <w:tcPr>
                  <w:tcW w:w="3045" w:type="dxa"/>
                  <w:tcBorders>
                    <w:tl2br w:val="nil"/>
                    <w:tr2bl w:val="nil"/>
                  </w:tcBorders>
                  <w:vAlign w:val="center"/>
                </w:tcPr>
                <w:p>
                  <w:pPr>
                    <w:numPr>
                      <w:ilvl w:val="0"/>
                      <w:numId w:val="26"/>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收集于符合《医疗废物专用包装袋、容器和警示标志标准》</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HJ421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的医疗废物包装袋中</w:t>
                  </w:r>
                  <w:r>
                    <w:rPr>
                      <w:rFonts w:hint="eastAsia"/>
                      <w:color w:val="000000" w:themeColor="text1"/>
                      <w:szCs w:val="21"/>
                      <w14:textFill>
                        <w14:solidFill>
                          <w14:schemeClr w14:val="tx1"/>
                        </w14:solidFill>
                      </w14:textFill>
                    </w:rPr>
                    <w:t>；</w:t>
                  </w:r>
                </w:p>
                <w:p>
                  <w:pPr>
                    <w:numPr>
                      <w:ilvl w:val="0"/>
                      <w:numId w:val="26"/>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病原微生物实验室废弃的病原体培养基、标本，菌种和毒种保存液及其容器，应在产生地点进行压力蒸汽灭菌或者使用其他方式消毒，然后按感染性废物收集处理</w:t>
                  </w:r>
                  <w:r>
                    <w:rPr>
                      <w:rFonts w:hint="eastAsia"/>
                      <w:color w:val="000000" w:themeColor="text1"/>
                      <w:szCs w:val="21"/>
                      <w14:textFill>
                        <w14:solidFill>
                          <w14:schemeClr w14:val="tx1"/>
                        </w14:solidFill>
                      </w14:textFill>
                    </w:rPr>
                    <w:t>；</w:t>
                  </w:r>
                </w:p>
                <w:p>
                  <w:pPr>
                    <w:numPr>
                      <w:ilvl w:val="0"/>
                      <w:numId w:val="26"/>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隔离传染病患者或者疑似传染病患者产生的医疗废物应当使用双层医疗废物包装袋盛装。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6" w:hRule="atLeast"/>
                <w:jc w:val="center"/>
              </w:trPr>
              <w:tc>
                <w:tcPr>
                  <w:tcW w:w="666" w:type="dxa"/>
                  <w:tcBorders>
                    <w:tl2br w:val="nil"/>
                    <w:tr2bl w:val="nil"/>
                  </w:tcBorders>
                  <w:vAlign w:val="center"/>
                </w:tcPr>
                <w:p>
                  <w:pPr>
                    <w:spacing w:before="24" w:beforeLines="10" w:after="24" w:afterLines="1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损伤性废物</w:t>
                  </w:r>
                </w:p>
              </w:tc>
              <w:tc>
                <w:tcPr>
                  <w:tcW w:w="1297" w:type="dxa"/>
                  <w:tcBorders>
                    <w:tl2br w:val="nil"/>
                    <w:tr2bl w:val="nil"/>
                  </w:tcBorders>
                  <w:vAlign w:val="center"/>
                </w:tcPr>
                <w:p>
                  <w:p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能够刺伤或者割伤人体的废弃的医用锐器。</w:t>
                  </w:r>
                </w:p>
              </w:tc>
              <w:tc>
                <w:tcPr>
                  <w:tcW w:w="3390" w:type="dxa"/>
                  <w:tcBorders>
                    <w:tl2br w:val="nil"/>
                    <w:tr2bl w:val="nil"/>
                  </w:tcBorders>
                  <w:vAlign w:val="center"/>
                </w:tcPr>
                <w:p>
                  <w:pPr>
                    <w:numPr>
                      <w:ilvl w:val="0"/>
                      <w:numId w:val="27"/>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废弃的金属类锐器，如针头、缝合针、针灸针、探针、穿刺针、解剖刀、手术刀、手术锯、备皮刀、钢钉和导丝等</w:t>
                  </w:r>
                  <w:r>
                    <w:rPr>
                      <w:rFonts w:hint="eastAsia"/>
                      <w:color w:val="000000" w:themeColor="text1"/>
                      <w:szCs w:val="21"/>
                      <w14:textFill>
                        <w14:solidFill>
                          <w14:schemeClr w14:val="tx1"/>
                        </w14:solidFill>
                      </w14:textFill>
                    </w:rPr>
                    <w:t>；</w:t>
                  </w:r>
                </w:p>
                <w:p>
                  <w:pPr>
                    <w:numPr>
                      <w:ilvl w:val="0"/>
                      <w:numId w:val="27"/>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废弃的玻璃类锐器，如盖玻片、载玻片、玻璃安瓿等</w:t>
                  </w:r>
                  <w:r>
                    <w:rPr>
                      <w:rFonts w:hint="eastAsia"/>
                      <w:color w:val="000000" w:themeColor="text1"/>
                      <w:szCs w:val="21"/>
                      <w14:textFill>
                        <w14:solidFill>
                          <w14:schemeClr w14:val="tx1"/>
                        </w14:solidFill>
                      </w14:textFill>
                    </w:rPr>
                    <w:t>；</w:t>
                  </w:r>
                </w:p>
                <w:p>
                  <w:pPr>
                    <w:numPr>
                      <w:ilvl w:val="0"/>
                      <w:numId w:val="27"/>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废弃的其他材质类锐器。</w:t>
                  </w:r>
                </w:p>
              </w:tc>
              <w:tc>
                <w:tcPr>
                  <w:tcW w:w="3045" w:type="dxa"/>
                  <w:tcBorders>
                    <w:tl2br w:val="nil"/>
                    <w:tr2bl w:val="nil"/>
                  </w:tcBorders>
                  <w:vAlign w:val="center"/>
                </w:tcPr>
                <w:p>
                  <w:pPr>
                    <w:numPr>
                      <w:ilvl w:val="0"/>
                      <w:numId w:val="28"/>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收集于符合《医疗废物专用包装袋、容器和警示标志标准》</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HJ421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的利器盒中</w:t>
                  </w:r>
                  <w:r>
                    <w:rPr>
                      <w:rFonts w:hint="eastAsia"/>
                      <w:color w:val="000000" w:themeColor="text1"/>
                      <w:szCs w:val="21"/>
                      <w14:textFill>
                        <w14:solidFill>
                          <w14:schemeClr w14:val="tx1"/>
                        </w14:solidFill>
                      </w14:textFill>
                    </w:rPr>
                    <w:t>；</w:t>
                  </w:r>
                </w:p>
                <w:p>
                  <w:pPr>
                    <w:numPr>
                      <w:ilvl w:val="0"/>
                      <w:numId w:val="28"/>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利器盒达到3/4满时，应当封闭严密，按流程运送、贮存。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65" w:hRule="atLeast"/>
                <w:jc w:val="center"/>
              </w:trPr>
              <w:tc>
                <w:tcPr>
                  <w:tcW w:w="666" w:type="dxa"/>
                  <w:tcBorders>
                    <w:tl2br w:val="nil"/>
                    <w:tr2bl w:val="nil"/>
                  </w:tcBorders>
                  <w:vAlign w:val="center"/>
                </w:tcPr>
                <w:p>
                  <w:pPr>
                    <w:spacing w:before="24" w:beforeLines="10" w:after="24" w:afterLines="1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病理性废物</w:t>
                  </w:r>
                </w:p>
              </w:tc>
              <w:tc>
                <w:tcPr>
                  <w:tcW w:w="1297" w:type="dxa"/>
                  <w:tcBorders>
                    <w:tl2br w:val="nil"/>
                    <w:tr2bl w:val="nil"/>
                  </w:tcBorders>
                  <w:vAlign w:val="center"/>
                </w:tcPr>
                <w:p>
                  <w:p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诊疗过程中产生的人体废弃物和医学实验动物尸体等。</w:t>
                  </w:r>
                </w:p>
              </w:tc>
              <w:tc>
                <w:tcPr>
                  <w:tcW w:w="3390" w:type="dxa"/>
                  <w:tcBorders>
                    <w:tl2br w:val="nil"/>
                    <w:tr2bl w:val="nil"/>
                  </w:tcBorders>
                  <w:vAlign w:val="center"/>
                </w:tcPr>
                <w:p>
                  <w:pPr>
                    <w:numPr>
                      <w:ilvl w:val="0"/>
                      <w:numId w:val="29"/>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手术及其他医学服务过程中产生的废弃的人体组织、器官</w:t>
                  </w:r>
                  <w:r>
                    <w:rPr>
                      <w:rFonts w:hint="eastAsia"/>
                      <w:color w:val="000000" w:themeColor="text1"/>
                      <w:szCs w:val="21"/>
                      <w14:textFill>
                        <w14:solidFill>
                          <w14:schemeClr w14:val="tx1"/>
                        </w14:solidFill>
                      </w14:textFill>
                    </w:rPr>
                    <w:t>；</w:t>
                  </w:r>
                </w:p>
                <w:p>
                  <w:pPr>
                    <w:numPr>
                      <w:ilvl w:val="0"/>
                      <w:numId w:val="29"/>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病理切片后废弃的人体组织、病理蜡块</w:t>
                  </w:r>
                  <w:r>
                    <w:rPr>
                      <w:rFonts w:hint="eastAsia"/>
                      <w:color w:val="000000" w:themeColor="text1"/>
                      <w:szCs w:val="21"/>
                      <w14:textFill>
                        <w14:solidFill>
                          <w14:schemeClr w14:val="tx1"/>
                        </w14:solidFill>
                      </w14:textFill>
                    </w:rPr>
                    <w:t>；</w:t>
                  </w:r>
                </w:p>
                <w:p>
                  <w:pPr>
                    <w:numPr>
                      <w:ilvl w:val="0"/>
                      <w:numId w:val="29"/>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废弃的医学实验动物的组织和尸体</w:t>
                  </w:r>
                  <w:r>
                    <w:rPr>
                      <w:rFonts w:hint="eastAsia"/>
                      <w:color w:val="000000" w:themeColor="text1"/>
                      <w:szCs w:val="21"/>
                      <w14:textFill>
                        <w14:solidFill>
                          <w14:schemeClr w14:val="tx1"/>
                        </w14:solidFill>
                      </w14:textFill>
                    </w:rPr>
                    <w:t>；</w:t>
                  </w:r>
                </w:p>
                <w:p>
                  <w:pPr>
                    <w:numPr>
                      <w:ilvl w:val="0"/>
                      <w:numId w:val="29"/>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16周胎龄以下或重量不足500克的胚胎组织等</w:t>
                  </w:r>
                  <w:r>
                    <w:rPr>
                      <w:rFonts w:hint="eastAsia"/>
                      <w:color w:val="000000" w:themeColor="text1"/>
                      <w:szCs w:val="21"/>
                      <w14:textFill>
                        <w14:solidFill>
                          <w14:schemeClr w14:val="tx1"/>
                        </w14:solidFill>
                      </w14:textFill>
                    </w:rPr>
                    <w:t>；</w:t>
                  </w:r>
                </w:p>
                <w:p>
                  <w:pPr>
                    <w:numPr>
                      <w:ilvl w:val="0"/>
                      <w:numId w:val="29"/>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确诊、疑似传染病或携带传染病病原体的产妇的胎盘。</w:t>
                  </w:r>
                </w:p>
              </w:tc>
              <w:tc>
                <w:tcPr>
                  <w:tcW w:w="3045" w:type="dxa"/>
                  <w:tcBorders>
                    <w:tl2br w:val="nil"/>
                    <w:tr2bl w:val="nil"/>
                  </w:tcBorders>
                  <w:vAlign w:val="center"/>
                </w:tcPr>
                <w:p>
                  <w:pPr>
                    <w:numPr>
                      <w:ilvl w:val="0"/>
                      <w:numId w:val="30"/>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收集于符合《医疗废物专用包装袋、容器和警示标志标准》</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HJ421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的医疗废物包装袋中</w:t>
                  </w:r>
                  <w:r>
                    <w:rPr>
                      <w:rFonts w:hint="eastAsia"/>
                      <w:color w:val="000000" w:themeColor="text1"/>
                      <w:szCs w:val="21"/>
                      <w14:textFill>
                        <w14:solidFill>
                          <w14:schemeClr w14:val="tx1"/>
                        </w14:solidFill>
                      </w14:textFill>
                    </w:rPr>
                    <w:t>；</w:t>
                  </w:r>
                </w:p>
                <w:p>
                  <w:pPr>
                    <w:numPr>
                      <w:ilvl w:val="0"/>
                      <w:numId w:val="30"/>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确诊、疑似传染病产妇或携带传染病病原体的产妇的胎盘应使用双层医疗废物包装袋盛装</w:t>
                  </w:r>
                  <w:r>
                    <w:rPr>
                      <w:rFonts w:hint="eastAsia"/>
                      <w:color w:val="000000" w:themeColor="text1"/>
                      <w:szCs w:val="21"/>
                      <w14:textFill>
                        <w14:solidFill>
                          <w14:schemeClr w14:val="tx1"/>
                        </w14:solidFill>
                      </w14:textFill>
                    </w:rPr>
                    <w:t>；</w:t>
                  </w:r>
                </w:p>
                <w:p>
                  <w:pPr>
                    <w:numPr>
                      <w:ilvl w:val="0"/>
                      <w:numId w:val="30"/>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可进行防腐或者低温保存。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1216" w:hRule="atLeast"/>
                <w:jc w:val="center"/>
              </w:trPr>
              <w:tc>
                <w:tcPr>
                  <w:tcW w:w="666" w:type="dxa"/>
                  <w:tcBorders>
                    <w:tl2br w:val="nil"/>
                    <w:tr2bl w:val="nil"/>
                  </w:tcBorders>
                  <w:vAlign w:val="center"/>
                </w:tcPr>
                <w:p>
                  <w:pPr>
                    <w:spacing w:before="24" w:beforeLines="10" w:after="24" w:afterLines="1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药物性废物</w:t>
                  </w:r>
                </w:p>
              </w:tc>
              <w:tc>
                <w:tcPr>
                  <w:tcW w:w="1297" w:type="dxa"/>
                  <w:tcBorders>
                    <w:tl2br w:val="nil"/>
                    <w:tr2bl w:val="nil"/>
                  </w:tcBorders>
                  <w:vAlign w:val="center"/>
                </w:tcPr>
                <w:p>
                  <w:p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过期、淘汰、变质或者被污染的废弃的药品。</w:t>
                  </w:r>
                </w:p>
              </w:tc>
              <w:tc>
                <w:tcPr>
                  <w:tcW w:w="3390" w:type="dxa"/>
                  <w:tcBorders>
                    <w:tl2br w:val="nil"/>
                    <w:tr2bl w:val="nil"/>
                  </w:tcBorders>
                  <w:vAlign w:val="center"/>
                </w:tcPr>
                <w:p>
                  <w:pPr>
                    <w:numPr>
                      <w:ilvl w:val="0"/>
                      <w:numId w:val="31"/>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废弃的一般性药物</w:t>
                  </w:r>
                  <w:r>
                    <w:rPr>
                      <w:rFonts w:hint="eastAsia"/>
                      <w:color w:val="000000" w:themeColor="text1"/>
                      <w:szCs w:val="21"/>
                      <w14:textFill>
                        <w14:solidFill>
                          <w14:schemeClr w14:val="tx1"/>
                        </w14:solidFill>
                      </w14:textFill>
                    </w:rPr>
                    <w:t>；</w:t>
                  </w:r>
                </w:p>
                <w:p>
                  <w:pPr>
                    <w:numPr>
                      <w:ilvl w:val="0"/>
                      <w:numId w:val="31"/>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废弃的细胞毒性药物和遗传毒性药物</w:t>
                  </w:r>
                  <w:r>
                    <w:rPr>
                      <w:rFonts w:hint="eastAsia"/>
                      <w:color w:val="000000" w:themeColor="text1"/>
                      <w:szCs w:val="21"/>
                      <w14:textFill>
                        <w14:solidFill>
                          <w14:schemeClr w14:val="tx1"/>
                        </w14:solidFill>
                      </w14:textFill>
                    </w:rPr>
                    <w:t>；</w:t>
                  </w:r>
                </w:p>
                <w:p>
                  <w:pPr>
                    <w:numPr>
                      <w:ilvl w:val="0"/>
                      <w:numId w:val="31"/>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废弃的疫苗及血液制品。</w:t>
                  </w:r>
                </w:p>
              </w:tc>
              <w:tc>
                <w:tcPr>
                  <w:tcW w:w="3045" w:type="dxa"/>
                  <w:tcBorders>
                    <w:tl2br w:val="nil"/>
                    <w:tr2bl w:val="nil"/>
                  </w:tcBorders>
                  <w:vAlign w:val="center"/>
                </w:tcPr>
                <w:p>
                  <w:pPr>
                    <w:numPr>
                      <w:ilvl w:val="0"/>
                      <w:numId w:val="32"/>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少量的药物性废物可以并入感染性废物中，但应在标签中注明</w:t>
                  </w:r>
                  <w:r>
                    <w:rPr>
                      <w:rFonts w:hint="eastAsia"/>
                      <w:color w:val="000000" w:themeColor="text1"/>
                      <w:szCs w:val="21"/>
                      <w14:textFill>
                        <w14:solidFill>
                          <w14:schemeClr w14:val="tx1"/>
                        </w14:solidFill>
                      </w14:textFill>
                    </w:rPr>
                    <w:t>；</w:t>
                  </w:r>
                </w:p>
                <w:p>
                  <w:pPr>
                    <w:numPr>
                      <w:ilvl w:val="0"/>
                      <w:numId w:val="32"/>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批量废弃的药物性废物，收集后应交由具备相应资质的医疗废物处置单位或者危险废物处置单位等进行处置。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1433" w:hRule="atLeast"/>
                <w:jc w:val="center"/>
              </w:trPr>
              <w:tc>
                <w:tcPr>
                  <w:tcW w:w="666" w:type="dxa"/>
                  <w:tcBorders>
                    <w:tl2br w:val="nil"/>
                    <w:tr2bl w:val="nil"/>
                  </w:tcBorders>
                  <w:vAlign w:val="center"/>
                </w:tcPr>
                <w:p>
                  <w:pPr>
                    <w:spacing w:before="24" w:beforeLines="10" w:after="24" w:afterLines="1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化学性废物</w:t>
                  </w:r>
                </w:p>
              </w:tc>
              <w:tc>
                <w:tcPr>
                  <w:tcW w:w="1297" w:type="dxa"/>
                  <w:tcBorders>
                    <w:tl2br w:val="nil"/>
                    <w:tr2bl w:val="nil"/>
                  </w:tcBorders>
                  <w:vAlign w:val="center"/>
                </w:tcPr>
                <w:p>
                  <w:p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具有毒性、腐蚀性、易燃性</w:t>
                  </w:r>
                  <w:r>
                    <w:rPr>
                      <w:rFonts w:hint="eastAsia"/>
                      <w:color w:val="000000" w:themeColor="text1"/>
                      <w:szCs w:val="21"/>
                      <w14:textFill>
                        <w14:solidFill>
                          <w14:schemeClr w14:val="tx1"/>
                        </w14:solidFill>
                      </w14:textFill>
                    </w:rPr>
                    <w:t>、反应性</w:t>
                  </w:r>
                  <w:r>
                    <w:rPr>
                      <w:color w:val="000000" w:themeColor="text1"/>
                      <w:szCs w:val="21"/>
                      <w14:textFill>
                        <w14:solidFill>
                          <w14:schemeClr w14:val="tx1"/>
                        </w14:solidFill>
                      </w14:textFill>
                    </w:rPr>
                    <w:t>的废弃的化学物品。</w:t>
                  </w:r>
                </w:p>
              </w:tc>
              <w:tc>
                <w:tcPr>
                  <w:tcW w:w="3390" w:type="dxa"/>
                  <w:tcBorders>
                    <w:tl2br w:val="nil"/>
                    <w:tr2bl w:val="nil"/>
                  </w:tcBorders>
                  <w:vAlign w:val="center"/>
                </w:tcPr>
                <w:p>
                  <w:p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列入《国家危险废物名录》中的废弃危险化学品，如甲醛、二甲苯等</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非特定行业来源的危险废物，如含汞血压计、含汞体温计，废弃的牙科汞合金材料及其残余物等。</w:t>
                  </w:r>
                </w:p>
              </w:tc>
              <w:tc>
                <w:tcPr>
                  <w:tcW w:w="3045" w:type="dxa"/>
                  <w:tcBorders>
                    <w:tl2br w:val="nil"/>
                    <w:tr2bl w:val="nil"/>
                  </w:tcBorders>
                  <w:vAlign w:val="center"/>
                </w:tcPr>
                <w:p>
                  <w:pPr>
                    <w:numPr>
                      <w:ilvl w:val="0"/>
                      <w:numId w:val="33"/>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收集于容器中，粘贴标签并注明主要成分</w:t>
                  </w:r>
                  <w:r>
                    <w:rPr>
                      <w:rFonts w:hint="eastAsia"/>
                      <w:color w:val="000000" w:themeColor="text1"/>
                      <w:szCs w:val="21"/>
                      <w14:textFill>
                        <w14:solidFill>
                          <w14:schemeClr w14:val="tx1"/>
                        </w14:solidFill>
                      </w14:textFill>
                    </w:rPr>
                    <w:t>；</w:t>
                  </w:r>
                </w:p>
                <w:p>
                  <w:pPr>
                    <w:numPr>
                      <w:ilvl w:val="0"/>
                      <w:numId w:val="33"/>
                    </w:numPr>
                    <w:spacing w:before="24" w:beforeLines="10" w:after="24" w:afterLines="10"/>
                    <w:rPr>
                      <w:color w:val="000000" w:themeColor="text1"/>
                      <w:szCs w:val="21"/>
                      <w14:textFill>
                        <w14:solidFill>
                          <w14:schemeClr w14:val="tx1"/>
                        </w14:solidFill>
                      </w14:textFill>
                    </w:rPr>
                  </w:pPr>
                  <w:r>
                    <w:rPr>
                      <w:color w:val="000000" w:themeColor="text1"/>
                      <w:szCs w:val="21"/>
                      <w14:textFill>
                        <w14:solidFill>
                          <w14:schemeClr w14:val="tx1"/>
                        </w14:solidFill>
                      </w14:textFill>
                    </w:rPr>
                    <w:t>收集后应交由具备相应资质的医疗废物处置单位或者危险废物处置单位等进行处置。</w:t>
                  </w:r>
                </w:p>
              </w:tc>
            </w:tr>
          </w:tbl>
          <w:p>
            <w:pPr>
              <w:spacing w:line="360" w:lineRule="auto"/>
              <w:ind w:firstLine="482"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2）医疗废物的产生量及处置措施</w:t>
            </w:r>
          </w:p>
          <w:p>
            <w:pPr>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根据建设单位提供资料，本项目建成后编制床位400床，年接诊约12000人次，妇产科年接诊约600人次，新生儿科年接诊约300人次，则日最大接待人数为35人.次/天。</w:t>
            </w:r>
          </w:p>
          <w:p>
            <w:pPr>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①住院病房医疗废物</w:t>
            </w:r>
          </w:p>
          <w:p>
            <w:pPr>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医疗废物产生量参考《第一次全国污染源普查城镇生活源产排污系数手册-第四分册：医院污染物产生、排放系数》医院医疗危险废物校核系数，项目运营期住院病人医疗废物产生量按0.53kg/床.d计，则项目住院病房医疗废物的产生量212kg/d、77.38t/a。</w:t>
            </w:r>
          </w:p>
          <w:p>
            <w:pPr>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②门诊医疗废物</w:t>
            </w:r>
          </w:p>
          <w:p>
            <w:pPr>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项目建成后经预测日最大接待人数为35人.次/天，门诊医疗废物产生量按0.1kg/人.次计，则项目门诊医疗废物产生量3.5kg/d、1.28t/a。</w:t>
            </w:r>
          </w:p>
          <w:p>
            <w:pPr>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综上，项目医疗废物产生量为215.5kg/d，78.66t/a。项目产生的医疗废物分类收集后暂存于医废暂存间，医废暂存间设置在住院综合楼南侧单独一层裙楼内，占地面积80m</w:t>
            </w:r>
            <w:r>
              <w:rPr>
                <w:rFonts w:hint="eastAsia"/>
                <w:color w:val="000000" w:themeColor="text1"/>
                <w:kern w:val="0"/>
                <w:sz w:val="24"/>
                <w:vertAlign w:val="superscript"/>
                <w:lang w:bidi="ar"/>
                <w14:textFill>
                  <w14:solidFill>
                    <w14:schemeClr w14:val="tx1"/>
                  </w14:solidFill>
                </w14:textFill>
              </w:rPr>
              <w:t>2</w:t>
            </w:r>
            <w:r>
              <w:rPr>
                <w:rFonts w:hint="eastAsia"/>
                <w:color w:val="000000" w:themeColor="text1"/>
                <w:kern w:val="0"/>
                <w:sz w:val="24"/>
                <w:lang w:bidi="ar"/>
                <w14:textFill>
                  <w14:solidFill>
                    <w14:schemeClr w14:val="tx1"/>
                  </w14:solidFill>
                </w14:textFill>
              </w:rPr>
              <w:t>，定期交相应资质单位处置，其中</w:t>
            </w:r>
            <w:r>
              <w:rPr>
                <w:rFonts w:hint="eastAsia"/>
                <w:color w:val="000000" w:themeColor="text1"/>
                <w:sz w:val="24"/>
                <w:szCs w:val="32"/>
                <w14:textFill>
                  <w14:solidFill>
                    <w14:schemeClr w14:val="tx1"/>
                  </w14:solidFill>
                </w14:textFill>
              </w:rPr>
              <w:t>感染性和损伤性废物定期交由达州佳境医疗废物处理有限公司外运处理，化学性和药物性废物经专用容器分类收集后，交由资质单位进行处理，病理性废物、死婴死胎定期交由宣汉县殡仪馆进行处置。</w:t>
            </w:r>
          </w:p>
          <w:p>
            <w:pPr>
              <w:numPr>
                <w:ilvl w:val="0"/>
                <w:numId w:val="24"/>
              </w:num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检验科</w:t>
            </w:r>
            <w:r>
              <w:rPr>
                <w:rFonts w:hint="eastAsia"/>
                <w:b/>
                <w:color w:val="000000" w:themeColor="text1"/>
                <w:kern w:val="0"/>
                <w:sz w:val="24"/>
                <w:lang w:val="en-US" w:eastAsia="zh-CN"/>
                <w14:textFill>
                  <w14:solidFill>
                    <w14:schemeClr w14:val="tx1"/>
                  </w14:solidFill>
                </w14:textFill>
              </w:rPr>
              <w:t>废液</w:t>
            </w:r>
          </w:p>
          <w:p>
            <w:pPr>
              <w:spacing w:line="360" w:lineRule="auto"/>
              <w:ind w:firstLine="480" w:firstLineChars="200"/>
              <w:rPr>
                <w:rFonts w:hint="eastAsia"/>
                <w:color w:val="000000" w:themeColor="text1"/>
                <w:kern w:val="0"/>
                <w:sz w:val="24"/>
                <w:lang w:val="en-US" w:eastAsia="zh-CN" w:bidi="ar"/>
                <w14:textFill>
                  <w14:solidFill>
                    <w14:schemeClr w14:val="tx1"/>
                  </w14:solidFill>
                </w14:textFill>
              </w:rPr>
            </w:pPr>
            <w:r>
              <w:rPr>
                <w:rFonts w:hint="eastAsia"/>
                <w:color w:val="000000" w:themeColor="text1"/>
                <w:kern w:val="0"/>
                <w:sz w:val="24"/>
                <w:lang w:val="en-US" w:eastAsia="zh-CN" w:bidi="ar"/>
                <w14:textFill>
                  <w14:solidFill>
                    <w14:schemeClr w14:val="tx1"/>
                  </w14:solidFill>
                </w14:textFill>
              </w:rPr>
              <w:t>本项目建成运营后一层设置有急诊检验科室，检验过程中产生的废弃样本、试剂盒等作为医废处置，废液作为特殊废水，因本项目主要对急诊人员进行检验，检验废液产生量约</w:t>
            </w:r>
            <w:r>
              <w:rPr>
                <w:rFonts w:hint="default"/>
                <w:color w:val="000000" w:themeColor="text1"/>
                <w:kern w:val="0"/>
                <w:sz w:val="24"/>
                <w:lang w:val="en-US" w:eastAsia="zh-CN" w:bidi="ar"/>
                <w14:textFill>
                  <w14:solidFill>
                    <w14:schemeClr w14:val="tx1"/>
                  </w14:solidFill>
                </w14:textFill>
              </w:rPr>
              <w:t>0.03m</w:t>
            </w:r>
            <w:r>
              <w:rPr>
                <w:rFonts w:hint="default"/>
                <w:color w:val="000000" w:themeColor="text1"/>
                <w:kern w:val="0"/>
                <w:sz w:val="24"/>
                <w:vertAlign w:val="superscript"/>
                <w:lang w:val="en-US" w:eastAsia="zh-CN" w:bidi="ar"/>
                <w14:textFill>
                  <w14:solidFill>
                    <w14:schemeClr w14:val="tx1"/>
                  </w14:solidFill>
                </w14:textFill>
              </w:rPr>
              <w:t>3</w:t>
            </w:r>
            <w:r>
              <w:rPr>
                <w:rFonts w:hint="default"/>
                <w:color w:val="000000" w:themeColor="text1"/>
                <w:kern w:val="0"/>
                <w:sz w:val="24"/>
                <w:lang w:val="en-US" w:eastAsia="zh-CN" w:bidi="ar"/>
                <w14:textFill>
                  <w14:solidFill>
                    <w14:schemeClr w14:val="tx1"/>
                  </w14:solidFill>
                </w14:textFill>
              </w:rPr>
              <w:t>/d</w:t>
            </w:r>
            <w:r>
              <w:rPr>
                <w:rFonts w:hint="eastAsia"/>
                <w:color w:val="000000" w:themeColor="text1"/>
                <w:kern w:val="0"/>
                <w:sz w:val="24"/>
                <w:lang w:val="en-US" w:eastAsia="zh-CN" w:bidi="ar"/>
                <w14:textFill>
                  <w14:solidFill>
                    <w14:schemeClr w14:val="tx1"/>
                  </w14:solidFill>
                </w14:textFill>
              </w:rPr>
              <w:t>，10.95</w:t>
            </w:r>
            <w:r>
              <w:rPr>
                <w:rFonts w:hint="default"/>
                <w:color w:val="000000" w:themeColor="text1"/>
                <w:kern w:val="0"/>
                <w:sz w:val="24"/>
                <w:lang w:val="en-US" w:eastAsia="zh-CN" w:bidi="ar"/>
                <w14:textFill>
                  <w14:solidFill>
                    <w14:schemeClr w14:val="tx1"/>
                  </w14:solidFill>
                </w14:textFill>
              </w:rPr>
              <w:t>m</w:t>
            </w:r>
            <w:r>
              <w:rPr>
                <w:rFonts w:hint="default"/>
                <w:color w:val="000000" w:themeColor="text1"/>
                <w:kern w:val="0"/>
                <w:sz w:val="24"/>
                <w:vertAlign w:val="superscript"/>
                <w:lang w:val="en-US" w:eastAsia="zh-CN" w:bidi="ar"/>
                <w14:textFill>
                  <w14:solidFill>
                    <w14:schemeClr w14:val="tx1"/>
                  </w14:solidFill>
                </w14:textFill>
              </w:rPr>
              <w:t>3</w:t>
            </w:r>
            <w:r>
              <w:rPr>
                <w:rFonts w:hint="default"/>
                <w:color w:val="000000" w:themeColor="text1"/>
                <w:kern w:val="0"/>
                <w:sz w:val="24"/>
                <w:lang w:val="en-US" w:eastAsia="zh-CN" w:bidi="ar"/>
                <w14:textFill>
                  <w14:solidFill>
                    <w14:schemeClr w14:val="tx1"/>
                  </w14:solidFill>
                </w14:textFill>
              </w:rPr>
              <w:t>/</w:t>
            </w:r>
            <w:r>
              <w:rPr>
                <w:rFonts w:hint="eastAsia"/>
                <w:color w:val="000000" w:themeColor="text1"/>
                <w:kern w:val="0"/>
                <w:sz w:val="24"/>
                <w:lang w:val="en-US" w:eastAsia="zh-CN" w:bidi="ar"/>
                <w14:textFill>
                  <w14:solidFill>
                    <w14:schemeClr w14:val="tx1"/>
                  </w14:solidFill>
                </w14:textFill>
              </w:rPr>
              <w:t>a。</w:t>
            </w:r>
          </w:p>
          <w:p>
            <w:pPr>
              <w:spacing w:line="360" w:lineRule="auto"/>
              <w:ind w:firstLine="480" w:firstLineChars="200"/>
              <w:rPr>
                <w:rFonts w:hint="eastAsia"/>
                <w:color w:val="000000" w:themeColor="text1"/>
                <w:kern w:val="0"/>
                <w:sz w:val="24"/>
                <w:lang w:bidi="ar"/>
                <w14:textFill>
                  <w14:solidFill>
                    <w14:schemeClr w14:val="tx1"/>
                  </w14:solidFill>
                </w14:textFill>
              </w:rPr>
            </w:pPr>
            <w:r>
              <w:rPr>
                <w:rFonts w:hint="eastAsia"/>
                <w:color w:val="000000" w:themeColor="text1"/>
                <w:kern w:val="0"/>
                <w:sz w:val="24"/>
                <w:lang w:val="en-US" w:eastAsia="zh-CN" w:bidi="ar"/>
                <w14:textFill>
                  <w14:solidFill>
                    <w14:schemeClr w14:val="tx1"/>
                  </w14:solidFill>
                </w14:textFill>
              </w:rPr>
              <w:t>治理措施：检验科室产生的检验废液采用专用容器分类收集后，暂存于医疗废物暂存间，委托资质单位处置。</w:t>
            </w:r>
          </w:p>
          <w:p>
            <w:pPr>
              <w:numPr>
                <w:ilvl w:val="0"/>
                <w:numId w:val="24"/>
              </w:num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污水处理站污泥</w:t>
            </w:r>
          </w:p>
          <w:p>
            <w:pPr>
              <w:spacing w:line="360" w:lineRule="auto"/>
              <w:ind w:firstLine="480" w:firstLineChars="200"/>
              <w:rPr>
                <w:rFonts w:hint="eastAsia"/>
                <w:color w:val="000000" w:themeColor="text1"/>
                <w:kern w:val="0"/>
                <w:sz w:val="24"/>
                <w:lang w:val="en-US" w:eastAsia="zh-CN" w:bidi="ar"/>
                <w14:textFill>
                  <w14:solidFill>
                    <w14:schemeClr w14:val="tx1"/>
                  </w14:solidFill>
                </w14:textFill>
              </w:rPr>
            </w:pPr>
            <w:r>
              <w:rPr>
                <w:rFonts w:hint="eastAsia"/>
                <w:color w:val="000000" w:themeColor="text1"/>
                <w:kern w:val="0"/>
                <w:sz w:val="24"/>
                <w:lang w:val="en-US" w:eastAsia="zh-CN" w:bidi="ar"/>
                <w14:textFill>
                  <w14:solidFill>
                    <w14:schemeClr w14:val="tx1"/>
                  </w14:solidFill>
                </w14:textFill>
              </w:rPr>
              <w:t>污水处理站污泥主要来自废水中微生物分解有机物的排泄物以及医院医务人员及住院患者的粪便，污水处理站污泥一般占污水处理量的0.2~0.5</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r>
              <w:rPr>
                <w:rFonts w:hint="eastAsia"/>
                <w:color w:val="000000" w:themeColor="text1"/>
                <w:kern w:val="0"/>
                <w:sz w:val="24"/>
                <w:lang w:val="en-US" w:eastAsia="zh-CN" w:bidi="ar"/>
                <w14:textFill>
                  <w14:solidFill>
                    <w14:schemeClr w14:val="tx1"/>
                  </w14:solidFill>
                </w14:textFill>
              </w:rPr>
              <w:t>，本评价按0.3</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r>
              <w:rPr>
                <w:rFonts w:hint="eastAsia"/>
                <w:color w:val="000000" w:themeColor="text1"/>
                <w:kern w:val="0"/>
                <w:sz w:val="24"/>
                <w:lang w:val="en-US" w:eastAsia="zh-CN" w:bidi="ar"/>
                <w14:textFill>
                  <w14:solidFill>
                    <w14:schemeClr w14:val="tx1"/>
                  </w14:solidFill>
                </w14:textFill>
              </w:rPr>
              <w:t>计；项目废水量120345.98m</w:t>
            </w:r>
            <w:r>
              <w:rPr>
                <w:rFonts w:hint="eastAsia"/>
                <w:color w:val="000000" w:themeColor="text1"/>
                <w:kern w:val="0"/>
                <w:sz w:val="24"/>
                <w:vertAlign w:val="superscript"/>
                <w:lang w:val="en-US" w:eastAsia="zh-CN" w:bidi="ar"/>
                <w14:textFill>
                  <w14:solidFill>
                    <w14:schemeClr w14:val="tx1"/>
                  </w14:solidFill>
                </w14:textFill>
              </w:rPr>
              <w:t>3</w:t>
            </w:r>
            <w:r>
              <w:rPr>
                <w:rFonts w:hint="eastAsia"/>
                <w:color w:val="000000" w:themeColor="text1"/>
                <w:kern w:val="0"/>
                <w:sz w:val="24"/>
                <w:lang w:val="en-US" w:eastAsia="zh-CN" w:bidi="ar"/>
                <w14:textFill>
                  <w14:solidFill>
                    <w14:schemeClr w14:val="tx1"/>
                  </w14:solidFill>
                </w14:textFill>
              </w:rPr>
              <w:t>/a，则污泥产生量约36.10t/a。</w:t>
            </w:r>
          </w:p>
          <w:p>
            <w:pPr>
              <w:spacing w:line="360" w:lineRule="auto"/>
              <w:ind w:firstLine="480" w:firstLineChars="200"/>
              <w:rPr>
                <w:rFonts w:hint="eastAsia"/>
                <w:color w:val="000000" w:themeColor="text1"/>
                <w:kern w:val="0"/>
                <w:sz w:val="24"/>
                <w:lang w:val="en-US" w:eastAsia="zh-CN" w:bidi="ar"/>
                <w14:textFill>
                  <w14:solidFill>
                    <w14:schemeClr w14:val="tx1"/>
                  </w14:solidFill>
                </w14:textFill>
              </w:rPr>
            </w:pPr>
            <w:r>
              <w:rPr>
                <w:rFonts w:hint="eastAsia"/>
                <w:color w:val="000000" w:themeColor="text1"/>
                <w:kern w:val="0"/>
                <w:sz w:val="24"/>
                <w:lang w:val="en-US" w:eastAsia="zh-CN" w:bidi="ar"/>
                <w14:textFill>
                  <w14:solidFill>
                    <w14:schemeClr w14:val="tx1"/>
                  </w14:solidFill>
                </w14:textFill>
              </w:rPr>
              <w:t>污水处理站污泥由于水中含有大量的病原微生物和寄生虫卵等，其中相当部分转移到了污泥中，根据《国家危险废物名录》（2021年版），污水处理站污泥未列入危险废物名录，但是从环境保护的角度出发，必须对污泥加强管理，在排放到外环境之前应经过无害化处理。</w:t>
            </w:r>
          </w:p>
          <w:p>
            <w:pPr>
              <w:spacing w:line="360" w:lineRule="auto"/>
              <w:ind w:firstLine="480" w:firstLineChars="200"/>
              <w:rPr>
                <w:rFonts w:hint="eastAsia"/>
                <w:color w:val="000000" w:themeColor="text1"/>
                <w:kern w:val="0"/>
                <w:sz w:val="24"/>
                <w:lang w:val="en-US" w:eastAsia="zh-CN" w:bidi="ar"/>
                <w14:textFill>
                  <w14:solidFill>
                    <w14:schemeClr w14:val="tx1"/>
                  </w14:solidFill>
                </w14:textFill>
              </w:rPr>
            </w:pPr>
            <w:r>
              <w:rPr>
                <w:rFonts w:hint="eastAsia"/>
                <w:color w:val="000000" w:themeColor="text1"/>
                <w:kern w:val="0"/>
                <w:sz w:val="24"/>
                <w:lang w:val="en-US" w:eastAsia="zh-CN" w:bidi="ar"/>
                <w14:textFill>
                  <w14:solidFill>
                    <w14:schemeClr w14:val="tx1"/>
                  </w14:solidFill>
                </w14:textFill>
              </w:rPr>
              <w:t>治理措施：本项目污水处理站产生的污泥委托有资质单位定期（一般情况为半年清掏一次）进行清掏处理，不在院区暂存处理。本次要求污泥清掏前采用氧化钙、含氯消毒剂或其它消毒剂进行灭菌消毒后再委托有资质单位清掏处置，污泥清掏前执行《医疗机构水污染物排放标准》中表4医疗机构污泥控制标准，并建立清掏台账。若自行处置污水处理站污泥需严格《医疗废物化学消毒集中处理工程技术规范》（HJ/T228-2021）相关规定要求设置污泥处理设施，并加强对污水处理站污泥的管理，建立台帐，做好标识等。</w:t>
            </w:r>
          </w:p>
          <w:p>
            <w:pPr>
              <w:spacing w:line="360" w:lineRule="auto"/>
              <w:ind w:firstLine="480" w:firstLineChars="200"/>
              <w:rPr>
                <w:rFonts w:hint="default" w:eastAsia="宋体"/>
                <w:color w:val="000000" w:themeColor="text1"/>
                <w:sz w:val="24"/>
                <w:szCs w:val="32"/>
                <w:lang w:val="en-US" w:eastAsia="zh-CN"/>
                <w14:textFill>
                  <w14:solidFill>
                    <w14:schemeClr w14:val="tx1"/>
                  </w14:solidFill>
                </w14:textFill>
              </w:rPr>
            </w:pPr>
            <w:r>
              <w:rPr>
                <w:rFonts w:hint="eastAsia"/>
                <w:color w:val="000000" w:themeColor="text1"/>
                <w:kern w:val="0"/>
                <w:sz w:val="24"/>
                <w:lang w:val="en-US" w:eastAsia="zh-CN" w:bidi="ar"/>
                <w14:textFill>
                  <w14:solidFill>
                    <w14:schemeClr w14:val="tx1"/>
                  </w14:solidFill>
                </w14:textFill>
              </w:rPr>
              <w:t>综上，</w:t>
            </w:r>
            <w:r>
              <w:rPr>
                <w:rFonts w:hint="eastAsia"/>
                <w:color w:val="000000" w:themeColor="text1"/>
                <w:kern w:val="0"/>
                <w:sz w:val="24"/>
                <w:lang w:bidi="ar"/>
                <w14:textFill>
                  <w14:solidFill>
                    <w14:schemeClr w14:val="tx1"/>
                  </w14:solidFill>
                </w14:textFill>
              </w:rPr>
              <w:t>本项目产生的医疗废物分类收集后暂存于医废暂存间，医废暂存间设置在住院综合楼南侧单独一层裙楼内，占地面积80m</w:t>
            </w:r>
            <w:r>
              <w:rPr>
                <w:rFonts w:hint="eastAsia"/>
                <w:color w:val="000000" w:themeColor="text1"/>
                <w:kern w:val="0"/>
                <w:sz w:val="24"/>
                <w:vertAlign w:val="superscript"/>
                <w:lang w:bidi="ar"/>
                <w14:textFill>
                  <w14:solidFill>
                    <w14:schemeClr w14:val="tx1"/>
                  </w14:solidFill>
                </w14:textFill>
              </w:rPr>
              <w:t>2</w:t>
            </w:r>
            <w:r>
              <w:rPr>
                <w:rFonts w:hint="eastAsia"/>
                <w:color w:val="000000" w:themeColor="text1"/>
                <w:kern w:val="0"/>
                <w:sz w:val="24"/>
                <w:lang w:bidi="ar"/>
                <w14:textFill>
                  <w14:solidFill>
                    <w14:schemeClr w14:val="tx1"/>
                  </w14:solidFill>
                </w14:textFill>
              </w:rPr>
              <w:t>，定期交相应资质单位处置，其中</w:t>
            </w:r>
            <w:r>
              <w:rPr>
                <w:rFonts w:hint="eastAsia"/>
                <w:color w:val="000000" w:themeColor="text1"/>
                <w:sz w:val="24"/>
                <w:szCs w:val="32"/>
                <w14:textFill>
                  <w14:solidFill>
                    <w14:schemeClr w14:val="tx1"/>
                  </w14:solidFill>
                </w14:textFill>
              </w:rPr>
              <w:t>感染性和损伤性废物定期交由达州佳境医疗废物处理有限公司外运处理，化学性和药物性废物经专用容器分类收集后，交由资质单位进行处理，病理性废物、死婴死胎定期交由宣汉县殡仪馆进行处置</w:t>
            </w:r>
            <w:r>
              <w:rPr>
                <w:rFonts w:hint="eastAsia"/>
                <w:color w:val="000000" w:themeColor="text1"/>
                <w:sz w:val="24"/>
                <w:szCs w:val="32"/>
                <w:lang w:eastAsia="zh-CN"/>
                <w14:textFill>
                  <w14:solidFill>
                    <w14:schemeClr w14:val="tx1"/>
                  </w14:solidFill>
                </w14:textFill>
              </w:rPr>
              <w:t>；检验室使用后的检验废液采用专用容器分类收集后，交资质单位处理；污水处理站污泥委托有资质单位定期清掏处理，不在院区暂存</w:t>
            </w:r>
            <w:r>
              <w:rPr>
                <w:rFonts w:hint="eastAsia"/>
                <w:color w:val="000000" w:themeColor="text1"/>
                <w:sz w:val="24"/>
                <w:szCs w:val="32"/>
                <w14:textFill>
                  <w14:solidFill>
                    <w14:schemeClr w14:val="tx1"/>
                  </w14:solidFill>
                </w14:textFill>
              </w:rPr>
              <w:t>。</w:t>
            </w:r>
            <w:r>
              <w:rPr>
                <w:rFonts w:hint="eastAsia"/>
                <w:color w:val="000000" w:themeColor="text1"/>
                <w:sz w:val="24"/>
                <w:szCs w:val="32"/>
                <w:lang w:val="en-US" w:eastAsia="zh-CN"/>
                <w14:textFill>
                  <w14:solidFill>
                    <w14:schemeClr w14:val="tx1"/>
                  </w14:solidFill>
                </w14:textFill>
              </w:rPr>
              <w:t>在采取上述措施后，各项固体污染物均得到妥善处理，不会出现二次污染，对周边环境影响较小。</w:t>
            </w:r>
          </w:p>
          <w:p>
            <w:pPr>
              <w:numPr>
                <w:ilvl w:val="0"/>
                <w:numId w:val="14"/>
              </w:numPr>
              <w:spacing w:line="36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项目固体废物产生及排放情况一览表</w:t>
            </w:r>
          </w:p>
          <w:tbl>
            <w:tblPr>
              <w:tblStyle w:val="23"/>
              <w:tblW w:w="853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66"/>
              <w:gridCol w:w="294"/>
              <w:gridCol w:w="502"/>
              <w:gridCol w:w="590"/>
              <w:gridCol w:w="1469"/>
              <w:gridCol w:w="669"/>
              <w:gridCol w:w="2221"/>
              <w:gridCol w:w="465"/>
              <w:gridCol w:w="836"/>
              <w:gridCol w:w="112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40" w:hRule="atLeast"/>
                <w:jc w:val="center"/>
              </w:trPr>
              <w:tc>
                <w:tcPr>
                  <w:tcW w:w="366" w:type="dxa"/>
                  <w:tcBorders>
                    <w:tl2br w:val="nil"/>
                    <w:tr2bl w:val="nil"/>
                  </w:tcBorders>
                  <w:vAlign w:val="center"/>
                </w:tcPr>
                <w:p>
                  <w:pPr>
                    <w:snapToGrid w:val="0"/>
                    <w:ind w:left="-42" w:right="-4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w:t>
                  </w:r>
                  <w:r>
                    <w:rPr>
                      <w:color w:val="000000" w:themeColor="text1"/>
                      <w:szCs w:val="21"/>
                      <w14:textFill>
                        <w14:solidFill>
                          <w14:schemeClr w14:val="tx1"/>
                        </w14:solidFill>
                      </w14:textFill>
                    </w:rPr>
                    <w:t>号</w:t>
                  </w:r>
                </w:p>
              </w:tc>
              <w:tc>
                <w:tcPr>
                  <w:tcW w:w="2855" w:type="dxa"/>
                  <w:gridSpan w:val="4"/>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固体废物性质、来源及名称</w:t>
                  </w:r>
                </w:p>
              </w:tc>
              <w:tc>
                <w:tcPr>
                  <w:tcW w:w="669" w:type="dxa"/>
                  <w:tcBorders>
                    <w:tl2br w:val="nil"/>
                    <w:tr2bl w:val="nil"/>
                  </w:tcBorders>
                  <w:vAlign w:val="center"/>
                </w:tcPr>
                <w:p>
                  <w:pPr>
                    <w:snapToGrid w:val="0"/>
                    <w:ind w:right="-4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产生量</w:t>
                  </w:r>
                </w:p>
                <w:p>
                  <w:pPr>
                    <w:snapToGrid w:val="0"/>
                    <w:ind w:right="-4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2221" w:type="dxa"/>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收集措施</w:t>
                  </w:r>
                </w:p>
              </w:tc>
              <w:tc>
                <w:tcPr>
                  <w:tcW w:w="465" w:type="dxa"/>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产废周期</w:t>
                  </w:r>
                </w:p>
              </w:tc>
              <w:tc>
                <w:tcPr>
                  <w:tcW w:w="836" w:type="dxa"/>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危险特性</w:t>
                  </w:r>
                </w:p>
              </w:tc>
              <w:tc>
                <w:tcPr>
                  <w:tcW w:w="1125" w:type="dxa"/>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处置措施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7" w:hRule="atLeast"/>
                <w:jc w:val="center"/>
              </w:trPr>
              <w:tc>
                <w:tcPr>
                  <w:tcW w:w="366" w:type="dxa"/>
                  <w:vMerge w:val="restart"/>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p>
                  <w:pPr>
                    <w:snapToGrid w:val="0"/>
                    <w:ind w:left="-42" w:right="-42"/>
                    <w:jc w:val="center"/>
                    <w:rPr>
                      <w:color w:val="000000" w:themeColor="text1"/>
                      <w:szCs w:val="21"/>
                      <w14:textFill>
                        <w14:solidFill>
                          <w14:schemeClr w14:val="tx1"/>
                        </w14:solidFill>
                      </w14:textFill>
                    </w:rPr>
                  </w:pPr>
                </w:p>
              </w:tc>
              <w:tc>
                <w:tcPr>
                  <w:tcW w:w="294" w:type="dxa"/>
                  <w:vMerge w:val="restart"/>
                  <w:tcBorders>
                    <w:tl2br w:val="nil"/>
                    <w:tr2bl w:val="nil"/>
                  </w:tcBorders>
                  <w:vAlign w:val="center"/>
                </w:tcPr>
                <w:p>
                  <w:pPr>
                    <w:snapToGrid w:val="0"/>
                    <w:ind w:left="-42" w:leftChars="0" w:right="-42"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医疗废物</w:t>
                  </w:r>
                </w:p>
              </w:tc>
              <w:tc>
                <w:tcPr>
                  <w:tcW w:w="502" w:type="dxa"/>
                  <w:tcBorders>
                    <w:bottom w:val="single" w:color="auto" w:sz="4" w:space="0"/>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841-001-01</w:t>
                  </w:r>
                </w:p>
              </w:tc>
              <w:tc>
                <w:tcPr>
                  <w:tcW w:w="590" w:type="dxa"/>
                  <w:tcBorders>
                    <w:bottom w:val="single" w:color="auto" w:sz="4" w:space="0"/>
                    <w:tl2br w:val="nil"/>
                    <w:tr2bl w:val="nil"/>
                  </w:tcBorders>
                  <w:vAlign w:val="center"/>
                </w:tcPr>
                <w:p>
                  <w:pPr>
                    <w:snapToGrid w:val="0"/>
                    <w:ind w:left="-42" w:right="-4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感染性废物</w:t>
                  </w:r>
                </w:p>
                <w:p>
                  <w:pPr>
                    <w:snapToGrid w:val="0"/>
                    <w:ind w:left="-42" w:right="-42"/>
                    <w:jc w:val="center"/>
                    <w:rPr>
                      <w:color w:val="000000" w:themeColor="text1"/>
                      <w:szCs w:val="21"/>
                      <w14:textFill>
                        <w14:solidFill>
                          <w14:schemeClr w14:val="tx1"/>
                        </w14:solidFill>
                      </w14:textFill>
                    </w:rPr>
                  </w:pPr>
                </w:p>
              </w:tc>
              <w:tc>
                <w:tcPr>
                  <w:tcW w:w="1469" w:type="dxa"/>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被患者污染的注射器、输液器等；</w:t>
                  </w:r>
                </w:p>
                <w:p>
                  <w:pPr>
                    <w:snapToGrid w:val="0"/>
                    <w:ind w:left="-42" w:right="-4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废弃的病原体培养基、标本和容器；隔离传染病患者或者疑似传染病患者产生的废弃物等</w:t>
                  </w:r>
                </w:p>
              </w:tc>
              <w:tc>
                <w:tcPr>
                  <w:tcW w:w="669" w:type="dxa"/>
                  <w:vMerge w:val="restart"/>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78.66</w:t>
                  </w:r>
                </w:p>
              </w:tc>
              <w:tc>
                <w:tcPr>
                  <w:tcW w:w="2221" w:type="dxa"/>
                  <w:tcBorders>
                    <w:tl2br w:val="nil"/>
                    <w:tr2bl w:val="nil"/>
                  </w:tcBorders>
                  <w:vAlign w:val="center"/>
                </w:tcPr>
                <w:p>
                  <w:pPr>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使用黄色塑料袋收集（在包装外加注感染性废物标识；塑料袋外应印制医疗废物警示标识）</w:t>
                  </w:r>
                </w:p>
              </w:tc>
              <w:tc>
                <w:tcPr>
                  <w:tcW w:w="465" w:type="dxa"/>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1d</w:t>
                  </w:r>
                </w:p>
              </w:tc>
              <w:tc>
                <w:tcPr>
                  <w:tcW w:w="836" w:type="dxa"/>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感染性</w:t>
                  </w:r>
                </w:p>
              </w:tc>
              <w:tc>
                <w:tcPr>
                  <w:tcW w:w="1125" w:type="dxa"/>
                  <w:vMerge w:val="restart"/>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分类收集经消毒、毁型后运至</w:t>
                  </w:r>
                  <w:r>
                    <w:rPr>
                      <w:rFonts w:hint="eastAsia"/>
                      <w:color w:val="000000" w:themeColor="text1"/>
                      <w:szCs w:val="21"/>
                      <w14:textFill>
                        <w14:solidFill>
                          <w14:schemeClr w14:val="tx1"/>
                        </w14:solidFill>
                      </w14:textFill>
                    </w:rPr>
                    <w:t>医废</w:t>
                  </w:r>
                  <w:r>
                    <w:rPr>
                      <w:color w:val="000000" w:themeColor="text1"/>
                      <w:szCs w:val="21"/>
                      <w14:textFill>
                        <w14:solidFill>
                          <w14:schemeClr w14:val="tx1"/>
                        </w14:solidFill>
                      </w14:textFill>
                    </w:rPr>
                    <w:t>暂存间暂存，定期交由</w:t>
                  </w:r>
                  <w:r>
                    <w:rPr>
                      <w:rFonts w:hint="eastAsia"/>
                      <w:color w:val="000000" w:themeColor="text1"/>
                      <w:szCs w:val="21"/>
                      <w14:textFill>
                        <w14:solidFill>
                          <w14:schemeClr w14:val="tx1"/>
                        </w14:solidFill>
                      </w14:textFill>
                    </w:rPr>
                    <w:t>达州佳境医疗废物处理有限公司外运处理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33" w:hRule="atLeast"/>
                <w:jc w:val="center"/>
              </w:trPr>
              <w:tc>
                <w:tcPr>
                  <w:tcW w:w="366" w:type="dxa"/>
                  <w:vMerge w:val="continue"/>
                  <w:tcBorders>
                    <w:tl2br w:val="nil"/>
                    <w:tr2bl w:val="nil"/>
                  </w:tcBorders>
                  <w:vAlign w:val="center"/>
                </w:tcPr>
                <w:p>
                  <w:pPr>
                    <w:snapToGrid w:val="0"/>
                    <w:ind w:left="-42" w:right="-42"/>
                    <w:jc w:val="center"/>
                    <w:rPr>
                      <w:color w:val="000000" w:themeColor="text1"/>
                      <w:szCs w:val="21"/>
                      <w14:textFill>
                        <w14:solidFill>
                          <w14:schemeClr w14:val="tx1"/>
                        </w14:solidFill>
                      </w14:textFill>
                    </w:rPr>
                  </w:pPr>
                </w:p>
              </w:tc>
              <w:tc>
                <w:tcPr>
                  <w:tcW w:w="294" w:type="dxa"/>
                  <w:vMerge w:val="continue"/>
                  <w:tcBorders>
                    <w:tl2br w:val="nil"/>
                    <w:tr2bl w:val="nil"/>
                  </w:tcBorders>
                  <w:vAlign w:val="center"/>
                </w:tcPr>
                <w:p>
                  <w:pPr>
                    <w:snapToGrid w:val="0"/>
                    <w:ind w:right="-42"/>
                    <w:jc w:val="center"/>
                    <w:rPr>
                      <w:color w:val="000000" w:themeColor="text1"/>
                      <w:szCs w:val="21"/>
                      <w14:textFill>
                        <w14:solidFill>
                          <w14:schemeClr w14:val="tx1"/>
                        </w14:solidFill>
                      </w14:textFill>
                    </w:rPr>
                  </w:pPr>
                </w:p>
              </w:tc>
              <w:tc>
                <w:tcPr>
                  <w:tcW w:w="502" w:type="dxa"/>
                  <w:tcBorders>
                    <w:top w:val="single" w:color="auto" w:sz="4" w:space="0"/>
                    <w:bottom w:val="single" w:color="auto" w:sz="4" w:space="0"/>
                    <w:tl2br w:val="nil"/>
                    <w:tr2bl w:val="nil"/>
                  </w:tcBorders>
                  <w:vAlign w:val="center"/>
                </w:tcPr>
                <w:p>
                  <w:pPr>
                    <w:snapToGrid w:val="0"/>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841-002-01</w:t>
                  </w:r>
                </w:p>
              </w:tc>
              <w:tc>
                <w:tcPr>
                  <w:tcW w:w="590" w:type="dxa"/>
                  <w:tcBorders>
                    <w:top w:val="single" w:color="auto" w:sz="4" w:space="0"/>
                    <w:bottom w:val="single" w:color="auto" w:sz="4" w:space="0"/>
                    <w:tl2br w:val="nil"/>
                    <w:tr2bl w:val="nil"/>
                  </w:tcBorders>
                  <w:vAlign w:val="center"/>
                </w:tcPr>
                <w:p>
                  <w:pPr>
                    <w:snapToGrid w:val="0"/>
                    <w:ind w:left="-42" w:right="-4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损伤性废物</w:t>
                  </w:r>
                </w:p>
              </w:tc>
              <w:tc>
                <w:tcPr>
                  <w:tcW w:w="1469" w:type="dxa"/>
                  <w:tcBorders>
                    <w:bottom w:val="single" w:color="auto" w:sz="4" w:space="0"/>
                    <w:tl2br w:val="nil"/>
                    <w:tr2bl w:val="nil"/>
                  </w:tcBorders>
                  <w:vAlign w:val="center"/>
                </w:tcPr>
                <w:p>
                  <w:pPr>
                    <w:snapToGrid w:val="0"/>
                    <w:ind w:left="-42" w:right="-4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废弃的如针头、缝合针、解剖刀、手术刀、载玻片、玻璃安瓿等锐器</w:t>
                  </w:r>
                </w:p>
              </w:tc>
              <w:tc>
                <w:tcPr>
                  <w:tcW w:w="669" w:type="dxa"/>
                  <w:vMerge w:val="continue"/>
                  <w:tcBorders>
                    <w:tl2br w:val="nil"/>
                    <w:tr2bl w:val="nil"/>
                  </w:tcBorders>
                  <w:vAlign w:val="center"/>
                </w:tcPr>
                <w:p>
                  <w:pPr>
                    <w:snapToGrid w:val="0"/>
                    <w:ind w:left="-42" w:right="-42"/>
                    <w:jc w:val="center"/>
                    <w:rPr>
                      <w:color w:val="000000" w:themeColor="text1"/>
                      <w:szCs w:val="21"/>
                      <w14:textFill>
                        <w14:solidFill>
                          <w14:schemeClr w14:val="tx1"/>
                        </w14:solidFill>
                      </w14:textFill>
                    </w:rPr>
                  </w:pPr>
                </w:p>
              </w:tc>
              <w:tc>
                <w:tcPr>
                  <w:tcW w:w="2221" w:type="dxa"/>
                  <w:tcBorders>
                    <w:tl2br w:val="nil"/>
                    <w:tr2bl w:val="nil"/>
                  </w:tcBorders>
                  <w:vAlign w:val="center"/>
                </w:tcPr>
                <w:p>
                  <w:pPr>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使用黄色利器盒收集（在盒体侧面注明</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损伤性废物</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；利器盒上应印制医疗废物警示标识）</w:t>
                  </w:r>
                </w:p>
              </w:tc>
              <w:tc>
                <w:tcPr>
                  <w:tcW w:w="465" w:type="dxa"/>
                  <w:tcBorders>
                    <w:tl2br w:val="nil"/>
                    <w:tr2bl w:val="nil"/>
                  </w:tcBorders>
                  <w:vAlign w:val="center"/>
                </w:tcPr>
                <w:p>
                  <w:pPr>
                    <w:snapToGrid w:val="0"/>
                    <w:ind w:left="-42" w:right="-4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1d</w:t>
                  </w:r>
                </w:p>
              </w:tc>
              <w:tc>
                <w:tcPr>
                  <w:tcW w:w="836" w:type="dxa"/>
                  <w:tcBorders>
                    <w:bottom w:val="single" w:color="auto" w:sz="4" w:space="0"/>
                    <w:tl2br w:val="nil"/>
                    <w:tr2bl w:val="nil"/>
                  </w:tcBorders>
                  <w:vAlign w:val="center"/>
                </w:tcPr>
                <w:p>
                  <w:pPr>
                    <w:snapToGrid w:val="0"/>
                    <w:ind w:left="-42" w:right="-42"/>
                    <w:rPr>
                      <w:color w:val="000000" w:themeColor="text1"/>
                      <w:szCs w:val="21"/>
                      <w14:textFill>
                        <w14:solidFill>
                          <w14:schemeClr w14:val="tx1"/>
                        </w14:solidFill>
                      </w14:textFill>
                    </w:rPr>
                  </w:pPr>
                  <w:r>
                    <w:rPr>
                      <w:color w:val="000000" w:themeColor="text1"/>
                      <w:szCs w:val="21"/>
                      <w14:textFill>
                        <w14:solidFill>
                          <w14:schemeClr w14:val="tx1"/>
                        </w14:solidFill>
                      </w14:textFill>
                    </w:rPr>
                    <w:t>感染性</w:t>
                  </w:r>
                </w:p>
              </w:tc>
              <w:tc>
                <w:tcPr>
                  <w:tcW w:w="1125" w:type="dxa"/>
                  <w:vMerge w:val="continue"/>
                  <w:tcBorders>
                    <w:bottom w:val="single" w:color="auto" w:sz="4" w:space="0"/>
                    <w:tl2br w:val="nil"/>
                    <w:tr2bl w:val="nil"/>
                  </w:tcBorders>
                  <w:vAlign w:val="center"/>
                </w:tcPr>
                <w:p>
                  <w:pPr>
                    <w:snapToGrid w:val="0"/>
                    <w:ind w:left="-42" w:right="-42"/>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7" w:hRule="atLeast"/>
                <w:jc w:val="center"/>
              </w:trPr>
              <w:tc>
                <w:tcPr>
                  <w:tcW w:w="366" w:type="dxa"/>
                  <w:vMerge w:val="continue"/>
                  <w:tcBorders>
                    <w:tl2br w:val="nil"/>
                    <w:tr2bl w:val="nil"/>
                  </w:tcBorders>
                  <w:vAlign w:val="center"/>
                </w:tcPr>
                <w:p>
                  <w:pPr>
                    <w:snapToGrid w:val="0"/>
                    <w:ind w:left="-42" w:right="-42"/>
                    <w:jc w:val="center"/>
                    <w:rPr>
                      <w:color w:val="000000" w:themeColor="text1"/>
                      <w:szCs w:val="21"/>
                      <w14:textFill>
                        <w14:solidFill>
                          <w14:schemeClr w14:val="tx1"/>
                        </w14:solidFill>
                      </w14:textFill>
                    </w:rPr>
                  </w:pPr>
                </w:p>
              </w:tc>
              <w:tc>
                <w:tcPr>
                  <w:tcW w:w="294" w:type="dxa"/>
                  <w:vMerge w:val="continue"/>
                  <w:tcBorders>
                    <w:tl2br w:val="nil"/>
                    <w:tr2bl w:val="nil"/>
                  </w:tcBorders>
                  <w:vAlign w:val="center"/>
                </w:tcPr>
                <w:p>
                  <w:pPr>
                    <w:snapToGrid w:val="0"/>
                    <w:ind w:right="-42"/>
                    <w:jc w:val="center"/>
                    <w:rPr>
                      <w:color w:val="000000" w:themeColor="text1"/>
                      <w:szCs w:val="21"/>
                      <w14:textFill>
                        <w14:solidFill>
                          <w14:schemeClr w14:val="tx1"/>
                        </w14:solidFill>
                      </w14:textFill>
                    </w:rPr>
                  </w:pPr>
                </w:p>
              </w:tc>
              <w:tc>
                <w:tcPr>
                  <w:tcW w:w="502" w:type="dxa"/>
                  <w:tcBorders>
                    <w:top w:val="single" w:color="auto" w:sz="4" w:space="0"/>
                    <w:bottom w:val="single" w:color="auto" w:sz="4" w:space="0"/>
                    <w:tl2br w:val="nil"/>
                    <w:tr2bl w:val="nil"/>
                  </w:tcBorders>
                  <w:vAlign w:val="center"/>
                </w:tcPr>
                <w:p>
                  <w:pPr>
                    <w:snapToGrid w:val="0"/>
                    <w:ind w:left="-42" w:right="-4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841-003-01</w:t>
                  </w:r>
                </w:p>
              </w:tc>
              <w:tc>
                <w:tcPr>
                  <w:tcW w:w="590" w:type="dxa"/>
                  <w:tcBorders>
                    <w:top w:val="single" w:color="auto" w:sz="4" w:space="0"/>
                    <w:bottom w:val="single" w:color="auto" w:sz="4" w:space="0"/>
                    <w:tl2br w:val="nil"/>
                    <w:tr2bl w:val="nil"/>
                  </w:tcBorders>
                  <w:vAlign w:val="center"/>
                </w:tcPr>
                <w:p>
                  <w:pPr>
                    <w:snapToGrid w:val="0"/>
                    <w:ind w:left="-42" w:right="-4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病理性废物</w:t>
                  </w:r>
                </w:p>
              </w:tc>
              <w:tc>
                <w:tcPr>
                  <w:tcW w:w="1469" w:type="dxa"/>
                  <w:tcBorders>
                    <w:top w:val="single" w:color="auto" w:sz="4" w:space="0"/>
                    <w:tl2br w:val="nil"/>
                    <w:tr2bl w:val="nil"/>
                  </w:tcBorders>
                  <w:vAlign w:val="center"/>
                </w:tcPr>
                <w:p>
                  <w:pPr>
                    <w:snapToGrid w:val="0"/>
                    <w:ind w:left="-42" w:right="-4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手术及其他医学服务过程中产生的废弃的人体组织、器官等</w:t>
                  </w:r>
                </w:p>
              </w:tc>
              <w:tc>
                <w:tcPr>
                  <w:tcW w:w="669" w:type="dxa"/>
                  <w:vMerge w:val="continue"/>
                  <w:tcBorders>
                    <w:tl2br w:val="nil"/>
                    <w:tr2bl w:val="nil"/>
                  </w:tcBorders>
                  <w:vAlign w:val="center"/>
                </w:tcPr>
                <w:p>
                  <w:pPr>
                    <w:snapToGrid w:val="0"/>
                    <w:ind w:left="-42" w:right="-42"/>
                    <w:jc w:val="center"/>
                    <w:rPr>
                      <w:color w:val="000000" w:themeColor="text1"/>
                      <w:szCs w:val="21"/>
                      <w14:textFill>
                        <w14:solidFill>
                          <w14:schemeClr w14:val="tx1"/>
                        </w14:solidFill>
                      </w14:textFill>
                    </w:rPr>
                  </w:pPr>
                </w:p>
              </w:tc>
              <w:tc>
                <w:tcPr>
                  <w:tcW w:w="2221" w:type="dxa"/>
                  <w:tcBorders>
                    <w:bottom w:val="single" w:color="auto" w:sz="4" w:space="0"/>
                    <w:tl2br w:val="nil"/>
                    <w:tr2bl w:val="nil"/>
                  </w:tcBorders>
                  <w:vAlign w:val="center"/>
                </w:tcPr>
                <w:p>
                  <w:pPr>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使用黄色塑料袋收集冷藏（塑料袋外应印制医疗危险废物警示标识）</w:t>
                  </w:r>
                </w:p>
              </w:tc>
              <w:tc>
                <w:tcPr>
                  <w:tcW w:w="465" w:type="dxa"/>
                  <w:tcBorders>
                    <w:bottom w:val="single" w:color="auto" w:sz="4" w:space="0"/>
                    <w:tl2br w:val="nil"/>
                    <w:tr2bl w:val="nil"/>
                  </w:tcBorders>
                  <w:vAlign w:val="center"/>
                </w:tcPr>
                <w:p>
                  <w:pPr>
                    <w:snapToGrid w:val="0"/>
                    <w:ind w:left="-42" w:right="-4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1d</w:t>
                  </w:r>
                </w:p>
              </w:tc>
              <w:tc>
                <w:tcPr>
                  <w:tcW w:w="836" w:type="dxa"/>
                  <w:tcBorders>
                    <w:top w:val="single" w:color="auto" w:sz="4" w:space="0"/>
                    <w:bottom w:val="single" w:color="auto" w:sz="4" w:space="0"/>
                    <w:tl2br w:val="nil"/>
                    <w:tr2bl w:val="nil"/>
                  </w:tcBorders>
                  <w:vAlign w:val="center"/>
                </w:tcPr>
                <w:p>
                  <w:pPr>
                    <w:snapToGrid w:val="0"/>
                    <w:ind w:left="-42" w:right="-42"/>
                    <w:rPr>
                      <w:color w:val="000000" w:themeColor="text1"/>
                      <w:szCs w:val="21"/>
                      <w14:textFill>
                        <w14:solidFill>
                          <w14:schemeClr w14:val="tx1"/>
                        </w14:solidFill>
                      </w14:textFill>
                    </w:rPr>
                  </w:pPr>
                  <w:r>
                    <w:rPr>
                      <w:color w:val="000000" w:themeColor="text1"/>
                      <w:szCs w:val="21"/>
                      <w14:textFill>
                        <w14:solidFill>
                          <w14:schemeClr w14:val="tx1"/>
                        </w14:solidFill>
                      </w14:textFill>
                    </w:rPr>
                    <w:t>感染性</w:t>
                  </w:r>
                </w:p>
              </w:tc>
              <w:tc>
                <w:tcPr>
                  <w:tcW w:w="1125" w:type="dxa"/>
                  <w:tcBorders>
                    <w:top w:val="single" w:color="auto" w:sz="4" w:space="0"/>
                    <w:bottom w:val="single" w:color="auto" w:sz="4" w:space="0"/>
                    <w:tl2br w:val="nil"/>
                    <w:tr2bl w:val="nil"/>
                  </w:tcBorders>
                  <w:vAlign w:val="center"/>
                </w:tcPr>
                <w:p>
                  <w:pPr>
                    <w:snapToGrid w:val="0"/>
                    <w:ind w:left="-42" w:right="-4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经消毒、毁型后运至医废暂存间暂存，定期交由宣汉县殡仪馆进行处置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52" w:hRule="atLeast"/>
                <w:jc w:val="center"/>
              </w:trPr>
              <w:tc>
                <w:tcPr>
                  <w:tcW w:w="366" w:type="dxa"/>
                  <w:vMerge w:val="continue"/>
                  <w:tcBorders>
                    <w:tl2br w:val="nil"/>
                    <w:tr2bl w:val="nil"/>
                  </w:tcBorders>
                  <w:vAlign w:val="center"/>
                </w:tcPr>
                <w:p>
                  <w:pPr>
                    <w:snapToGrid w:val="0"/>
                    <w:ind w:left="-42" w:right="-42"/>
                    <w:jc w:val="center"/>
                    <w:rPr>
                      <w:color w:val="000000" w:themeColor="text1"/>
                      <w:szCs w:val="21"/>
                      <w14:textFill>
                        <w14:solidFill>
                          <w14:schemeClr w14:val="tx1"/>
                        </w14:solidFill>
                      </w14:textFill>
                    </w:rPr>
                  </w:pPr>
                </w:p>
              </w:tc>
              <w:tc>
                <w:tcPr>
                  <w:tcW w:w="294" w:type="dxa"/>
                  <w:vMerge w:val="continue"/>
                  <w:tcBorders>
                    <w:tl2br w:val="nil"/>
                    <w:tr2bl w:val="nil"/>
                  </w:tcBorders>
                  <w:vAlign w:val="center"/>
                </w:tcPr>
                <w:p>
                  <w:pPr>
                    <w:snapToGrid w:val="0"/>
                    <w:ind w:right="-42"/>
                    <w:jc w:val="center"/>
                    <w:rPr>
                      <w:color w:val="000000" w:themeColor="text1"/>
                      <w:szCs w:val="21"/>
                      <w14:textFill>
                        <w14:solidFill>
                          <w14:schemeClr w14:val="tx1"/>
                        </w14:solidFill>
                      </w14:textFill>
                    </w:rPr>
                  </w:pPr>
                </w:p>
              </w:tc>
              <w:tc>
                <w:tcPr>
                  <w:tcW w:w="502" w:type="dxa"/>
                  <w:tcBorders>
                    <w:top w:val="single" w:color="auto" w:sz="4" w:space="0"/>
                    <w:tl2br w:val="nil"/>
                    <w:tr2bl w:val="nil"/>
                  </w:tcBorders>
                  <w:vAlign w:val="center"/>
                </w:tcPr>
                <w:p>
                  <w:pPr>
                    <w:snapToGrid w:val="0"/>
                    <w:ind w:left="-42" w:right="-4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841-004-01</w:t>
                  </w:r>
                </w:p>
              </w:tc>
              <w:tc>
                <w:tcPr>
                  <w:tcW w:w="590" w:type="dxa"/>
                  <w:tcBorders>
                    <w:top w:val="single" w:color="auto" w:sz="4" w:space="0"/>
                    <w:tl2br w:val="nil"/>
                    <w:tr2bl w:val="nil"/>
                  </w:tcBorders>
                  <w:vAlign w:val="center"/>
                </w:tcPr>
                <w:p>
                  <w:pPr>
                    <w:snapToGrid w:val="0"/>
                    <w:ind w:left="-42" w:right="-4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化学性废物</w:t>
                  </w:r>
                </w:p>
              </w:tc>
              <w:tc>
                <w:tcPr>
                  <w:tcW w:w="1469" w:type="dxa"/>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废弃的化学试剂、汞温度计、汞血压计等</w:t>
                  </w:r>
                </w:p>
              </w:tc>
              <w:tc>
                <w:tcPr>
                  <w:tcW w:w="669" w:type="dxa"/>
                  <w:vMerge w:val="continue"/>
                  <w:tcBorders>
                    <w:tl2br w:val="nil"/>
                    <w:tr2bl w:val="nil"/>
                  </w:tcBorders>
                  <w:vAlign w:val="center"/>
                </w:tcPr>
                <w:p>
                  <w:pPr>
                    <w:snapToGrid w:val="0"/>
                    <w:ind w:left="-42" w:right="-42"/>
                    <w:jc w:val="center"/>
                    <w:rPr>
                      <w:color w:val="000000" w:themeColor="text1"/>
                      <w:szCs w:val="21"/>
                      <w14:textFill>
                        <w14:solidFill>
                          <w14:schemeClr w14:val="tx1"/>
                        </w14:solidFill>
                      </w14:textFill>
                    </w:rPr>
                  </w:pPr>
                </w:p>
              </w:tc>
              <w:tc>
                <w:tcPr>
                  <w:tcW w:w="2221" w:type="dxa"/>
                  <w:tcBorders>
                    <w:top w:val="single" w:color="auto" w:sz="4" w:space="0"/>
                    <w:tl2br w:val="nil"/>
                    <w:tr2bl w:val="nil"/>
                  </w:tcBorders>
                  <w:vAlign w:val="center"/>
                </w:tcPr>
                <w:p>
                  <w:pPr>
                    <w:snapToGrid w:val="0"/>
                    <w:ind w:left="-42" w:right="-4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使用黄色塑料袋收集（塑料袋外应印制医疗废物警示标识）</w:t>
                  </w:r>
                </w:p>
              </w:tc>
              <w:tc>
                <w:tcPr>
                  <w:tcW w:w="465" w:type="dxa"/>
                  <w:tcBorders>
                    <w:top w:val="single" w:color="auto" w:sz="4" w:space="0"/>
                    <w:tl2br w:val="nil"/>
                    <w:tr2bl w:val="nil"/>
                  </w:tcBorders>
                  <w:vAlign w:val="center"/>
                </w:tcPr>
                <w:p>
                  <w:pPr>
                    <w:snapToGrid w:val="0"/>
                    <w:ind w:left="-42" w:right="-4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1d</w:t>
                  </w:r>
                </w:p>
              </w:tc>
              <w:tc>
                <w:tcPr>
                  <w:tcW w:w="836" w:type="dxa"/>
                  <w:tcBorders>
                    <w:top w:val="single" w:color="auto" w:sz="4" w:space="0"/>
                    <w:tl2br w:val="nil"/>
                    <w:tr2bl w:val="nil"/>
                  </w:tcBorders>
                  <w:vAlign w:val="center"/>
                </w:tcPr>
                <w:p>
                  <w:pPr>
                    <w:snapToGrid w:val="0"/>
                    <w:ind w:left="-42" w:right="-4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毒性、腐蚀性、易燃性、反应性</w:t>
                  </w:r>
                </w:p>
              </w:tc>
              <w:tc>
                <w:tcPr>
                  <w:tcW w:w="1125" w:type="dxa"/>
                  <w:tcBorders>
                    <w:top w:val="single" w:color="auto" w:sz="4" w:space="0"/>
                    <w:tl2br w:val="nil"/>
                    <w:tr2bl w:val="nil"/>
                  </w:tcBorders>
                  <w:vAlign w:val="center"/>
                </w:tcPr>
                <w:p>
                  <w:pPr>
                    <w:snapToGrid w:val="0"/>
                    <w:ind w:left="-42" w:right="-4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分类收集交由资质单位处置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36" w:hRule="atLeast"/>
                <w:jc w:val="center"/>
              </w:trPr>
              <w:tc>
                <w:tcPr>
                  <w:tcW w:w="366" w:type="dxa"/>
                  <w:vMerge w:val="continue"/>
                  <w:tcBorders>
                    <w:tl2br w:val="nil"/>
                    <w:tr2bl w:val="nil"/>
                  </w:tcBorders>
                  <w:vAlign w:val="center"/>
                </w:tcPr>
                <w:p>
                  <w:pPr>
                    <w:snapToGrid w:val="0"/>
                    <w:ind w:left="-42" w:right="-42"/>
                    <w:rPr>
                      <w:color w:val="000000" w:themeColor="text1"/>
                      <w:szCs w:val="21"/>
                      <w14:textFill>
                        <w14:solidFill>
                          <w14:schemeClr w14:val="tx1"/>
                        </w14:solidFill>
                      </w14:textFill>
                    </w:rPr>
                  </w:pPr>
                </w:p>
              </w:tc>
              <w:tc>
                <w:tcPr>
                  <w:tcW w:w="294" w:type="dxa"/>
                  <w:vMerge w:val="continue"/>
                  <w:tcBorders>
                    <w:tl2br w:val="nil"/>
                    <w:tr2bl w:val="nil"/>
                  </w:tcBorders>
                  <w:vAlign w:val="center"/>
                </w:tcPr>
                <w:p>
                  <w:pPr>
                    <w:snapToGrid w:val="0"/>
                    <w:ind w:right="-42"/>
                    <w:rPr>
                      <w:color w:val="000000" w:themeColor="text1"/>
                      <w:szCs w:val="21"/>
                      <w14:textFill>
                        <w14:solidFill>
                          <w14:schemeClr w14:val="tx1"/>
                        </w14:solidFill>
                      </w14:textFill>
                    </w:rPr>
                  </w:pPr>
                </w:p>
              </w:tc>
              <w:tc>
                <w:tcPr>
                  <w:tcW w:w="502" w:type="dxa"/>
                  <w:tcBorders>
                    <w:tl2br w:val="nil"/>
                    <w:tr2bl w:val="nil"/>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841-005-01</w:t>
                  </w:r>
                </w:p>
              </w:tc>
              <w:tc>
                <w:tcPr>
                  <w:tcW w:w="590" w:type="dxa"/>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药物性废物</w:t>
                  </w:r>
                </w:p>
              </w:tc>
              <w:tc>
                <w:tcPr>
                  <w:tcW w:w="1469" w:type="dxa"/>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过期药品</w:t>
                  </w:r>
                </w:p>
              </w:tc>
              <w:tc>
                <w:tcPr>
                  <w:tcW w:w="669" w:type="dxa"/>
                  <w:vMerge w:val="continue"/>
                  <w:tcBorders>
                    <w:tl2br w:val="nil"/>
                    <w:tr2bl w:val="nil"/>
                  </w:tcBorders>
                  <w:vAlign w:val="center"/>
                </w:tcPr>
                <w:p>
                  <w:pPr>
                    <w:snapToGrid w:val="0"/>
                    <w:ind w:right="-42"/>
                    <w:jc w:val="center"/>
                    <w:rPr>
                      <w:color w:val="000000" w:themeColor="text1"/>
                      <w:szCs w:val="21"/>
                      <w14:textFill>
                        <w14:solidFill>
                          <w14:schemeClr w14:val="tx1"/>
                        </w14:solidFill>
                      </w14:textFill>
                    </w:rPr>
                  </w:pPr>
                </w:p>
              </w:tc>
              <w:tc>
                <w:tcPr>
                  <w:tcW w:w="2221" w:type="dxa"/>
                  <w:tcBorders>
                    <w:tl2br w:val="nil"/>
                    <w:tr2bl w:val="nil"/>
                  </w:tcBorders>
                  <w:vAlign w:val="center"/>
                </w:tcPr>
                <w:p>
                  <w:pPr>
                    <w:snapToGrid w:val="0"/>
                    <w:ind w:left="-42" w:right="-42"/>
                    <w:rPr>
                      <w:color w:val="000000" w:themeColor="text1"/>
                      <w:szCs w:val="21"/>
                      <w14:textFill>
                        <w14:solidFill>
                          <w14:schemeClr w14:val="tx1"/>
                        </w14:solidFill>
                      </w14:textFill>
                    </w:rPr>
                  </w:pPr>
                  <w:r>
                    <w:rPr>
                      <w:color w:val="000000" w:themeColor="text1"/>
                      <w:szCs w:val="21"/>
                      <w14:textFill>
                        <w14:solidFill>
                          <w14:schemeClr w14:val="tx1"/>
                        </w14:solidFill>
                      </w14:textFill>
                    </w:rPr>
                    <w:t>集中登记贮存、使用黄色塑料袋收集（塑料袋外应印制医疗废物警示标识）</w:t>
                  </w:r>
                </w:p>
              </w:tc>
              <w:tc>
                <w:tcPr>
                  <w:tcW w:w="465" w:type="dxa"/>
                  <w:tcBorders>
                    <w:tl2br w:val="nil"/>
                    <w:tr2bl w:val="nil"/>
                  </w:tcBorders>
                  <w:vAlign w:val="center"/>
                </w:tcPr>
                <w:p>
                  <w:pPr>
                    <w:snapToGrid w:val="0"/>
                    <w:ind w:left="-42" w:right="-4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1d</w:t>
                  </w:r>
                </w:p>
              </w:tc>
              <w:tc>
                <w:tcPr>
                  <w:tcW w:w="836" w:type="dxa"/>
                  <w:tcBorders>
                    <w:tl2br w:val="nil"/>
                    <w:tr2bl w:val="nil"/>
                  </w:tcBorders>
                  <w:vAlign w:val="center"/>
                </w:tcPr>
                <w:p>
                  <w:pPr>
                    <w:snapToGrid w:val="0"/>
                    <w:ind w:left="-42" w:right="-4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w:t>
                  </w:r>
                </w:p>
              </w:tc>
              <w:tc>
                <w:tcPr>
                  <w:tcW w:w="1125" w:type="dxa"/>
                  <w:tcBorders>
                    <w:tl2br w:val="nil"/>
                    <w:tr2bl w:val="nil"/>
                  </w:tcBorders>
                  <w:vAlign w:val="center"/>
                </w:tcPr>
                <w:p>
                  <w:pPr>
                    <w:snapToGrid w:val="0"/>
                    <w:ind w:left="-42" w:right="-42"/>
                    <w:rPr>
                      <w:color w:val="000000" w:themeColor="text1"/>
                      <w:szCs w:val="21"/>
                      <w14:textFill>
                        <w14:solidFill>
                          <w14:schemeClr w14:val="tx1"/>
                        </w14:solidFill>
                      </w14:textFill>
                    </w:rPr>
                  </w:pPr>
                  <w:r>
                    <w:rPr>
                      <w:color w:val="000000" w:themeColor="text1"/>
                      <w:szCs w:val="21"/>
                      <w14:textFill>
                        <w14:solidFill>
                          <w14:schemeClr w14:val="tx1"/>
                        </w14:solidFill>
                      </w14:textFill>
                    </w:rPr>
                    <w:t>上报药检部门，在监督下</w:t>
                  </w:r>
                  <w:r>
                    <w:rPr>
                      <w:rFonts w:hint="eastAsia"/>
                      <w:color w:val="000000" w:themeColor="text1"/>
                      <w:szCs w:val="21"/>
                      <w14:textFill>
                        <w14:solidFill>
                          <w14:schemeClr w14:val="tx1"/>
                        </w14:solidFill>
                      </w14:textFill>
                    </w:rPr>
                    <w:t>交由资质单位处置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36" w:hRule="atLeast"/>
                <w:jc w:val="center"/>
              </w:trPr>
              <w:tc>
                <w:tcPr>
                  <w:tcW w:w="366" w:type="dxa"/>
                  <w:tcBorders>
                    <w:tl2br w:val="nil"/>
                    <w:tr2bl w:val="nil"/>
                  </w:tcBorders>
                  <w:vAlign w:val="center"/>
                </w:tcPr>
                <w:p>
                  <w:pPr>
                    <w:snapToGrid w:val="0"/>
                    <w:ind w:left="-42" w:right="-42"/>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796" w:type="dxa"/>
                  <w:gridSpan w:val="2"/>
                  <w:tcBorders>
                    <w:tl2br w:val="nil"/>
                    <w:tr2bl w:val="nil"/>
                  </w:tcBorders>
                  <w:vAlign w:val="center"/>
                </w:tcPr>
                <w:p>
                  <w:pPr>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危险废物</w:t>
                  </w:r>
                </w:p>
              </w:tc>
              <w:tc>
                <w:tcPr>
                  <w:tcW w:w="2059" w:type="dxa"/>
                  <w:gridSpan w:val="2"/>
                  <w:tcBorders>
                    <w:tl2br w:val="nil"/>
                    <w:tr2bl w:val="nil"/>
                  </w:tcBorders>
                  <w:vAlign w:val="center"/>
                </w:tcPr>
                <w:p>
                  <w:pPr>
                    <w:snapToGrid w:val="0"/>
                    <w:ind w:left="-42" w:right="-42"/>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检验废液</w:t>
                  </w:r>
                </w:p>
              </w:tc>
              <w:tc>
                <w:tcPr>
                  <w:tcW w:w="669" w:type="dxa"/>
                  <w:tcBorders>
                    <w:tl2br w:val="nil"/>
                    <w:tr2bl w:val="nil"/>
                  </w:tcBorders>
                  <w:vAlign w:val="center"/>
                </w:tcPr>
                <w:p>
                  <w:pPr>
                    <w:snapToGrid w:val="0"/>
                    <w:ind w:left="-42" w:right="-42"/>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10.95</w:t>
                  </w:r>
                </w:p>
              </w:tc>
              <w:tc>
                <w:tcPr>
                  <w:tcW w:w="2221" w:type="dxa"/>
                  <w:tcBorders>
                    <w:tl2br w:val="nil"/>
                    <w:tr2bl w:val="nil"/>
                  </w:tcBorders>
                  <w:vAlign w:val="center"/>
                </w:tcPr>
                <w:p>
                  <w:pPr>
                    <w:snapToGrid w:val="0"/>
                    <w:ind w:left="-42" w:right="-42"/>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分类收集后暂存于医废暂存间</w:t>
                  </w:r>
                </w:p>
              </w:tc>
              <w:tc>
                <w:tcPr>
                  <w:tcW w:w="465" w:type="dxa"/>
                  <w:tcBorders>
                    <w:tl2br w:val="nil"/>
                    <w:tr2bl w:val="nil"/>
                  </w:tcBorders>
                  <w:vAlign w:val="center"/>
                </w:tcPr>
                <w:p>
                  <w:pPr>
                    <w:snapToGrid w:val="0"/>
                    <w:ind w:left="-42" w:right="-42"/>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1d</w:t>
                  </w:r>
                </w:p>
              </w:tc>
              <w:tc>
                <w:tcPr>
                  <w:tcW w:w="836" w:type="dxa"/>
                  <w:tcBorders>
                    <w:tl2br w:val="nil"/>
                    <w:tr2bl w:val="nil"/>
                  </w:tcBorders>
                  <w:vAlign w:val="center"/>
                </w:tcPr>
                <w:p>
                  <w:pPr>
                    <w:snapToGrid w:val="0"/>
                    <w:ind w:left="-42" w:right="-42"/>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毒性、腐蚀性、易燃性、反应性</w:t>
                  </w:r>
                </w:p>
              </w:tc>
              <w:tc>
                <w:tcPr>
                  <w:tcW w:w="1125" w:type="dxa"/>
                  <w:tcBorders>
                    <w:tl2br w:val="nil"/>
                    <w:tr2bl w:val="nil"/>
                  </w:tcBorders>
                  <w:vAlign w:val="center"/>
                </w:tcPr>
                <w:p>
                  <w:pPr>
                    <w:snapToGrid w:val="0"/>
                    <w:ind w:left="-42" w:right="-4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分类收集交由资质单位处置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36" w:hRule="atLeast"/>
                <w:jc w:val="center"/>
              </w:trPr>
              <w:tc>
                <w:tcPr>
                  <w:tcW w:w="366" w:type="dxa"/>
                  <w:tcBorders>
                    <w:tl2br w:val="nil"/>
                    <w:tr2bl w:val="nil"/>
                  </w:tcBorders>
                  <w:vAlign w:val="center"/>
                </w:tcPr>
                <w:p>
                  <w:pPr>
                    <w:snapToGrid w:val="0"/>
                    <w:ind w:left="-42" w:right="-42"/>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796" w:type="dxa"/>
                  <w:gridSpan w:val="2"/>
                  <w:tcBorders>
                    <w:tl2br w:val="nil"/>
                    <w:tr2bl w:val="nil"/>
                  </w:tcBorders>
                  <w:vAlign w:val="center"/>
                </w:tcPr>
                <w:p>
                  <w:pPr>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危险废物</w:t>
                  </w:r>
                </w:p>
              </w:tc>
              <w:tc>
                <w:tcPr>
                  <w:tcW w:w="2059" w:type="dxa"/>
                  <w:gridSpan w:val="2"/>
                  <w:tcBorders>
                    <w:tl2br w:val="nil"/>
                    <w:tr2bl w:val="nil"/>
                  </w:tcBorders>
                  <w:vAlign w:val="center"/>
                </w:tcPr>
                <w:p>
                  <w:pPr>
                    <w:snapToGrid w:val="0"/>
                    <w:ind w:left="-42" w:leftChars="0" w:right="-42" w:rightChars="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污水处理站污泥</w:t>
                  </w:r>
                </w:p>
              </w:tc>
              <w:tc>
                <w:tcPr>
                  <w:tcW w:w="669" w:type="dxa"/>
                  <w:tcBorders>
                    <w:tl2br w:val="nil"/>
                    <w:tr2bl w:val="nil"/>
                  </w:tcBorders>
                  <w:vAlign w:val="center"/>
                </w:tcPr>
                <w:p>
                  <w:pPr>
                    <w:snapToGrid w:val="0"/>
                    <w:ind w:left="-42" w:right="-42"/>
                    <w:jc w:val="center"/>
                    <w:rPr>
                      <w:rFonts w:hint="eastAsia"/>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36.10</w:t>
                  </w:r>
                </w:p>
              </w:tc>
              <w:tc>
                <w:tcPr>
                  <w:tcW w:w="2221" w:type="dxa"/>
                  <w:tcBorders>
                    <w:tl2br w:val="nil"/>
                    <w:tr2bl w:val="nil"/>
                  </w:tcBorders>
                  <w:vAlign w:val="center"/>
                </w:tcPr>
                <w:p>
                  <w:pPr>
                    <w:snapToGrid w:val="0"/>
                    <w:ind w:left="-42" w:right="-4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委托有资质单位对污水处理系统产生的污泥定期清掏处理，不在院区暂存处理</w:t>
                  </w:r>
                </w:p>
              </w:tc>
              <w:tc>
                <w:tcPr>
                  <w:tcW w:w="465" w:type="dxa"/>
                  <w:tcBorders>
                    <w:tl2br w:val="nil"/>
                    <w:tr2bl w:val="nil"/>
                  </w:tcBorders>
                  <w:vAlign w:val="center"/>
                </w:tcPr>
                <w:p>
                  <w:pPr>
                    <w:snapToGrid w:val="0"/>
                    <w:ind w:left="-42" w:right="-42"/>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半年</w:t>
                  </w:r>
                </w:p>
              </w:tc>
              <w:tc>
                <w:tcPr>
                  <w:tcW w:w="836" w:type="dxa"/>
                  <w:tcBorders>
                    <w:tl2br w:val="nil"/>
                    <w:tr2bl w:val="nil"/>
                  </w:tcBorders>
                  <w:vAlign w:val="center"/>
                </w:tcPr>
                <w:p>
                  <w:pPr>
                    <w:snapToGrid w:val="0"/>
                    <w:ind w:left="-42" w:right="-42"/>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毒性、</w:t>
                  </w:r>
                  <w:r>
                    <w:rPr>
                      <w:color w:val="000000" w:themeColor="text1"/>
                      <w:szCs w:val="21"/>
                      <w14:textFill>
                        <w14:solidFill>
                          <w14:schemeClr w14:val="tx1"/>
                        </w14:solidFill>
                      </w14:textFill>
                    </w:rPr>
                    <w:t>感染性</w:t>
                  </w:r>
                </w:p>
              </w:tc>
              <w:tc>
                <w:tcPr>
                  <w:tcW w:w="1125" w:type="dxa"/>
                  <w:tcBorders>
                    <w:tl2br w:val="nil"/>
                    <w:tr2bl w:val="nil"/>
                  </w:tcBorders>
                  <w:vAlign w:val="center"/>
                </w:tcPr>
                <w:p>
                  <w:pPr>
                    <w:snapToGrid w:val="0"/>
                    <w:ind w:left="-42" w:right="-4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由资质单位</w:t>
                  </w:r>
                  <w:r>
                    <w:rPr>
                      <w:rFonts w:hint="eastAsia"/>
                      <w:color w:val="000000" w:themeColor="text1"/>
                      <w:szCs w:val="21"/>
                      <w:lang w:val="en-US" w:eastAsia="zh-CN"/>
                      <w14:textFill>
                        <w14:solidFill>
                          <w14:schemeClr w14:val="tx1"/>
                        </w14:solidFill>
                      </w14:textFill>
                    </w:rPr>
                    <w:t>定期清掏</w:t>
                  </w:r>
                  <w:r>
                    <w:rPr>
                      <w:rFonts w:hint="eastAsia"/>
                      <w:color w:val="000000" w:themeColor="text1"/>
                      <w:szCs w:val="21"/>
                      <w14:textFill>
                        <w14:solidFill>
                          <w14:schemeClr w14:val="tx1"/>
                        </w14:solidFill>
                      </w14:textFill>
                    </w:rPr>
                    <w:t>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7" w:hRule="atLeast"/>
                <w:jc w:val="center"/>
              </w:trPr>
              <w:tc>
                <w:tcPr>
                  <w:tcW w:w="366" w:type="dxa"/>
                  <w:vMerge w:val="restart"/>
                  <w:tcBorders>
                    <w:tl2br w:val="nil"/>
                    <w:tr2bl w:val="nil"/>
                  </w:tcBorders>
                  <w:vAlign w:val="center"/>
                </w:tcPr>
                <w:p>
                  <w:pPr>
                    <w:snapToGrid w:val="0"/>
                    <w:ind w:left="-42" w:right="-42"/>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796" w:type="dxa"/>
                  <w:gridSpan w:val="2"/>
                  <w:vMerge w:val="restart"/>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w:t>
                  </w:r>
                  <w:r>
                    <w:rPr>
                      <w:color w:val="000000" w:themeColor="text1"/>
                      <w:szCs w:val="21"/>
                      <w14:textFill>
                        <w14:solidFill>
                          <w14:schemeClr w14:val="tx1"/>
                        </w14:solidFill>
                      </w14:textFill>
                    </w:rPr>
                    <w:t>固废</w:t>
                  </w:r>
                </w:p>
              </w:tc>
              <w:tc>
                <w:tcPr>
                  <w:tcW w:w="2059" w:type="dxa"/>
                  <w:gridSpan w:val="2"/>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669" w:type="dxa"/>
                  <w:tcBorders>
                    <w:tl2br w:val="nil"/>
                    <w:tr2bl w:val="nil"/>
                  </w:tcBorders>
                  <w:vAlign w:val="center"/>
                </w:tcPr>
                <w:p>
                  <w:pPr>
                    <w:snapToGrid w:val="0"/>
                    <w:ind w:left="-42" w:right="-42"/>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239.81</w:t>
                  </w:r>
                </w:p>
              </w:tc>
              <w:tc>
                <w:tcPr>
                  <w:tcW w:w="2221" w:type="dxa"/>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垃圾桶收集，暂存在医院内生活垃圾收集点</w:t>
                  </w:r>
                </w:p>
              </w:tc>
              <w:tc>
                <w:tcPr>
                  <w:tcW w:w="465" w:type="dxa"/>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1d</w:t>
                  </w:r>
                </w:p>
              </w:tc>
              <w:tc>
                <w:tcPr>
                  <w:tcW w:w="836" w:type="dxa"/>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25" w:type="dxa"/>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交环卫部门处置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86" w:hRule="atLeast"/>
                <w:jc w:val="center"/>
              </w:trPr>
              <w:tc>
                <w:tcPr>
                  <w:tcW w:w="366" w:type="dxa"/>
                  <w:vMerge w:val="continue"/>
                  <w:tcBorders>
                    <w:tl2br w:val="nil"/>
                    <w:tr2bl w:val="nil"/>
                  </w:tcBorders>
                  <w:vAlign w:val="center"/>
                </w:tcPr>
                <w:p>
                  <w:pPr>
                    <w:snapToGrid w:val="0"/>
                    <w:ind w:left="-42" w:right="-42"/>
                    <w:jc w:val="center"/>
                    <w:rPr>
                      <w:color w:val="000000" w:themeColor="text1"/>
                      <w:szCs w:val="21"/>
                      <w14:textFill>
                        <w14:solidFill>
                          <w14:schemeClr w14:val="tx1"/>
                        </w14:solidFill>
                      </w14:textFill>
                    </w:rPr>
                  </w:pPr>
                </w:p>
              </w:tc>
              <w:tc>
                <w:tcPr>
                  <w:tcW w:w="796" w:type="dxa"/>
                  <w:gridSpan w:val="2"/>
                  <w:vMerge w:val="continue"/>
                  <w:tcBorders>
                    <w:tl2br w:val="nil"/>
                    <w:tr2bl w:val="nil"/>
                  </w:tcBorders>
                  <w:vAlign w:val="center"/>
                </w:tcPr>
                <w:p>
                  <w:pPr>
                    <w:snapToGrid w:val="0"/>
                    <w:ind w:left="-42" w:right="-42"/>
                    <w:jc w:val="center"/>
                    <w:rPr>
                      <w:color w:val="000000" w:themeColor="text1"/>
                      <w:szCs w:val="21"/>
                      <w14:textFill>
                        <w14:solidFill>
                          <w14:schemeClr w14:val="tx1"/>
                        </w14:solidFill>
                      </w14:textFill>
                    </w:rPr>
                  </w:pPr>
                </w:p>
              </w:tc>
              <w:tc>
                <w:tcPr>
                  <w:tcW w:w="2059" w:type="dxa"/>
                  <w:gridSpan w:val="2"/>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未感染的输液瓶（袋）</w:t>
                  </w:r>
                </w:p>
              </w:tc>
              <w:tc>
                <w:tcPr>
                  <w:tcW w:w="669" w:type="dxa"/>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2221" w:type="dxa"/>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分类收集后暂存于医废暂存间</w:t>
                  </w:r>
                </w:p>
              </w:tc>
              <w:tc>
                <w:tcPr>
                  <w:tcW w:w="465" w:type="dxa"/>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1d</w:t>
                  </w:r>
                </w:p>
              </w:tc>
              <w:tc>
                <w:tcPr>
                  <w:tcW w:w="836" w:type="dxa"/>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25" w:type="dxa"/>
                  <w:tcBorders>
                    <w:tl2br w:val="nil"/>
                    <w:tr2bl w:val="nil"/>
                  </w:tcBorders>
                  <w:vAlign w:val="center"/>
                </w:tcPr>
                <w:p>
                  <w:pPr>
                    <w:snapToGrid w:val="0"/>
                    <w:ind w:left="-42" w:right="-4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交由重庆春字医用输液瓶回收有限公司通川分公司处理</w:t>
                  </w:r>
                </w:p>
              </w:tc>
            </w:tr>
          </w:tbl>
          <w:p>
            <w:pPr>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综上，项目对各类固废均得到妥善处置，不会对当地环境质量造成不利影响。</w:t>
            </w:r>
          </w:p>
          <w:p>
            <w:pPr>
              <w:numPr>
                <w:ilvl w:val="0"/>
                <w:numId w:val="17"/>
              </w:num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地下水环境保护措施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按照《建设项目影响报告表编制技术指南（污染影响类）》（试行），本项目不涉及集中式饮用水水源和热水、矿泉水、温泉等特殊地下水资源保护区，故可不开展地下水评价。本次地下水分析仅分析污染物源、污染途径及防控措施。</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本项目危废暂存间、化粪池，在不采取防渗措施情况下可能发生废水下渗对地下水造成污染。</w:t>
            </w:r>
          </w:p>
          <w:p>
            <w:pPr>
              <w:spacing w:line="360" w:lineRule="auto"/>
              <w:ind w:firstLine="482" w:firstLineChars="200"/>
              <w:rPr>
                <w:rFonts w:eastAsiaTheme="majorEastAsia"/>
                <w:b/>
                <w:bCs/>
                <w:color w:val="000000" w:themeColor="text1"/>
                <w:sz w:val="24"/>
                <w14:textFill>
                  <w14:solidFill>
                    <w14:schemeClr w14:val="tx1"/>
                  </w14:solidFill>
                </w14:textFill>
              </w:rPr>
            </w:pPr>
            <w:r>
              <w:rPr>
                <w:rFonts w:eastAsiaTheme="majorEastAsia"/>
                <w:b/>
                <w:bCs/>
                <w:color w:val="000000" w:themeColor="text1"/>
                <w:sz w:val="24"/>
                <w14:textFill>
                  <w14:solidFill>
                    <w14:schemeClr w14:val="tx1"/>
                  </w14:solidFill>
                </w14:textFill>
              </w:rPr>
              <w:t>防治措施：</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本项目为确保项目废水不对地下水产生影响，将对本项目进行分区防渗。防渗分区参照《环境影响评价技术导则 地下水环境》（HJ610-2016）结合本项目实际，</w:t>
            </w:r>
            <w:r>
              <w:rPr>
                <w:color w:val="000000" w:themeColor="text1"/>
                <w:sz w:val="24"/>
                <w14:textFill>
                  <w14:solidFill>
                    <w14:schemeClr w14:val="tx1"/>
                  </w14:solidFill>
                </w14:textFill>
              </w:rPr>
              <w:t>项目地下水污染防治措施主要为：</w:t>
            </w:r>
          </w:p>
          <w:p>
            <w:pPr>
              <w:numPr>
                <w:ilvl w:val="0"/>
                <w:numId w:val="34"/>
              </w:num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按照“源头控制、分区控制、污染监控、应急响应”的主动与被动防渗相结合的防渗原则，做好防止和减少“跑、冒、滴、漏”等源头防污措施</w:t>
            </w:r>
            <w:r>
              <w:rPr>
                <w:rFonts w:hint="eastAsia"/>
                <w:color w:val="000000" w:themeColor="text1"/>
                <w:sz w:val="24"/>
                <w14:textFill>
                  <w14:solidFill>
                    <w14:schemeClr w14:val="tx1"/>
                  </w14:solidFill>
                </w14:textFill>
              </w:rPr>
              <w:t>，将本项目分为</w:t>
            </w:r>
            <w:r>
              <w:rPr>
                <w:rFonts w:hint="eastAsia"/>
                <w:color w:val="000000" w:themeColor="text1"/>
                <w:sz w:val="24"/>
                <w:lang w:val="en-US" w:eastAsia="zh-CN"/>
                <w14:textFill>
                  <w14:solidFill>
                    <w14:schemeClr w14:val="tx1"/>
                  </w14:solidFill>
                </w14:textFill>
              </w:rPr>
              <w:t>简单防渗区、</w:t>
            </w:r>
            <w:r>
              <w:rPr>
                <w:rFonts w:hint="eastAsia"/>
                <w:color w:val="000000" w:themeColor="text1"/>
                <w:sz w:val="24"/>
                <w14:textFill>
                  <w14:solidFill>
                    <w14:schemeClr w14:val="tx1"/>
                  </w14:solidFill>
                </w14:textFill>
              </w:rPr>
              <w:t>一般防渗区和重点防渗区。</w:t>
            </w:r>
          </w:p>
          <w:p>
            <w:pPr>
              <w:numPr>
                <w:ilvl w:val="0"/>
                <w:numId w:val="34"/>
              </w:num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简单</w:t>
            </w:r>
            <w:r>
              <w:rPr>
                <w:color w:val="000000" w:themeColor="text1"/>
                <w:sz w:val="24"/>
                <w14:textFill>
                  <w14:solidFill>
                    <w14:schemeClr w14:val="tx1"/>
                  </w14:solidFill>
                </w14:textFill>
              </w:rPr>
              <w:t>防渗区：项目运营期医院</w:t>
            </w:r>
            <w:r>
              <w:rPr>
                <w:rFonts w:hint="eastAsia"/>
                <w:color w:val="000000" w:themeColor="text1"/>
                <w:sz w:val="24"/>
                <w:lang w:val="en-US" w:eastAsia="zh-CN"/>
                <w14:textFill>
                  <w14:solidFill>
                    <w14:schemeClr w14:val="tx1"/>
                  </w14:solidFill>
                </w14:textFill>
              </w:rPr>
              <w:t>内部道路</w:t>
            </w:r>
            <w:r>
              <w:rPr>
                <w:color w:val="000000" w:themeColor="text1"/>
                <w:sz w:val="24"/>
                <w14:textFill>
                  <w14:solidFill>
                    <w14:schemeClr w14:val="tx1"/>
                  </w14:solidFill>
                </w14:textFill>
              </w:rPr>
              <w:t>采用</w:t>
            </w:r>
            <w:r>
              <w:rPr>
                <w:rFonts w:hint="eastAsia"/>
                <w:color w:val="000000" w:themeColor="text1"/>
                <w:sz w:val="24"/>
                <w:lang w:val="en-US" w:eastAsia="zh-CN"/>
                <w14:textFill>
                  <w14:solidFill>
                    <w14:schemeClr w14:val="tx1"/>
                  </w14:solidFill>
                </w14:textFill>
              </w:rPr>
              <w:t>一般</w:t>
            </w:r>
            <w:r>
              <w:rPr>
                <w:color w:val="000000" w:themeColor="text1"/>
                <w:sz w:val="24"/>
                <w14:textFill>
                  <w14:solidFill>
                    <w14:schemeClr w14:val="tx1"/>
                  </w14:solidFill>
                </w14:textFill>
              </w:rPr>
              <w:t>硬化处理，进行简单防渗。</w:t>
            </w:r>
          </w:p>
          <w:p>
            <w:pPr>
              <w:numPr>
                <w:ilvl w:val="0"/>
                <w:numId w:val="34"/>
              </w:numPr>
              <w:spacing w:line="360" w:lineRule="auto"/>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一般防渗区：项目运营期医院地面全部采用水泥硬化处理，</w:t>
            </w:r>
            <w:r>
              <w:rPr>
                <w:rFonts w:hint="eastAsia"/>
                <w:color w:val="000000" w:themeColor="text1"/>
                <w:sz w:val="24"/>
                <w:lang w:val="en-US" w:eastAsia="zh-CN"/>
                <w14:textFill>
                  <w14:solidFill>
                    <w14:schemeClr w14:val="tx1"/>
                  </w14:solidFill>
                </w14:textFill>
              </w:rPr>
              <w:t>需满足</w:t>
            </w:r>
            <w:r>
              <w:rPr>
                <w:rFonts w:hint="eastAsia"/>
                <w:color w:val="000000" w:themeColor="text1"/>
                <w:sz w:val="24"/>
                <w14:textFill>
                  <w14:solidFill>
                    <w14:schemeClr w14:val="tx1"/>
                  </w14:solidFill>
                </w14:textFill>
              </w:rPr>
              <w:t>等效黏土防渗层Mb≥1.5m，K≤</w:t>
            </w:r>
            <w:r>
              <w:rPr>
                <w:color w:val="000000" w:themeColor="text1"/>
                <w:sz w:val="24"/>
                <w14:textFill>
                  <w14:solidFill>
                    <w14:schemeClr w14:val="tx1"/>
                  </w14:solidFill>
                </w14:textFill>
              </w:rPr>
              <w:t>1.0×</w:t>
            </w:r>
            <w:r>
              <w:rPr>
                <w:rFonts w:hint="eastAsia"/>
                <w:color w:val="000000" w:themeColor="text1"/>
                <w:sz w:val="24"/>
                <w14:textFill>
                  <w14:solidFill>
                    <w14:schemeClr w14:val="tx1"/>
                  </w14:solidFill>
                </w14:textFill>
              </w:rPr>
              <w:t>10</w:t>
            </w:r>
            <w:r>
              <w:rPr>
                <w:rFonts w:hint="eastAsia"/>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cm/s防渗</w:t>
            </w:r>
            <w:r>
              <w:rPr>
                <w:rFonts w:hint="eastAsia"/>
                <w:color w:val="000000" w:themeColor="text1"/>
                <w:sz w:val="24"/>
                <w:lang w:val="en-US" w:eastAsia="zh-CN"/>
                <w14:textFill>
                  <w14:solidFill>
                    <w14:schemeClr w14:val="tx1"/>
                  </w14:solidFill>
                </w14:textFill>
              </w:rPr>
              <w:t>要求</w:t>
            </w:r>
            <w:r>
              <w:rPr>
                <w:rFonts w:hint="eastAsia"/>
                <w:color w:val="000000" w:themeColor="text1"/>
                <w:sz w:val="24"/>
                <w:lang w:eastAsia="zh-CN"/>
                <w14:textFill>
                  <w14:solidFill>
                    <w14:schemeClr w14:val="tx1"/>
                  </w14:solidFill>
                </w14:textFill>
              </w:rPr>
              <w:t>。</w:t>
            </w:r>
          </w:p>
          <w:p>
            <w:pPr>
              <w:numPr>
                <w:ilvl w:val="0"/>
                <w:numId w:val="34"/>
              </w:num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重点防渗区：医疗废物暂存间、化粪池进行重点防渗，医疗废物暂存间拟采用20mm厚防渗混凝土+瓷砖，化粪池拟采用20mm厚度防渗混凝土，</w:t>
            </w:r>
            <w:r>
              <w:rPr>
                <w:rFonts w:hint="eastAsia"/>
                <w:color w:val="000000" w:themeColor="text1"/>
                <w:sz w:val="24"/>
                <w:lang w:val="en-US" w:eastAsia="zh-CN"/>
                <w14:textFill>
                  <w14:solidFill>
                    <w14:schemeClr w14:val="tx1"/>
                  </w14:solidFill>
                </w14:textFill>
              </w:rPr>
              <w:t>需满足</w:t>
            </w:r>
            <w:r>
              <w:rPr>
                <w:rFonts w:hint="eastAsia"/>
                <w:color w:val="000000" w:themeColor="text1"/>
                <w:sz w:val="24"/>
                <w14:textFill>
                  <w14:solidFill>
                    <w14:schemeClr w14:val="tx1"/>
                  </w14:solidFill>
                </w14:textFill>
              </w:rPr>
              <w:t>等效黏土防渗层Mb≥</w:t>
            </w:r>
            <w:r>
              <w:rPr>
                <w:rFonts w:hint="eastAsia"/>
                <w:color w:val="000000" w:themeColor="text1"/>
                <w:sz w:val="24"/>
                <w:lang w:val="en-US" w:eastAsia="zh-CN"/>
                <w14:textFill>
                  <w14:solidFill>
                    <w14:schemeClr w14:val="tx1"/>
                  </w14:solidFill>
                </w14:textFill>
              </w:rPr>
              <w:t>6.0</w:t>
            </w:r>
            <w:r>
              <w:rPr>
                <w:rFonts w:hint="eastAsia"/>
                <w:color w:val="000000" w:themeColor="text1"/>
                <w:sz w:val="24"/>
                <w14:textFill>
                  <w14:solidFill>
                    <w14:schemeClr w14:val="tx1"/>
                  </w14:solidFill>
                </w14:textFill>
              </w:rPr>
              <w:t>m，K≤</w:t>
            </w:r>
            <w:r>
              <w:rPr>
                <w:color w:val="000000" w:themeColor="text1"/>
                <w:sz w:val="24"/>
                <w14:textFill>
                  <w14:solidFill>
                    <w14:schemeClr w14:val="tx1"/>
                  </w14:solidFill>
                </w14:textFill>
              </w:rPr>
              <w:t>1.0×</w:t>
            </w:r>
            <w:r>
              <w:rPr>
                <w:rFonts w:hint="eastAsia"/>
                <w:color w:val="000000" w:themeColor="text1"/>
                <w:sz w:val="24"/>
                <w14:textFill>
                  <w14:solidFill>
                    <w14:schemeClr w14:val="tx1"/>
                  </w14:solidFill>
                </w14:textFill>
              </w:rPr>
              <w:t>10</w:t>
            </w:r>
            <w:r>
              <w:rPr>
                <w:rFonts w:hint="eastAsia"/>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cm/s防渗</w:t>
            </w:r>
            <w:r>
              <w:rPr>
                <w:rFonts w:hint="eastAsia"/>
                <w:color w:val="000000" w:themeColor="text1"/>
                <w:sz w:val="24"/>
                <w:lang w:val="en-US" w:eastAsia="zh-CN"/>
                <w14:textFill>
                  <w14:solidFill>
                    <w14:schemeClr w14:val="tx1"/>
                  </w14:solidFill>
                </w14:textFill>
              </w:rPr>
              <w:t>要求</w:t>
            </w:r>
            <w:r>
              <w:rPr>
                <w:rFonts w:hint="eastAsia"/>
                <w:color w:val="000000" w:themeColor="text1"/>
                <w:sz w:val="24"/>
                <w:lang w:eastAsia="zh-CN"/>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项目防渗措施及要求见下表。</w:t>
            </w:r>
          </w:p>
          <w:p>
            <w:pPr>
              <w:numPr>
                <w:ilvl w:val="0"/>
                <w:numId w:val="14"/>
              </w:numPr>
              <w:spacing w:line="36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项目</w:t>
            </w:r>
            <w:r>
              <w:rPr>
                <w:rFonts w:hint="eastAsia"/>
                <w:b/>
                <w:bCs/>
                <w:color w:val="000000" w:themeColor="text1"/>
                <w:sz w:val="24"/>
                <w14:textFill>
                  <w14:solidFill>
                    <w14:schemeClr w14:val="tx1"/>
                  </w14:solidFill>
                </w14:textFill>
              </w:rPr>
              <w:t>污染防渗分区</w:t>
            </w:r>
          </w:p>
          <w:tbl>
            <w:tblPr>
              <w:tblStyle w:val="24"/>
              <w:tblW w:w="79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1755"/>
              <w:gridCol w:w="41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019"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建筑物</w:t>
                  </w:r>
                </w:p>
              </w:tc>
              <w:tc>
                <w:tcPr>
                  <w:tcW w:w="175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防渗分区</w:t>
                  </w:r>
                </w:p>
              </w:tc>
              <w:tc>
                <w:tcPr>
                  <w:tcW w:w="41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019"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医院</w:t>
                  </w:r>
                  <w:r>
                    <w:rPr>
                      <w:rFonts w:hint="eastAsia"/>
                      <w:color w:val="000000" w:themeColor="text1"/>
                      <w:szCs w:val="21"/>
                      <w:lang w:val="en-US" w:eastAsia="zh-CN"/>
                      <w14:textFill>
                        <w14:solidFill>
                          <w14:schemeClr w14:val="tx1"/>
                        </w14:solidFill>
                      </w14:textFill>
                    </w:rPr>
                    <w:t>内部道路</w:t>
                  </w:r>
                </w:p>
              </w:tc>
              <w:tc>
                <w:tcPr>
                  <w:tcW w:w="175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简单</w:t>
                  </w:r>
                  <w:r>
                    <w:rPr>
                      <w:rFonts w:hint="eastAsia"/>
                      <w:color w:val="000000" w:themeColor="text1"/>
                      <w:szCs w:val="21"/>
                      <w14:textFill>
                        <w14:solidFill>
                          <w14:schemeClr w14:val="tx1"/>
                        </w14:solidFill>
                      </w14:textFill>
                    </w:rPr>
                    <w:t>防渗</w:t>
                  </w:r>
                </w:p>
              </w:tc>
              <w:tc>
                <w:tcPr>
                  <w:tcW w:w="4185" w:type="dxa"/>
                  <w:tcBorders>
                    <w:tl2br w:val="nil"/>
                    <w:tr2bl w:val="nil"/>
                  </w:tcBorders>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一般</w:t>
                  </w:r>
                  <w:r>
                    <w:rPr>
                      <w:color w:val="000000" w:themeColor="text1"/>
                      <w:szCs w:val="21"/>
                      <w14:textFill>
                        <w14:solidFill>
                          <w14:schemeClr w14:val="tx1"/>
                        </w14:solidFill>
                      </w14:textFill>
                    </w:rPr>
                    <w:t>硬化</w:t>
                  </w:r>
                  <w:r>
                    <w:rPr>
                      <w:rFonts w:hint="eastAsia"/>
                      <w:color w:val="000000" w:themeColor="text1"/>
                      <w:szCs w:val="21"/>
                      <w:lang w:val="en-US" w:eastAsia="zh-CN"/>
                      <w14:textFill>
                        <w14:solidFill>
                          <w14:schemeClr w14:val="tx1"/>
                        </w14:solidFill>
                      </w14:textFill>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019"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医院地面</w:t>
                  </w:r>
                </w:p>
              </w:tc>
              <w:tc>
                <w:tcPr>
                  <w:tcW w:w="1755" w:type="dxa"/>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一般防渗</w:t>
                  </w:r>
                </w:p>
              </w:tc>
              <w:tc>
                <w:tcPr>
                  <w:tcW w:w="4185" w:type="dxa"/>
                  <w:tcBorders>
                    <w:tl2br w:val="nil"/>
                    <w:tr2bl w:val="nil"/>
                  </w:tcBorders>
                  <w:vAlign w:val="center"/>
                </w:tcPr>
                <w:p>
                  <w:pPr>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水泥硬化</w:t>
                  </w:r>
                  <w:r>
                    <w:rPr>
                      <w:rFonts w:hint="eastAsia"/>
                      <w:color w:val="000000" w:themeColor="text1"/>
                      <w:szCs w:val="21"/>
                      <w:lang w:eastAsia="zh-CN"/>
                      <w14:textFill>
                        <w14:solidFill>
                          <w14:schemeClr w14:val="tx1"/>
                        </w14:solidFill>
                      </w14:textFill>
                    </w:rPr>
                    <w:t>，满足等效黏土防渗层Mb≥1.5m，K≤1.0×10-7cm/s防渗要求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19"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医疗废物暂存间</w:t>
                  </w:r>
                </w:p>
              </w:tc>
              <w:tc>
                <w:tcPr>
                  <w:tcW w:w="175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重点防渗</w:t>
                  </w:r>
                </w:p>
              </w:tc>
              <w:tc>
                <w:tcPr>
                  <w:tcW w:w="41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20mm厚防渗混凝土+瓷砖，</w:t>
                  </w:r>
                  <w:r>
                    <w:rPr>
                      <w:rFonts w:hint="eastAsia"/>
                      <w:color w:val="000000" w:themeColor="text1"/>
                      <w:szCs w:val="21"/>
                      <w:lang w:eastAsia="zh-CN"/>
                      <w14:textFill>
                        <w14:solidFill>
                          <w14:schemeClr w14:val="tx1"/>
                        </w14:solidFill>
                      </w14:textFill>
                    </w:rPr>
                    <w:t>满足等效黏土防渗层Mb≥</w:t>
                  </w:r>
                  <w:r>
                    <w:rPr>
                      <w:rFonts w:hint="eastAsia"/>
                      <w:color w:val="000000" w:themeColor="text1"/>
                      <w:szCs w:val="21"/>
                      <w:lang w:val="en-US" w:eastAsia="zh-CN"/>
                      <w14:textFill>
                        <w14:solidFill>
                          <w14:schemeClr w14:val="tx1"/>
                        </w14:solidFill>
                      </w14:textFill>
                    </w:rPr>
                    <w:t>6.0</w:t>
                  </w:r>
                  <w:r>
                    <w:rPr>
                      <w:rFonts w:hint="eastAsia"/>
                      <w:color w:val="000000" w:themeColor="text1"/>
                      <w:szCs w:val="21"/>
                      <w:lang w:eastAsia="zh-CN"/>
                      <w14:textFill>
                        <w14:solidFill>
                          <w14:schemeClr w14:val="tx1"/>
                        </w14:solidFill>
                      </w14:textFill>
                    </w:rPr>
                    <w:t>m，K≤1.0×10</w:t>
                  </w:r>
                  <w:r>
                    <w:rPr>
                      <w:rFonts w:hint="eastAsia"/>
                      <w:color w:val="000000" w:themeColor="text1"/>
                      <w:szCs w:val="21"/>
                      <w:vertAlign w:val="superscript"/>
                      <w:lang w:eastAsia="zh-CN"/>
                      <w14:textFill>
                        <w14:solidFill>
                          <w14:schemeClr w14:val="tx1"/>
                        </w14:solidFill>
                      </w14:textFill>
                    </w:rPr>
                    <w:t>-7</w:t>
                  </w:r>
                  <w:r>
                    <w:rPr>
                      <w:rFonts w:hint="eastAsia"/>
                      <w:color w:val="000000" w:themeColor="text1"/>
                      <w:szCs w:val="21"/>
                      <w:lang w:eastAsia="zh-CN"/>
                      <w14:textFill>
                        <w14:solidFill>
                          <w14:schemeClr w14:val="tx1"/>
                        </w14:solidFill>
                      </w14:textFill>
                    </w:rPr>
                    <w:t>cm/s防渗要求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019"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化粪池</w:t>
                  </w:r>
                </w:p>
              </w:tc>
              <w:tc>
                <w:tcPr>
                  <w:tcW w:w="175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重点防渗</w:t>
                  </w:r>
                </w:p>
              </w:tc>
              <w:tc>
                <w:tcPr>
                  <w:tcW w:w="418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20mm厚防渗混凝土，</w:t>
                  </w:r>
                  <w:r>
                    <w:rPr>
                      <w:rFonts w:hint="eastAsia"/>
                      <w:color w:val="000000" w:themeColor="text1"/>
                      <w:szCs w:val="21"/>
                      <w:lang w:eastAsia="zh-CN"/>
                      <w14:textFill>
                        <w14:solidFill>
                          <w14:schemeClr w14:val="tx1"/>
                        </w14:solidFill>
                      </w14:textFill>
                    </w:rPr>
                    <w:t>满足等效黏土防渗层Mb≥</w:t>
                  </w:r>
                  <w:r>
                    <w:rPr>
                      <w:rFonts w:hint="eastAsia"/>
                      <w:color w:val="000000" w:themeColor="text1"/>
                      <w:szCs w:val="21"/>
                      <w:lang w:val="en-US" w:eastAsia="zh-CN"/>
                      <w14:textFill>
                        <w14:solidFill>
                          <w14:schemeClr w14:val="tx1"/>
                        </w14:solidFill>
                      </w14:textFill>
                    </w:rPr>
                    <w:t>6.0</w:t>
                  </w:r>
                  <w:r>
                    <w:rPr>
                      <w:rFonts w:hint="eastAsia"/>
                      <w:color w:val="000000" w:themeColor="text1"/>
                      <w:szCs w:val="21"/>
                      <w:lang w:eastAsia="zh-CN"/>
                      <w14:textFill>
                        <w14:solidFill>
                          <w14:schemeClr w14:val="tx1"/>
                        </w14:solidFill>
                      </w14:textFill>
                    </w:rPr>
                    <w:t>m，K≤1.0×10</w:t>
                  </w:r>
                  <w:r>
                    <w:rPr>
                      <w:rFonts w:hint="eastAsia"/>
                      <w:color w:val="000000" w:themeColor="text1"/>
                      <w:szCs w:val="21"/>
                      <w:vertAlign w:val="superscript"/>
                      <w:lang w:eastAsia="zh-CN"/>
                      <w14:textFill>
                        <w14:solidFill>
                          <w14:schemeClr w14:val="tx1"/>
                        </w14:solidFill>
                      </w14:textFill>
                    </w:rPr>
                    <w:t>-7</w:t>
                  </w:r>
                  <w:r>
                    <w:rPr>
                      <w:rFonts w:hint="eastAsia"/>
                      <w:color w:val="000000" w:themeColor="text1"/>
                      <w:szCs w:val="21"/>
                      <w:lang w:eastAsia="zh-CN"/>
                      <w14:textFill>
                        <w14:solidFill>
                          <w14:schemeClr w14:val="tx1"/>
                        </w14:solidFill>
                      </w14:textFill>
                    </w:rPr>
                    <w:t>cm/s防渗要求</w:t>
                  </w:r>
                </w:p>
              </w:tc>
            </w:tr>
          </w:tbl>
          <w:p>
            <w:pPr>
              <w:pStyle w:val="7"/>
              <w:spacing w:after="0" w:line="360" w:lineRule="auto"/>
              <w:ind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评价认为，项目经采取上述防治措施后，项目运营对区域地下水水质影响甚微。</w:t>
            </w:r>
          </w:p>
          <w:p>
            <w:pPr>
              <w:numPr>
                <w:ilvl w:val="0"/>
                <w:numId w:val="17"/>
              </w:num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土壤保护措施</w:t>
            </w:r>
          </w:p>
          <w:p>
            <w:pPr>
              <w:pStyle w:val="7"/>
              <w:spacing w:after="0" w:line="360" w:lineRule="auto"/>
              <w:ind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按照《建设项目影响报告表编制技术指南（污染影响类）》（试行），本项目可不开展土壤评价。本项目拟按照地下水保护要求对场区范围内采取分区防渗，在保护地下水的同时也可满足土壤保护要求。</w:t>
            </w:r>
          </w:p>
          <w:p>
            <w:pPr>
              <w:numPr>
                <w:ilvl w:val="0"/>
                <w:numId w:val="17"/>
              </w:num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环境风险分析</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建设项目环境风险评价技术导则》（HJ169-2018）可知，环境风险评价的目的是分析和预测建设项目存在的潜在危险、有害因素，建设项目的建设和运行期间可能发生的突发性事件或事故（一般不包括人为破坏及自然灾害），引起有毒有害和易燃易爆等物质泄漏，所造成的人身安全与环境影响和损害程度，提出合理可行的防范、应急与减缓措施，使建设项目事故率、损失和环境影响达到可接受的水平。</w:t>
            </w:r>
          </w:p>
          <w:p>
            <w:p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7.1环境风险潜势划分</w:t>
            </w:r>
          </w:p>
          <w:p>
            <w:pPr>
              <w:spacing w:line="360" w:lineRule="auto"/>
              <w:ind w:firstLine="480" w:firstLineChars="200"/>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本项目为</w:t>
            </w:r>
            <w:r>
              <w:rPr>
                <w:rFonts w:hint="eastAsia"/>
                <w:color w:val="000000" w:themeColor="text1"/>
                <w:sz w:val="24"/>
                <w:lang w:eastAsia="zh-CN"/>
                <w14:textFill>
                  <w14:solidFill>
                    <w14:schemeClr w14:val="tx1"/>
                  </w14:solidFill>
                </w14:textFill>
              </w:rPr>
              <w:t>医疗卫生服务设施建设</w:t>
            </w:r>
            <w:r>
              <w:rPr>
                <w:rFonts w:hint="eastAsia" w:ascii="Times New Roman" w:hAnsi="Times New Roman" w:cs="Times New Roman"/>
                <w:color w:val="000000" w:themeColor="text1"/>
                <w:sz w:val="24"/>
                <w14:textFill>
                  <w14:solidFill>
                    <w14:schemeClr w14:val="tx1"/>
                  </w14:solidFill>
                </w14:textFill>
              </w:rPr>
              <w:t>，项目</w:t>
            </w:r>
            <w:r>
              <w:rPr>
                <w:rFonts w:hint="eastAsia" w:cs="Times New Roman"/>
                <w:color w:val="000000" w:themeColor="text1"/>
                <w:sz w:val="24"/>
                <w:lang w:val="en-US" w:eastAsia="zh-CN"/>
                <w14:textFill>
                  <w14:solidFill>
                    <w14:schemeClr w14:val="tx1"/>
                  </w14:solidFill>
                </w14:textFill>
              </w:rPr>
              <w:t>存在的风险物质有化学药品及医疗废物，</w:t>
            </w:r>
            <w:r>
              <w:rPr>
                <w:rFonts w:hint="eastAsia" w:ascii="Times New Roman" w:hAnsi="Times New Roman" w:cs="Times New Roman"/>
                <w:color w:val="000000" w:themeColor="text1"/>
                <w:sz w:val="24"/>
                <w14:textFill>
                  <w14:solidFill>
                    <w14:schemeClr w14:val="tx1"/>
                  </w14:solidFill>
                </w14:textFill>
              </w:rPr>
              <w:t>使用</w:t>
            </w:r>
            <w:r>
              <w:rPr>
                <w:rFonts w:hint="eastAsia" w:cs="Times New Roman"/>
                <w:color w:val="000000" w:themeColor="text1"/>
                <w:sz w:val="24"/>
                <w:lang w:val="en-US" w:eastAsia="zh-CN"/>
                <w14:textFill>
                  <w14:solidFill>
                    <w14:schemeClr w14:val="tx1"/>
                  </w14:solidFill>
                </w14:textFill>
              </w:rPr>
              <w:t>化学品</w:t>
            </w:r>
            <w:r>
              <w:rPr>
                <w:rFonts w:hint="eastAsia" w:ascii="Times New Roman" w:hAnsi="Times New Roman" w:cs="Times New Roman"/>
                <w:color w:val="000000" w:themeColor="text1"/>
                <w:sz w:val="24"/>
                <w14:textFill>
                  <w14:solidFill>
                    <w14:schemeClr w14:val="tx1"/>
                  </w14:solidFill>
                </w14:textFill>
              </w:rPr>
              <w:t>主要有</w:t>
            </w:r>
            <w:r>
              <w:rPr>
                <w:rFonts w:hint="eastAsia" w:cs="Times New Roman"/>
                <w:color w:val="000000" w:themeColor="text1"/>
                <w:sz w:val="24"/>
                <w:lang w:val="en-US" w:eastAsia="zh-CN"/>
                <w14:textFill>
                  <w14:solidFill>
                    <w14:schemeClr w14:val="tx1"/>
                  </w14:solidFill>
                </w14:textFill>
              </w:rPr>
              <w:t>泡腾含氯消毒片</w:t>
            </w:r>
            <w:r>
              <w:rPr>
                <w:rFonts w:hint="eastAsia" w:ascii="Times New Roman" w:hAnsi="Times New Roman" w:cs="Times New Roman"/>
                <w:color w:val="000000" w:themeColor="text1"/>
                <w:sz w:val="24"/>
                <w14:textFill>
                  <w14:solidFill>
                    <w14:schemeClr w14:val="tx1"/>
                  </w14:solidFill>
                </w14:textFill>
              </w:rPr>
              <w:t>、75%酒精、95%酒精、碘伏消毒液。根据</w:t>
            </w:r>
            <w:r>
              <w:rPr>
                <w:rFonts w:hint="eastAsia"/>
                <w:color w:val="000000" w:themeColor="text1"/>
                <w:sz w:val="24"/>
                <w:lang w:val="en-US" w:eastAsia="zh-CN"/>
                <w14:textFill>
                  <w14:solidFill>
                    <w14:schemeClr w14:val="tx1"/>
                  </w14:solidFill>
                </w14:textFill>
              </w:rPr>
              <w:t>《建设项目环境风险评价技术导则》（HJ169-2018）</w:t>
            </w:r>
            <w:r>
              <w:rPr>
                <w:rFonts w:hint="eastAsia" w:ascii="Times New Roman" w:hAnsi="Times New Roman" w:cs="Times New Roman"/>
                <w:color w:val="000000" w:themeColor="text1"/>
                <w:sz w:val="24"/>
                <w14:textFill>
                  <w14:solidFill>
                    <w14:schemeClr w14:val="tx1"/>
                  </w14:solidFill>
                </w14:textFill>
              </w:rPr>
              <w:t>附录B，</w:t>
            </w:r>
            <w:r>
              <w:rPr>
                <w:rFonts w:hint="eastAsia" w:cs="Times New Roman"/>
                <w:color w:val="000000" w:themeColor="text1"/>
                <w:sz w:val="24"/>
                <w:lang w:val="en-US" w:eastAsia="zh-CN"/>
                <w14:textFill>
                  <w14:solidFill>
                    <w14:schemeClr w14:val="tx1"/>
                  </w14:solidFill>
                </w14:textFill>
              </w:rPr>
              <w:t>项目使用化学品均不属于重点关注的危险物质</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因此，本项目中的各项物质均不构成重大危险源</w:t>
            </w:r>
            <w:r>
              <w:rPr>
                <w:rFonts w:hint="eastAsia" w:ascii="Times New Roman" w:hAnsi="Times New Roman" w:cs="Times New Roman"/>
                <w:color w:val="000000" w:themeColor="text1"/>
                <w:sz w:val="24"/>
                <w:lang w:eastAsia="zh-CN"/>
                <w14:textFill>
                  <w14:solidFill>
                    <w14:schemeClr w14:val="tx1"/>
                  </w14:solidFill>
                </w14:textFill>
              </w:rPr>
              <w:t>。</w:t>
            </w:r>
          </w:p>
          <w:p>
            <w:p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7.2风险潜势初判定</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计算所涉及的每种危险物质在厂界内的最大存在总量与其在《危险化学品重大危险源辨识》（GB18218-2018）、《建设项目环境风险评价技术导则》（HJ169-2018）附录B中对应临界量的比值Q。</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当只涉及一种危险物质时，计算该物质的总量与其临界量比值，即为Q；</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当存在多种危险物质时，则按下式计算物质总量与其临界量比值（Q）：</w:t>
            </w:r>
          </w:p>
          <w:p>
            <w:pPr>
              <w:spacing w:line="360" w:lineRule="auto"/>
              <w:jc w:val="center"/>
              <w:rPr>
                <w:color w:val="000000" w:themeColor="text1"/>
                <w:sz w:val="24"/>
                <w14:textFill>
                  <w14:solidFill>
                    <w14:schemeClr w14:val="tx1"/>
                  </w14:solidFill>
                </w14:textFill>
              </w:rPr>
            </w:pPr>
            <w:r>
              <w:rPr>
                <w:rFonts w:hint="eastAsia"/>
                <w:color w:val="000000" w:themeColor="text1"/>
                <w:position w:val="-30"/>
                <w:sz w:val="24"/>
                <w14:textFill>
                  <w14:solidFill>
                    <w14:schemeClr w14:val="tx1"/>
                  </w14:solidFill>
                </w14:textFill>
              </w:rPr>
              <w:object>
                <v:shape id="_x0000_i1028" o:spt="75" type="#_x0000_t75" style="height:33.8pt;width:112.65pt;" o:ole="t" filled="f" o:preferrelative="t" stroked="f" coordsize="21600,21600">
                  <v:path/>
                  <v:fill on="f" focussize="0,0"/>
                  <v:stroke on="f" joinstyle="miter"/>
                  <v:imagedata r:id="rId26" o:title=""/>
                  <o:lock v:ext="edit" aspectratio="t"/>
                  <w10:wrap type="none"/>
                  <w10:anchorlock/>
                </v:shape>
                <o:OLEObject Type="Embed" ProgID="Equation.KSEE3" ShapeID="_x0000_i1028" DrawAspect="Content" ObjectID="_1468075728" r:id="rId25">
                  <o:LockedField>false</o:LockedField>
                </o:OLEObject>
              </w:objec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式中：q</w:t>
            </w:r>
            <w:r>
              <w:rPr>
                <w:rFonts w:hint="eastAsia"/>
                <w:color w:val="000000" w:themeColor="text1"/>
                <w:sz w:val="24"/>
                <w:vertAlign w:val="subscript"/>
                <w14:textFill>
                  <w14:solidFill>
                    <w14:schemeClr w14:val="tx1"/>
                  </w14:solidFill>
                </w14:textFill>
              </w:rPr>
              <w:t>l</w:t>
            </w:r>
            <w:r>
              <w:rPr>
                <w:rFonts w:hint="eastAsia"/>
                <w:color w:val="000000" w:themeColor="text1"/>
                <w:sz w:val="24"/>
                <w14:textFill>
                  <w14:solidFill>
                    <w14:schemeClr w14:val="tx1"/>
                  </w14:solidFill>
                </w14:textFill>
              </w:rPr>
              <w:t>，q</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，…，q</w:t>
            </w:r>
            <w:r>
              <w:rPr>
                <w:rFonts w:hint="eastAsia"/>
                <w:color w:val="000000" w:themeColor="text1"/>
                <w:sz w:val="24"/>
                <w:vertAlign w:val="subscript"/>
                <w14:textFill>
                  <w14:solidFill>
                    <w14:schemeClr w14:val="tx1"/>
                  </w14:solidFill>
                </w14:textFill>
              </w:rPr>
              <w:t>n</w:t>
            </w:r>
            <w:r>
              <w:rPr>
                <w:rFonts w:hint="eastAsia"/>
                <w:color w:val="000000" w:themeColor="text1"/>
                <w:sz w:val="24"/>
                <w14:textFill>
                  <w14:solidFill>
                    <w14:schemeClr w14:val="tx1"/>
                  </w14:solidFill>
                </w14:textFill>
              </w:rPr>
              <w:t>——每种危险物质的最大存在总量，t；</w:t>
            </w:r>
          </w:p>
          <w:p>
            <w:pPr>
              <w:spacing w:line="360" w:lineRule="auto"/>
              <w:ind w:firstLine="1200" w:firstLineChars="5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Q</w:t>
            </w:r>
            <w:r>
              <w:rPr>
                <w:rFonts w:hint="eastAsia"/>
                <w:color w:val="000000" w:themeColor="text1"/>
                <w:sz w:val="24"/>
                <w:vertAlign w:val="subscript"/>
                <w14:textFill>
                  <w14:solidFill>
                    <w14:schemeClr w14:val="tx1"/>
                  </w14:solidFill>
                </w14:textFill>
              </w:rPr>
              <w:t>1</w:t>
            </w:r>
            <w:r>
              <w:rPr>
                <w:rFonts w:hint="eastAsia"/>
                <w:color w:val="000000" w:themeColor="text1"/>
                <w:sz w:val="24"/>
                <w14:textFill>
                  <w14:solidFill>
                    <w14:schemeClr w14:val="tx1"/>
                  </w14:solidFill>
                </w14:textFill>
              </w:rPr>
              <w:t>，Q</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，…，Q</w:t>
            </w:r>
            <w:r>
              <w:rPr>
                <w:rFonts w:hint="eastAsia"/>
                <w:color w:val="000000" w:themeColor="text1"/>
                <w:sz w:val="24"/>
                <w:vertAlign w:val="subscript"/>
                <w14:textFill>
                  <w14:solidFill>
                    <w14:schemeClr w14:val="tx1"/>
                  </w14:solidFill>
                </w14:textFill>
              </w:rPr>
              <w:t>n</w:t>
            </w:r>
            <w:r>
              <w:rPr>
                <w:rFonts w:hint="eastAsia"/>
                <w:color w:val="000000" w:themeColor="text1"/>
                <w:sz w:val="24"/>
                <w14:textFill>
                  <w14:solidFill>
                    <w14:schemeClr w14:val="tx1"/>
                  </w14:solidFill>
                </w14:textFill>
              </w:rPr>
              <w:t>——每种危险物质的临界量，t。</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当Q＜1时，该项目环境风险潜势为Ⅰ。</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当Q≥1时，将Q值划分为：（1）1≤Q＜10；（2）10≤Q＜100；（3）Q≥100。</w:t>
            </w:r>
          </w:p>
          <w:p>
            <w:pPr>
              <w:spacing w:line="360" w:lineRule="auto"/>
              <w:ind w:firstLine="480" w:firstLineChars="200"/>
              <w:jc w:val="left"/>
              <w:rPr>
                <w:rFonts w:hint="eastAsia"/>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本项目使用的原辅材料中涉及的危险物质为</w:t>
            </w:r>
            <w:r>
              <w:rPr>
                <w:rFonts w:hint="eastAsia" w:cs="Times New Roman"/>
                <w:color w:val="000000" w:themeColor="text1"/>
                <w:sz w:val="24"/>
                <w:lang w:val="en-US" w:eastAsia="zh-CN"/>
                <w14:textFill>
                  <w14:solidFill>
                    <w14:schemeClr w14:val="tx1"/>
                  </w14:solidFill>
                </w14:textFill>
              </w:rPr>
              <w:t>泡腾含氯消毒片</w:t>
            </w:r>
            <w:r>
              <w:rPr>
                <w:rFonts w:hint="eastAsia" w:ascii="Times New Roman" w:hAnsi="Times New Roman" w:cs="Times New Roman"/>
                <w:color w:val="000000" w:themeColor="text1"/>
                <w:sz w:val="24"/>
                <w:lang w:val="en-US" w:eastAsia="zh-CN"/>
                <w14:textFill>
                  <w14:solidFill>
                    <w14:schemeClr w14:val="tx1"/>
                  </w14:solidFill>
                </w14:textFill>
              </w:rPr>
              <w:t>、75%酒精、95%酒精、碘伏消毒液</w:t>
            </w:r>
            <w:r>
              <w:rPr>
                <w:rFonts w:hint="eastAsia" w:cs="Times New Roman"/>
                <w:color w:val="000000" w:themeColor="text1"/>
                <w:sz w:val="24"/>
                <w:lang w:val="en-US" w:eastAsia="zh-CN"/>
                <w14:textFill>
                  <w14:solidFill>
                    <w14:schemeClr w14:val="tx1"/>
                  </w14:solidFill>
                </w14:textFill>
              </w:rPr>
              <w:t>、医疗废物</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不涉及</w:t>
            </w:r>
            <w:r>
              <w:rPr>
                <w:rFonts w:hint="eastAsia" w:ascii="Times New Roman" w:hAnsi="Times New Roman" w:cs="Times New Roman"/>
                <w:color w:val="000000" w:themeColor="text1"/>
                <w:sz w:val="24"/>
                <w:lang w:val="en-US" w:eastAsia="zh-CN"/>
                <w14:textFill>
                  <w14:solidFill>
                    <w14:schemeClr w14:val="tx1"/>
                  </w14:solidFill>
                </w14:textFill>
              </w:rPr>
              <w:t xml:space="preserve">《建设项目环境风险评价技术导则》（HJ 169-2018）附录B </w:t>
            </w:r>
            <w:r>
              <w:rPr>
                <w:rFonts w:hint="eastAsia" w:cs="Times New Roman"/>
                <w:color w:val="000000" w:themeColor="text1"/>
                <w:sz w:val="24"/>
                <w:lang w:val="en-US" w:eastAsia="zh-CN"/>
                <w14:textFill>
                  <w14:solidFill>
                    <w14:schemeClr w14:val="tx1"/>
                  </w14:solidFill>
                </w14:textFill>
              </w:rPr>
              <w:t>中</w:t>
            </w:r>
            <w:r>
              <w:rPr>
                <w:rFonts w:hint="eastAsia" w:ascii="Times New Roman" w:hAnsi="Times New Roman" w:cs="Times New Roman"/>
                <w:color w:val="000000" w:themeColor="text1"/>
                <w:sz w:val="24"/>
                <w:lang w:val="en-US" w:eastAsia="zh-CN"/>
                <w14:textFill>
                  <w14:solidFill>
                    <w14:schemeClr w14:val="tx1"/>
                  </w14:solidFill>
                </w14:textFill>
              </w:rPr>
              <w:t>突发环境事件风险物质</w:t>
            </w:r>
            <w:r>
              <w:rPr>
                <w:rFonts w:hint="eastAsia" w:cs="Times New Roman"/>
                <w:color w:val="000000" w:themeColor="text1"/>
                <w:sz w:val="24"/>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即Q值=0＜1，则本项目环境风险潜势为Ⅰ。</w:t>
            </w:r>
          </w:p>
          <w:p>
            <w:p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7.3环境风险评价等级</w:t>
            </w:r>
          </w:p>
          <w:p>
            <w:pPr>
              <w:spacing w:line="360" w:lineRule="auto"/>
              <w:ind w:firstLine="480" w:firstLineChars="200"/>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按照《建设项目环境风险评价技术导则》（HJ 169-2018）所提供的方法，风险评价工作级别按下表划分。</w:t>
            </w:r>
          </w:p>
          <w:p>
            <w:pPr>
              <w:numPr>
                <w:ilvl w:val="0"/>
                <w:numId w:val="14"/>
              </w:numPr>
              <w:spacing w:line="36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 xml:space="preserve"> 评价工作等级划分</w:t>
            </w:r>
          </w:p>
          <w:tbl>
            <w:tblPr>
              <w:tblStyle w:val="24"/>
              <w:tblW w:w="80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1603"/>
              <w:gridCol w:w="1604"/>
              <w:gridCol w:w="1604"/>
              <w:gridCol w:w="16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604"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环境风险潜势</w:t>
                  </w:r>
                </w:p>
              </w:tc>
              <w:tc>
                <w:tcPr>
                  <w:tcW w:w="1603"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Ⅳ、Ⅳ</w:t>
                  </w:r>
                  <w:r>
                    <w:rPr>
                      <w:rFonts w:hint="eastAsia"/>
                      <w:color w:val="000000" w:themeColor="text1"/>
                      <w:szCs w:val="21"/>
                      <w:vertAlign w:val="superscript"/>
                      <w14:textFill>
                        <w14:solidFill>
                          <w14:schemeClr w14:val="tx1"/>
                        </w14:solidFill>
                      </w14:textFill>
                    </w:rPr>
                    <w:t>+</w:t>
                  </w:r>
                </w:p>
              </w:tc>
              <w:tc>
                <w:tcPr>
                  <w:tcW w:w="1604"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Ⅲ</w:t>
                  </w:r>
                </w:p>
              </w:tc>
              <w:tc>
                <w:tcPr>
                  <w:tcW w:w="1604"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Ⅱ</w:t>
                  </w:r>
                </w:p>
              </w:tc>
              <w:tc>
                <w:tcPr>
                  <w:tcW w:w="1604"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604"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评价工作等级</w:t>
                  </w:r>
                </w:p>
              </w:tc>
              <w:tc>
                <w:tcPr>
                  <w:tcW w:w="1603"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w:t>
                  </w:r>
                </w:p>
              </w:tc>
              <w:tc>
                <w:tcPr>
                  <w:tcW w:w="1604"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w:t>
                  </w:r>
                </w:p>
              </w:tc>
              <w:tc>
                <w:tcPr>
                  <w:tcW w:w="1604"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三</w:t>
                  </w:r>
                </w:p>
              </w:tc>
              <w:tc>
                <w:tcPr>
                  <w:tcW w:w="1604"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highlight w:val="lightGray"/>
                      <w14:textFill>
                        <w14:solidFill>
                          <w14:schemeClr w14:val="tx1"/>
                        </w14:solidFill>
                      </w14:textFill>
                    </w:rPr>
                    <w:t>简单分析</w:t>
                  </w:r>
                  <w:r>
                    <w:rPr>
                      <w:rFonts w:hint="eastAsia"/>
                      <w:color w:val="000000" w:themeColor="text1"/>
                      <w:szCs w:val="21"/>
                      <w:highlight w:val="lightGray"/>
                      <w:vertAlign w:val="superscript"/>
                      <w14:textFill>
                        <w14:solidFill>
                          <w14:schemeClr w14:val="tx1"/>
                        </w14:solidFill>
                      </w14:textFill>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8019" w:type="dxa"/>
                  <w:gridSpan w:val="5"/>
                  <w:tcBorders>
                    <w:tl2br w:val="nil"/>
                    <w:tr2bl w:val="nil"/>
                  </w:tcBorders>
                  <w:vAlign w:val="center"/>
                </w:tcPr>
                <w:p>
                  <w:pPr>
                    <w:ind w:left="210" w:hanging="210" w:hangingChars="1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a是相对于详细评价工作内容而言，在描述危险物质、环境影响途径、环境危害后果、风险防范措施等方面给出定性的说明。</w:t>
                  </w:r>
                </w:p>
              </w:tc>
            </w:tr>
          </w:tbl>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本项目环境风险潜势为Ⅰ，根据评价工作等级划分表，本项目环境风险评价仅进行简单分析。本次评价按照附录A规定的简单分析基本内容进行评价。</w:t>
            </w:r>
          </w:p>
          <w:p>
            <w:p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7.4环境风险识别</w:t>
            </w:r>
          </w:p>
          <w:p>
            <w:pPr>
              <w:widowControl/>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1）化学品贮存、使用过程</w:t>
            </w:r>
          </w:p>
          <w:p>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本项目使用化学品由人工输送至使用点，在贮存、使用过程可能潜在的风险事故如下：</w:t>
            </w:r>
          </w:p>
          <w:p>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①由于贮存装置破裂、或操作不当，造成泄漏，导致人员中毒和环境污染。</w:t>
            </w:r>
          </w:p>
          <w:p>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②在使用过程中由于操作人员失误造成化学品泄露。</w:t>
            </w:r>
          </w:p>
          <w:p>
            <w:pPr>
              <w:widowControl/>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2）医疗废物收集、贮存、运输</w:t>
            </w:r>
          </w:p>
          <w:p>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医疗废物中可能存在传染性病菌、病毒、化学污染物等有害物质，由于医疗废物具有空间污染、急性传染和潜伏性污染等特征，其病毒、病菌的危害性是普通生活垃圾的几十、几百甚至上千倍，且基本没有回收再利用的价值。在国外，医疗废物被视为“顶级危险”和“致命杀手”。因医疗废物中存在着大量的病菌、病毒等，如乙肝表面抗原阳性率在未经浓缩的样品中为7.42%，医疗废物的阳性率则高达8.9%。据有关资料证实，医疗废物引起的交叉感染占社会交叉感染率的20%。</w:t>
            </w:r>
          </w:p>
          <w:p>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医疗废物残留及衍生的大量病菌是十分有害有毒的物质，如果不经分类收集等有效处理的话，很容易引起各种疾病的传播和蔓延。</w:t>
            </w:r>
          </w:p>
          <w:p>
            <w:pPr>
              <w:spacing w:line="46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7</w:t>
            </w: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5</w:t>
            </w:r>
            <w:r>
              <w:rPr>
                <w:b/>
                <w:bCs/>
                <w:color w:val="000000" w:themeColor="text1"/>
                <w:sz w:val="24"/>
                <w14:textFill>
                  <w14:solidFill>
                    <w14:schemeClr w14:val="tx1"/>
                  </w14:solidFill>
                </w14:textFill>
              </w:rPr>
              <w:t>风险防范措施</w:t>
            </w:r>
          </w:p>
          <w:p>
            <w:pPr>
              <w:numPr>
                <w:ilvl w:val="0"/>
                <w:numId w:val="35"/>
              </w:numPr>
              <w:spacing w:line="46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化学品风险防范措施</w:t>
            </w:r>
          </w:p>
          <w:p>
            <w:pPr>
              <w:numPr>
                <w:ilvl w:val="0"/>
                <w:numId w:val="36"/>
              </w:numPr>
              <w:spacing w:line="46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危险化学品（75%酒精、95%酒精、碘伏消毒液）储存在专用仓库内，其储存方式、方法与储存数量符合国家有关规定，由专人管理，危险化学品出入库，进行了核查登记，并定期检查库存。</w:t>
            </w:r>
          </w:p>
          <w:p>
            <w:pPr>
              <w:numPr>
                <w:ilvl w:val="0"/>
                <w:numId w:val="36"/>
              </w:numPr>
              <w:spacing w:line="46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建立完善的药品和药剂的管理办法，并严格执行，从源头杜绝危险化学品对周围环境和人群健康造成损害。</w:t>
            </w:r>
          </w:p>
          <w:p>
            <w:pPr>
              <w:numPr>
                <w:ilvl w:val="0"/>
                <w:numId w:val="36"/>
              </w:numPr>
              <w:spacing w:line="460" w:lineRule="exact"/>
              <w:ind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危化学品管理人员必须接受培训执证上岗，严格按操作规程进行操作。</w:t>
            </w:r>
          </w:p>
          <w:p>
            <w:pPr>
              <w:numPr>
                <w:ilvl w:val="0"/>
                <w:numId w:val="36"/>
              </w:numPr>
              <w:spacing w:line="460" w:lineRule="exact"/>
              <w:ind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危化学品库房内采用防爆型照明、通风设施。禁止使用易产生火花的机械设备和工具。储区应备有泄漏应急处理设备和合适的收容材料。禁止震动、撞击和摩擦。</w:t>
            </w:r>
          </w:p>
          <w:p>
            <w:pPr>
              <w:numPr>
                <w:ilvl w:val="0"/>
                <w:numId w:val="35"/>
              </w:numPr>
              <w:spacing w:line="460" w:lineRule="exact"/>
              <w:ind w:firstLine="482" w:firstLineChars="200"/>
              <w:rPr>
                <w:b/>
                <w:bCs/>
                <w:color w:val="000000" w:themeColor="text1"/>
                <w:sz w:val="24"/>
                <w:lang w:val="zh-CN"/>
                <w14:textFill>
                  <w14:solidFill>
                    <w14:schemeClr w14:val="tx1"/>
                  </w14:solidFill>
                </w14:textFill>
              </w:rPr>
            </w:pPr>
            <w:r>
              <w:rPr>
                <w:rFonts w:hint="eastAsia"/>
                <w:b/>
                <w:bCs/>
                <w:color w:val="000000" w:themeColor="text1"/>
                <w:sz w:val="24"/>
                <w:lang w:val="zh-CN"/>
                <w14:textFill>
                  <w14:solidFill>
                    <w14:schemeClr w14:val="tx1"/>
                  </w14:solidFill>
                </w14:textFill>
              </w:rPr>
              <w:t>医疗废物的防范措施</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项目医废暂存间设置在住院综合楼南侧单独一层裙楼内，占地面积80m</w:t>
            </w:r>
            <w:r>
              <w:rPr>
                <w:rFonts w:hint="eastAsia"/>
                <w:color w:val="000000" w:themeColor="text1"/>
                <w:sz w:val="24"/>
                <w:vertAlign w:val="superscript"/>
                <w:lang w:val="zh-CN"/>
                <w14:textFill>
                  <w14:solidFill>
                    <w14:schemeClr w14:val="tx1"/>
                  </w14:solidFill>
                </w14:textFill>
              </w:rPr>
              <w:t>2</w:t>
            </w:r>
            <w:r>
              <w:rPr>
                <w:rFonts w:hint="eastAsia"/>
                <w:color w:val="000000" w:themeColor="text1"/>
                <w:sz w:val="24"/>
                <w:lang w:val="zh-CN"/>
                <w14:textFill>
                  <w14:solidFill>
                    <w14:schemeClr w14:val="tx1"/>
                  </w14:solidFill>
                </w14:textFill>
              </w:rPr>
              <w:t>。由于医疗废物的极大危害性，该项目在收集、贮存、运送医疗废物的过程中存在着一定的风险。为保证项目产生的医疗废物得到安全处置，使其风险减少到最小程度，而不会对周围环境造成不良影响，应采取如下的具体措施进行防范。</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1）应对项目产生的医疗废物进行科学的分类收集</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科学的分类是消除污染、无害化处置的保证，要采用专用容器，明确各类废弃物标识，分类包装，分类堆放，并本着及时、方便、安全、快捷的原则进行收集。感染性废物、病理性废物、损伤性废物、药物性废物及化学性废物不能混合收集；放入包装物或者容器内的感染性废物、病理性废物、损伤性废物不得取出。当盛装的医疗废物达到包装物或者容器的3/4时，应当使用有效的封口方式，使包装物或者容器的封口紧实、严密。对于盛装医疗废物的塑料包装袋应当符合下列规格：</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黄色—700×550mm塑料袋：感染性废物；</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红色—700×550mm塑料袋：传染性废物；</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绿色—400×300mm塑料袋：损伤性废物；</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红色—400×300mm塑料袋：传染性损伤性废物。</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而盛装医疗废物的外包装纸箱应符合下列要求：</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印有红色“传染性废物”—600×400×500mm纸箱；</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印有绿色“损伤性废物”—400×200×300mm纸箱；</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印有红色“传染性损伤性废物”—600×400×500mm纸箱。</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项目产生的医疗废物中病原体的培养基、标本和菌种、毒种保存液等高危险废物，由检验科等产生单位首先在产生地点进行压力蒸汽灭菌或者化学消毒处理，然后按感染性废物收集处理；化学性废物中批量的废化学试剂、废消毒剂应当由药剂科交由专门机构处置；批量的含有汞的体温计、血压计等医疗器具报废时，应当由设备科交由专门机构处置。</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对感染性废物必须采取安全、有效、经济的隔离和处理方法。操作感染性或任何有潜在危害的废物时，必须穿戴手套和防护服。对有多种成份混和的医学废料，应按危害等级较高者处理。感染性废物应分类丢入垃圾袋，还必须由专业人员严格区分感染性和非感染性废物，一旦分开后，感染性废物必须加以隔离。根据有关规定，所有收集感染性废物的容器都应有“生物危害”标志。有液体的感染性废料时，应确保容器无泄漏。</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所有锐利物都必须单独存放，并统一按医学废物处理。收集锐利物包装容器必须使用硬质、防漏、防刺破材料。针或刀应保存在有明显标记、防泄漏、防刺破的容器内。处理含有锐利物品的感染性废料时应使用防刺破手套。</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另外，有害化学废物不能与一般废物、无害化学废物或感染性废物相混合。稀释通常不能使有害化学废物的毒性减低。有害化学废物在产生后应分别收集、贮存和处理；必需混合时，应注意不兼容性。为保证有害废料在产生、堆集和保存期间不发生意外、泄漏、破损等，应采取必要的控制措施，如：通风措施、相对封闭及隔离系统、安全措施、防火措施和安全通道。在化学废料的产生、处理、堆集和保存期间，对其包装及标签要求如下：根据废物种类使用废物容器、使用“有害废物”的标签或标记、在任何时候都确保废物容器的密闭性。采用有皱的包装材料包装易碎的玻璃和塑料制品，在包装中同时加入吸附性材料。</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2）医疗废物的贮存和</w:t>
            </w:r>
            <w:r>
              <w:rPr>
                <w:rFonts w:hint="eastAsia"/>
                <w:color w:val="000000" w:themeColor="text1"/>
                <w:sz w:val="24"/>
                <w14:textFill>
                  <w14:solidFill>
                    <w14:schemeClr w14:val="tx1"/>
                  </w14:solidFill>
                </w14:textFill>
              </w:rPr>
              <w:t>运输</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本项目建立医疗废物暂存</w:t>
            </w:r>
            <w:r>
              <w:rPr>
                <w:rFonts w:hint="eastAsia"/>
                <w:color w:val="000000" w:themeColor="text1"/>
                <w:sz w:val="24"/>
                <w14:textFill>
                  <w14:solidFill>
                    <w14:schemeClr w14:val="tx1"/>
                  </w14:solidFill>
                </w14:textFill>
              </w:rPr>
              <w:t>间未</w:t>
            </w:r>
            <w:r>
              <w:rPr>
                <w:rFonts w:hint="eastAsia"/>
                <w:color w:val="000000" w:themeColor="text1"/>
                <w:sz w:val="24"/>
                <w:lang w:val="zh-CN"/>
                <w14:textFill>
                  <w14:solidFill>
                    <w14:schemeClr w14:val="tx1"/>
                  </w14:solidFill>
                </w14:textFill>
              </w:rPr>
              <w:t>露天存放医疗废物；医疗废物暂时贮存的时间不得超过2天，应得到及时、有效地处理。因为在医疗废物储存过程中，会有恶臭产生。恶臭强度和垃圾中有机物腐烂程度有很大关系，其中主要污染物为硫化氢、三甲胺、甲硫醇以及氨等。臭味有害于人体健康，恶臭对人的大脑皮层是一种恶性刺激，长期呆在恶臭环境里，会使人产生恶心、头晕、疲劳、食欲不振等症状。恶臭环境还会使某些疾病恶化。</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该项目建立的医疗废物暂时贮存设施、设备应当达到以下要求：</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①暂时贮存场所应设置防渗防漏。</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②远离医疗区、人员活动区和生活垃圾存放场所，方便医疗废物运送人员及运送工具、车辆的出入；该项目医疗废物暂存间设在单独</w:t>
            </w:r>
            <w:r>
              <w:rPr>
                <w:rFonts w:hint="eastAsia"/>
                <w:color w:val="000000" w:themeColor="text1"/>
                <w:sz w:val="24"/>
                <w14:textFill>
                  <w14:solidFill>
                    <w14:schemeClr w14:val="tx1"/>
                  </w14:solidFill>
                </w14:textFill>
              </w:rPr>
              <w:t>一层裙楼内</w:t>
            </w:r>
            <w:r>
              <w:rPr>
                <w:rFonts w:hint="eastAsia"/>
                <w:color w:val="000000" w:themeColor="text1"/>
                <w:sz w:val="24"/>
                <w:lang w:val="zh-CN"/>
                <w14:textFill>
                  <w14:solidFill>
                    <w14:schemeClr w14:val="tx1"/>
                  </w14:solidFill>
                </w14:textFill>
              </w:rPr>
              <w:t>，</w:t>
            </w:r>
            <w:r>
              <w:rPr>
                <w:rFonts w:hint="eastAsia"/>
                <w:color w:val="000000" w:themeColor="text1"/>
                <w:sz w:val="24"/>
                <w14:textFill>
                  <w14:solidFill>
                    <w14:schemeClr w14:val="tx1"/>
                  </w14:solidFill>
                </w14:textFill>
              </w:rPr>
              <w:t>有专用污梯运输污物，</w:t>
            </w:r>
            <w:r>
              <w:rPr>
                <w:rFonts w:hint="eastAsia"/>
                <w:color w:val="000000" w:themeColor="text1"/>
                <w:sz w:val="24"/>
                <w:lang w:val="zh-CN"/>
                <w14:textFill>
                  <w14:solidFill>
                    <w14:schemeClr w14:val="tx1"/>
                  </w14:solidFill>
                </w14:textFill>
              </w:rPr>
              <w:t>医疗废物暂存间</w:t>
            </w:r>
            <w:r>
              <w:rPr>
                <w:rFonts w:hint="eastAsia"/>
                <w:color w:val="000000" w:themeColor="text1"/>
                <w:sz w:val="24"/>
                <w14:textFill>
                  <w14:solidFill>
                    <w14:schemeClr w14:val="tx1"/>
                  </w14:solidFill>
                </w14:textFill>
              </w:rPr>
              <w:t>设有污物通道，便于运输，本项目</w:t>
            </w:r>
            <w:r>
              <w:rPr>
                <w:rFonts w:hint="eastAsia"/>
                <w:color w:val="000000" w:themeColor="text1"/>
                <w:sz w:val="24"/>
                <w:lang w:val="zh-CN"/>
                <w14:textFill>
                  <w14:solidFill>
                    <w14:schemeClr w14:val="tx1"/>
                  </w14:solidFill>
                </w14:textFill>
              </w:rPr>
              <w:t>医疗废物暂存间基本符合上述要求。</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③有严密的封闭措施，设专（兼）职人员管理，防止非工作人员接触医疗废物。</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④有防鼠、防蚊蝇、防蟑螂的安全措施；防止渗漏和雨水冲刷；易于清洁和消毒；避免阳光直射。</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⑤设有明显的医疗废物警示标识和“禁止吸烟、饮食”的警示标识。</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对于感染性废料和锐利废物，其贮存地应有“生物危险”标志和进入管理限制，且应位于产生废物地点附近。同时感染性废物和锐利废物的贮存应满足以下要求：</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①保证包装内容物不暴露于空气和受潮。</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②保存温度及时间应使保存物无腐败发生，必要时，可用低温保存，以防微生物生长和产生异味。</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③贮存地及包装应确保内容物不成为鼠类或其他生物的食物来源。</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④贮存地不得对公众开放。</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医疗废物转交出去后，应当对暂时贮存地点、设施及时进行清洁和消毒处理。</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对于医疗固体废物，禁止将其在非收集、非暂时贮存地点倾倒、堆放；禁止将医疗废物混入其它废物和生活垃圾；禁止在内部运送过程中丢弃医疗废物。</w:t>
            </w:r>
          </w:p>
          <w:p>
            <w:pPr>
              <w:spacing w:line="460" w:lineRule="exact"/>
              <w:ind w:firstLine="549" w:firstLineChars="229"/>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在转交及运送过程中，应当严格执行国家环境保护总局第5号令《危险废物转移联单管理办法》中的相关条款，确保危废安全转移运输。</w:t>
            </w:r>
          </w:p>
          <w:p>
            <w:pPr>
              <w:spacing w:line="460" w:lineRule="exact"/>
              <w:ind w:firstLine="480" w:firstLineChars="200"/>
              <w:rPr>
                <w:color w:val="000000" w:themeColor="text1"/>
                <w:kern w:val="0"/>
                <w:sz w:val="24"/>
                <w14:textFill>
                  <w14:solidFill>
                    <w14:schemeClr w14:val="tx1"/>
                  </w14:solidFill>
                </w14:textFill>
              </w:rPr>
            </w:pPr>
            <w:r>
              <w:rPr>
                <w:rFonts w:hint="eastAsia"/>
                <w:bCs/>
                <w:color w:val="000000" w:themeColor="text1"/>
                <w:sz w:val="24"/>
                <w14:textFill>
                  <w14:solidFill>
                    <w14:schemeClr w14:val="tx1"/>
                  </w14:solidFill>
                </w14:textFill>
              </w:rPr>
              <w:t>在采取以上防范措施的同时制定</w:t>
            </w:r>
            <w:r>
              <w:rPr>
                <w:bCs/>
                <w:color w:val="000000" w:themeColor="text1"/>
                <w:sz w:val="24"/>
                <w14:textFill>
                  <w14:solidFill>
                    <w14:schemeClr w14:val="tx1"/>
                  </w14:solidFill>
                </w14:textFill>
              </w:rPr>
              <w:t>事故应急救援预案</w:t>
            </w:r>
            <w:r>
              <w:rPr>
                <w:rFonts w:hint="eastAsia"/>
                <w:bCs/>
                <w:color w:val="000000" w:themeColor="text1"/>
                <w:sz w:val="24"/>
                <w14:textFill>
                  <w14:solidFill>
                    <w14:schemeClr w14:val="tx1"/>
                  </w14:solidFill>
                </w14:textFill>
              </w:rPr>
              <w:t>，</w:t>
            </w:r>
            <w:r>
              <w:rPr>
                <w:color w:val="000000" w:themeColor="text1"/>
                <w:kern w:val="0"/>
                <w:sz w:val="24"/>
                <w14:textFill>
                  <w14:solidFill>
                    <w14:schemeClr w14:val="tx1"/>
                  </w14:solidFill>
                </w14:textFill>
              </w:rPr>
              <w:t>制订应急预案是为了当发生重大事故时，能够根据预先制定的事故应急对策，采取有效措施，将突发事故或紧急事件局部化，如可能并予以消除，尽量降低事故对周围环境、人员和财产的影响。</w:t>
            </w:r>
            <w:r>
              <w:rPr>
                <w:rFonts w:hint="eastAsia"/>
                <w:color w:val="000000" w:themeColor="text1"/>
                <w:kern w:val="0"/>
                <w:sz w:val="24"/>
                <w14:textFill>
                  <w14:solidFill>
                    <w14:schemeClr w14:val="tx1"/>
                  </w14:solidFill>
                </w14:textFill>
              </w:rPr>
              <w:t>本项目</w:t>
            </w:r>
            <w:r>
              <w:rPr>
                <w:color w:val="000000" w:themeColor="text1"/>
                <w:sz w:val="24"/>
                <w:lang w:val="zh-CN"/>
                <w14:textFill>
                  <w14:solidFill>
                    <w14:schemeClr w14:val="tx1"/>
                  </w14:solidFill>
                </w14:textFill>
              </w:rPr>
              <w:t>一旦发生事故，要根据具体情况采取应急措施，切断泄漏源、火源，控制事故扩大，采取遏制泄漏物进入环境，并立即报警，向社会求援。</w:t>
            </w:r>
          </w:p>
          <w:p>
            <w:pPr>
              <w:spacing w:line="460" w:lineRule="exact"/>
              <w:ind w:firstLine="549" w:firstLineChars="229"/>
              <w:rPr>
                <w:b/>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环评要求拟建项目建立事故应急预案，其应急预案内容及要求见下表。</w:t>
            </w:r>
          </w:p>
          <w:p>
            <w:pPr>
              <w:numPr>
                <w:ilvl w:val="0"/>
                <w:numId w:val="14"/>
              </w:numPr>
              <w:spacing w:line="360" w:lineRule="auto"/>
              <w:jc w:val="center"/>
              <w:rPr>
                <w:b/>
                <w:bCs/>
                <w:color w:val="000000" w:themeColor="text1"/>
                <w:sz w:val="24"/>
                <w:lang w:val="zh-CN"/>
                <w14:textFill>
                  <w14:solidFill>
                    <w14:schemeClr w14:val="tx1"/>
                  </w14:solidFill>
                </w14:textFill>
              </w:rPr>
            </w:pPr>
            <w:r>
              <w:rPr>
                <w:rFonts w:hint="eastAsia"/>
                <w:b/>
                <w:bCs/>
                <w:color w:val="000000" w:themeColor="text1"/>
                <w:sz w:val="24"/>
                <w:lang w:val="zh-CN"/>
                <w14:textFill>
                  <w14:solidFill>
                    <w14:schemeClr w14:val="tx1"/>
                  </w14:solidFill>
                </w14:textFill>
              </w:rPr>
              <w:t>事故应急预案措施一览表</w:t>
            </w:r>
          </w:p>
          <w:tbl>
            <w:tblPr>
              <w:tblStyle w:val="23"/>
              <w:tblW w:w="84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7"/>
              <w:gridCol w:w="2691"/>
              <w:gridCol w:w="50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27"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序号</w:t>
                  </w:r>
                </w:p>
              </w:tc>
              <w:tc>
                <w:tcPr>
                  <w:tcW w:w="2691"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项目</w:t>
                  </w:r>
                </w:p>
              </w:tc>
              <w:tc>
                <w:tcPr>
                  <w:tcW w:w="5060"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27"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1</w:t>
                  </w:r>
                </w:p>
              </w:tc>
              <w:tc>
                <w:tcPr>
                  <w:tcW w:w="2691"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应急计划区</w:t>
                  </w:r>
                </w:p>
              </w:tc>
              <w:tc>
                <w:tcPr>
                  <w:tcW w:w="5060"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危险目标：</w:t>
                  </w:r>
                  <w:r>
                    <w:rPr>
                      <w:rFonts w:hint="eastAsia"/>
                      <w:color w:val="000000" w:themeColor="text1"/>
                      <w:szCs w:val="21"/>
                      <w:lang w:val="zh-CN"/>
                      <w14:textFill>
                        <w14:solidFill>
                          <w14:schemeClr w14:val="tx1"/>
                        </w14:solidFill>
                      </w14:textFill>
                    </w:rPr>
                    <w:t>危险化学品</w:t>
                  </w:r>
                  <w:r>
                    <w:rPr>
                      <w:rFonts w:hint="eastAsia"/>
                      <w:color w:val="000000" w:themeColor="text1"/>
                      <w:szCs w:val="21"/>
                      <w14:textFill>
                        <w14:solidFill>
                          <w14:schemeClr w14:val="tx1"/>
                        </w14:solidFill>
                      </w14:textFill>
                    </w:rPr>
                    <w:t>储存</w:t>
                  </w:r>
                  <w:r>
                    <w:rPr>
                      <w:color w:val="000000" w:themeColor="text1"/>
                      <w:szCs w:val="21"/>
                      <w:lang w:val="zh-CN"/>
                      <w14:textFill>
                        <w14:solidFill>
                          <w14:schemeClr w14:val="tx1"/>
                        </w14:solidFill>
                      </w14:textFill>
                    </w:rPr>
                    <w:t>区、环境保护目标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27"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2</w:t>
                  </w:r>
                </w:p>
              </w:tc>
              <w:tc>
                <w:tcPr>
                  <w:tcW w:w="2691"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应急组织机构、人员</w:t>
                  </w:r>
                </w:p>
              </w:tc>
              <w:tc>
                <w:tcPr>
                  <w:tcW w:w="5060" w:type="dxa"/>
                  <w:tcBorders>
                    <w:tl2br w:val="nil"/>
                    <w:tr2bl w:val="nil"/>
                  </w:tcBorders>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医院</w:t>
                  </w:r>
                  <w:r>
                    <w:rPr>
                      <w:color w:val="000000" w:themeColor="text1"/>
                      <w:szCs w:val="21"/>
                      <w:lang w:val="zh-CN"/>
                      <w14:textFill>
                        <w14:solidFill>
                          <w14:schemeClr w14:val="tx1"/>
                        </w14:solidFill>
                      </w14:textFill>
                    </w:rPr>
                    <w:t>、地区应急组织机构、人员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27"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3</w:t>
                  </w:r>
                </w:p>
              </w:tc>
              <w:tc>
                <w:tcPr>
                  <w:tcW w:w="2691"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预案分级响应条件</w:t>
                  </w:r>
                </w:p>
              </w:tc>
              <w:tc>
                <w:tcPr>
                  <w:tcW w:w="5060"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规定预案的级别及分级响应程序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27"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4</w:t>
                  </w:r>
                </w:p>
              </w:tc>
              <w:tc>
                <w:tcPr>
                  <w:tcW w:w="2691"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应急救援保障</w:t>
                  </w:r>
                </w:p>
              </w:tc>
              <w:tc>
                <w:tcPr>
                  <w:tcW w:w="5060"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应急设施，设备与器材等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27"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5</w:t>
                  </w:r>
                </w:p>
              </w:tc>
              <w:tc>
                <w:tcPr>
                  <w:tcW w:w="2691"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报警、通讯联络方式</w:t>
                  </w:r>
                </w:p>
              </w:tc>
              <w:tc>
                <w:tcPr>
                  <w:tcW w:w="5060"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规定应急状态下的报警通讯方式、通知方式和交通保障、管制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27"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6</w:t>
                  </w:r>
                </w:p>
              </w:tc>
              <w:tc>
                <w:tcPr>
                  <w:tcW w:w="2691"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应急环境监测、抢险、救援及控制措施</w:t>
                  </w:r>
                </w:p>
              </w:tc>
              <w:tc>
                <w:tcPr>
                  <w:tcW w:w="5060"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由专业队伍负责对事故现场进行侦察监测，对事故性质、参数与后果进行评估，为指挥部门提供决策依据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27"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7</w:t>
                  </w:r>
                </w:p>
              </w:tc>
              <w:tc>
                <w:tcPr>
                  <w:tcW w:w="2691"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应急检测、防护措施、清除泄漏措施和器材</w:t>
                  </w:r>
                </w:p>
              </w:tc>
              <w:tc>
                <w:tcPr>
                  <w:tcW w:w="5060"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事故现场、邻近区域、控制防火区域，控制和清除污染措施及相应设备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727"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8</w:t>
                  </w:r>
                </w:p>
              </w:tc>
              <w:tc>
                <w:tcPr>
                  <w:tcW w:w="2691"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人员紧急撤离、疏散，应急剂量控制、撤离组织计划</w:t>
                  </w:r>
                </w:p>
              </w:tc>
              <w:tc>
                <w:tcPr>
                  <w:tcW w:w="5060"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事故现场、</w:t>
                  </w:r>
                  <w:r>
                    <w:rPr>
                      <w:rFonts w:hint="eastAsia"/>
                      <w:color w:val="000000" w:themeColor="text1"/>
                      <w:szCs w:val="21"/>
                      <w:lang w:val="zh-CN"/>
                      <w14:textFill>
                        <w14:solidFill>
                          <w14:schemeClr w14:val="tx1"/>
                        </w14:solidFill>
                      </w14:textFill>
                    </w:rPr>
                    <w:t>医院</w:t>
                  </w:r>
                  <w:r>
                    <w:rPr>
                      <w:color w:val="000000" w:themeColor="text1"/>
                      <w:szCs w:val="21"/>
                      <w:lang w:val="zh-CN"/>
                      <w14:textFill>
                        <w14:solidFill>
                          <w14:schemeClr w14:val="tx1"/>
                        </w14:solidFill>
                      </w14:textFill>
                    </w:rPr>
                    <w:t>邻近区、受事故影响的区域人员及公众对毒物应急剂量控制规定，撤离组织计划及救护，医疗救护与公众健康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727"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9</w:t>
                  </w:r>
                </w:p>
              </w:tc>
              <w:tc>
                <w:tcPr>
                  <w:tcW w:w="2691"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事故应急救援关闭程序与恢复措施</w:t>
                  </w:r>
                </w:p>
              </w:tc>
              <w:tc>
                <w:tcPr>
                  <w:tcW w:w="5060"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规定应急状态终止程序</w:t>
                  </w:r>
                </w:p>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事故现场善后处理，恢复措施</w:t>
                  </w:r>
                </w:p>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邻近区域解除事故警戒及善后恢复措施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27"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10</w:t>
                  </w:r>
                </w:p>
              </w:tc>
              <w:tc>
                <w:tcPr>
                  <w:tcW w:w="2691"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应急培训计划</w:t>
                  </w:r>
                </w:p>
              </w:tc>
              <w:tc>
                <w:tcPr>
                  <w:tcW w:w="5060"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应急计划制定后，平时安排人员培训与演练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27"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11</w:t>
                  </w:r>
                </w:p>
              </w:tc>
              <w:tc>
                <w:tcPr>
                  <w:tcW w:w="2691"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公众教育和信息</w:t>
                  </w:r>
                </w:p>
              </w:tc>
              <w:tc>
                <w:tcPr>
                  <w:tcW w:w="5060" w:type="dxa"/>
                  <w:tcBorders>
                    <w:tl2br w:val="nil"/>
                    <w:tr2bl w:val="nil"/>
                  </w:tcBorders>
                  <w:vAlign w:val="center"/>
                </w:tcPr>
                <w:p>
                  <w:pPr>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对</w:t>
                  </w:r>
                  <w:r>
                    <w:rPr>
                      <w:rFonts w:hint="eastAsia"/>
                      <w:color w:val="000000" w:themeColor="text1"/>
                      <w:szCs w:val="21"/>
                      <w:lang w:val="zh-CN"/>
                      <w14:textFill>
                        <w14:solidFill>
                          <w14:schemeClr w14:val="tx1"/>
                        </w14:solidFill>
                      </w14:textFill>
                    </w:rPr>
                    <w:t>医院</w:t>
                  </w:r>
                  <w:r>
                    <w:rPr>
                      <w:color w:val="000000" w:themeColor="text1"/>
                      <w:szCs w:val="21"/>
                      <w:lang w:val="zh-CN"/>
                      <w14:textFill>
                        <w14:solidFill>
                          <w14:schemeClr w14:val="tx1"/>
                        </w14:solidFill>
                      </w14:textFill>
                    </w:rPr>
                    <w:t>邻近地区开展公众教育和有关信息</w:t>
                  </w:r>
                </w:p>
              </w:tc>
            </w:tr>
          </w:tbl>
          <w:p>
            <w:pPr>
              <w:spacing w:line="460" w:lineRule="exac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7.6环境风险小结</w:t>
            </w:r>
          </w:p>
          <w:p>
            <w:pPr>
              <w:adjustRightInd w:val="0"/>
              <w:snapToGrid w:val="0"/>
              <w:spacing w:line="500" w:lineRule="exact"/>
              <w:ind w:firstLine="480" w:firstLineChars="200"/>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医院对于使用的危险化学物品</w:t>
            </w:r>
            <w:r>
              <w:rPr>
                <w:rFonts w:hint="eastAsia"/>
                <w:color w:val="000000" w:themeColor="text1"/>
                <w:sz w:val="24"/>
                <w14:textFill>
                  <w14:solidFill>
                    <w14:schemeClr w14:val="tx1"/>
                  </w14:solidFill>
                </w14:textFill>
              </w:rPr>
              <w:t>和项目运营产生的医疗废物</w:t>
            </w:r>
            <w:r>
              <w:rPr>
                <w:rFonts w:hint="eastAsia"/>
                <w:color w:val="000000" w:themeColor="text1"/>
                <w:sz w:val="24"/>
                <w:lang w:val="zh-CN"/>
                <w14:textFill>
                  <w14:solidFill>
                    <w14:schemeClr w14:val="tx1"/>
                  </w14:solidFill>
                </w14:textFill>
              </w:rPr>
              <w:t>，采取一系列技术和管理措施，控制其使用风险，参照《建设项目环境风险评价技术导则》（HJ169-2018）中所列的有毒有害物质进行判别，本项目不构成重大危险源。项目发生风险的类型和几率都很小，通过加强管理、采取有效的风险防范措施，加强对全体员工防范事故风险能力的培训，制定事故应急预案等，可进一步降低风险发生的几率和造成的影响。</w:t>
            </w:r>
          </w:p>
          <w:p>
            <w:pPr>
              <w:adjustRightInd w:val="0"/>
              <w:snapToGrid w:val="0"/>
              <w:spacing w:line="500" w:lineRule="exact"/>
              <w:ind w:firstLine="480" w:firstLineChars="200"/>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综上所述，本项目风险处于完全可接受的水平，其风险管理措施有效、可靠，从防范风险角度分析是可行的。</w:t>
            </w:r>
          </w:p>
          <w:p>
            <w:pPr>
              <w:spacing w:line="360" w:lineRule="auto"/>
              <w:ind w:firstLine="480" w:firstLineChars="200"/>
              <w:jc w:val="left"/>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本项目环境风险评价自查情况见下表。</w:t>
            </w:r>
          </w:p>
          <w:p>
            <w:pPr>
              <w:numPr>
                <w:ilvl w:val="0"/>
                <w:numId w:val="14"/>
              </w:numPr>
              <w:spacing w:line="360" w:lineRule="auto"/>
              <w:jc w:val="center"/>
              <w:rPr>
                <w:b/>
                <w:bCs/>
                <w:color w:val="000000" w:themeColor="text1"/>
                <w:sz w:val="24"/>
                <w:lang w:val="zh-CN"/>
                <w14:textFill>
                  <w14:solidFill>
                    <w14:schemeClr w14:val="tx1"/>
                  </w14:solidFill>
                </w14:textFill>
              </w:rPr>
            </w:pPr>
            <w:r>
              <w:rPr>
                <w:rFonts w:hint="eastAsia"/>
                <w:b/>
                <w:bCs/>
                <w:color w:val="000000" w:themeColor="text1"/>
                <w:sz w:val="24"/>
                <w:lang w:val="zh-CN"/>
                <w14:textFill>
                  <w14:solidFill>
                    <w14:schemeClr w14:val="tx1"/>
                  </w14:solidFill>
                </w14:textFill>
              </w:rPr>
              <w:t>建设项目环境风险简单分析内容表</w:t>
            </w:r>
          </w:p>
          <w:tbl>
            <w:tblPr>
              <w:tblStyle w:val="23"/>
              <w:tblW w:w="87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38"/>
              <w:gridCol w:w="946"/>
              <w:gridCol w:w="1960"/>
              <w:gridCol w:w="1289"/>
              <w:gridCol w:w="23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2138"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建设项目名称</w:t>
                  </w:r>
                </w:p>
              </w:tc>
              <w:tc>
                <w:tcPr>
                  <w:tcW w:w="6581" w:type="dxa"/>
                  <w:gridSpan w:val="4"/>
                  <w:tcBorders>
                    <w:tl2br w:val="nil"/>
                    <w:tr2bl w:val="nil"/>
                  </w:tcBorders>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宣汉县第三人民医院迁建项目住院部外迁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2138"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建设地点</w:t>
                  </w:r>
                </w:p>
              </w:tc>
              <w:tc>
                <w:tcPr>
                  <w:tcW w:w="6581" w:type="dxa"/>
                  <w:gridSpan w:val="4"/>
                  <w:tcBorders>
                    <w:tl2br w:val="nil"/>
                    <w:tr2bl w:val="nil"/>
                  </w:tcBorders>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宣汉县</w:t>
                  </w:r>
                  <w:r>
                    <w:rPr>
                      <w:rFonts w:hint="eastAsia"/>
                      <w:color w:val="000000" w:themeColor="text1"/>
                      <w:szCs w:val="21"/>
                      <w:lang w:eastAsia="zh-CN"/>
                      <w14:textFill>
                        <w14:solidFill>
                          <w14:schemeClr w14:val="tx1"/>
                        </w14:solidFill>
                      </w14:textFill>
                    </w:rPr>
                    <w:t>蒲江</w:t>
                  </w:r>
                  <w:r>
                    <w:rPr>
                      <w:rFonts w:hint="eastAsia"/>
                      <w:color w:val="000000" w:themeColor="text1"/>
                      <w:szCs w:val="21"/>
                      <w14:textFill>
                        <w14:solidFill>
                          <w14:schemeClr w14:val="tx1"/>
                        </w14:solidFill>
                      </w14:textFill>
                    </w:rPr>
                    <w:t>街道（巴人大道与长兴北路交汇处东北侧）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138"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地理坐标</w:t>
                  </w:r>
                </w:p>
              </w:tc>
              <w:tc>
                <w:tcPr>
                  <w:tcW w:w="946" w:type="dxa"/>
                  <w:tcBorders>
                    <w:tl2br w:val="nil"/>
                    <w:tr2bl w:val="nil"/>
                  </w:tcBorders>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经度</w:t>
                  </w:r>
                </w:p>
              </w:tc>
              <w:tc>
                <w:tcPr>
                  <w:tcW w:w="1960" w:type="dxa"/>
                  <w:tcBorders>
                    <w:tl2br w:val="nil"/>
                    <w:tr2bl w:val="nil"/>
                  </w:tcBorders>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107.714741°</w:t>
                  </w:r>
                </w:p>
              </w:tc>
              <w:tc>
                <w:tcPr>
                  <w:tcW w:w="1289" w:type="dxa"/>
                  <w:tcBorders>
                    <w:tl2br w:val="nil"/>
                    <w:tr2bl w:val="nil"/>
                  </w:tcBorders>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纬度</w:t>
                  </w:r>
                </w:p>
              </w:tc>
              <w:tc>
                <w:tcPr>
                  <w:tcW w:w="2386" w:type="dxa"/>
                  <w:tcBorders>
                    <w:tl2br w:val="nil"/>
                    <w:tr2bl w:val="nil"/>
                  </w:tcBorders>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31.366632°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138"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主要危险物质及分布</w:t>
                  </w:r>
                </w:p>
              </w:tc>
              <w:tc>
                <w:tcPr>
                  <w:tcW w:w="6581" w:type="dxa"/>
                  <w:gridSpan w:val="4"/>
                  <w:tcBorders>
                    <w:tl2br w:val="nil"/>
                    <w:tr2bl w:val="nil"/>
                  </w:tcBorders>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危险化学品，医疗废物，分布在危险化学品库房、医废暂存间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138"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环境影响途径及危害后果</w:t>
                  </w:r>
                </w:p>
              </w:tc>
              <w:tc>
                <w:tcPr>
                  <w:tcW w:w="6581" w:type="dxa"/>
                  <w:gridSpan w:val="4"/>
                  <w:tcBorders>
                    <w:tl2br w:val="nil"/>
                    <w:tr2bl w:val="nil"/>
                  </w:tcBorders>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危险化学品、医疗废物贮存、使用、运输过程泄漏导致环境污染和人员中毒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138"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风险防范措施要求</w:t>
                  </w:r>
                </w:p>
              </w:tc>
              <w:tc>
                <w:tcPr>
                  <w:tcW w:w="6581" w:type="dxa"/>
                  <w:gridSpan w:val="4"/>
                  <w:tcBorders>
                    <w:tl2br w:val="nil"/>
                    <w:tr2bl w:val="nil"/>
                  </w:tcBorders>
                  <w:vAlign w:val="center"/>
                </w:tcPr>
                <w:p>
                  <w:pPr>
                    <w:autoSpaceDE w:val="0"/>
                    <w:autoSpaceDN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（1）化学品风险防范措施</w:t>
                  </w:r>
                </w:p>
                <w:p>
                  <w:pPr>
                    <w:autoSpaceDE w:val="0"/>
                    <w:autoSpaceDN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1）危险化学品（75%酒精、95%酒精、碘伏消毒液）储存在专用仓库内，其储存方式、方法与储存数量符合国家有关规定，由专人管理，危险化学品出入库，进行了核查登记，并定期检查库存。</w:t>
                  </w:r>
                </w:p>
                <w:p>
                  <w:pPr>
                    <w:autoSpaceDE w:val="0"/>
                    <w:autoSpaceDN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2）建立完善的药品和药剂的管理办法，并严格执行，从源头杜绝危险化学品对周围环境和人群健康造成损害。</w:t>
                  </w:r>
                </w:p>
                <w:p>
                  <w:pPr>
                    <w:autoSpaceDE w:val="0"/>
                    <w:autoSpaceDN w:val="0"/>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）危化学品管理人员必须接受培训执证上岗，严格按操作规程进行操作。</w:t>
                  </w:r>
                </w:p>
                <w:p>
                  <w:pPr>
                    <w:autoSpaceDE w:val="0"/>
                    <w:autoSpaceDN w:val="0"/>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w:t>
                  </w:r>
                  <w:r>
                    <w:rPr>
                      <w:rFonts w:hint="eastAsia"/>
                      <w:color w:val="000000" w:themeColor="text1"/>
                      <w:szCs w:val="21"/>
                      <w14:textFill>
                        <w14:solidFill>
                          <w14:schemeClr w14:val="tx1"/>
                        </w14:solidFill>
                      </w14:textFill>
                    </w:rPr>
                    <w:t>）危化学品库房内采用防爆型照明、通风设施。禁止使用易产生火花的机械设备和工具。储区应备有泄漏应急处理设备和合适的收容材料。禁止震动、撞击和摩擦。</w:t>
                  </w:r>
                </w:p>
                <w:p>
                  <w:pPr>
                    <w:autoSpaceDE w:val="0"/>
                    <w:autoSpaceDN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（2）医疗废物的防范措施</w:t>
                  </w:r>
                </w:p>
                <w:p>
                  <w:pPr>
                    <w:autoSpaceDE w:val="0"/>
                    <w:autoSpaceDN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1）应对项目产生的医疗废物进行科学的分类收集。</w:t>
                  </w:r>
                </w:p>
                <w:p>
                  <w:pPr>
                    <w:autoSpaceDE w:val="0"/>
                    <w:autoSpaceDN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2）按要求对医疗废物进行贮存和运输。</w:t>
                  </w:r>
                </w:p>
                <w:p>
                  <w:pPr>
                    <w:autoSpaceDE w:val="0"/>
                    <w:autoSpaceDN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在采取以上防范措施的同时制定事故应急救援预案。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8719" w:type="dxa"/>
                  <w:gridSpan w:val="5"/>
                  <w:tcBorders>
                    <w:tl2br w:val="nil"/>
                    <w:tr2bl w:val="nil"/>
                  </w:tcBorders>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填表说明（列出项目相关信息及评价说明）：</w:t>
                  </w:r>
                </w:p>
                <w:p>
                  <w:pPr>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为医疗卫生服务设施建设</w:t>
                  </w:r>
                  <w:r>
                    <w:rPr>
                      <w:color w:val="000000" w:themeColor="text1"/>
                      <w:szCs w:val="21"/>
                      <w14:textFill>
                        <w14:solidFill>
                          <w14:schemeClr w14:val="tx1"/>
                        </w14:solidFill>
                      </w14:textFill>
                    </w:rPr>
                    <w:t>，根据《建设项目环境风险评价技术导则》（HJ169-2018），</w:t>
                  </w:r>
                  <w:r>
                    <w:rPr>
                      <w:rFonts w:hint="eastAsia"/>
                      <w:color w:val="000000" w:themeColor="text1"/>
                      <w:szCs w:val="21"/>
                      <w14:textFill>
                        <w14:solidFill>
                          <w14:schemeClr w14:val="tx1"/>
                        </w14:solidFill>
                      </w14:textFill>
                    </w:rPr>
                    <w:t>本</w:t>
                  </w:r>
                  <w:r>
                    <w:rPr>
                      <w:color w:val="000000" w:themeColor="text1"/>
                      <w:szCs w:val="21"/>
                      <w14:textFill>
                        <w14:solidFill>
                          <w14:schemeClr w14:val="tx1"/>
                        </w14:solidFill>
                      </w14:textFill>
                    </w:rPr>
                    <w:t>项目风险潜势为Ⅰ，评价工作等级为简单分析。在建设单位</w:t>
                  </w:r>
                  <w:r>
                    <w:rPr>
                      <w:rFonts w:hint="eastAsia"/>
                      <w:color w:val="000000" w:themeColor="text1"/>
                      <w:szCs w:val="21"/>
                      <w14:textFill>
                        <w14:solidFill>
                          <w14:schemeClr w14:val="tx1"/>
                        </w14:solidFill>
                      </w14:textFill>
                    </w:rPr>
                    <w:t>严格</w:t>
                  </w:r>
                  <w:r>
                    <w:rPr>
                      <w:color w:val="000000" w:themeColor="text1"/>
                      <w:szCs w:val="21"/>
                      <w14:textFill>
                        <w14:solidFill>
                          <w14:schemeClr w14:val="tx1"/>
                        </w14:solidFill>
                      </w14:textFill>
                    </w:rPr>
                    <w:t>按照</w:t>
                  </w:r>
                  <w:r>
                    <w:rPr>
                      <w:rFonts w:hint="eastAsia"/>
                      <w:color w:val="000000" w:themeColor="text1"/>
                      <w:szCs w:val="21"/>
                      <w14:textFill>
                        <w14:solidFill>
                          <w14:schemeClr w14:val="tx1"/>
                        </w14:solidFill>
                      </w14:textFill>
                    </w:rPr>
                    <w:t>相关规范要求操作</w:t>
                  </w:r>
                  <w:r>
                    <w:rPr>
                      <w:color w:val="000000" w:themeColor="text1"/>
                      <w:szCs w:val="21"/>
                      <w14:textFill>
                        <w14:solidFill>
                          <w14:schemeClr w14:val="tx1"/>
                        </w14:solidFill>
                      </w14:textFill>
                    </w:rPr>
                    <w:t>，并认真落实本评价所提出的各项风险防范措施</w:t>
                  </w:r>
                  <w:r>
                    <w:rPr>
                      <w:rFonts w:hint="eastAsia"/>
                      <w:color w:val="000000" w:themeColor="text1"/>
                      <w:szCs w:val="21"/>
                      <w14:textFill>
                        <w14:solidFill>
                          <w14:schemeClr w14:val="tx1"/>
                        </w14:solidFill>
                      </w14:textFill>
                    </w:rPr>
                    <w:t>后建设</w:t>
                  </w:r>
                  <w:r>
                    <w:rPr>
                      <w:color w:val="000000" w:themeColor="text1"/>
                      <w:szCs w:val="21"/>
                      <w14:textFill>
                        <w14:solidFill>
                          <w14:schemeClr w14:val="tx1"/>
                        </w14:solidFill>
                      </w14:textFill>
                    </w:rPr>
                    <w:t>项目环境风险可接受。</w:t>
                  </w:r>
                </w:p>
              </w:tc>
            </w:tr>
          </w:tbl>
          <w:p>
            <w:pPr>
              <w:numPr>
                <w:ilvl w:val="0"/>
                <w:numId w:val="17"/>
              </w:num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项目环保措施及其投资</w:t>
            </w:r>
          </w:p>
          <w:p>
            <w:pPr>
              <w:spacing w:line="360" w:lineRule="auto"/>
              <w:ind w:firstLine="480" w:firstLineChars="200"/>
              <w:rPr>
                <w:rFonts w:ascii="宋体" w:hAnsi="宋体"/>
                <w:b/>
                <w:color w:val="000000" w:themeColor="text1"/>
                <w:szCs w:val="21"/>
                <w14:textFill>
                  <w14:solidFill>
                    <w14:schemeClr w14:val="tx1"/>
                  </w14:solidFill>
                </w14:textFill>
              </w:rPr>
            </w:pP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项目总投资</w:t>
            </w:r>
            <w:r>
              <w:rPr>
                <w:rFonts w:hint="eastAsia"/>
                <w:color w:val="000000" w:themeColor="text1"/>
                <w:sz w:val="24"/>
                <w14:textFill>
                  <w14:solidFill>
                    <w14:schemeClr w14:val="tx1"/>
                  </w14:solidFill>
                </w14:textFill>
              </w:rPr>
              <w:t>7930万元</w:t>
            </w:r>
            <w:r>
              <w:rPr>
                <w:color w:val="000000" w:themeColor="text1"/>
                <w:sz w:val="24"/>
                <w14:textFill>
                  <w14:solidFill>
                    <w14:schemeClr w14:val="tx1"/>
                  </w14:solidFill>
                </w14:textFill>
              </w:rPr>
              <w:t>，环保</w:t>
            </w:r>
            <w:r>
              <w:rPr>
                <w:rFonts w:hint="eastAsia"/>
                <w:color w:val="000000" w:themeColor="text1"/>
                <w:sz w:val="24"/>
                <w14:textFill>
                  <w14:solidFill>
                    <w14:schemeClr w14:val="tx1"/>
                  </w14:solidFill>
                </w14:textFill>
              </w:rPr>
              <w:t>总</w:t>
            </w:r>
            <w:r>
              <w:rPr>
                <w:color w:val="000000" w:themeColor="text1"/>
                <w:sz w:val="24"/>
                <w14:textFill>
                  <w14:solidFill>
                    <w14:schemeClr w14:val="tx1"/>
                  </w14:solidFill>
                </w14:textFill>
              </w:rPr>
              <w:t>投资为</w:t>
            </w:r>
            <w:r>
              <w:rPr>
                <w:rFonts w:hint="eastAsia"/>
                <w:color w:val="000000" w:themeColor="text1"/>
                <w:sz w:val="24"/>
                <w:lang w:eastAsia="zh-CN"/>
                <w14:textFill>
                  <w14:solidFill>
                    <w14:schemeClr w14:val="tx1"/>
                  </w14:solidFill>
                </w14:textFill>
              </w:rPr>
              <w:t>190.0</w:t>
            </w:r>
            <w:r>
              <w:rPr>
                <w:color w:val="000000" w:themeColor="text1"/>
                <w:sz w:val="24"/>
                <w14:textFill>
                  <w14:solidFill>
                    <w14:schemeClr w14:val="tx1"/>
                  </w14:solidFill>
                </w14:textFill>
              </w:rPr>
              <w:t>万元，环保投资占本项目总投资的</w:t>
            </w:r>
            <w:r>
              <w:rPr>
                <w:rFonts w:hint="eastAsia"/>
                <w:color w:val="000000" w:themeColor="text1"/>
                <w:sz w:val="24"/>
                <w:lang w:eastAsia="zh-CN"/>
                <w14:textFill>
                  <w14:solidFill>
                    <w14:schemeClr w14:val="tx1"/>
                  </w14:solidFill>
                </w14:textFill>
              </w:rPr>
              <w:t>2.40</w:t>
            </w:r>
            <w:r>
              <w:rPr>
                <w:color w:val="000000" w:themeColor="text1"/>
                <w:sz w:val="24"/>
                <w14:textFill>
                  <w14:solidFill>
                    <w14:schemeClr w14:val="tx1"/>
                  </w14:solidFill>
                </w14:textFill>
              </w:rPr>
              <w:t>%。本项目的环保措施及其投资估算见</w:t>
            </w:r>
            <w:r>
              <w:rPr>
                <w:rFonts w:hint="eastAsia"/>
                <w:color w:val="000000" w:themeColor="text1"/>
                <w:sz w:val="24"/>
                <w14:textFill>
                  <w14:solidFill>
                    <w14:schemeClr w14:val="tx1"/>
                  </w14:solidFill>
                </w14:textFill>
              </w:rPr>
              <w:t>下</w:t>
            </w:r>
            <w:r>
              <w:rPr>
                <w:color w:val="000000" w:themeColor="text1"/>
                <w:sz w:val="24"/>
                <w14:textFill>
                  <w14:solidFill>
                    <w14:schemeClr w14:val="tx1"/>
                  </w14:solidFill>
                </w14:textFill>
              </w:rPr>
              <w:t>表。</w:t>
            </w:r>
          </w:p>
          <w:p>
            <w:pPr>
              <w:numPr>
                <w:ilvl w:val="0"/>
                <w:numId w:val="14"/>
              </w:numPr>
              <w:spacing w:line="36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环保措施及其投资估算一览表</w:t>
            </w:r>
          </w:p>
          <w:tbl>
            <w:tblPr>
              <w:tblStyle w:val="23"/>
              <w:tblW w:w="839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42"/>
              <w:gridCol w:w="709"/>
              <w:gridCol w:w="1635"/>
              <w:gridCol w:w="4467"/>
              <w:gridCol w:w="84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1" w:hRule="atLeast"/>
                <w:jc w:val="center"/>
              </w:trPr>
              <w:tc>
                <w:tcPr>
                  <w:tcW w:w="742"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时段</w:t>
                  </w:r>
                </w:p>
              </w:tc>
              <w:tc>
                <w:tcPr>
                  <w:tcW w:w="709"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污染类型</w:t>
                  </w:r>
                </w:p>
              </w:tc>
              <w:tc>
                <w:tcPr>
                  <w:tcW w:w="1635"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项目</w:t>
                  </w:r>
                </w:p>
              </w:tc>
              <w:tc>
                <w:tcPr>
                  <w:tcW w:w="4467"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环保措施</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投资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1" w:hRule="atLeast"/>
                <w:jc w:val="center"/>
              </w:trPr>
              <w:tc>
                <w:tcPr>
                  <w:tcW w:w="742" w:type="dxa"/>
                  <w:vMerge w:val="restar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施工期</w:t>
                  </w:r>
                </w:p>
              </w:tc>
              <w:tc>
                <w:tcPr>
                  <w:tcW w:w="709" w:type="dxa"/>
                  <w:vMerge w:val="restar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废气</w:t>
                  </w:r>
                </w:p>
              </w:tc>
              <w:tc>
                <w:tcPr>
                  <w:tcW w:w="1635"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施工扬尘</w:t>
                  </w:r>
                </w:p>
              </w:tc>
              <w:tc>
                <w:tcPr>
                  <w:tcW w:w="4467"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洒水降尘，及时清扫路面尘土，打围封闭施工，剥离表土、土石方采用防尘网覆盖</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27"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0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35"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机械废气</w:t>
                  </w:r>
                </w:p>
              </w:tc>
              <w:tc>
                <w:tcPr>
                  <w:tcW w:w="4467"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加强管理，加强对机械设备和运输车辆的维修、保养</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39"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09" w:type="dxa"/>
                  <w:vMerge w:val="restar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废水</w:t>
                  </w:r>
                </w:p>
              </w:tc>
              <w:tc>
                <w:tcPr>
                  <w:tcW w:w="1635"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施工废水</w:t>
                  </w:r>
                </w:p>
              </w:tc>
              <w:tc>
                <w:tcPr>
                  <w:tcW w:w="4467"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设置简易沉淀池（5m</w:t>
                  </w:r>
                  <w:r>
                    <w:rPr>
                      <w:rFonts w:hint="eastAsia" w:ascii="Times New Roman" w:hAnsi="Times New Roman" w:eastAsia="宋体" w:cs="Times New Roman"/>
                      <w:i w:val="0"/>
                      <w:iCs w:val="0"/>
                      <w:color w:val="000000" w:themeColor="text1"/>
                      <w:sz w:val="21"/>
                      <w:szCs w:val="21"/>
                      <w:u w:val="none"/>
                      <w:vertAlign w:val="superscript"/>
                      <w:lang w:val="en-US" w:eastAsia="zh-CN"/>
                      <w14:textFill>
                        <w14:solidFill>
                          <w14:schemeClr w14:val="tx1"/>
                        </w14:solidFill>
                      </w14:textFill>
                    </w:rPr>
                    <w:t>3</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），经自然沉淀后回用，不外排</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84"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0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35"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生活污水</w:t>
                  </w:r>
                </w:p>
              </w:tc>
              <w:tc>
                <w:tcPr>
                  <w:tcW w:w="4467"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生活污水利用临时化粪池（20m</w:t>
                  </w:r>
                  <w:r>
                    <w:rPr>
                      <w:rFonts w:hint="eastAsia" w:ascii="Times New Roman" w:hAnsi="Times New Roman" w:eastAsia="宋体" w:cs="Times New Roman"/>
                      <w:i w:val="0"/>
                      <w:iCs w:val="0"/>
                      <w:color w:val="000000" w:themeColor="text1"/>
                      <w:sz w:val="21"/>
                      <w:szCs w:val="21"/>
                      <w:u w:val="none"/>
                      <w:vertAlign w:val="superscript"/>
                      <w:lang w:val="en-US" w:eastAsia="zh-CN"/>
                      <w14:textFill>
                        <w14:solidFill>
                          <w14:schemeClr w14:val="tx1"/>
                        </w14:solidFill>
                      </w14:textFill>
                    </w:rPr>
                    <w:t>3</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）收集处理后排入市政污水管网，最终经宣汉县城市生活污水处理厂处理后达标外排</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84"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09" w:type="dxa"/>
                  <w:vMerge w:val="restar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固废</w:t>
                  </w:r>
                </w:p>
              </w:tc>
              <w:tc>
                <w:tcPr>
                  <w:tcW w:w="1635"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土石方</w:t>
                  </w:r>
                </w:p>
              </w:tc>
              <w:tc>
                <w:tcPr>
                  <w:tcW w:w="4467"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剥离表土、土石方临时堆场修建挡护措施，施工完后剥离表土用于绿化，多余土石方运至当地政府指定地点</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39"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0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35"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建筑垃圾</w:t>
                  </w:r>
                </w:p>
              </w:tc>
              <w:tc>
                <w:tcPr>
                  <w:tcW w:w="4467"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回收利用，不能回收的运至当地政府指定地点</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27"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09"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噪声</w:t>
                  </w:r>
                </w:p>
              </w:tc>
              <w:tc>
                <w:tcPr>
                  <w:tcW w:w="1635"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设备噪声</w:t>
                  </w:r>
                </w:p>
              </w:tc>
              <w:tc>
                <w:tcPr>
                  <w:tcW w:w="4467"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选用低噪声设备、合理布局、加强管理等</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26" w:hRule="atLeast"/>
                <w:jc w:val="center"/>
              </w:trPr>
              <w:tc>
                <w:tcPr>
                  <w:tcW w:w="742" w:type="dxa"/>
                  <w:vMerge w:val="restar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营运期</w:t>
                  </w:r>
                </w:p>
              </w:tc>
              <w:tc>
                <w:tcPr>
                  <w:tcW w:w="709" w:type="dxa"/>
                  <w:vMerge w:val="restar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废气</w:t>
                  </w:r>
                </w:p>
              </w:tc>
              <w:tc>
                <w:tcPr>
                  <w:tcW w:w="1635"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医院浑浊空气</w:t>
                  </w:r>
                </w:p>
              </w:tc>
              <w:tc>
                <w:tcPr>
                  <w:tcW w:w="4467"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采用500mg/L的含氯消毒剂溶液等常规消毒措施</w:t>
                  </w: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，加强通风</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5"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0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35"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检验废气</w:t>
                  </w:r>
                </w:p>
              </w:tc>
              <w:tc>
                <w:tcPr>
                  <w:tcW w:w="4467"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室内加强通风和消毒</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26"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0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35"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医疗废物间恶臭</w:t>
                  </w:r>
                </w:p>
              </w:tc>
              <w:tc>
                <w:tcPr>
                  <w:tcW w:w="4467"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医疗废物密封储存，加强管理，定期清运，加强消毒</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5"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0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35"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吸引设备废气</w:t>
                  </w:r>
                </w:p>
              </w:tc>
              <w:tc>
                <w:tcPr>
                  <w:tcW w:w="4467"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经自带消毒装置消毒后自然排放</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26"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0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35"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洗消中心废气</w:t>
                  </w:r>
                </w:p>
              </w:tc>
              <w:tc>
                <w:tcPr>
                  <w:tcW w:w="4467"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采用500mg/L的含氯消毒剂溶液等常规消毒措施</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，同时加强通风</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5"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0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35"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汽车尾气</w:t>
                  </w:r>
                </w:p>
              </w:tc>
              <w:tc>
                <w:tcPr>
                  <w:tcW w:w="4467"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自然扩散，加强管理，加强周边绿化</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5"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0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3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污水处理站恶臭气体</w:t>
                  </w:r>
                </w:p>
              </w:tc>
              <w:tc>
                <w:tcPr>
                  <w:tcW w:w="4467"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采用地埋式，合理布局，周边加强绿化</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依托二期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84"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09" w:type="dxa"/>
                  <w:vMerge w:val="restart"/>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废水</w:t>
                  </w:r>
                </w:p>
              </w:tc>
              <w:tc>
                <w:tcPr>
                  <w:tcW w:w="1635" w:type="dxa"/>
                  <w:tcBorders>
                    <w:bottom w:val="single" w:color="auto" w:sz="4" w:space="0"/>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检验废液</w:t>
                  </w:r>
                </w:p>
              </w:tc>
              <w:tc>
                <w:tcPr>
                  <w:tcW w:w="4467" w:type="dxa"/>
                  <w:tcBorders>
                    <w:bottom w:val="single" w:color="auto" w:sz="4" w:space="0"/>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检验室使用后的检验废液作为危险废物处置，采用专用容器分类收集后，暂存于医疗废物暂存间，委托资质单位处置</w:t>
                  </w:r>
                </w:p>
              </w:tc>
              <w:tc>
                <w:tcPr>
                  <w:tcW w:w="845" w:type="dxa"/>
                  <w:tcBorders>
                    <w:bottom w:val="single" w:color="auto" w:sz="4" w:space="0"/>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84"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09" w:type="dxa"/>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c>
                <w:tcPr>
                  <w:tcW w:w="1635" w:type="dxa"/>
                  <w:tcBorders>
                    <w:bottom w:val="single" w:color="auto" w:sz="4" w:space="0"/>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检验废水</w:t>
                  </w:r>
                </w:p>
              </w:tc>
              <w:tc>
                <w:tcPr>
                  <w:tcW w:w="4467" w:type="dxa"/>
                  <w:tcBorders>
                    <w:bottom w:val="single" w:color="auto" w:sz="4" w:space="0"/>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检验人员及检验室清洁产生的废水经化粪池预处理后进入二期项目污水处理设施处理</w:t>
                  </w:r>
                </w:p>
              </w:tc>
              <w:tc>
                <w:tcPr>
                  <w:tcW w:w="845" w:type="dxa"/>
                  <w:vMerge w:val="restart"/>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84"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09" w:type="dxa"/>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c>
                <w:tcPr>
                  <w:tcW w:w="1635" w:type="dxa"/>
                  <w:tcBorders>
                    <w:top w:val="single" w:color="auto" w:sz="4" w:space="0"/>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医疗废水</w:t>
                  </w:r>
                </w:p>
              </w:tc>
              <w:tc>
                <w:tcPr>
                  <w:tcW w:w="4467" w:type="dxa"/>
                  <w:tcBorders>
                    <w:top w:val="single" w:color="auto" w:sz="4" w:space="0"/>
                    <w:bottom w:val="single" w:color="auto" w:sz="4" w:space="0"/>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住院、门诊、手术、洗消中心产生的医疗废水经化粪池预处理后进入二期项目污水处理站</w:t>
                  </w:r>
                </w:p>
              </w:tc>
              <w:tc>
                <w:tcPr>
                  <w:tcW w:w="845" w:type="dxa"/>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5"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09" w:type="dxa"/>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35"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生活污水</w:t>
                  </w:r>
                </w:p>
              </w:tc>
              <w:tc>
                <w:tcPr>
                  <w:tcW w:w="4467"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经</w:t>
                  </w:r>
                  <w:r>
                    <w:rPr>
                      <w:rFonts w:hint="eastAsia" w:cs="Times New Roman"/>
                      <w:i w:val="0"/>
                      <w:iCs w:val="0"/>
                      <w:color w:val="000000" w:themeColor="text1"/>
                      <w:sz w:val="21"/>
                      <w:szCs w:val="21"/>
                      <w:u w:val="none"/>
                      <w:lang w:val="en-US" w:eastAsia="zh-CN"/>
                      <w14:textFill>
                        <w14:solidFill>
                          <w14:schemeClr w14:val="tx1"/>
                        </w14:solidFill>
                      </w14:textFill>
                    </w:rPr>
                    <w:t>30</w:t>
                  </w: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0m</w:t>
                  </w:r>
                  <w:r>
                    <w:rPr>
                      <w:rFonts w:hint="default" w:ascii="Times New Roman" w:hAnsi="Times New Roman" w:eastAsia="宋体" w:cs="Times New Roman"/>
                      <w:i w:val="0"/>
                      <w:iCs w:val="0"/>
                      <w:color w:val="000000" w:themeColor="text1"/>
                      <w:sz w:val="21"/>
                      <w:szCs w:val="21"/>
                      <w:u w:val="none"/>
                      <w:vertAlign w:val="superscript"/>
                      <w:lang w:val="en-US" w:eastAsia="zh-CN"/>
                      <w14:textFill>
                        <w14:solidFill>
                          <w14:schemeClr w14:val="tx1"/>
                        </w14:solidFill>
                      </w14:textFill>
                    </w:rPr>
                    <w:t>3</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化粪池预处理后进入二期项目污水处理站</w:t>
                  </w:r>
                </w:p>
              </w:tc>
              <w:tc>
                <w:tcPr>
                  <w:tcW w:w="845"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5"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09" w:type="dxa"/>
                  <w:vMerge w:val="restar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噪声</w:t>
                  </w:r>
                </w:p>
              </w:tc>
              <w:tc>
                <w:tcPr>
                  <w:tcW w:w="1635"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设备噪声</w:t>
                  </w:r>
                </w:p>
              </w:tc>
              <w:tc>
                <w:tcPr>
                  <w:tcW w:w="4467"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选用低噪声设备，设备基座减振，建筑隔声</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26"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0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35"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生活噪声</w:t>
                  </w:r>
                </w:p>
              </w:tc>
              <w:tc>
                <w:tcPr>
                  <w:tcW w:w="4467"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加强管理，设置“禁止喧哗”、“保持安静”和“静”等标志</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00"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09" w:type="dxa"/>
                  <w:vMerge w:val="restar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固废</w:t>
                  </w:r>
                </w:p>
              </w:tc>
              <w:tc>
                <w:tcPr>
                  <w:tcW w:w="1635"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医疗废物</w:t>
                  </w:r>
                </w:p>
              </w:tc>
              <w:tc>
                <w:tcPr>
                  <w:tcW w:w="4467"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设置一个</w:t>
                  </w: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80m</w:t>
                  </w:r>
                  <w:r>
                    <w:rPr>
                      <w:rFonts w:hint="default" w:ascii="Times New Roman" w:hAnsi="Times New Roman" w:eastAsia="宋体" w:cs="Times New Roman"/>
                      <w:i w:val="0"/>
                      <w:iCs w:val="0"/>
                      <w:color w:val="000000" w:themeColor="text1"/>
                      <w:sz w:val="21"/>
                      <w:szCs w:val="21"/>
                      <w:u w:val="none"/>
                      <w:vertAlign w:val="superscript"/>
                      <w:lang w:val="en-US" w:eastAsia="zh-CN"/>
                      <w14:textFill>
                        <w14:solidFill>
                          <w14:schemeClr w14:val="tx1"/>
                        </w14:solidFill>
                      </w14:textFill>
                    </w:rPr>
                    <w:t>2</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医废暂存间，医废暂存间（采取</w:t>
                  </w:r>
                  <w:r>
                    <w:rPr>
                      <w:rFonts w:hint="eastAsia" w:cs="Times New Roman"/>
                      <w:i w:val="0"/>
                      <w:iCs w:val="0"/>
                      <w:color w:val="000000" w:themeColor="text1"/>
                      <w:sz w:val="21"/>
                      <w:szCs w:val="21"/>
                      <w:u w:val="none"/>
                      <w:lang w:val="en-US" w:eastAsia="zh-CN"/>
                      <w14:textFill>
                        <w14:solidFill>
                          <w14:schemeClr w14:val="tx1"/>
                        </w14:solidFill>
                      </w14:textFill>
                    </w:rPr>
                    <w:t>“</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三防</w:t>
                  </w:r>
                  <w:r>
                    <w:rPr>
                      <w:rFonts w:hint="eastAsia" w:cs="Times New Roman"/>
                      <w:i w:val="0"/>
                      <w:iCs w:val="0"/>
                      <w:color w:val="000000" w:themeColor="text1"/>
                      <w:sz w:val="21"/>
                      <w:szCs w:val="21"/>
                      <w:u w:val="none"/>
                      <w:lang w:val="en-US" w:eastAsia="zh-CN"/>
                      <w14:textFill>
                        <w14:solidFill>
                          <w14:schemeClr w14:val="tx1"/>
                        </w14:solidFill>
                      </w14:textFill>
                    </w:rPr>
                    <w:t>”</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措施，设立警示标示，配套安装空调、摄像头等必备设施）、购买专用医疗危险废物收集桶，分类收集后，交由资质单位处理</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09" w:type="dxa"/>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c>
                <w:tcPr>
                  <w:tcW w:w="163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污水处理站污泥</w:t>
                  </w:r>
                </w:p>
              </w:tc>
              <w:tc>
                <w:tcPr>
                  <w:tcW w:w="4467"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委托有资质单位对污水处理系统产生的污泥定期清掏处理</w:t>
                  </w:r>
                  <w:r>
                    <w:rPr>
                      <w:rFonts w:hint="eastAsia" w:cs="Times New Roman"/>
                      <w:i w:val="0"/>
                      <w:iCs w:val="0"/>
                      <w:color w:val="000000" w:themeColor="text1"/>
                      <w:sz w:val="21"/>
                      <w:szCs w:val="21"/>
                      <w:u w:val="none"/>
                      <w:lang w:val="en-US" w:eastAsia="zh-CN"/>
                      <w14:textFill>
                        <w14:solidFill>
                          <w14:schemeClr w14:val="tx1"/>
                        </w14:solidFill>
                      </w14:textFill>
                    </w:rPr>
                    <w:t>，不在场区暂存处理</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39"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0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35"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未感染的输液瓶（袋）</w:t>
                  </w:r>
                </w:p>
              </w:tc>
              <w:tc>
                <w:tcPr>
                  <w:tcW w:w="4467"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收集后，暂存医废暂存间，定期交由有资质的回收单位，并建立管理台账</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39"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0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35"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生活垃圾</w:t>
                  </w:r>
                </w:p>
              </w:tc>
              <w:tc>
                <w:tcPr>
                  <w:tcW w:w="4467"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设置垃圾桶，收集后交由环卫部门处置</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2"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344" w:type="dxa"/>
                  <w:gridSpan w:val="2"/>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地下水、土壤</w:t>
                  </w:r>
                </w:p>
              </w:tc>
              <w:tc>
                <w:tcPr>
                  <w:tcW w:w="4467"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分区防渗：医疗废物暂存间、化粪池进行重点防渗，医疗废物暂存间拟采用20mm厚防渗混凝土+瓷砖，化粪池拟采用20mm厚度防渗混凝土，满足等效黏土防渗层Mb≥6.0m，K≤1.0×10</w:t>
                  </w:r>
                  <w:r>
                    <w:rPr>
                      <w:rFonts w:hint="eastAsia" w:ascii="Times New Roman" w:hAnsi="Times New Roman" w:eastAsia="宋体" w:cs="Times New Roman"/>
                      <w:i w:val="0"/>
                      <w:iCs w:val="0"/>
                      <w:color w:val="000000" w:themeColor="text1"/>
                      <w:sz w:val="21"/>
                      <w:szCs w:val="21"/>
                      <w:u w:val="none"/>
                      <w:vertAlign w:val="superscript"/>
                      <w:lang w:val="en-US" w:eastAsia="zh-CN"/>
                      <w14:textFill>
                        <w14:solidFill>
                          <w14:schemeClr w14:val="tx1"/>
                        </w14:solidFill>
                      </w14:textFill>
                    </w:rPr>
                    <w:t>-7</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cm/s防渗要求渗透系数小于1.0×10</w:t>
                  </w:r>
                  <w:r>
                    <w:rPr>
                      <w:rFonts w:hint="eastAsia" w:ascii="Times New Roman" w:hAnsi="Times New Roman" w:eastAsia="宋体" w:cs="Times New Roman"/>
                      <w:i w:val="0"/>
                      <w:iCs w:val="0"/>
                      <w:color w:val="000000" w:themeColor="text1"/>
                      <w:sz w:val="21"/>
                      <w:szCs w:val="21"/>
                      <w:u w:val="none"/>
                      <w:vertAlign w:val="superscript"/>
                      <w:lang w:val="en-US" w:eastAsia="zh-CN"/>
                      <w14:textFill>
                        <w14:solidFill>
                          <w14:schemeClr w14:val="tx1"/>
                        </w14:solidFill>
                      </w14:textFill>
                    </w:rPr>
                    <w:t>-7</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cm/s</w:t>
                  </w:r>
                  <w:r>
                    <w:rPr>
                      <w:rFonts w:hint="eastAsia" w:cs="Times New Roman"/>
                      <w:i w:val="0"/>
                      <w:iCs w:val="0"/>
                      <w:color w:val="000000" w:themeColor="text1"/>
                      <w:sz w:val="21"/>
                      <w:szCs w:val="21"/>
                      <w:u w:val="none"/>
                      <w:lang w:val="en-US" w:eastAsia="zh-CN"/>
                      <w14:textFill>
                        <w14:solidFill>
                          <w14:schemeClr w14:val="tx1"/>
                        </w14:solidFill>
                      </w14:textFill>
                    </w:rPr>
                    <w:t>，</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围堰采用水泥硬化，并涂环氧树脂防渗；医院地面全部采用水泥硬化处理，满足等效黏土防渗层Mb≥1.5m，K≤1.0×10</w:t>
                  </w:r>
                  <w:r>
                    <w:rPr>
                      <w:rFonts w:hint="eastAsia" w:ascii="Times New Roman" w:hAnsi="Times New Roman" w:eastAsia="宋体" w:cs="Times New Roman"/>
                      <w:i w:val="0"/>
                      <w:iCs w:val="0"/>
                      <w:color w:val="000000" w:themeColor="text1"/>
                      <w:sz w:val="21"/>
                      <w:szCs w:val="21"/>
                      <w:u w:val="none"/>
                      <w:vertAlign w:val="superscript"/>
                      <w:lang w:val="en-US" w:eastAsia="zh-CN"/>
                      <w14:textFill>
                        <w14:solidFill>
                          <w14:schemeClr w14:val="tx1"/>
                        </w14:solidFill>
                      </w14:textFill>
                    </w:rPr>
                    <w:t>-7</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cm/s防渗要求</w:t>
                  </w:r>
                  <w:r>
                    <w:rPr>
                      <w:rFonts w:hint="eastAsia" w:cs="Times New Roman"/>
                      <w:i w:val="0"/>
                      <w:iCs w:val="0"/>
                      <w:color w:val="000000" w:themeColor="text1"/>
                      <w:sz w:val="21"/>
                      <w:szCs w:val="21"/>
                      <w:u w:val="none"/>
                      <w:lang w:val="en-US" w:eastAsia="zh-CN"/>
                      <w14:textFill>
                        <w14:solidFill>
                          <w14:schemeClr w14:val="tx1"/>
                        </w14:solidFill>
                      </w14:textFill>
                    </w:rPr>
                    <w:t>；</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医院内部道路采用一般硬化处理，进行简单防渗。</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80.0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jc w:val="center"/>
              </w:trPr>
              <w:tc>
                <w:tcPr>
                  <w:tcW w:w="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344" w:type="dxa"/>
                  <w:gridSpan w:val="2"/>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风险防范措施</w:t>
                  </w:r>
                </w:p>
              </w:tc>
              <w:tc>
                <w:tcPr>
                  <w:tcW w:w="4467" w:type="dxa"/>
                  <w:tcBorders>
                    <w:tl2br w:val="nil"/>
                    <w:tr2bl w:val="nil"/>
                  </w:tcBorders>
                  <w:shd w:val="clear" w:color="auto" w:fill="auto"/>
                  <w:vAlign w:val="center"/>
                </w:tcPr>
                <w:p>
                  <w:pPr>
                    <w:jc w:val="center"/>
                    <w:rPr>
                      <w:rFonts w:hint="eastAsia"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设置消防设备，加强管理、编制应急预案等</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55.0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0" w:hRule="atLeast"/>
                <w:jc w:val="center"/>
              </w:trPr>
              <w:tc>
                <w:tcPr>
                  <w:tcW w:w="7553" w:type="dxa"/>
                  <w:gridSpan w:val="4"/>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合计</w:t>
                  </w:r>
                </w:p>
              </w:tc>
              <w:tc>
                <w:tcPr>
                  <w:tcW w:w="84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190.0</w:t>
                  </w:r>
                </w:p>
              </w:tc>
            </w:tr>
          </w:tbl>
          <w:p>
            <w:pPr>
              <w:pStyle w:val="22"/>
              <w:ind w:firstLine="480"/>
              <w:rPr>
                <w:color w:val="000000" w:themeColor="text1"/>
                <w14:textFill>
                  <w14:solidFill>
                    <w14:schemeClr w14:val="tx1"/>
                  </w14:solidFill>
                </w14:textFill>
              </w:rPr>
            </w:pPr>
          </w:p>
          <w:p>
            <w:pPr>
              <w:adjustRightInd w:val="0"/>
              <w:snapToGrid w:val="0"/>
              <w:spacing w:line="360" w:lineRule="auto"/>
              <w:rPr>
                <w:bCs/>
                <w:color w:val="000000" w:themeColor="text1"/>
                <w:spacing w:val="-10"/>
                <w:sz w:val="24"/>
                <w14:textFill>
                  <w14:solidFill>
                    <w14:schemeClr w14:val="tx1"/>
                  </w14:solidFill>
                </w14:textFill>
              </w:rPr>
            </w:pPr>
          </w:p>
        </w:tc>
      </w:tr>
    </w:tbl>
    <w:p>
      <w:pPr>
        <w:adjustRightInd w:val="0"/>
        <w:snapToGrid w:val="0"/>
        <w:spacing w:line="360" w:lineRule="auto"/>
        <w:rPr>
          <w:b/>
          <w:color w:val="000000" w:themeColor="text1"/>
          <w:kern w:val="0"/>
          <w:sz w:val="28"/>
          <w:szCs w:val="28"/>
          <w14:textFill>
            <w14:solidFill>
              <w14:schemeClr w14:val="tx1"/>
            </w14:solidFill>
          </w14:textFill>
        </w:rPr>
        <w:sectPr>
          <w:pgSz w:w="11907" w:h="16840"/>
          <w:pgMar w:top="1440" w:right="1800" w:bottom="1440" w:left="1800" w:header="851" w:footer="1077" w:gutter="0"/>
          <w:cols w:space="720" w:num="1"/>
          <w:docGrid w:linePitch="312" w:charSpace="0"/>
        </w:sectPr>
      </w:pPr>
    </w:p>
    <w:p>
      <w:pPr>
        <w:pStyle w:val="2"/>
        <w:rPr>
          <w:color w:val="000000" w:themeColor="text1"/>
          <w14:textFill>
            <w14:solidFill>
              <w14:schemeClr w14:val="tx1"/>
            </w14:solidFill>
          </w14:textFill>
        </w:rPr>
      </w:pPr>
      <w:bookmarkStart w:id="11" w:name="_Toc16591"/>
      <w:bookmarkStart w:id="12" w:name="_Toc2087"/>
      <w:r>
        <w:rPr>
          <w:color w:val="000000" w:themeColor="text1"/>
          <w14:textFill>
            <w14:solidFill>
              <w14:schemeClr w14:val="tx1"/>
            </w14:solidFill>
          </w14:textFill>
        </w:rPr>
        <w:t>五、</w:t>
      </w:r>
      <w:bookmarkStart w:id="13" w:name="_Hlk54167917"/>
      <w:r>
        <w:rPr>
          <w:color w:val="000000" w:themeColor="text1"/>
          <w14:textFill>
            <w14:solidFill>
              <w14:schemeClr w14:val="tx1"/>
            </w14:solidFill>
          </w14:textFill>
        </w:rPr>
        <w:t>环境保护措施监督检查清单</w:t>
      </w:r>
      <w:bookmarkEnd w:id="11"/>
      <w:bookmarkEnd w:id="12"/>
      <w:bookmarkEnd w:id="13"/>
    </w:p>
    <w:tbl>
      <w:tblPr>
        <w:tblStyle w:val="23"/>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383"/>
        <w:gridCol w:w="1417"/>
        <w:gridCol w:w="2361"/>
        <w:gridCol w:w="23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0" w:type="dxa"/>
            <w:tcBorders>
              <w:tl2br w:val="single" w:color="auto" w:sz="4" w:space="0"/>
            </w:tcBorders>
          </w:tcPr>
          <w:p>
            <w:pPr>
              <w:adjustRightInd w:val="0"/>
              <w:snapToGrid w:val="0"/>
              <w:jc w:val="right"/>
              <w:rPr>
                <w:color w:val="000000" w:themeColor="text1"/>
                <w:sz w:val="24"/>
                <w14:textFill>
                  <w14:solidFill>
                    <w14:schemeClr w14:val="tx1"/>
                  </w14:solidFill>
                </w14:textFill>
              </w:rPr>
            </w:pPr>
            <w:r>
              <w:rPr>
                <w:color w:val="000000" w:themeColor="text1"/>
                <w:sz w:val="24"/>
                <w14:textFill>
                  <w14:solidFill>
                    <w14:schemeClr w14:val="tx1"/>
                  </w14:solidFill>
                </w14:textFill>
              </w:rPr>
              <w:t>内容</w:t>
            </w:r>
          </w:p>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要素</w:t>
            </w:r>
          </w:p>
        </w:tc>
        <w:tc>
          <w:tcPr>
            <w:tcW w:w="1383"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排放口</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编号、名称</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/污染源</w:t>
            </w:r>
          </w:p>
        </w:tc>
        <w:tc>
          <w:tcPr>
            <w:tcW w:w="141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污染物项目</w:t>
            </w:r>
          </w:p>
        </w:tc>
        <w:tc>
          <w:tcPr>
            <w:tcW w:w="2361"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环境保护措施</w:t>
            </w:r>
          </w:p>
        </w:tc>
        <w:tc>
          <w:tcPr>
            <w:tcW w:w="2349"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0" w:type="dxa"/>
            <w:vMerge w:val="restar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大气环境</w:t>
            </w:r>
          </w:p>
        </w:tc>
        <w:tc>
          <w:tcPr>
            <w:tcW w:w="1383"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医疗区域、洗消中心</w:t>
            </w:r>
          </w:p>
        </w:tc>
        <w:tc>
          <w:tcPr>
            <w:tcW w:w="1417" w:type="dxa"/>
            <w:vAlign w:val="center"/>
          </w:tcPr>
          <w:p>
            <w:pPr>
              <w:jc w:val="center"/>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浑浊空气</w:t>
            </w:r>
          </w:p>
        </w:tc>
        <w:tc>
          <w:tcPr>
            <w:tcW w:w="2361" w:type="dxa"/>
            <w:vAlign w:val="center"/>
          </w:tcPr>
          <w:p>
            <w:pPr>
              <w:jc w:val="center"/>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采用</w:t>
            </w:r>
            <w:r>
              <w:rPr>
                <w:rFonts w:hint="eastAsia"/>
                <w:bCs/>
                <w:color w:val="000000" w:themeColor="text1"/>
                <w:sz w:val="24"/>
                <w:lang w:eastAsia="zh-CN"/>
                <w14:textFill>
                  <w14:solidFill>
                    <w14:schemeClr w14:val="tx1"/>
                  </w14:solidFill>
                </w14:textFill>
              </w:rPr>
              <w:t>500mg/L的含氯消毒剂溶液等常规消毒措施</w:t>
            </w:r>
            <w:r>
              <w:rPr>
                <w:rFonts w:hint="eastAsia"/>
                <w:bCs/>
                <w:color w:val="000000" w:themeColor="text1"/>
                <w:sz w:val="24"/>
                <w14:textFill>
                  <w14:solidFill>
                    <w14:schemeClr w14:val="tx1"/>
                  </w14:solidFill>
                </w14:textFill>
              </w:rPr>
              <w:t>，加强通风</w:t>
            </w:r>
          </w:p>
        </w:tc>
        <w:tc>
          <w:tcPr>
            <w:tcW w:w="2349" w:type="dxa"/>
            <w:vMerge w:val="restart"/>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《恶臭污染物排放标准》（GB14554-93）中表1中二级标准限值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0" w:type="dxa"/>
            <w:vMerge w:val="continue"/>
            <w:vAlign w:val="center"/>
          </w:tcPr>
          <w:p>
            <w:pPr>
              <w:adjustRightInd w:val="0"/>
              <w:snapToGrid w:val="0"/>
              <w:jc w:val="center"/>
              <w:rPr>
                <w:color w:val="000000" w:themeColor="text1"/>
                <w:sz w:val="24"/>
                <w14:textFill>
                  <w14:solidFill>
                    <w14:schemeClr w14:val="tx1"/>
                  </w14:solidFill>
                </w14:textFill>
              </w:rPr>
            </w:pPr>
          </w:p>
        </w:tc>
        <w:tc>
          <w:tcPr>
            <w:tcW w:w="1383"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检验室</w:t>
            </w:r>
          </w:p>
        </w:tc>
        <w:tc>
          <w:tcPr>
            <w:tcW w:w="1417"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检验废气</w:t>
            </w:r>
          </w:p>
        </w:tc>
        <w:tc>
          <w:tcPr>
            <w:tcW w:w="2361"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室内加强通风和消毒</w:t>
            </w:r>
          </w:p>
        </w:tc>
        <w:tc>
          <w:tcPr>
            <w:tcW w:w="2349" w:type="dxa"/>
            <w:vMerge w:val="continue"/>
            <w:vAlign w:val="center"/>
          </w:tcPr>
          <w:p>
            <w:pPr>
              <w:adjustRightInd w:val="0"/>
              <w:snapToGrid w:val="0"/>
              <w:jc w:val="center"/>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0" w:type="dxa"/>
            <w:vMerge w:val="continue"/>
            <w:vAlign w:val="center"/>
          </w:tcPr>
          <w:p>
            <w:pPr>
              <w:adjustRightInd w:val="0"/>
              <w:snapToGrid w:val="0"/>
              <w:jc w:val="center"/>
              <w:rPr>
                <w:color w:val="000000" w:themeColor="text1"/>
                <w:sz w:val="24"/>
                <w14:textFill>
                  <w14:solidFill>
                    <w14:schemeClr w14:val="tx1"/>
                  </w14:solidFill>
                </w14:textFill>
              </w:rPr>
            </w:pPr>
          </w:p>
        </w:tc>
        <w:tc>
          <w:tcPr>
            <w:tcW w:w="1383"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医疗废物间</w:t>
            </w:r>
          </w:p>
        </w:tc>
        <w:tc>
          <w:tcPr>
            <w:tcW w:w="1417"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恶臭</w:t>
            </w:r>
          </w:p>
        </w:tc>
        <w:tc>
          <w:tcPr>
            <w:tcW w:w="2361"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医疗废物密封储存，加强管理，定期清运，加强消毒</w:t>
            </w:r>
          </w:p>
        </w:tc>
        <w:tc>
          <w:tcPr>
            <w:tcW w:w="2349" w:type="dxa"/>
            <w:vMerge w:val="continue"/>
            <w:vAlign w:val="center"/>
          </w:tcPr>
          <w:p>
            <w:pPr>
              <w:adjustRightInd w:val="0"/>
              <w:snapToGrid w:val="0"/>
              <w:jc w:val="center"/>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0" w:type="dxa"/>
            <w:vMerge w:val="continue"/>
            <w:vAlign w:val="center"/>
          </w:tcPr>
          <w:p>
            <w:pPr>
              <w:adjustRightInd w:val="0"/>
              <w:snapToGrid w:val="0"/>
              <w:jc w:val="center"/>
              <w:rPr>
                <w:color w:val="000000" w:themeColor="text1"/>
                <w:sz w:val="24"/>
                <w14:textFill>
                  <w14:solidFill>
                    <w14:schemeClr w14:val="tx1"/>
                  </w14:solidFill>
                </w14:textFill>
              </w:rPr>
            </w:pPr>
          </w:p>
        </w:tc>
        <w:tc>
          <w:tcPr>
            <w:tcW w:w="1383"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吸引设备</w:t>
            </w:r>
          </w:p>
        </w:tc>
        <w:tc>
          <w:tcPr>
            <w:tcW w:w="1417"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废气</w:t>
            </w:r>
          </w:p>
        </w:tc>
        <w:tc>
          <w:tcPr>
            <w:tcW w:w="2361"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经自带消毒装置消毒后自然排放</w:t>
            </w:r>
          </w:p>
        </w:tc>
        <w:tc>
          <w:tcPr>
            <w:tcW w:w="2349" w:type="dxa"/>
            <w:vMerge w:val="continue"/>
            <w:vAlign w:val="center"/>
          </w:tcPr>
          <w:p>
            <w:pPr>
              <w:adjustRightInd w:val="0"/>
              <w:snapToGrid w:val="0"/>
              <w:jc w:val="center"/>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0" w:type="dxa"/>
            <w:vMerge w:val="continue"/>
            <w:vAlign w:val="center"/>
          </w:tcPr>
          <w:p>
            <w:pPr>
              <w:adjustRightInd w:val="0"/>
              <w:snapToGrid w:val="0"/>
              <w:jc w:val="center"/>
              <w:rPr>
                <w:color w:val="000000" w:themeColor="text1"/>
                <w:sz w:val="24"/>
                <w14:textFill>
                  <w14:solidFill>
                    <w14:schemeClr w14:val="tx1"/>
                  </w14:solidFill>
                </w14:textFill>
              </w:rPr>
            </w:pPr>
          </w:p>
        </w:tc>
        <w:tc>
          <w:tcPr>
            <w:tcW w:w="1383" w:type="dxa"/>
            <w:vAlign w:val="center"/>
          </w:tcPr>
          <w:p>
            <w:pPr>
              <w:adjustRightInd w:val="0"/>
              <w:snapToGrid w:val="0"/>
              <w:jc w:val="center"/>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汽车</w:t>
            </w:r>
          </w:p>
        </w:tc>
        <w:tc>
          <w:tcPr>
            <w:tcW w:w="1417" w:type="dxa"/>
            <w:vAlign w:val="center"/>
          </w:tcPr>
          <w:p>
            <w:pPr>
              <w:adjustRightInd w:val="0"/>
              <w:snapToGrid w:val="0"/>
              <w:jc w:val="center"/>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尾气</w:t>
            </w:r>
          </w:p>
        </w:tc>
        <w:tc>
          <w:tcPr>
            <w:tcW w:w="2361" w:type="dxa"/>
            <w:vAlign w:val="center"/>
          </w:tcPr>
          <w:p>
            <w:pPr>
              <w:adjustRightInd w:val="0"/>
              <w:snapToGrid w:val="0"/>
              <w:jc w:val="center"/>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自然扩散，加强管理，加强周边绿化</w:t>
            </w:r>
          </w:p>
        </w:tc>
        <w:tc>
          <w:tcPr>
            <w:tcW w:w="2349" w:type="dxa"/>
            <w:vAlign w:val="center"/>
          </w:tcPr>
          <w:p>
            <w:pPr>
              <w:adjustRightInd w:val="0"/>
              <w:snapToGrid w:val="0"/>
              <w:jc w:val="center"/>
              <w:rPr>
                <w:rFonts w:hint="eastAsia"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0" w:type="dxa"/>
            <w:vMerge w:val="continue"/>
            <w:vAlign w:val="center"/>
          </w:tcPr>
          <w:p>
            <w:pPr>
              <w:adjustRightInd w:val="0"/>
              <w:snapToGrid w:val="0"/>
              <w:jc w:val="center"/>
              <w:rPr>
                <w:color w:val="000000" w:themeColor="text1"/>
                <w:sz w:val="24"/>
                <w14:textFill>
                  <w14:solidFill>
                    <w14:schemeClr w14:val="tx1"/>
                  </w14:solidFill>
                </w14:textFill>
              </w:rPr>
            </w:pPr>
          </w:p>
        </w:tc>
        <w:tc>
          <w:tcPr>
            <w:tcW w:w="1383" w:type="dxa"/>
            <w:vAlign w:val="center"/>
          </w:tcPr>
          <w:p>
            <w:pPr>
              <w:adjustRightInd w:val="0"/>
              <w:snapToGrid w:val="0"/>
              <w:jc w:val="center"/>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污水处理站</w:t>
            </w:r>
          </w:p>
        </w:tc>
        <w:tc>
          <w:tcPr>
            <w:tcW w:w="1417" w:type="dxa"/>
            <w:vAlign w:val="center"/>
          </w:tcPr>
          <w:p>
            <w:pPr>
              <w:adjustRightInd w:val="0"/>
              <w:snapToGrid w:val="0"/>
              <w:jc w:val="center"/>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恶臭气体</w:t>
            </w:r>
          </w:p>
        </w:tc>
        <w:tc>
          <w:tcPr>
            <w:tcW w:w="2361" w:type="dxa"/>
            <w:vAlign w:val="center"/>
          </w:tcPr>
          <w:p>
            <w:pPr>
              <w:adjustRightInd w:val="0"/>
              <w:snapToGrid w:val="0"/>
              <w:jc w:val="center"/>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采用地埋式，合理布局，周边加强绿化</w:t>
            </w:r>
          </w:p>
        </w:tc>
        <w:tc>
          <w:tcPr>
            <w:tcW w:w="2349" w:type="dxa"/>
            <w:vAlign w:val="center"/>
          </w:tcPr>
          <w:p>
            <w:pPr>
              <w:adjustRightInd w:val="0"/>
              <w:snapToGrid w:val="0"/>
              <w:jc w:val="center"/>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《医疗机构水污染物排放标准》（GB18466-2005）表3中污水处理站周边大气污染物最高允许浓度限值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0" w:type="dxa"/>
            <w:vMerge w:val="restar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地表水环境</w:t>
            </w:r>
          </w:p>
        </w:tc>
        <w:tc>
          <w:tcPr>
            <w:tcW w:w="1383" w:type="dxa"/>
            <w:vAlign w:val="center"/>
          </w:tcPr>
          <w:p>
            <w:pPr>
              <w:pStyle w:val="18"/>
              <w:spacing w:line="240" w:lineRule="auto"/>
              <w:jc w:val="center"/>
              <w:rPr>
                <w:rFonts w:ascii="Times New Roman"/>
                <w:color w:val="000000" w:themeColor="text1"/>
                <w:sz w:val="24"/>
                <w14:textFill>
                  <w14:solidFill>
                    <w14:schemeClr w14:val="tx1"/>
                  </w14:solidFill>
                </w14:textFill>
              </w:rPr>
            </w:pPr>
            <w:r>
              <w:rPr>
                <w:rFonts w:hint="eastAsia" w:ascii="Times New Roman"/>
                <w:color w:val="000000" w:themeColor="text1"/>
                <w:sz w:val="24"/>
                <w14:textFill>
                  <w14:solidFill>
                    <w14:schemeClr w14:val="tx1"/>
                  </w14:solidFill>
                </w14:textFill>
              </w:rPr>
              <w:t>生活污水</w:t>
            </w:r>
          </w:p>
        </w:tc>
        <w:tc>
          <w:tcPr>
            <w:tcW w:w="1417" w:type="dxa"/>
            <w:vMerge w:val="restart"/>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pH、COD、BOD</w:t>
            </w:r>
            <w:r>
              <w:rPr>
                <w:rFonts w:hint="eastAsia"/>
                <w:color w:val="000000" w:themeColor="text1"/>
                <w:sz w:val="24"/>
                <w:vertAlign w:val="subscript"/>
                <w14:textFill>
                  <w14:solidFill>
                    <w14:schemeClr w14:val="tx1"/>
                  </w14:solidFill>
                </w14:textFill>
              </w:rPr>
              <w:t>5</w:t>
            </w:r>
            <w:r>
              <w:rPr>
                <w:rFonts w:hint="eastAsia"/>
                <w:color w:val="000000" w:themeColor="text1"/>
                <w:sz w:val="24"/>
                <w14:textFill>
                  <w14:solidFill>
                    <w14:schemeClr w14:val="tx1"/>
                  </w14:solidFill>
                </w14:textFill>
              </w:rPr>
              <w:t>、SS、NH</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-N、总磷、粪大肠菌群等</w:t>
            </w:r>
          </w:p>
        </w:tc>
        <w:tc>
          <w:tcPr>
            <w:tcW w:w="2361" w:type="dxa"/>
            <w:vMerge w:val="restart"/>
            <w:vAlign w:val="center"/>
          </w:tcPr>
          <w:p>
            <w:pPr>
              <w:jc w:val="center"/>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经化粪池处理后进入二期项目一体化污水处理设施处理后，排入市政污水管网</w:t>
            </w:r>
          </w:p>
        </w:tc>
        <w:tc>
          <w:tcPr>
            <w:tcW w:w="2349" w:type="dxa"/>
            <w:vMerge w:val="restart"/>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《医疗机构水污染物排放标准》（GB18466-2005）表2中预处理标准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0" w:type="dxa"/>
            <w:vMerge w:val="continue"/>
            <w:vAlign w:val="center"/>
          </w:tcPr>
          <w:p>
            <w:pPr>
              <w:adjustRightInd w:val="0"/>
              <w:snapToGrid w:val="0"/>
              <w:jc w:val="center"/>
              <w:rPr>
                <w:color w:val="000000" w:themeColor="text1"/>
                <w:sz w:val="24"/>
                <w14:textFill>
                  <w14:solidFill>
                    <w14:schemeClr w14:val="tx1"/>
                  </w14:solidFill>
                </w14:textFill>
              </w:rPr>
            </w:pPr>
          </w:p>
        </w:tc>
        <w:tc>
          <w:tcPr>
            <w:tcW w:w="1383" w:type="dxa"/>
            <w:vAlign w:val="center"/>
          </w:tcPr>
          <w:p>
            <w:pPr>
              <w:autoSpaceDE w:val="0"/>
              <w:autoSpaceDN w:val="0"/>
              <w:adjustRightInd w:val="0"/>
              <w:jc w:val="center"/>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医疗废水</w:t>
            </w:r>
          </w:p>
        </w:tc>
        <w:tc>
          <w:tcPr>
            <w:tcW w:w="1417" w:type="dxa"/>
            <w:vMerge w:val="continue"/>
            <w:vAlign w:val="center"/>
          </w:tcPr>
          <w:p>
            <w:pPr>
              <w:jc w:val="center"/>
              <w:rPr>
                <w:color w:val="000000" w:themeColor="text1"/>
                <w:sz w:val="24"/>
                <w14:textFill>
                  <w14:solidFill>
                    <w14:schemeClr w14:val="tx1"/>
                  </w14:solidFill>
                </w14:textFill>
              </w:rPr>
            </w:pPr>
          </w:p>
        </w:tc>
        <w:tc>
          <w:tcPr>
            <w:tcW w:w="2361" w:type="dxa"/>
            <w:vMerge w:val="continue"/>
            <w:vAlign w:val="center"/>
          </w:tcPr>
          <w:p>
            <w:pPr>
              <w:jc w:val="center"/>
              <w:rPr>
                <w:color w:val="000000" w:themeColor="text1"/>
                <w:sz w:val="24"/>
                <w14:textFill>
                  <w14:solidFill>
                    <w14:schemeClr w14:val="tx1"/>
                  </w14:solidFill>
                </w14:textFill>
              </w:rPr>
            </w:pPr>
          </w:p>
        </w:tc>
        <w:tc>
          <w:tcPr>
            <w:tcW w:w="2349" w:type="dxa"/>
            <w:vMerge w:val="continue"/>
            <w:vAlign w:val="center"/>
          </w:tcPr>
          <w:p>
            <w:pPr>
              <w:adjustRightInd w:val="0"/>
              <w:snapToGrid w:val="0"/>
              <w:jc w:val="center"/>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0" w:type="dxa"/>
            <w:vMerge w:val="continue"/>
            <w:vAlign w:val="center"/>
          </w:tcPr>
          <w:p>
            <w:pPr>
              <w:adjustRightInd w:val="0"/>
              <w:snapToGrid w:val="0"/>
              <w:jc w:val="center"/>
              <w:rPr>
                <w:color w:val="000000" w:themeColor="text1"/>
                <w:sz w:val="24"/>
                <w14:textFill>
                  <w14:solidFill>
                    <w14:schemeClr w14:val="tx1"/>
                  </w14:solidFill>
                </w14:textFill>
              </w:rPr>
            </w:pPr>
          </w:p>
        </w:tc>
        <w:tc>
          <w:tcPr>
            <w:tcW w:w="1383" w:type="dxa"/>
            <w:vAlign w:val="center"/>
          </w:tcPr>
          <w:p>
            <w:pPr>
              <w:autoSpaceDE w:val="0"/>
              <w:autoSpaceDN w:val="0"/>
              <w:adjustRightInd w:val="0"/>
              <w:jc w:val="center"/>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检验废水</w:t>
            </w:r>
          </w:p>
        </w:tc>
        <w:tc>
          <w:tcPr>
            <w:tcW w:w="1417" w:type="dxa"/>
            <w:vMerge w:val="continue"/>
            <w:vAlign w:val="center"/>
          </w:tcPr>
          <w:p>
            <w:pPr>
              <w:jc w:val="center"/>
              <w:rPr>
                <w:color w:val="000000" w:themeColor="text1"/>
                <w:sz w:val="24"/>
                <w14:textFill>
                  <w14:solidFill>
                    <w14:schemeClr w14:val="tx1"/>
                  </w14:solidFill>
                </w14:textFill>
              </w:rPr>
            </w:pPr>
          </w:p>
        </w:tc>
        <w:tc>
          <w:tcPr>
            <w:tcW w:w="2361" w:type="dxa"/>
            <w:vMerge w:val="continue"/>
            <w:vAlign w:val="center"/>
          </w:tcPr>
          <w:p>
            <w:pPr>
              <w:jc w:val="center"/>
              <w:rPr>
                <w:color w:val="000000" w:themeColor="text1"/>
                <w:sz w:val="24"/>
                <w14:textFill>
                  <w14:solidFill>
                    <w14:schemeClr w14:val="tx1"/>
                  </w14:solidFill>
                </w14:textFill>
              </w:rPr>
            </w:pPr>
          </w:p>
        </w:tc>
        <w:tc>
          <w:tcPr>
            <w:tcW w:w="2349" w:type="dxa"/>
            <w:vMerge w:val="continue"/>
            <w:vAlign w:val="center"/>
          </w:tcPr>
          <w:p>
            <w:pPr>
              <w:adjustRightInd w:val="0"/>
              <w:snapToGrid w:val="0"/>
              <w:jc w:val="center"/>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290"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声环境</w:t>
            </w:r>
          </w:p>
        </w:tc>
        <w:tc>
          <w:tcPr>
            <w:tcW w:w="1383"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厂界噪声</w:t>
            </w:r>
          </w:p>
        </w:tc>
        <w:tc>
          <w:tcPr>
            <w:tcW w:w="1417"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设备噪声</w:t>
            </w:r>
          </w:p>
        </w:tc>
        <w:tc>
          <w:tcPr>
            <w:tcW w:w="2361"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选用低噪声设备、采用基础减震、墙体隔声等措施</w:t>
            </w:r>
          </w:p>
        </w:tc>
        <w:tc>
          <w:tcPr>
            <w:tcW w:w="2349"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szCs w:val="32"/>
                <w14:textFill>
                  <w14:solidFill>
                    <w14:schemeClr w14:val="tx1"/>
                  </w14:solidFill>
                </w14:textFill>
              </w:rPr>
              <w:t>《工业企业厂界环境噪声排放标准》（GB12348-2008）中</w:t>
            </w:r>
            <w:r>
              <w:rPr>
                <w:rFonts w:hint="eastAsia"/>
                <w:color w:val="000000" w:themeColor="text1"/>
                <w:sz w:val="24"/>
                <w:szCs w:val="32"/>
                <w14:textFill>
                  <w14:solidFill>
                    <w14:schemeClr w14:val="tx1"/>
                  </w14:solidFill>
                </w14:textFill>
              </w:rPr>
              <w:t>2类</w:t>
            </w:r>
            <w:r>
              <w:rPr>
                <w:color w:val="000000" w:themeColor="text1"/>
                <w:sz w:val="24"/>
                <w:szCs w:val="32"/>
                <w14:textFill>
                  <w14:solidFill>
                    <w14:schemeClr w14:val="tx1"/>
                  </w14:solidFill>
                </w14:textFill>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0"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电磁辐射</w:t>
            </w:r>
          </w:p>
        </w:tc>
        <w:tc>
          <w:tcPr>
            <w:tcW w:w="1383"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1417"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2361"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2349"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290"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固体废物</w:t>
            </w:r>
          </w:p>
        </w:tc>
        <w:tc>
          <w:tcPr>
            <w:tcW w:w="7510" w:type="dxa"/>
            <w:gridSpan w:val="4"/>
            <w:vAlign w:val="center"/>
          </w:tcPr>
          <w:p>
            <w:pPr>
              <w:adjustRightInd w:val="0"/>
              <w:snapToGrid w:val="0"/>
              <w:spacing w:line="360" w:lineRule="auto"/>
              <w:rPr>
                <w:color w:val="000000" w:themeColor="text1"/>
                <w:sz w:val="24"/>
                <w14:textFill>
                  <w14:solidFill>
                    <w14:schemeClr w14:val="tx1"/>
                  </w14:solidFill>
                </w14:textFill>
              </w:rPr>
            </w:pPr>
            <w:r>
              <w:rPr>
                <w:rFonts w:hint="eastAsia"/>
                <w:color w:val="000000" w:themeColor="text1"/>
                <w:sz w:val="24"/>
                <w:szCs w:val="32"/>
                <w14:textFill>
                  <w14:solidFill>
                    <w14:schemeClr w14:val="tx1"/>
                  </w14:solidFill>
                </w14:textFill>
              </w:rPr>
              <w:t>生活垃圾经收集后交市政环卫部门清运处理，未感染的输液瓶（袋）交由重庆春字医用输液瓶回收有限公司通川分公司处理；检验室使用后的检验废液采用专用容器分类收集后，</w:t>
            </w:r>
            <w:r>
              <w:rPr>
                <w:rFonts w:hint="eastAsia"/>
                <w:color w:val="000000" w:themeColor="text1"/>
                <w:sz w:val="24"/>
                <w:szCs w:val="32"/>
                <w:lang w:val="en-US" w:eastAsia="zh-CN"/>
                <w14:textFill>
                  <w14:solidFill>
                    <w14:schemeClr w14:val="tx1"/>
                  </w14:solidFill>
                </w14:textFill>
              </w:rPr>
              <w:t>交</w:t>
            </w:r>
            <w:r>
              <w:rPr>
                <w:rFonts w:hint="eastAsia"/>
                <w:color w:val="000000" w:themeColor="text1"/>
                <w:sz w:val="24"/>
                <w:szCs w:val="32"/>
                <w14:textFill>
                  <w14:solidFill>
                    <w14:schemeClr w14:val="tx1"/>
                  </w14:solidFill>
                </w14:textFill>
              </w:rPr>
              <w:t>资质单位处</w:t>
            </w:r>
            <w:r>
              <w:rPr>
                <w:rFonts w:hint="eastAsia"/>
                <w:color w:val="000000" w:themeColor="text1"/>
                <w:sz w:val="24"/>
                <w:szCs w:val="32"/>
                <w:lang w:val="en-US" w:eastAsia="zh-CN"/>
                <w14:textFill>
                  <w14:solidFill>
                    <w14:schemeClr w14:val="tx1"/>
                  </w14:solidFill>
                </w14:textFill>
              </w:rPr>
              <w:t>理</w:t>
            </w:r>
            <w:r>
              <w:rPr>
                <w:rFonts w:hint="eastAsia"/>
                <w:color w:val="000000" w:themeColor="text1"/>
                <w:sz w:val="24"/>
                <w:szCs w:val="32"/>
                <w:lang w:eastAsia="zh-CN"/>
                <w14:textFill>
                  <w14:solidFill>
                    <w14:schemeClr w14:val="tx1"/>
                  </w14:solidFill>
                </w14:textFill>
              </w:rPr>
              <w:t>；</w:t>
            </w:r>
            <w:r>
              <w:rPr>
                <w:rFonts w:hint="eastAsia"/>
                <w:color w:val="000000" w:themeColor="text1"/>
                <w:sz w:val="24"/>
                <w:szCs w:val="32"/>
                <w14:textFill>
                  <w14:solidFill>
                    <w14:schemeClr w14:val="tx1"/>
                  </w14:solidFill>
                </w14:textFill>
              </w:rPr>
              <w:t>感染性和损伤性废物定期交由达州佳境医疗废物处理有限公司外运处理，化学性和药物性废物经专用容器分类收集后，交由资质单位进行处理，病理性废物、死婴死胎定期交由宣汉县殡仪馆进行处置</w:t>
            </w:r>
            <w:r>
              <w:rPr>
                <w:rFonts w:hint="eastAsia"/>
                <w:color w:val="000000" w:themeColor="text1"/>
                <w:sz w:val="24"/>
                <w:szCs w:val="32"/>
                <w:lang w:eastAsia="zh-CN"/>
                <w14:textFill>
                  <w14:solidFill>
                    <w14:schemeClr w14:val="tx1"/>
                  </w14:solidFill>
                </w14:textFill>
              </w:rPr>
              <w:t>；污水处理站污泥委托有资质单位定期清掏处理，不在</w:t>
            </w:r>
            <w:r>
              <w:rPr>
                <w:rFonts w:hint="eastAsia"/>
                <w:color w:val="000000" w:themeColor="text1"/>
                <w:sz w:val="24"/>
                <w:szCs w:val="32"/>
                <w:lang w:val="en-US" w:eastAsia="zh-CN"/>
                <w14:textFill>
                  <w14:solidFill>
                    <w14:schemeClr w14:val="tx1"/>
                  </w14:solidFill>
                </w14:textFill>
              </w:rPr>
              <w:t>院区</w:t>
            </w:r>
            <w:r>
              <w:rPr>
                <w:rFonts w:hint="eastAsia"/>
                <w:color w:val="000000" w:themeColor="text1"/>
                <w:sz w:val="24"/>
                <w:szCs w:val="32"/>
                <w:lang w:eastAsia="zh-CN"/>
                <w14:textFill>
                  <w14:solidFill>
                    <w14:schemeClr w14:val="tx1"/>
                  </w14:solidFill>
                </w14:textFill>
              </w:rPr>
              <w:t>暂存处理</w:t>
            </w:r>
            <w:r>
              <w:rPr>
                <w:rFonts w:hint="eastAsia"/>
                <w:color w:val="000000" w:themeColor="text1"/>
                <w:sz w:val="24"/>
                <w:szCs w:val="32"/>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290"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土壤及地下水污染防治措施</w:t>
            </w:r>
          </w:p>
        </w:tc>
        <w:tc>
          <w:tcPr>
            <w:tcW w:w="7510" w:type="dxa"/>
            <w:gridSpan w:val="4"/>
            <w:vAlign w:val="center"/>
          </w:tcPr>
          <w:p>
            <w:pPr>
              <w:pStyle w:val="7"/>
              <w:spacing w:after="0" w:line="360" w:lineRule="auto"/>
              <w:rPr>
                <w:color w:val="000000" w:themeColor="text1"/>
                <w14:textFill>
                  <w14:solidFill>
                    <w14:schemeClr w14:val="tx1"/>
                  </w14:solidFill>
                </w14:textFill>
              </w:rPr>
            </w:pPr>
            <w:r>
              <w:rPr>
                <w:rFonts w:hint="eastAsia" w:ascii="Times New Roman" w:hAnsi="Times New Roman" w:eastAsia="宋体" w:cs="Times New Roman"/>
                <w:i w:val="0"/>
                <w:iCs w:val="0"/>
                <w:color w:val="000000" w:themeColor="text1"/>
                <w:sz w:val="24"/>
                <w:szCs w:val="24"/>
                <w:u w:val="none"/>
                <w:lang w:val="en-US" w:eastAsia="zh-CN"/>
                <w14:textFill>
                  <w14:solidFill>
                    <w14:schemeClr w14:val="tx1"/>
                  </w14:solidFill>
                </w14:textFill>
              </w:rPr>
              <w:t>分区防渗：医疗废物暂存间、化粪池进行重点防渗，医疗废物暂存间拟采用20mm厚防渗混凝土+瓷砖，化粪池拟采用20mm厚度防渗混凝土，满足等效黏土防渗层Mb≥6.0m，K≤1.0×10</w:t>
            </w:r>
            <w:r>
              <w:rPr>
                <w:rFonts w:hint="eastAsia" w:ascii="Times New Roman" w:hAnsi="Times New Roman" w:eastAsia="宋体" w:cs="Times New Roman"/>
                <w:i w:val="0"/>
                <w:iCs w:val="0"/>
                <w:color w:val="000000" w:themeColor="text1"/>
                <w:sz w:val="24"/>
                <w:szCs w:val="24"/>
                <w:u w:val="none"/>
                <w:vertAlign w:val="superscript"/>
                <w:lang w:val="en-US" w:eastAsia="zh-CN"/>
                <w14:textFill>
                  <w14:solidFill>
                    <w14:schemeClr w14:val="tx1"/>
                  </w14:solidFill>
                </w14:textFill>
              </w:rPr>
              <w:t>-7</w:t>
            </w:r>
            <w:r>
              <w:rPr>
                <w:rFonts w:hint="eastAsia" w:ascii="Times New Roman" w:hAnsi="Times New Roman" w:eastAsia="宋体" w:cs="Times New Roman"/>
                <w:i w:val="0"/>
                <w:iCs w:val="0"/>
                <w:color w:val="000000" w:themeColor="text1"/>
                <w:sz w:val="24"/>
                <w:szCs w:val="24"/>
                <w:u w:val="none"/>
                <w:lang w:val="en-US" w:eastAsia="zh-CN"/>
                <w14:textFill>
                  <w14:solidFill>
                    <w14:schemeClr w14:val="tx1"/>
                  </w14:solidFill>
                </w14:textFill>
              </w:rPr>
              <w:t>cm/s防渗要求渗透系数小于1.0×10</w:t>
            </w:r>
            <w:r>
              <w:rPr>
                <w:rFonts w:hint="eastAsia" w:ascii="Times New Roman" w:hAnsi="Times New Roman" w:eastAsia="宋体" w:cs="Times New Roman"/>
                <w:i w:val="0"/>
                <w:iCs w:val="0"/>
                <w:color w:val="000000" w:themeColor="text1"/>
                <w:sz w:val="24"/>
                <w:szCs w:val="24"/>
                <w:u w:val="none"/>
                <w:vertAlign w:val="superscript"/>
                <w:lang w:val="en-US" w:eastAsia="zh-CN"/>
                <w14:textFill>
                  <w14:solidFill>
                    <w14:schemeClr w14:val="tx1"/>
                  </w14:solidFill>
                </w14:textFill>
              </w:rPr>
              <w:t>-7</w:t>
            </w:r>
            <w:r>
              <w:rPr>
                <w:rFonts w:hint="eastAsia" w:ascii="Times New Roman" w:hAnsi="Times New Roman" w:eastAsia="宋体" w:cs="Times New Roman"/>
                <w:i w:val="0"/>
                <w:iCs w:val="0"/>
                <w:color w:val="000000" w:themeColor="text1"/>
                <w:sz w:val="24"/>
                <w:szCs w:val="24"/>
                <w:u w:val="none"/>
                <w:lang w:val="en-US" w:eastAsia="zh-CN"/>
                <w14:textFill>
                  <w14:solidFill>
                    <w14:schemeClr w14:val="tx1"/>
                  </w14:solidFill>
                </w14:textFill>
              </w:rPr>
              <w:t>cm/s</w:t>
            </w:r>
            <w:r>
              <w:rPr>
                <w:rFonts w:hint="eastAsia" w:cs="Times New Roman"/>
                <w:i w:val="0"/>
                <w:iCs w:val="0"/>
                <w:color w:val="000000" w:themeColor="text1"/>
                <w:sz w:val="24"/>
                <w:szCs w:val="24"/>
                <w:u w:val="none"/>
                <w:lang w:val="en-US" w:eastAsia="zh-CN"/>
                <w14:textFill>
                  <w14:solidFill>
                    <w14:schemeClr w14:val="tx1"/>
                  </w14:solidFill>
                </w14:textFill>
              </w:rPr>
              <w:t>，</w:t>
            </w:r>
            <w:r>
              <w:rPr>
                <w:rFonts w:hint="eastAsia" w:ascii="Times New Roman" w:hAnsi="Times New Roman" w:eastAsia="宋体" w:cs="Times New Roman"/>
                <w:i w:val="0"/>
                <w:iCs w:val="0"/>
                <w:color w:val="000000" w:themeColor="text1"/>
                <w:sz w:val="24"/>
                <w:szCs w:val="24"/>
                <w:u w:val="none"/>
                <w:lang w:val="en-US" w:eastAsia="zh-CN"/>
                <w14:textFill>
                  <w14:solidFill>
                    <w14:schemeClr w14:val="tx1"/>
                  </w14:solidFill>
                </w14:textFill>
              </w:rPr>
              <w:t>围堰采用水泥硬化，并涂环氧树脂防渗；医院地面全部采用水泥硬化处理，满足等效黏土防渗层Mb≥1.5m，K≤1.0×10</w:t>
            </w:r>
            <w:r>
              <w:rPr>
                <w:rFonts w:hint="eastAsia" w:ascii="Times New Roman" w:hAnsi="Times New Roman" w:eastAsia="宋体" w:cs="Times New Roman"/>
                <w:i w:val="0"/>
                <w:iCs w:val="0"/>
                <w:color w:val="000000" w:themeColor="text1"/>
                <w:sz w:val="24"/>
                <w:szCs w:val="24"/>
                <w:u w:val="none"/>
                <w:vertAlign w:val="superscript"/>
                <w:lang w:val="en-US" w:eastAsia="zh-CN"/>
                <w14:textFill>
                  <w14:solidFill>
                    <w14:schemeClr w14:val="tx1"/>
                  </w14:solidFill>
                </w14:textFill>
              </w:rPr>
              <w:t>-7</w:t>
            </w:r>
            <w:r>
              <w:rPr>
                <w:rFonts w:hint="eastAsia" w:ascii="Times New Roman" w:hAnsi="Times New Roman" w:eastAsia="宋体" w:cs="Times New Roman"/>
                <w:i w:val="0"/>
                <w:iCs w:val="0"/>
                <w:color w:val="000000" w:themeColor="text1"/>
                <w:sz w:val="24"/>
                <w:szCs w:val="24"/>
                <w:u w:val="none"/>
                <w:lang w:val="en-US" w:eastAsia="zh-CN"/>
                <w14:textFill>
                  <w14:solidFill>
                    <w14:schemeClr w14:val="tx1"/>
                  </w14:solidFill>
                </w14:textFill>
              </w:rPr>
              <w:t>cm/s防渗要求</w:t>
            </w:r>
            <w:r>
              <w:rPr>
                <w:rFonts w:hint="eastAsia" w:cs="Times New Roman"/>
                <w:i w:val="0"/>
                <w:iCs w:val="0"/>
                <w:color w:val="000000" w:themeColor="text1"/>
                <w:sz w:val="24"/>
                <w:szCs w:val="24"/>
                <w:u w:val="none"/>
                <w:lang w:val="en-US" w:eastAsia="zh-CN"/>
                <w14:textFill>
                  <w14:solidFill>
                    <w14:schemeClr w14:val="tx1"/>
                  </w14:solidFill>
                </w14:textFill>
              </w:rPr>
              <w:t>；</w:t>
            </w:r>
            <w:r>
              <w:rPr>
                <w:rFonts w:hint="eastAsia" w:ascii="Times New Roman" w:hAnsi="Times New Roman" w:eastAsia="宋体" w:cs="Times New Roman"/>
                <w:i w:val="0"/>
                <w:iCs w:val="0"/>
                <w:color w:val="000000" w:themeColor="text1"/>
                <w:sz w:val="24"/>
                <w:szCs w:val="24"/>
                <w:u w:val="none"/>
                <w:lang w:val="en-US" w:eastAsia="zh-CN"/>
                <w14:textFill>
                  <w14:solidFill>
                    <w14:schemeClr w14:val="tx1"/>
                  </w14:solidFill>
                </w14:textFill>
              </w:rPr>
              <w:t>医院内部道路采用一般硬化处理，进行简单防渗。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1290" w:type="dxa"/>
            <w:vAlign w:val="center"/>
          </w:tcPr>
          <w:p>
            <w:pPr>
              <w:adjustRightInd w:val="0"/>
              <w:snapToGrid w:val="0"/>
              <w:spacing w:line="360" w:lineRule="auto"/>
              <w:jc w:val="center"/>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生态保护措施</w:t>
            </w:r>
          </w:p>
        </w:tc>
        <w:tc>
          <w:tcPr>
            <w:tcW w:w="7510" w:type="dxa"/>
            <w:gridSpan w:val="4"/>
            <w:vAlign w:val="center"/>
          </w:tcPr>
          <w:p>
            <w:pPr>
              <w:adjustRightInd w:val="0"/>
              <w:snapToGrid w:val="0"/>
              <w:spacing w:line="360" w:lineRule="auto"/>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项目施工期间施工单位加强管理，采取有效防治措施，最大程度地避免水土流失。建设完成后加强项目区周围绿化等措施。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290" w:type="dxa"/>
            <w:vAlign w:val="center"/>
          </w:tcPr>
          <w:p>
            <w:pPr>
              <w:adjustRightInd w:val="0"/>
              <w:snapToGrid w:val="0"/>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环境风险防范措施</w:t>
            </w:r>
          </w:p>
        </w:tc>
        <w:tc>
          <w:tcPr>
            <w:tcW w:w="7510" w:type="dxa"/>
            <w:gridSpan w:val="4"/>
            <w:vAlign w:val="center"/>
          </w:tcPr>
          <w:p>
            <w:pPr>
              <w:widowControl/>
              <w:numPr>
                <w:ilvl w:val="0"/>
                <w:numId w:val="37"/>
              </w:numPr>
              <w:spacing w:line="360" w:lineRule="auto"/>
              <w:ind w:firstLine="249" w:firstLineChars="104"/>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严格按照相关设计规范和要求落实防护措施，制定安全操作规章制度，加强安全意识教育，加强监督管理，消除事故隐患。</w:t>
            </w:r>
          </w:p>
          <w:p>
            <w:pPr>
              <w:widowControl/>
              <w:numPr>
                <w:ilvl w:val="0"/>
                <w:numId w:val="37"/>
              </w:numPr>
              <w:spacing w:line="360" w:lineRule="auto"/>
              <w:ind w:firstLine="249" w:firstLineChars="104"/>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加强危险化学品管理和规范使用，落实评价提出的风险防范措施。</w:t>
            </w:r>
          </w:p>
          <w:p>
            <w:pPr>
              <w:widowControl/>
              <w:numPr>
                <w:ilvl w:val="0"/>
                <w:numId w:val="37"/>
              </w:numPr>
              <w:spacing w:line="360" w:lineRule="auto"/>
              <w:ind w:firstLine="249" w:firstLineChars="104"/>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按照消防要求设置灭火器、消火栓等消防设施。</w:t>
            </w:r>
          </w:p>
          <w:p>
            <w:pPr>
              <w:widowControl/>
              <w:numPr>
                <w:ilvl w:val="0"/>
                <w:numId w:val="37"/>
              </w:numPr>
              <w:spacing w:line="360" w:lineRule="auto"/>
              <w:ind w:firstLine="249" w:firstLineChars="104"/>
              <w:rPr>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加强环境风险管理。如加强对全体员工防范事故风险能力培训，制定事故应急预案，定期举行消防演练等。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290" w:type="dxa"/>
            <w:vAlign w:val="center"/>
          </w:tcPr>
          <w:p>
            <w:pPr>
              <w:adjustRightInd w:val="0"/>
              <w:snapToGrid w:val="0"/>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其他环境管理要求</w:t>
            </w:r>
          </w:p>
        </w:tc>
        <w:tc>
          <w:tcPr>
            <w:tcW w:w="7510" w:type="dxa"/>
            <w:gridSpan w:val="4"/>
            <w:vAlign w:val="center"/>
          </w:tcPr>
          <w:p>
            <w:pPr>
              <w:widowControl/>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中华人民共和国环境保护法》明确指出，我国环境保护的任务是保证在社会主义现代化建设中，合理利用自然资源，防止环境污染和生态破坏，为人民创造清洁适宜的生活和劳动环境，保护人民健康，促进经济发展。因此，本建设单位设立环境管理机构，负责项目运营期的环境管理工作，其主要的职责与功能如下：</w:t>
            </w:r>
          </w:p>
          <w:p>
            <w:pPr>
              <w:widowControl/>
              <w:numPr>
                <w:ilvl w:val="0"/>
                <w:numId w:val="38"/>
              </w:num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在项目建成投入试运营之前，按《排污许可证申请与核发技术规范 医疗机构》（HJ 1105-2020）申请填报排污许可证，在申领到了排污许可证之后才开展试运行；并落实排污许可证中载明的相关要求。</w:t>
            </w:r>
          </w:p>
          <w:p>
            <w:pPr>
              <w:widowControl/>
              <w:numPr>
                <w:ilvl w:val="0"/>
                <w:numId w:val="38"/>
              </w:numPr>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在运营期，项目环境管理部门负责检查环保设备的运行情况，确保其有效运行，如有故障应及时维修或更换；定期检查项目的污水管道的完好情况，避免发生跑、冒、滴、漏。</w:t>
            </w:r>
          </w:p>
          <w:p>
            <w:pPr>
              <w:widowControl/>
              <w:numPr>
                <w:ilvl w:val="0"/>
                <w:numId w:val="38"/>
              </w:numPr>
              <w:spacing w:line="360" w:lineRule="auto"/>
              <w:ind w:firstLine="480" w:firstLineChars="200"/>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完善和健全环境管理体系，</w:t>
            </w:r>
            <w:r>
              <w:rPr>
                <w:rFonts w:hint="eastAsia" w:hAnsi="宋体"/>
                <w:color w:val="000000" w:themeColor="text1"/>
                <w:sz w:val="24"/>
                <w14:textFill>
                  <w14:solidFill>
                    <w14:schemeClr w14:val="tx1"/>
                  </w14:solidFill>
                </w14:textFill>
              </w:rPr>
              <w:t>建立环保档案，加强各种污染物处理设施的维护和管理，保证各类环保设施的正常运行，确保各污染源外排污染物浓度达到设计要求，做到达标排放，杜绝事故排放。</w:t>
            </w:r>
          </w:p>
          <w:p>
            <w:pPr>
              <w:widowControl/>
              <w:numPr>
                <w:ilvl w:val="0"/>
                <w:numId w:val="38"/>
              </w:numPr>
              <w:spacing w:line="360" w:lineRule="auto"/>
              <w:ind w:firstLine="480" w:firstLineChars="200"/>
              <w:rPr>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结合所申领的排污许可证中载明的自行监测方案，委托具有资质的监测单位对本项目运营期的环境污染物排放达标情况进行自行监测。根据《排污许可证申请与核发技术规范 医疗机构》（HJ 1105-2020），医疗机构自行监测主要针对污水处理设施进行监测，本项目依托二期项目污水处理设施，自身不建设污水处理设施，因此本项目建议不设置监测计划，由二期项目一并监测。</w:t>
            </w:r>
          </w:p>
        </w:tc>
      </w:tr>
    </w:tbl>
    <w:p>
      <w:pPr>
        <w:pStyle w:val="19"/>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snapToGrid w:val="0"/>
          <w:color w:val="000000" w:themeColor="text1"/>
          <w14:textFill>
            <w14:solidFill>
              <w14:schemeClr w14:val="tx1"/>
            </w14:solidFill>
          </w14:textFill>
        </w:rPr>
        <w:br w:type="page"/>
      </w:r>
      <w:bookmarkStart w:id="14" w:name="_Toc19970"/>
      <w:bookmarkStart w:id="15" w:name="_Toc9652"/>
      <w:r>
        <w:rPr>
          <w:rStyle w:val="33"/>
          <w:color w:val="000000" w:themeColor="text1"/>
          <w14:textFill>
            <w14:solidFill>
              <w14:schemeClr w14:val="tx1"/>
            </w14:solidFill>
          </w14:textFill>
        </w:rPr>
        <w:t>六、结论</w:t>
      </w:r>
      <w:bookmarkEnd w:id="14"/>
      <w:bookmarkEnd w:id="15"/>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91" w:hRule="atLeast"/>
          <w:jc w:val="center"/>
        </w:trPr>
        <w:tc>
          <w:tcPr>
            <w:tcW w:w="8865" w:type="dxa"/>
          </w:tcPr>
          <w:p>
            <w:pPr>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本项目建设符合国家产业政策，符合当地规划，选址可行，布局合理，符合“三线一单”相关要求。项目采取的污染防治措施合理有效、技术可行，污染物排放能得到有效控制。在充分落实本环评提出的各项污染防治措施及生态保护对策，认真做好“三同时”及日常环保管理工作，项目对环境影响可接受，不会改变区域的环境功能。从环境保护的角度考虑，评价认为，本项目建设是可行的。</w:t>
            </w:r>
          </w:p>
          <w:p>
            <w:pPr>
              <w:spacing w:line="360" w:lineRule="auto"/>
              <w:rPr>
                <w:color w:val="000000" w:themeColor="text1"/>
                <w:sz w:val="24"/>
                <w14:textFill>
                  <w14:solidFill>
                    <w14:schemeClr w14:val="tx1"/>
                  </w14:solidFill>
                </w14:textFill>
              </w:rPr>
            </w:pPr>
          </w:p>
        </w:tc>
      </w:tr>
    </w:tbl>
    <w:p>
      <w:pPr>
        <w:rPr>
          <w:color w:val="000000" w:themeColor="text1"/>
          <w14:textFill>
            <w14:solidFill>
              <w14:schemeClr w14:val="tx1"/>
            </w14:solidFill>
          </w14:textFill>
        </w:rPr>
        <w:sectPr>
          <w:pgSz w:w="11906" w:h="16838"/>
          <w:pgMar w:top="1440" w:right="1800" w:bottom="1440" w:left="1800" w:header="851" w:footer="1134" w:gutter="0"/>
          <w:cols w:space="720" w:num="1"/>
          <w:docGrid w:linePitch="312" w:charSpace="0"/>
        </w:sectPr>
      </w:pPr>
    </w:p>
    <w:p>
      <w:pPr>
        <w:pStyle w:val="22"/>
        <w:ind w:firstLine="0" w:firstLineChars="0"/>
        <w:rPr>
          <w:color w:val="000000" w:themeColor="text1"/>
          <w14:textFill>
            <w14:solidFill>
              <w14:schemeClr w14:val="tx1"/>
            </w14:solidFill>
          </w14:textFill>
        </w:rPr>
      </w:pPr>
    </w:p>
    <w:p>
      <w:pPr>
        <w:pStyle w:val="21"/>
        <w:ind w:firstLine="210"/>
        <w:rPr>
          <w:color w:val="000000" w:themeColor="text1"/>
          <w14:textFill>
            <w14:solidFill>
              <w14:schemeClr w14:val="tx1"/>
            </w14:solidFill>
          </w14:textFill>
        </w:rPr>
        <w:sectPr>
          <w:type w:val="continuous"/>
          <w:pgSz w:w="11906" w:h="16838"/>
          <w:pgMar w:top="1440" w:right="1800" w:bottom="1440" w:left="1800" w:header="851" w:footer="1134" w:gutter="0"/>
          <w:cols w:space="720" w:num="1"/>
          <w:docGrid w:linePitch="312" w:charSpace="0"/>
        </w:sectPr>
      </w:pPr>
    </w:p>
    <w:p>
      <w:pPr>
        <w:pStyle w:val="2"/>
        <w:snapToGrid/>
        <w:spacing w:before="0" w:after="0"/>
        <w:jc w:val="both"/>
        <w:rPr>
          <w:color w:val="000000" w:themeColor="text1"/>
          <w14:textFill>
            <w14:solidFill>
              <w14:schemeClr w14:val="tx1"/>
            </w14:solidFill>
          </w14:textFill>
        </w:rPr>
      </w:pPr>
      <w:bookmarkStart w:id="16" w:name="_Toc13502"/>
      <w:bookmarkStart w:id="17" w:name="_Toc28680"/>
      <w:r>
        <w:rPr>
          <w:color w:val="000000" w:themeColor="text1"/>
          <w14:textFill>
            <w14:solidFill>
              <w14:schemeClr w14:val="tx1"/>
            </w14:solidFill>
          </w14:textFill>
        </w:rPr>
        <w:t>附表</w:t>
      </w:r>
      <w:bookmarkEnd w:id="16"/>
      <w:bookmarkEnd w:id="17"/>
    </w:p>
    <w:p>
      <w:pPr>
        <w:jc w:val="center"/>
        <w:rPr>
          <w:b/>
          <w:bCs/>
          <w:snapToGrid w:val="0"/>
          <w:color w:val="000000" w:themeColor="text1"/>
          <w:sz w:val="36"/>
          <w:szCs w:val="36"/>
          <w14:textFill>
            <w14:solidFill>
              <w14:schemeClr w14:val="tx1"/>
            </w14:solidFill>
          </w14:textFill>
        </w:rPr>
      </w:pPr>
      <w:r>
        <w:rPr>
          <w:b/>
          <w:bCs/>
          <w:snapToGrid w:val="0"/>
          <w:color w:val="000000" w:themeColor="text1"/>
          <w:sz w:val="36"/>
          <w:szCs w:val="36"/>
          <w14:textFill>
            <w14:solidFill>
              <w14:schemeClr w14:val="tx1"/>
            </w14:solidFill>
          </w14:textFill>
        </w:rPr>
        <w:t>建设项目污染物排放量汇总表（t/a）</w:t>
      </w:r>
    </w:p>
    <w:tbl>
      <w:tblPr>
        <w:tblStyle w:val="23"/>
        <w:tblW w:w="13273" w:type="dxa"/>
        <w:jc w:val="center"/>
        <w:tblLayout w:type="fixed"/>
        <w:tblCellMar>
          <w:top w:w="0" w:type="dxa"/>
          <w:left w:w="108" w:type="dxa"/>
          <w:bottom w:w="0" w:type="dxa"/>
          <w:right w:w="108" w:type="dxa"/>
        </w:tblCellMar>
      </w:tblPr>
      <w:tblGrid>
        <w:gridCol w:w="1377"/>
        <w:gridCol w:w="1570"/>
        <w:gridCol w:w="1474"/>
        <w:gridCol w:w="1474"/>
        <w:gridCol w:w="1474"/>
        <w:gridCol w:w="1474"/>
        <w:gridCol w:w="1474"/>
        <w:gridCol w:w="1731"/>
        <w:gridCol w:w="1225"/>
      </w:tblGrid>
      <w:tr>
        <w:tblPrEx>
          <w:tblCellMar>
            <w:top w:w="0" w:type="dxa"/>
            <w:left w:w="108" w:type="dxa"/>
            <w:bottom w:w="0" w:type="dxa"/>
            <w:right w:w="108" w:type="dxa"/>
          </w:tblCellMar>
        </w:tblPrEx>
        <w:trPr>
          <w:trHeight w:val="600" w:hRule="atLeast"/>
          <w:jc w:val="center"/>
        </w:trPr>
        <w:tc>
          <w:tcPr>
            <w:tcW w:w="1377" w:type="dxa"/>
            <w:vMerge w:val="restart"/>
            <w:tcBorders>
              <w:top w:val="single" w:color="000000" w:sz="4" w:space="0"/>
              <w:left w:val="single" w:color="000000" w:sz="4" w:space="0"/>
              <w:bottom w:val="single" w:color="000000" w:sz="4" w:space="0"/>
              <w:right w:val="single" w:color="000000" w:sz="4" w:space="0"/>
              <w:tl2br w:val="single" w:color="000000" w:sz="4" w:space="0"/>
            </w:tcBorders>
            <w:vAlign w:val="center"/>
          </w:tcPr>
          <w:p>
            <w:pPr>
              <w:widowControl/>
              <w:jc w:val="right"/>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项目</w:t>
            </w:r>
          </w:p>
          <w:p>
            <w:pPr>
              <w:widowControl/>
              <w:jc w:val="lef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分类</w:t>
            </w: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污染物名称</w:t>
            </w:r>
          </w:p>
        </w:tc>
        <w:tc>
          <w:tcPr>
            <w:tcW w:w="147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现有工程排放量（固体废物产生量）①</w:t>
            </w:r>
          </w:p>
        </w:tc>
        <w:tc>
          <w:tcPr>
            <w:tcW w:w="147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现有工程许可排放量②</w:t>
            </w:r>
          </w:p>
        </w:tc>
        <w:tc>
          <w:tcPr>
            <w:tcW w:w="147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在建工程排放量（固体废物产生量）③</w:t>
            </w:r>
          </w:p>
        </w:tc>
        <w:tc>
          <w:tcPr>
            <w:tcW w:w="147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本项目排放量（固体废物产生量）④</w:t>
            </w:r>
          </w:p>
        </w:tc>
        <w:tc>
          <w:tcPr>
            <w:tcW w:w="147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以新带老削减量（新建项目不填）⑤</w:t>
            </w:r>
          </w:p>
        </w:tc>
        <w:tc>
          <w:tcPr>
            <w:tcW w:w="173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本项目建成后全厂排放量（固体废物产生量）⑥</w:t>
            </w:r>
          </w:p>
        </w:tc>
        <w:tc>
          <w:tcPr>
            <w:tcW w:w="122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变化量⑦</w:t>
            </w:r>
          </w:p>
        </w:tc>
      </w:tr>
      <w:tr>
        <w:tblPrEx>
          <w:tblCellMar>
            <w:top w:w="0" w:type="dxa"/>
            <w:left w:w="108" w:type="dxa"/>
            <w:bottom w:w="0" w:type="dxa"/>
            <w:right w:w="108" w:type="dxa"/>
          </w:tblCellMar>
        </w:tblPrEx>
        <w:trPr>
          <w:trHeight w:val="914" w:hRule="atLeast"/>
          <w:jc w:val="center"/>
        </w:trPr>
        <w:tc>
          <w:tcPr>
            <w:tcW w:w="1377" w:type="dxa"/>
            <w:vMerge w:val="continue"/>
            <w:tcBorders>
              <w:top w:val="single" w:color="000000" w:sz="4" w:space="0"/>
              <w:left w:val="single" w:color="000000" w:sz="4" w:space="0"/>
              <w:bottom w:val="single" w:color="000000" w:sz="4" w:space="0"/>
              <w:right w:val="single" w:color="000000" w:sz="4" w:space="0"/>
              <w:tl2br w:val="single" w:color="000000" w:sz="4" w:space="0"/>
            </w:tcBorders>
            <w:vAlign w:val="center"/>
          </w:tcPr>
          <w:p>
            <w:pPr>
              <w:rPr>
                <w:color w:val="000000" w:themeColor="text1"/>
                <w:szCs w:val="21"/>
                <w14:textFill>
                  <w14:solidFill>
                    <w14:schemeClr w14:val="tx1"/>
                  </w14:solidFill>
                </w14:textFill>
              </w:rPr>
            </w:pP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p>
        </w:tc>
        <w:tc>
          <w:tcPr>
            <w:tcW w:w="147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p>
        </w:tc>
        <w:tc>
          <w:tcPr>
            <w:tcW w:w="147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p>
        </w:tc>
        <w:tc>
          <w:tcPr>
            <w:tcW w:w="147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p>
        </w:tc>
        <w:tc>
          <w:tcPr>
            <w:tcW w:w="147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p>
        </w:tc>
        <w:tc>
          <w:tcPr>
            <w:tcW w:w="147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p>
        </w:tc>
        <w:tc>
          <w:tcPr>
            <w:tcW w:w="173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p>
        </w:tc>
        <w:tc>
          <w:tcPr>
            <w:tcW w:w="122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593" w:hRule="atLeast"/>
          <w:jc w:val="center"/>
        </w:trPr>
        <w:tc>
          <w:tcPr>
            <w:tcW w:w="13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废气</w:t>
            </w:r>
          </w:p>
        </w:tc>
        <w:tc>
          <w:tcPr>
            <w:tcW w:w="1570"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center"/>
              <w:rPr>
                <w:rFonts w:hint="default"/>
                <w:color w:val="000000" w:themeColor="text1"/>
                <w:kern w:val="0"/>
                <w:szCs w:val="21"/>
                <w:lang w:val="en-US"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异味</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w:t>
            </w:r>
          </w:p>
        </w:tc>
        <w:tc>
          <w:tcPr>
            <w:tcW w:w="1474"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center"/>
              <w:rPr>
                <w:rFonts w:hint="eastAsia"/>
                <w:color w:val="000000" w:themeColor="text1"/>
                <w:kern w:val="0"/>
                <w:szCs w:val="21"/>
                <w:lang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w:t>
            </w:r>
          </w:p>
        </w:tc>
        <w:tc>
          <w:tcPr>
            <w:tcW w:w="17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color w:val="000000" w:themeColor="text1"/>
                <w:kern w:val="0"/>
                <w:szCs w:val="21"/>
                <w:lang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color w:val="000000" w:themeColor="text1"/>
                <w:kern w:val="0"/>
                <w:szCs w:val="21"/>
                <w:lang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w:t>
            </w:r>
          </w:p>
        </w:tc>
      </w:tr>
      <w:tr>
        <w:tblPrEx>
          <w:tblCellMar>
            <w:top w:w="0" w:type="dxa"/>
            <w:left w:w="108" w:type="dxa"/>
            <w:bottom w:w="0" w:type="dxa"/>
            <w:right w:w="108" w:type="dxa"/>
          </w:tblCellMar>
        </w:tblPrEx>
        <w:trPr>
          <w:trHeight w:val="537" w:hRule="atLeast"/>
          <w:jc w:val="center"/>
        </w:trPr>
        <w:tc>
          <w:tcPr>
            <w:tcW w:w="1377" w:type="dxa"/>
            <w:vMerge w:val="restart"/>
            <w:tcBorders>
              <w:top w:val="single" w:color="000000" w:sz="4" w:space="0"/>
              <w:left w:val="single" w:color="000000" w:sz="4" w:space="0"/>
              <w:right w:val="single" w:color="000000" w:sz="4" w:space="0"/>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废水</w:t>
            </w:r>
          </w:p>
        </w:tc>
        <w:tc>
          <w:tcPr>
            <w:tcW w:w="1570"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center"/>
              <w:rPr>
                <w:rFonts w:hint="eastAsia"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COD</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3.56</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30.09</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3.56</w:t>
            </w:r>
          </w:p>
        </w:tc>
        <w:tc>
          <w:tcPr>
            <w:tcW w:w="17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30.09</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26.53</w:t>
            </w:r>
          </w:p>
        </w:tc>
      </w:tr>
      <w:tr>
        <w:tblPrEx>
          <w:tblCellMar>
            <w:top w:w="0" w:type="dxa"/>
            <w:left w:w="108" w:type="dxa"/>
            <w:bottom w:w="0" w:type="dxa"/>
            <w:right w:w="108" w:type="dxa"/>
          </w:tblCellMar>
        </w:tblPrEx>
        <w:trPr>
          <w:trHeight w:val="593" w:hRule="atLeast"/>
          <w:jc w:val="center"/>
        </w:trPr>
        <w:tc>
          <w:tcPr>
            <w:tcW w:w="1377" w:type="dxa"/>
            <w:vMerge w:val="continue"/>
            <w:tcBorders>
              <w:left w:val="single" w:color="000000" w:sz="4" w:space="0"/>
              <w:right w:val="single" w:color="000000" w:sz="4" w:space="0"/>
            </w:tcBorders>
            <w:vAlign w:val="center"/>
          </w:tcPr>
          <w:p>
            <w:pPr>
              <w:widowControl/>
              <w:jc w:val="center"/>
              <w:textAlignment w:val="center"/>
              <w:rPr>
                <w:color w:val="000000" w:themeColor="text1"/>
                <w:kern w:val="0"/>
                <w:szCs w:val="21"/>
                <w:lang w:bidi="ar"/>
                <w14:textFill>
                  <w14:solidFill>
                    <w14:schemeClr w14:val="tx1"/>
                  </w14:solidFill>
                </w14:textFill>
              </w:rPr>
            </w:pPr>
          </w:p>
        </w:tc>
        <w:tc>
          <w:tcPr>
            <w:tcW w:w="1570"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center"/>
              <w:rPr>
                <w:rFonts w:hint="eastAsia" w:ascii="Times New Roman" w:hAnsi="Times New Roman" w:cs="Times New Roman"/>
                <w:color w:val="000000" w:themeColor="text1"/>
                <w:kern w:val="0"/>
                <w:szCs w:val="21"/>
                <w:lang w:val="en-US" w:eastAsia="zh-CN" w:bidi="ar"/>
                <w14:textFill>
                  <w14:solidFill>
                    <w14:schemeClr w14:val="tx1"/>
                  </w14:solidFill>
                </w14:textFill>
              </w:rPr>
            </w:pPr>
            <w:r>
              <w:rPr>
                <w:rFonts w:hint="eastAsia" w:ascii="Times New Roman" w:hAnsi="Times New Roman" w:cs="Times New Roman"/>
                <w:color w:val="000000" w:themeColor="text1"/>
                <w:kern w:val="0"/>
                <w:szCs w:val="21"/>
                <w:lang w:val="en-US" w:eastAsia="zh-CN" w:bidi="ar"/>
                <w14:textFill>
                  <w14:solidFill>
                    <w14:schemeClr w14:val="tx1"/>
                  </w14:solidFill>
                </w14:textFill>
              </w:rPr>
              <w:t>氨氮</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0.64</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5.42</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0.64</w:t>
            </w:r>
          </w:p>
        </w:tc>
        <w:tc>
          <w:tcPr>
            <w:tcW w:w="17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5.42</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4.78</w:t>
            </w:r>
          </w:p>
        </w:tc>
      </w:tr>
      <w:tr>
        <w:tblPrEx>
          <w:tblCellMar>
            <w:top w:w="0" w:type="dxa"/>
            <w:left w:w="108" w:type="dxa"/>
            <w:bottom w:w="0" w:type="dxa"/>
            <w:right w:w="108" w:type="dxa"/>
          </w:tblCellMar>
        </w:tblPrEx>
        <w:trPr>
          <w:trHeight w:val="593" w:hRule="atLeast"/>
          <w:jc w:val="center"/>
        </w:trPr>
        <w:tc>
          <w:tcPr>
            <w:tcW w:w="1377" w:type="dxa"/>
            <w:vMerge w:val="continue"/>
            <w:tcBorders>
              <w:left w:val="single" w:color="000000" w:sz="4" w:space="0"/>
              <w:bottom w:val="single" w:color="000000" w:sz="4" w:space="0"/>
              <w:right w:val="single" w:color="000000" w:sz="4" w:space="0"/>
            </w:tcBorders>
            <w:vAlign w:val="center"/>
          </w:tcPr>
          <w:p>
            <w:pPr>
              <w:widowControl/>
              <w:jc w:val="center"/>
              <w:textAlignment w:val="center"/>
              <w:rPr>
                <w:color w:val="000000" w:themeColor="text1"/>
                <w:kern w:val="0"/>
                <w:szCs w:val="21"/>
                <w:lang w:bidi="ar"/>
                <w14:textFill>
                  <w14:solidFill>
                    <w14:schemeClr w14:val="tx1"/>
                  </w14:solidFill>
                </w14:textFill>
              </w:rPr>
            </w:pPr>
          </w:p>
        </w:tc>
        <w:tc>
          <w:tcPr>
            <w:tcW w:w="1570"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center"/>
              <w:rPr>
                <w:rFonts w:hint="eastAsia" w:ascii="Times New Roman" w:hAnsi="Times New Roman" w:cs="Times New Roman"/>
                <w:color w:val="000000" w:themeColor="text1"/>
                <w:kern w:val="0"/>
                <w:szCs w:val="21"/>
                <w:lang w:val="en-US" w:eastAsia="zh-CN" w:bidi="ar"/>
                <w14:textFill>
                  <w14:solidFill>
                    <w14:schemeClr w14:val="tx1"/>
                  </w14:solidFill>
                </w14:textFill>
              </w:rPr>
            </w:pPr>
            <w:r>
              <w:rPr>
                <w:rFonts w:hint="eastAsia" w:ascii="Times New Roman" w:hAnsi="Times New Roman" w:cs="Times New Roman"/>
                <w:color w:val="000000" w:themeColor="text1"/>
                <w:kern w:val="0"/>
                <w:szCs w:val="21"/>
                <w:lang w:val="en-US" w:eastAsia="zh-CN" w:bidi="ar"/>
                <w14:textFill>
                  <w14:solidFill>
                    <w14:schemeClr w14:val="tx1"/>
                  </w14:solidFill>
                </w14:textFill>
              </w:rPr>
              <w:t>总磷</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0.014</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0.96</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0.014</w:t>
            </w:r>
          </w:p>
        </w:tc>
        <w:tc>
          <w:tcPr>
            <w:tcW w:w="17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0.96</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0.946</w:t>
            </w:r>
          </w:p>
        </w:tc>
      </w:tr>
      <w:tr>
        <w:tblPrEx>
          <w:tblCellMar>
            <w:top w:w="0" w:type="dxa"/>
            <w:left w:w="108" w:type="dxa"/>
            <w:bottom w:w="0" w:type="dxa"/>
            <w:right w:w="108" w:type="dxa"/>
          </w:tblCellMar>
        </w:tblPrEx>
        <w:trPr>
          <w:trHeight w:val="593" w:hRule="atLeast"/>
          <w:jc w:val="center"/>
        </w:trPr>
        <w:tc>
          <w:tcPr>
            <w:tcW w:w="1377" w:type="dxa"/>
            <w:vMerge w:val="restart"/>
            <w:tcBorders>
              <w:top w:val="single" w:color="000000" w:sz="4" w:space="0"/>
              <w:left w:val="single" w:color="000000" w:sz="4" w:space="0"/>
              <w:right w:val="single" w:color="000000" w:sz="4" w:space="0"/>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一般工业固体废物</w:t>
            </w:r>
          </w:p>
        </w:tc>
        <w:tc>
          <w:tcPr>
            <w:tcW w:w="1570" w:type="dxa"/>
            <w:tcBorders>
              <w:top w:val="single" w:color="000000" w:sz="8" w:space="0"/>
              <w:left w:val="single" w:color="000000" w:sz="8" w:space="0"/>
              <w:bottom w:val="single" w:color="000000" w:sz="8" w:space="0"/>
              <w:right w:val="single" w:color="000000" w:sz="8" w:space="0"/>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生活垃圾</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50.37</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239.81</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50.37</w:t>
            </w:r>
          </w:p>
        </w:tc>
        <w:tc>
          <w:tcPr>
            <w:tcW w:w="17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239.81</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color w:val="000000" w:themeColor="text1"/>
                <w:kern w:val="0"/>
                <w:szCs w:val="21"/>
                <w:lang w:val="en-US"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189.44</w:t>
            </w:r>
          </w:p>
        </w:tc>
      </w:tr>
      <w:tr>
        <w:tblPrEx>
          <w:tblCellMar>
            <w:top w:w="0" w:type="dxa"/>
            <w:left w:w="108" w:type="dxa"/>
            <w:bottom w:w="0" w:type="dxa"/>
            <w:right w:w="108" w:type="dxa"/>
          </w:tblCellMar>
        </w:tblPrEx>
        <w:trPr>
          <w:trHeight w:val="763" w:hRule="atLeast"/>
          <w:jc w:val="center"/>
        </w:trPr>
        <w:tc>
          <w:tcPr>
            <w:tcW w:w="1377" w:type="dxa"/>
            <w:vMerge w:val="continue"/>
            <w:tcBorders>
              <w:left w:val="single" w:color="000000" w:sz="4" w:space="0"/>
              <w:bottom w:val="single" w:color="auto" w:sz="4" w:space="0"/>
              <w:right w:val="single" w:color="000000" w:sz="4" w:space="0"/>
            </w:tcBorders>
            <w:vAlign w:val="center"/>
          </w:tcPr>
          <w:p>
            <w:pPr>
              <w:widowControl/>
              <w:jc w:val="center"/>
              <w:textAlignment w:val="center"/>
              <w:rPr>
                <w:color w:val="000000" w:themeColor="text1"/>
                <w:kern w:val="0"/>
                <w:szCs w:val="21"/>
                <w:lang w:bidi="ar"/>
                <w14:textFill>
                  <w14:solidFill>
                    <w14:schemeClr w14:val="tx1"/>
                  </w14:solidFill>
                </w14:textFill>
              </w:rPr>
            </w:pPr>
          </w:p>
        </w:tc>
        <w:tc>
          <w:tcPr>
            <w:tcW w:w="1570" w:type="dxa"/>
            <w:tcBorders>
              <w:top w:val="single" w:color="000000" w:sz="8" w:space="0"/>
              <w:left w:val="single" w:color="000000" w:sz="8" w:space="0"/>
              <w:bottom w:val="single" w:color="auto" w:sz="4" w:space="0"/>
              <w:right w:val="single" w:color="000000" w:sz="8" w:space="0"/>
            </w:tcBorders>
            <w:vAlign w:val="center"/>
          </w:tcPr>
          <w:p>
            <w:pPr>
              <w:widowControl/>
              <w:jc w:val="center"/>
              <w:textAlignment w:val="center"/>
              <w:rPr>
                <w:rFonts w:hint="eastAsia"/>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未感染的输液瓶（袋）</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12</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10.0</w:t>
            </w:r>
          </w:p>
        </w:tc>
        <w:tc>
          <w:tcPr>
            <w:tcW w:w="14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12</w:t>
            </w:r>
          </w:p>
        </w:tc>
        <w:tc>
          <w:tcPr>
            <w:tcW w:w="17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10.0</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-2.0</w:t>
            </w:r>
          </w:p>
        </w:tc>
      </w:tr>
      <w:tr>
        <w:tblPrEx>
          <w:tblCellMar>
            <w:top w:w="0" w:type="dxa"/>
            <w:left w:w="108" w:type="dxa"/>
            <w:bottom w:w="0" w:type="dxa"/>
            <w:right w:w="108" w:type="dxa"/>
          </w:tblCellMar>
        </w:tblPrEx>
        <w:trPr>
          <w:trHeight w:val="528" w:hRule="atLeast"/>
          <w:jc w:val="center"/>
        </w:trPr>
        <w:tc>
          <w:tcPr>
            <w:tcW w:w="1377" w:type="dxa"/>
            <w:vMerge w:val="restart"/>
            <w:tcBorders>
              <w:top w:val="single" w:color="auto" w:sz="4" w:space="0"/>
              <w:left w:val="single" w:color="auto" w:sz="4" w:space="0"/>
              <w:right w:val="single" w:color="auto" w:sz="4" w:space="0"/>
            </w:tcBorders>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危险废物</w:t>
            </w:r>
          </w:p>
        </w:tc>
        <w:tc>
          <w:tcPr>
            <w:tcW w:w="15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color w:val="000000" w:themeColor="text1"/>
                <w:kern w:val="0"/>
                <w:szCs w:val="21"/>
                <w:lang w:val="en-US"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医疗废物</w:t>
            </w:r>
          </w:p>
        </w:tc>
        <w:tc>
          <w:tcPr>
            <w:tcW w:w="14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45.26</w:t>
            </w:r>
          </w:p>
        </w:tc>
        <w:tc>
          <w:tcPr>
            <w:tcW w:w="14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w:t>
            </w:r>
          </w:p>
        </w:tc>
        <w:tc>
          <w:tcPr>
            <w:tcW w:w="14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w:t>
            </w:r>
          </w:p>
        </w:tc>
        <w:tc>
          <w:tcPr>
            <w:tcW w:w="14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78.66</w:t>
            </w:r>
          </w:p>
        </w:tc>
        <w:tc>
          <w:tcPr>
            <w:tcW w:w="14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45.26</w:t>
            </w:r>
          </w:p>
        </w:tc>
        <w:tc>
          <w:tcPr>
            <w:tcW w:w="173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78.66</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33.4</w:t>
            </w:r>
          </w:p>
        </w:tc>
      </w:tr>
      <w:tr>
        <w:tblPrEx>
          <w:tblCellMar>
            <w:top w:w="0" w:type="dxa"/>
            <w:left w:w="108" w:type="dxa"/>
            <w:bottom w:w="0" w:type="dxa"/>
            <w:right w:w="108" w:type="dxa"/>
          </w:tblCellMar>
        </w:tblPrEx>
        <w:trPr>
          <w:trHeight w:val="528" w:hRule="atLeast"/>
          <w:jc w:val="center"/>
        </w:trPr>
        <w:tc>
          <w:tcPr>
            <w:tcW w:w="1377" w:type="dxa"/>
            <w:vMerge w:val="continue"/>
            <w:tcBorders>
              <w:left w:val="single" w:color="auto" w:sz="4" w:space="0"/>
              <w:right w:val="single" w:color="auto" w:sz="4" w:space="0"/>
            </w:tcBorders>
            <w:vAlign w:val="center"/>
          </w:tcPr>
          <w:p>
            <w:pPr>
              <w:widowControl/>
              <w:jc w:val="center"/>
              <w:textAlignment w:val="center"/>
              <w:rPr>
                <w:color w:val="000000" w:themeColor="text1"/>
                <w:kern w:val="0"/>
                <w:szCs w:val="21"/>
                <w:lang w:bidi="ar"/>
                <w14:textFill>
                  <w14:solidFill>
                    <w14:schemeClr w14:val="tx1"/>
                  </w14:solidFill>
                </w14:textFill>
              </w:rPr>
            </w:pPr>
          </w:p>
        </w:tc>
        <w:tc>
          <w:tcPr>
            <w:tcW w:w="15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检验室废液</w:t>
            </w:r>
          </w:p>
        </w:tc>
        <w:tc>
          <w:tcPr>
            <w:tcW w:w="14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color w:val="000000" w:themeColor="text1"/>
                <w:kern w:val="0"/>
                <w:szCs w:val="21"/>
                <w:lang w:val="en-US"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350.4</w:t>
            </w:r>
          </w:p>
        </w:tc>
        <w:tc>
          <w:tcPr>
            <w:tcW w:w="14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w:t>
            </w:r>
          </w:p>
        </w:tc>
        <w:tc>
          <w:tcPr>
            <w:tcW w:w="14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w:t>
            </w:r>
          </w:p>
        </w:tc>
        <w:tc>
          <w:tcPr>
            <w:tcW w:w="14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10.95</w:t>
            </w:r>
          </w:p>
        </w:tc>
        <w:tc>
          <w:tcPr>
            <w:tcW w:w="14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color w:val="000000" w:themeColor="text1"/>
                <w:kern w:val="0"/>
                <w:szCs w:val="21"/>
                <w:lang w:val="en-US"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350.40</w:t>
            </w:r>
          </w:p>
        </w:tc>
        <w:tc>
          <w:tcPr>
            <w:tcW w:w="173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10.95</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color w:val="000000" w:themeColor="text1"/>
                <w:kern w:val="0"/>
                <w:szCs w:val="21"/>
                <w:lang w:val="en-US"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-339.45</w:t>
            </w:r>
          </w:p>
        </w:tc>
      </w:tr>
      <w:tr>
        <w:tblPrEx>
          <w:tblCellMar>
            <w:top w:w="0" w:type="dxa"/>
            <w:left w:w="108" w:type="dxa"/>
            <w:bottom w:w="0" w:type="dxa"/>
            <w:right w:w="108" w:type="dxa"/>
          </w:tblCellMar>
        </w:tblPrEx>
        <w:trPr>
          <w:trHeight w:val="769" w:hRule="atLeast"/>
          <w:jc w:val="center"/>
        </w:trPr>
        <w:tc>
          <w:tcPr>
            <w:tcW w:w="1377" w:type="dxa"/>
            <w:vMerge w:val="continue"/>
            <w:tcBorders>
              <w:left w:val="single" w:color="auto" w:sz="4" w:space="0"/>
              <w:bottom w:val="single" w:color="auto" w:sz="4" w:space="0"/>
              <w:right w:val="single" w:color="auto" w:sz="4" w:space="0"/>
            </w:tcBorders>
            <w:vAlign w:val="center"/>
          </w:tcPr>
          <w:p>
            <w:pPr>
              <w:widowControl/>
              <w:jc w:val="center"/>
              <w:textAlignment w:val="center"/>
              <w:rPr>
                <w:color w:val="000000" w:themeColor="text1"/>
                <w:kern w:val="0"/>
                <w:szCs w:val="21"/>
                <w:lang w:bidi="ar"/>
                <w14:textFill>
                  <w14:solidFill>
                    <w14:schemeClr w14:val="tx1"/>
                  </w14:solidFill>
                </w14:textFill>
              </w:rPr>
            </w:pPr>
          </w:p>
        </w:tc>
        <w:tc>
          <w:tcPr>
            <w:tcW w:w="157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污水处理站污泥</w:t>
            </w:r>
          </w:p>
        </w:tc>
        <w:tc>
          <w:tcPr>
            <w:tcW w:w="14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color w:val="000000" w:themeColor="text1"/>
                <w:kern w:val="0"/>
                <w:szCs w:val="21"/>
                <w:lang w:val="en-US"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0.2</w:t>
            </w:r>
          </w:p>
        </w:tc>
        <w:tc>
          <w:tcPr>
            <w:tcW w:w="14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w:t>
            </w:r>
          </w:p>
        </w:tc>
        <w:tc>
          <w:tcPr>
            <w:tcW w:w="14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w:t>
            </w:r>
          </w:p>
        </w:tc>
        <w:tc>
          <w:tcPr>
            <w:tcW w:w="14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36.10</w:t>
            </w:r>
          </w:p>
        </w:tc>
        <w:tc>
          <w:tcPr>
            <w:tcW w:w="14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color w:val="000000" w:themeColor="text1"/>
                <w:kern w:val="0"/>
                <w:szCs w:val="21"/>
                <w:lang w:val="en-US"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0.20</w:t>
            </w:r>
          </w:p>
        </w:tc>
        <w:tc>
          <w:tcPr>
            <w:tcW w:w="173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color w:val="000000" w:themeColor="text1"/>
                <w:kern w:val="0"/>
                <w:szCs w:val="21"/>
                <w:lang w:val="en-US"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36.10</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color w:val="000000" w:themeColor="text1"/>
                <w:kern w:val="0"/>
                <w:szCs w:val="21"/>
                <w:lang w:val="en-US" w:eastAsia="zh-CN" w:bidi="ar"/>
                <w14:textFill>
                  <w14:solidFill>
                    <w14:schemeClr w14:val="tx1"/>
                  </w14:solidFill>
                </w14:textFill>
              </w:rPr>
            </w:pPr>
            <w:r>
              <w:rPr>
                <w:rFonts w:hint="default"/>
                <w:color w:val="000000" w:themeColor="text1"/>
                <w:kern w:val="0"/>
                <w:szCs w:val="21"/>
                <w:lang w:val="en-US" w:eastAsia="zh-CN" w:bidi="ar"/>
                <w14:textFill>
                  <w14:solidFill>
                    <w14:schemeClr w14:val="tx1"/>
                  </w14:solidFill>
                </w14:textFill>
              </w:rPr>
              <w:t>35.90</w:t>
            </w:r>
          </w:p>
        </w:tc>
      </w:tr>
    </w:tbl>
    <w:p>
      <w:pPr>
        <w:rPr>
          <w:color w:val="000000" w:themeColor="text1"/>
          <w14:textFill>
            <w14:solidFill>
              <w14:schemeClr w14:val="tx1"/>
            </w14:solidFill>
          </w14:textFill>
        </w:rPr>
      </w:pPr>
      <w:r>
        <w:rPr>
          <w:color w:val="000000" w:themeColor="text1"/>
          <w14:textFill>
            <w14:solidFill>
              <w14:schemeClr w14:val="tx1"/>
            </w14:solidFill>
          </w14:textFill>
        </w:rPr>
        <w:t>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6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⑥</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4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④</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5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⑤</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7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⑦</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6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⑥</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①</w:t>
      </w:r>
      <w:r>
        <w:rPr>
          <w:color w:val="000000" w:themeColor="text1"/>
          <w14:textFill>
            <w14:solidFill>
              <w14:schemeClr w14:val="tx1"/>
            </w14:solidFill>
          </w14:textFill>
        </w:rPr>
        <w:fldChar w:fldCharType="end"/>
      </w:r>
    </w:p>
    <w:sectPr>
      <w:pgSz w:w="16838" w:h="11906" w:orient="landscape"/>
      <w:pgMar w:top="1440" w:right="1800" w:bottom="1440" w:left="1800" w:header="851" w:footer="1134"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10" w:usb3="00000000" w:csb0="000400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6"/>
      </w:rPr>
    </w:pPr>
    <w:r>
      <w:fldChar w:fldCharType="begin"/>
    </w:r>
    <w:r>
      <w:rPr>
        <w:rStyle w:val="26"/>
      </w:rPr>
      <w:instrText xml:space="preserve">PAGE  </w:instrText>
    </w:r>
    <w:r>
      <w:fldChar w:fldCharType="end"/>
    </w:r>
  </w:p>
  <w:p>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Style w:val="26"/>
                              <w:rFonts w:ascii="宋体" w:hAnsi="宋体"/>
                              <w:sz w:val="28"/>
                              <w:szCs w:val="28"/>
                            </w:rPr>
                          </w:pPr>
                          <w:r>
                            <w:rPr>
                              <w:sz w:val="21"/>
                              <w:szCs w:val="21"/>
                            </w:rPr>
                            <w:fldChar w:fldCharType="begin"/>
                          </w:r>
                          <w:r>
                            <w:rPr>
                              <w:rStyle w:val="26"/>
                              <w:sz w:val="21"/>
                              <w:szCs w:val="21"/>
                            </w:rPr>
                            <w:instrText xml:space="preserve">PAGE  </w:instrText>
                          </w:r>
                          <w:r>
                            <w:rPr>
                              <w:sz w:val="21"/>
                              <w:szCs w:val="21"/>
                            </w:rPr>
                            <w:fldChar w:fldCharType="separate"/>
                          </w:r>
                          <w:r>
                            <w:rPr>
                              <w:rStyle w:val="26"/>
                              <w:sz w:val="21"/>
                              <w:szCs w:val="21"/>
                            </w:rPr>
                            <w:t>16</w:t>
                          </w:r>
                          <w:r>
                            <w:rPr>
                              <w:sz w:val="21"/>
                              <w:szCs w:val="21"/>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pPr>
                      <w:pStyle w:val="11"/>
                      <w:rPr>
                        <w:rStyle w:val="26"/>
                        <w:rFonts w:ascii="宋体" w:hAnsi="宋体"/>
                        <w:sz w:val="28"/>
                        <w:szCs w:val="28"/>
                      </w:rPr>
                    </w:pPr>
                    <w:r>
                      <w:rPr>
                        <w:sz w:val="21"/>
                        <w:szCs w:val="21"/>
                      </w:rPr>
                      <w:fldChar w:fldCharType="begin"/>
                    </w:r>
                    <w:r>
                      <w:rPr>
                        <w:rStyle w:val="26"/>
                        <w:sz w:val="21"/>
                        <w:szCs w:val="21"/>
                      </w:rPr>
                      <w:instrText xml:space="preserve">PAGE  </w:instrText>
                    </w:r>
                    <w:r>
                      <w:rPr>
                        <w:sz w:val="21"/>
                        <w:szCs w:val="21"/>
                      </w:rPr>
                      <w:fldChar w:fldCharType="separate"/>
                    </w:r>
                    <w:r>
                      <w:rPr>
                        <w:rStyle w:val="26"/>
                        <w:sz w:val="21"/>
                        <w:szCs w:val="21"/>
                      </w:rPr>
                      <w:t>16</w:t>
                    </w:r>
                    <w:r>
                      <w:rPr>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Style w:val="26"/>
                              <w:rFonts w:ascii="宋体" w:hAnsi="宋体"/>
                              <w:sz w:val="28"/>
                              <w:szCs w:val="28"/>
                            </w:rPr>
                          </w:pPr>
                          <w:r>
                            <w:rPr>
                              <w:sz w:val="21"/>
                              <w:szCs w:val="21"/>
                            </w:rPr>
                            <w:fldChar w:fldCharType="begin"/>
                          </w:r>
                          <w:r>
                            <w:rPr>
                              <w:rStyle w:val="26"/>
                              <w:sz w:val="21"/>
                              <w:szCs w:val="21"/>
                            </w:rPr>
                            <w:instrText xml:space="preserve">PAGE  </w:instrText>
                          </w:r>
                          <w:r>
                            <w:rPr>
                              <w:sz w:val="21"/>
                              <w:szCs w:val="21"/>
                            </w:rPr>
                            <w:fldChar w:fldCharType="separate"/>
                          </w:r>
                          <w:r>
                            <w:rPr>
                              <w:rStyle w:val="26"/>
                              <w:sz w:val="21"/>
                              <w:szCs w:val="21"/>
                            </w:rPr>
                            <w:t>38</w:t>
                          </w:r>
                          <w:r>
                            <w:rPr>
                              <w:sz w:val="21"/>
                              <w:szCs w:val="21"/>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TIidsI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sKSEsctTvz888f515/z7+8E&#10;fShQH6DGvLuAmWn44AdMnv2Azsx7UNHmLzIiGEd5Txd55ZCIyI9Wy9WqwpDA2HxBfPb0PERIH6W3&#10;JBsNjTi/Iis/foY0ps4puZrzt9qYMkPj/nIgZvaw3PvYY7bSsBsmQjvfnpBPj6NvqMNNp8R8cqhs&#10;3pLZiLOxm4xcA8L7Q8LCpZ+MOkJNxXBOhdG0U3kRnt9L1tN/tHk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IkyInbCAQAAjwMAAA4AAAAAAAAAAQAgAAAAHgEAAGRycy9lMm9Eb2MueG1sUEsF&#10;BgAAAAAGAAYAWQEAAFIFAAAAAA==&#10;">
              <v:fill on="f" focussize="0,0"/>
              <v:stroke on="f"/>
              <v:imagedata o:title=""/>
              <o:lock v:ext="edit" aspectratio="f"/>
              <v:textbox inset="0mm,0mm,0mm,0mm" style="mso-fit-shape-to-text:t;">
                <w:txbxContent>
                  <w:p>
                    <w:pPr>
                      <w:pStyle w:val="11"/>
                      <w:rPr>
                        <w:rStyle w:val="26"/>
                        <w:rFonts w:ascii="宋体" w:hAnsi="宋体"/>
                        <w:sz w:val="28"/>
                        <w:szCs w:val="28"/>
                      </w:rPr>
                    </w:pPr>
                    <w:r>
                      <w:rPr>
                        <w:sz w:val="21"/>
                        <w:szCs w:val="21"/>
                      </w:rPr>
                      <w:fldChar w:fldCharType="begin"/>
                    </w:r>
                    <w:r>
                      <w:rPr>
                        <w:rStyle w:val="26"/>
                        <w:sz w:val="21"/>
                        <w:szCs w:val="21"/>
                      </w:rPr>
                      <w:instrText xml:space="preserve">PAGE  </w:instrText>
                    </w:r>
                    <w:r>
                      <w:rPr>
                        <w:sz w:val="21"/>
                        <w:szCs w:val="21"/>
                      </w:rPr>
                      <w:fldChar w:fldCharType="separate"/>
                    </w:r>
                    <w:r>
                      <w:rPr>
                        <w:rStyle w:val="26"/>
                        <w:sz w:val="21"/>
                        <w:szCs w:val="21"/>
                      </w:rPr>
                      <w:t>38</w:t>
                    </w:r>
                    <w:r>
                      <w:rPr>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EE7D07"/>
    <w:multiLevelType w:val="singleLevel"/>
    <w:tmpl w:val="81EE7D07"/>
    <w:lvl w:ilvl="0" w:tentative="0">
      <w:start w:val="1"/>
      <w:numFmt w:val="decimal"/>
      <w:suff w:val="nothing"/>
      <w:lvlText w:val="（%1）"/>
      <w:lvlJc w:val="left"/>
    </w:lvl>
  </w:abstractNum>
  <w:abstractNum w:abstractNumId="1">
    <w:nsid w:val="8B93889C"/>
    <w:multiLevelType w:val="multilevel"/>
    <w:tmpl w:val="8B93889C"/>
    <w:lvl w:ilvl="0" w:tentative="0">
      <w:start w:val="1"/>
      <w:numFmt w:val="decimal"/>
      <w:pStyle w:val="13"/>
      <w:isLgl/>
      <w:lvlText w:val="%1"/>
      <w:lvlJc w:val="left"/>
      <w:pPr>
        <w:tabs>
          <w:tab w:val="left" w:pos="0"/>
        </w:tabs>
        <w:ind w:left="0" w:firstLine="0"/>
      </w:pPr>
      <w:rPr>
        <w:rFonts w:hint="default" w:ascii="Times New Roman" w:hAnsi="Times New Roman" w:eastAsia="宋体" w:cs="宋体"/>
        <w:b/>
        <w:sz w:val="32"/>
      </w:rPr>
    </w:lvl>
    <w:lvl w:ilvl="1" w:tentative="0">
      <w:start w:val="1"/>
      <w:numFmt w:val="decimal"/>
      <w:isLgl/>
      <w:lvlText w:val="%1.%2"/>
      <w:lvlJc w:val="left"/>
      <w:pPr>
        <w:tabs>
          <w:tab w:val="left" w:pos="0"/>
        </w:tabs>
        <w:ind w:left="0" w:firstLine="0"/>
      </w:pPr>
      <w:rPr>
        <w:rFonts w:hint="default" w:ascii="Times New Roman" w:hAnsi="Times New Roman" w:eastAsia="宋体" w:cs="宋体"/>
        <w:b/>
        <w:sz w:val="30"/>
      </w:rPr>
    </w:lvl>
    <w:lvl w:ilvl="2" w:tentative="0">
      <w:start w:val="1"/>
      <w:numFmt w:val="decimal"/>
      <w:isLgl/>
      <w:lvlText w:val="%1.%2.%3"/>
      <w:lvlJc w:val="left"/>
      <w:pPr>
        <w:tabs>
          <w:tab w:val="left" w:pos="0"/>
        </w:tabs>
        <w:ind w:left="0" w:firstLine="0"/>
      </w:pPr>
      <w:rPr>
        <w:rFonts w:hint="default" w:ascii="Times New Roman" w:hAnsi="Times New Roman" w:eastAsia="宋体" w:cs="宋体"/>
        <w:b/>
        <w:sz w:val="28"/>
      </w:rPr>
    </w:lvl>
    <w:lvl w:ilvl="3" w:tentative="0">
      <w:start w:val="1"/>
      <w:numFmt w:val="decimal"/>
      <w:isLgl/>
      <w:lvlText w:val="%1.%2.%3.%4"/>
      <w:lvlJc w:val="left"/>
      <w:pPr>
        <w:tabs>
          <w:tab w:val="left" w:pos="0"/>
        </w:tabs>
        <w:ind w:left="0" w:firstLine="0"/>
      </w:pPr>
      <w:rPr>
        <w:rFonts w:hint="default" w:ascii="Times New Roman" w:hAnsi="Times New Roman" w:eastAsia="宋体" w:cs="宋体"/>
        <w:b/>
        <w:sz w:val="24"/>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949A47C8"/>
    <w:multiLevelType w:val="singleLevel"/>
    <w:tmpl w:val="949A47C8"/>
    <w:lvl w:ilvl="0" w:tentative="0">
      <w:start w:val="1"/>
      <w:numFmt w:val="decimal"/>
      <w:suff w:val="nothing"/>
      <w:lvlText w:val="（%1）"/>
      <w:lvlJc w:val="left"/>
    </w:lvl>
  </w:abstractNum>
  <w:abstractNum w:abstractNumId="3">
    <w:nsid w:val="9A69BB6C"/>
    <w:multiLevelType w:val="singleLevel"/>
    <w:tmpl w:val="9A69BB6C"/>
    <w:lvl w:ilvl="0" w:tentative="0">
      <w:start w:val="1"/>
      <w:numFmt w:val="decimal"/>
      <w:suff w:val="nothing"/>
      <w:lvlText w:val="（%1）"/>
      <w:lvlJc w:val="left"/>
    </w:lvl>
  </w:abstractNum>
  <w:abstractNum w:abstractNumId="4">
    <w:nsid w:val="9D620A52"/>
    <w:multiLevelType w:val="singleLevel"/>
    <w:tmpl w:val="9D620A52"/>
    <w:lvl w:ilvl="0" w:tentative="0">
      <w:start w:val="1"/>
      <w:numFmt w:val="decimal"/>
      <w:suff w:val="nothing"/>
      <w:lvlText w:val="（%1）"/>
      <w:lvlJc w:val="left"/>
    </w:lvl>
  </w:abstractNum>
  <w:abstractNum w:abstractNumId="5">
    <w:nsid w:val="A3263383"/>
    <w:multiLevelType w:val="singleLevel"/>
    <w:tmpl w:val="A3263383"/>
    <w:lvl w:ilvl="0" w:tentative="0">
      <w:start w:val="1"/>
      <w:numFmt w:val="decimal"/>
      <w:suff w:val="nothing"/>
      <w:lvlText w:val="（%1）"/>
      <w:lvlJc w:val="left"/>
    </w:lvl>
  </w:abstractNum>
  <w:abstractNum w:abstractNumId="6">
    <w:nsid w:val="A4B16587"/>
    <w:multiLevelType w:val="singleLevel"/>
    <w:tmpl w:val="A4B16587"/>
    <w:lvl w:ilvl="0" w:tentative="0">
      <w:start w:val="1"/>
      <w:numFmt w:val="chineseCounting"/>
      <w:suff w:val="nothing"/>
      <w:lvlText w:val="%1、"/>
      <w:lvlJc w:val="left"/>
      <w:rPr>
        <w:rFonts w:hint="eastAsia"/>
      </w:rPr>
    </w:lvl>
  </w:abstractNum>
  <w:abstractNum w:abstractNumId="7">
    <w:nsid w:val="B22FA78D"/>
    <w:multiLevelType w:val="singleLevel"/>
    <w:tmpl w:val="B22FA78D"/>
    <w:lvl w:ilvl="0" w:tentative="0">
      <w:start w:val="1"/>
      <w:numFmt w:val="decimal"/>
      <w:suff w:val="nothing"/>
      <w:lvlText w:val="%1）"/>
      <w:lvlJc w:val="left"/>
    </w:lvl>
  </w:abstractNum>
  <w:abstractNum w:abstractNumId="8">
    <w:nsid w:val="B803F017"/>
    <w:multiLevelType w:val="multilevel"/>
    <w:tmpl w:val="B803F017"/>
    <w:lvl w:ilvl="0" w:tentative="0">
      <w:start w:val="1"/>
      <w:numFmt w:val="decimal"/>
      <w:lvlText w:val="表1-%1 "/>
      <w:lvlJc w:val="center"/>
      <w:pPr>
        <w:tabs>
          <w:tab w:val="left" w:pos="0"/>
        </w:tabs>
        <w:ind w:left="0" w:firstLine="0"/>
      </w:pPr>
      <w:rPr>
        <w:rFonts w:hint="default" w:ascii="Times New Roman" w:hAnsi="Times New Roman" w:eastAsia="宋体" w:cs="宋体"/>
        <w:b/>
        <w:bCs/>
        <w:sz w:val="24"/>
        <w:szCs w:val="24"/>
      </w:rPr>
    </w:lvl>
    <w:lvl w:ilvl="1" w:tentative="0">
      <w:start w:val="1"/>
      <w:numFmt w:val="none"/>
      <w:lvlText w:val=""/>
      <w:lvlJc w:val="left"/>
      <w:pPr>
        <w:ind w:left="567" w:hanging="567"/>
      </w:pPr>
      <w:rPr>
        <w:rFonts w:hint="default" w:ascii="宋体" w:hAnsi="宋体" w:eastAsia="宋体" w:cs="宋体"/>
      </w:rPr>
    </w:lvl>
    <w:lvl w:ilvl="2" w:tentative="0">
      <w:start w:val="1"/>
      <w:numFmt w:val="none"/>
      <w:lvlText w:val=""/>
      <w:lvlJc w:val="left"/>
      <w:pPr>
        <w:ind w:left="709" w:hanging="709"/>
      </w:pPr>
      <w:rPr>
        <w:rFonts w:hint="default" w:ascii="宋体" w:hAnsi="宋体" w:eastAsia="宋体" w:cs="宋体"/>
      </w:rPr>
    </w:lvl>
    <w:lvl w:ilvl="3" w:tentative="0">
      <w:start w:val="1"/>
      <w:numFmt w:val="none"/>
      <w:lvlText w:val=""/>
      <w:lvlJc w:val="left"/>
      <w:pPr>
        <w:ind w:left="850" w:hanging="850"/>
      </w:pPr>
      <w:rPr>
        <w:rFonts w:hint="default" w:ascii="宋体" w:hAnsi="宋体" w:eastAsia="宋体" w:cs="宋体"/>
      </w:rPr>
    </w:lvl>
    <w:lvl w:ilvl="4" w:tentative="0">
      <w:start w:val="1"/>
      <w:numFmt w:val="none"/>
      <w:lvlText w:val=""/>
      <w:lvlJc w:val="left"/>
      <w:pPr>
        <w:ind w:left="991" w:hanging="991"/>
      </w:pPr>
      <w:rPr>
        <w:rFonts w:hint="default" w:ascii="宋体" w:hAnsi="宋体" w:eastAsia="宋体" w:cs="宋体"/>
      </w:rPr>
    </w:lvl>
    <w:lvl w:ilvl="5" w:tentative="0">
      <w:start w:val="1"/>
      <w:numFmt w:val="none"/>
      <w:lvlText w:val=""/>
      <w:lvlJc w:val="left"/>
      <w:pPr>
        <w:ind w:left="1134" w:hanging="1134"/>
      </w:pPr>
      <w:rPr>
        <w:rFonts w:hint="default" w:ascii="宋体" w:hAnsi="宋体" w:eastAsia="宋体" w:cs="宋体"/>
      </w:rPr>
    </w:lvl>
    <w:lvl w:ilvl="6" w:tentative="0">
      <w:start w:val="1"/>
      <w:numFmt w:val="none"/>
      <w:lvlText w:val=""/>
      <w:lvlJc w:val="left"/>
      <w:pPr>
        <w:ind w:left="1275" w:hanging="1275"/>
      </w:pPr>
      <w:rPr>
        <w:rFonts w:hint="default" w:ascii="宋体" w:hAnsi="宋体" w:eastAsia="宋体" w:cs="宋体"/>
      </w:rPr>
    </w:lvl>
    <w:lvl w:ilvl="7" w:tentative="0">
      <w:start w:val="1"/>
      <w:numFmt w:val="none"/>
      <w:lvlText w:val=""/>
      <w:lvlJc w:val="left"/>
      <w:pPr>
        <w:ind w:left="1418" w:hanging="1418"/>
      </w:pPr>
      <w:rPr>
        <w:rFonts w:hint="default" w:ascii="宋体" w:hAnsi="宋体" w:eastAsia="宋体" w:cs="宋体"/>
      </w:rPr>
    </w:lvl>
    <w:lvl w:ilvl="8" w:tentative="0">
      <w:start w:val="1"/>
      <w:numFmt w:val="none"/>
      <w:lvlText w:val=""/>
      <w:lvlJc w:val="left"/>
      <w:pPr>
        <w:ind w:left="1558" w:hanging="1558"/>
      </w:pPr>
      <w:rPr>
        <w:rFonts w:hint="default" w:ascii="宋体" w:hAnsi="宋体" w:eastAsia="宋体" w:cs="宋体"/>
      </w:rPr>
    </w:lvl>
  </w:abstractNum>
  <w:abstractNum w:abstractNumId="9">
    <w:nsid w:val="BC2563EC"/>
    <w:multiLevelType w:val="singleLevel"/>
    <w:tmpl w:val="BC2563EC"/>
    <w:lvl w:ilvl="0" w:tentative="0">
      <w:start w:val="1"/>
      <w:numFmt w:val="decimal"/>
      <w:suff w:val="nothing"/>
      <w:lvlText w:val="%1、"/>
      <w:lvlJc w:val="left"/>
    </w:lvl>
  </w:abstractNum>
  <w:abstractNum w:abstractNumId="10">
    <w:nsid w:val="CD1295FA"/>
    <w:multiLevelType w:val="singleLevel"/>
    <w:tmpl w:val="CD1295FA"/>
    <w:lvl w:ilvl="0" w:tentative="0">
      <w:start w:val="1"/>
      <w:numFmt w:val="decimal"/>
      <w:suff w:val="nothing"/>
      <w:lvlText w:val="（%1）"/>
      <w:lvlJc w:val="left"/>
    </w:lvl>
  </w:abstractNum>
  <w:abstractNum w:abstractNumId="11">
    <w:nsid w:val="CE82C91F"/>
    <w:multiLevelType w:val="multilevel"/>
    <w:tmpl w:val="CE82C91F"/>
    <w:lvl w:ilvl="0" w:tentative="0">
      <w:start w:val="1"/>
      <w:numFmt w:val="decimal"/>
      <w:lvlText w:val="表4-%1 "/>
      <w:lvlJc w:val="left"/>
      <w:pPr>
        <w:tabs>
          <w:tab w:val="left" w:pos="0"/>
        </w:tabs>
        <w:ind w:left="0" w:firstLine="0"/>
      </w:pPr>
      <w:rPr>
        <w:rFonts w:hint="default" w:ascii="Times New Roman" w:hAnsi="Times New Roman" w:eastAsia="宋体" w:cs="宋体"/>
        <w:b/>
        <w:bCs/>
        <w:sz w:val="24"/>
        <w:szCs w:val="24"/>
      </w:rPr>
    </w:lvl>
    <w:lvl w:ilvl="1" w:tentative="0">
      <w:start w:val="1"/>
      <w:numFmt w:val="decimal"/>
      <w:lvlText w:val="%1.%2."/>
      <w:lvlJc w:val="left"/>
      <w:pPr>
        <w:ind w:left="850" w:hanging="453"/>
      </w:pPr>
      <w:rPr>
        <w:rFonts w:hint="default" w:ascii="宋体" w:hAnsi="宋体" w:eastAsia="宋体" w:cs="宋体"/>
      </w:rPr>
    </w:lvl>
    <w:lvl w:ilvl="2" w:tentative="0">
      <w:start w:val="1"/>
      <w:numFmt w:val="none"/>
      <w:lvlText w:val=""/>
      <w:lvlJc w:val="left"/>
      <w:pPr>
        <w:ind w:left="1508" w:hanging="708"/>
      </w:pPr>
      <w:rPr>
        <w:rFonts w:hint="default" w:ascii="宋体" w:hAnsi="宋体" w:eastAsia="宋体" w:cs="宋体"/>
      </w:rPr>
    </w:lvl>
    <w:lvl w:ilvl="3" w:tentative="0">
      <w:start w:val="1"/>
      <w:numFmt w:val="none"/>
      <w:lvlText w:val=""/>
      <w:lvlJc w:val="left"/>
      <w:pPr>
        <w:ind w:left="2053" w:hanging="853"/>
      </w:pPr>
      <w:rPr>
        <w:rFonts w:hint="default" w:ascii="宋体" w:hAnsi="宋体" w:eastAsia="宋体" w:cs="宋体"/>
      </w:rPr>
    </w:lvl>
    <w:lvl w:ilvl="4" w:tentative="0">
      <w:start w:val="1"/>
      <w:numFmt w:val="none"/>
      <w:lvlText w:val=""/>
      <w:lvlJc w:val="left"/>
      <w:pPr>
        <w:ind w:left="2495" w:hanging="895"/>
      </w:pPr>
      <w:rPr>
        <w:rFonts w:hint="default" w:ascii="宋体" w:hAnsi="宋体" w:eastAsia="宋体" w:cs="宋体"/>
      </w:rPr>
    </w:lvl>
    <w:lvl w:ilvl="5" w:tentative="0">
      <w:start w:val="1"/>
      <w:numFmt w:val="none"/>
      <w:lvlText w:val=""/>
      <w:lvlJc w:val="left"/>
      <w:pPr>
        <w:ind w:left="3136" w:hanging="1136"/>
      </w:pPr>
      <w:rPr>
        <w:rFonts w:hint="default" w:ascii="宋体" w:hAnsi="宋体" w:eastAsia="宋体" w:cs="宋体"/>
      </w:rPr>
    </w:lvl>
    <w:lvl w:ilvl="6" w:tentative="0">
      <w:start w:val="1"/>
      <w:numFmt w:val="none"/>
      <w:lvlText w:val=""/>
      <w:lvlJc w:val="left"/>
      <w:pPr>
        <w:ind w:left="3673" w:hanging="1273"/>
      </w:pPr>
      <w:rPr>
        <w:rFonts w:hint="default" w:ascii="宋体" w:hAnsi="宋体" w:eastAsia="宋体" w:cs="宋体"/>
      </w:rPr>
    </w:lvl>
    <w:lvl w:ilvl="7" w:tentative="0">
      <w:start w:val="1"/>
      <w:numFmt w:val="none"/>
      <w:lvlText w:val=""/>
      <w:lvlJc w:val="left"/>
      <w:pPr>
        <w:ind w:left="4218" w:hanging="1418"/>
      </w:pPr>
      <w:rPr>
        <w:rFonts w:hint="default" w:ascii="宋体" w:hAnsi="宋体" w:eastAsia="宋体" w:cs="宋体"/>
      </w:rPr>
    </w:lvl>
    <w:lvl w:ilvl="8" w:tentative="0">
      <w:start w:val="1"/>
      <w:numFmt w:val="none"/>
      <w:lvlText w:val=""/>
      <w:lvlJc w:val="left"/>
      <w:pPr>
        <w:ind w:left="4648" w:hanging="1448"/>
      </w:pPr>
      <w:rPr>
        <w:rFonts w:hint="default" w:ascii="宋体" w:hAnsi="宋体" w:eastAsia="宋体" w:cs="宋体"/>
      </w:rPr>
    </w:lvl>
  </w:abstractNum>
  <w:abstractNum w:abstractNumId="12">
    <w:nsid w:val="CEAB9D9A"/>
    <w:multiLevelType w:val="singleLevel"/>
    <w:tmpl w:val="CEAB9D9A"/>
    <w:lvl w:ilvl="0" w:tentative="0">
      <w:start w:val="1"/>
      <w:numFmt w:val="decimal"/>
      <w:lvlText w:val="%1."/>
      <w:lvlJc w:val="left"/>
      <w:pPr>
        <w:tabs>
          <w:tab w:val="left" w:pos="312"/>
        </w:tabs>
      </w:pPr>
    </w:lvl>
  </w:abstractNum>
  <w:abstractNum w:abstractNumId="13">
    <w:nsid w:val="CFFA19CA"/>
    <w:multiLevelType w:val="multilevel"/>
    <w:tmpl w:val="CFFA19CA"/>
    <w:lvl w:ilvl="0" w:tentative="0">
      <w:start w:val="1"/>
      <w:numFmt w:val="decimal"/>
      <w:isLgl/>
      <w:lvlText w:val="图3-%1"/>
      <w:lvlJc w:val="center"/>
      <w:pPr>
        <w:tabs>
          <w:tab w:val="left" w:pos="420"/>
        </w:tabs>
        <w:ind w:left="0" w:firstLine="0"/>
      </w:pPr>
      <w:rPr>
        <w:rFonts w:hint="default" w:ascii="Times New Roman" w:hAnsi="Times New Roman" w:eastAsia="宋体" w:cs="宋体"/>
        <w:b/>
        <w:bCs/>
        <w:color w:val="000000" w:themeColor="text1"/>
        <w:sz w:val="24"/>
        <w:szCs w:val="24"/>
        <w14:textFill>
          <w14:solidFill>
            <w14:schemeClr w14:val="tx1"/>
          </w14:solidFill>
        </w14:textFill>
      </w:rPr>
    </w:lvl>
    <w:lvl w:ilvl="1" w:tentative="0">
      <w:start w:val="1"/>
      <w:numFmt w:val="lowerLetter"/>
      <w:lvlText w:val="%2)"/>
      <w:lvlJc w:val="left"/>
      <w:pPr>
        <w:tabs>
          <w:tab w:val="left" w:pos="1740"/>
        </w:tabs>
        <w:ind w:left="1740" w:hanging="420"/>
      </w:pPr>
      <w:rPr>
        <w:rFonts w:hint="eastAsia" w:cs="Times New Roman"/>
      </w:rPr>
    </w:lvl>
    <w:lvl w:ilvl="2" w:tentative="0">
      <w:start w:val="1"/>
      <w:numFmt w:val="lowerRoman"/>
      <w:lvlText w:val="%3."/>
      <w:lvlJc w:val="right"/>
      <w:pPr>
        <w:tabs>
          <w:tab w:val="left" w:pos="2160"/>
        </w:tabs>
        <w:ind w:left="2160" w:hanging="420"/>
      </w:pPr>
      <w:rPr>
        <w:rFonts w:hint="eastAsia" w:cs="Times New Roman"/>
      </w:rPr>
    </w:lvl>
    <w:lvl w:ilvl="3" w:tentative="0">
      <w:start w:val="1"/>
      <w:numFmt w:val="decimal"/>
      <w:lvlText w:val="%4."/>
      <w:lvlJc w:val="left"/>
      <w:pPr>
        <w:tabs>
          <w:tab w:val="left" w:pos="2580"/>
        </w:tabs>
        <w:ind w:left="2580" w:hanging="420"/>
      </w:pPr>
      <w:rPr>
        <w:rFonts w:hint="eastAsia" w:cs="Times New Roman"/>
      </w:rPr>
    </w:lvl>
    <w:lvl w:ilvl="4" w:tentative="0">
      <w:start w:val="1"/>
      <w:numFmt w:val="lowerLetter"/>
      <w:lvlText w:val="%5)"/>
      <w:lvlJc w:val="left"/>
      <w:pPr>
        <w:tabs>
          <w:tab w:val="left" w:pos="3000"/>
        </w:tabs>
        <w:ind w:left="3000" w:hanging="420"/>
      </w:pPr>
      <w:rPr>
        <w:rFonts w:hint="eastAsia" w:cs="Times New Roman"/>
      </w:rPr>
    </w:lvl>
    <w:lvl w:ilvl="5" w:tentative="0">
      <w:start w:val="1"/>
      <w:numFmt w:val="lowerRoman"/>
      <w:lvlText w:val="%6."/>
      <w:lvlJc w:val="right"/>
      <w:pPr>
        <w:tabs>
          <w:tab w:val="left" w:pos="3420"/>
        </w:tabs>
        <w:ind w:left="3420" w:hanging="420"/>
      </w:pPr>
      <w:rPr>
        <w:rFonts w:hint="eastAsia" w:cs="Times New Roman"/>
      </w:rPr>
    </w:lvl>
    <w:lvl w:ilvl="6" w:tentative="0">
      <w:start w:val="1"/>
      <w:numFmt w:val="decimal"/>
      <w:lvlText w:val="%7."/>
      <w:lvlJc w:val="left"/>
      <w:pPr>
        <w:tabs>
          <w:tab w:val="left" w:pos="3840"/>
        </w:tabs>
        <w:ind w:left="3840" w:hanging="420"/>
      </w:pPr>
      <w:rPr>
        <w:rFonts w:hint="eastAsia" w:cs="Times New Roman"/>
      </w:rPr>
    </w:lvl>
    <w:lvl w:ilvl="7" w:tentative="0">
      <w:start w:val="1"/>
      <w:numFmt w:val="lowerLetter"/>
      <w:lvlText w:val="%8)"/>
      <w:lvlJc w:val="left"/>
      <w:pPr>
        <w:tabs>
          <w:tab w:val="left" w:pos="4260"/>
        </w:tabs>
        <w:ind w:left="4260" w:hanging="420"/>
      </w:pPr>
      <w:rPr>
        <w:rFonts w:hint="eastAsia" w:cs="Times New Roman"/>
      </w:rPr>
    </w:lvl>
    <w:lvl w:ilvl="8" w:tentative="0">
      <w:start w:val="1"/>
      <w:numFmt w:val="lowerRoman"/>
      <w:lvlText w:val="%9."/>
      <w:lvlJc w:val="right"/>
      <w:pPr>
        <w:tabs>
          <w:tab w:val="left" w:pos="4680"/>
        </w:tabs>
        <w:ind w:left="4680" w:hanging="420"/>
      </w:pPr>
      <w:rPr>
        <w:rFonts w:hint="eastAsia" w:cs="Times New Roman"/>
      </w:rPr>
    </w:lvl>
  </w:abstractNum>
  <w:abstractNum w:abstractNumId="14">
    <w:nsid w:val="DD597539"/>
    <w:multiLevelType w:val="singleLevel"/>
    <w:tmpl w:val="DD597539"/>
    <w:lvl w:ilvl="0" w:tentative="0">
      <w:start w:val="1"/>
      <w:numFmt w:val="decimal"/>
      <w:suff w:val="nothing"/>
      <w:lvlText w:val="%1、"/>
      <w:lvlJc w:val="left"/>
    </w:lvl>
  </w:abstractNum>
  <w:abstractNum w:abstractNumId="15">
    <w:nsid w:val="E09989AF"/>
    <w:multiLevelType w:val="singleLevel"/>
    <w:tmpl w:val="E09989AF"/>
    <w:lvl w:ilvl="0" w:tentative="0">
      <w:start w:val="1"/>
      <w:numFmt w:val="decimal"/>
      <w:suff w:val="nothing"/>
      <w:lvlText w:val="（%1）"/>
      <w:lvlJc w:val="left"/>
    </w:lvl>
  </w:abstractNum>
  <w:abstractNum w:abstractNumId="16">
    <w:nsid w:val="E151831D"/>
    <w:multiLevelType w:val="singleLevel"/>
    <w:tmpl w:val="E151831D"/>
    <w:lvl w:ilvl="0" w:tentative="0">
      <w:start w:val="1"/>
      <w:numFmt w:val="decimal"/>
      <w:lvlText w:val="%1."/>
      <w:lvlJc w:val="left"/>
      <w:pPr>
        <w:tabs>
          <w:tab w:val="left" w:pos="312"/>
        </w:tabs>
      </w:pPr>
    </w:lvl>
  </w:abstractNum>
  <w:abstractNum w:abstractNumId="17">
    <w:nsid w:val="E63E2F74"/>
    <w:multiLevelType w:val="singleLevel"/>
    <w:tmpl w:val="E63E2F74"/>
    <w:lvl w:ilvl="0" w:tentative="0">
      <w:start w:val="1"/>
      <w:numFmt w:val="decimal"/>
      <w:lvlText w:val="%1."/>
      <w:lvlJc w:val="left"/>
      <w:pPr>
        <w:tabs>
          <w:tab w:val="left" w:pos="312"/>
        </w:tabs>
      </w:pPr>
    </w:lvl>
  </w:abstractNum>
  <w:abstractNum w:abstractNumId="18">
    <w:nsid w:val="EBB2CF7C"/>
    <w:multiLevelType w:val="singleLevel"/>
    <w:tmpl w:val="EBB2CF7C"/>
    <w:lvl w:ilvl="0" w:tentative="0">
      <w:start w:val="1"/>
      <w:numFmt w:val="decimal"/>
      <w:lvlText w:val="%1."/>
      <w:lvlJc w:val="left"/>
      <w:pPr>
        <w:tabs>
          <w:tab w:val="left" w:pos="312"/>
        </w:tabs>
      </w:pPr>
    </w:lvl>
  </w:abstractNum>
  <w:abstractNum w:abstractNumId="19">
    <w:nsid w:val="0118A47D"/>
    <w:multiLevelType w:val="singleLevel"/>
    <w:tmpl w:val="0118A47D"/>
    <w:lvl w:ilvl="0" w:tentative="0">
      <w:start w:val="1"/>
      <w:numFmt w:val="decimal"/>
      <w:suff w:val="nothing"/>
      <w:lvlText w:val="（%1）"/>
      <w:lvlJc w:val="left"/>
    </w:lvl>
  </w:abstractNum>
  <w:abstractNum w:abstractNumId="20">
    <w:nsid w:val="0224C26B"/>
    <w:multiLevelType w:val="singleLevel"/>
    <w:tmpl w:val="0224C26B"/>
    <w:lvl w:ilvl="0" w:tentative="0">
      <w:start w:val="2"/>
      <w:numFmt w:val="decimal"/>
      <w:suff w:val="nothing"/>
      <w:lvlText w:val="%1、"/>
      <w:lvlJc w:val="left"/>
    </w:lvl>
  </w:abstractNum>
  <w:abstractNum w:abstractNumId="21">
    <w:nsid w:val="07DDDA07"/>
    <w:multiLevelType w:val="singleLevel"/>
    <w:tmpl w:val="07DDDA07"/>
    <w:lvl w:ilvl="0" w:tentative="0">
      <w:start w:val="1"/>
      <w:numFmt w:val="decimal"/>
      <w:suff w:val="nothing"/>
      <w:lvlText w:val="（%1）"/>
      <w:lvlJc w:val="left"/>
    </w:lvl>
  </w:abstractNum>
  <w:abstractNum w:abstractNumId="22">
    <w:nsid w:val="21811716"/>
    <w:multiLevelType w:val="multilevel"/>
    <w:tmpl w:val="21811716"/>
    <w:lvl w:ilvl="0" w:tentative="0">
      <w:start w:val="1"/>
      <w:numFmt w:val="decimalEnclosedCircle"/>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3"/>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2412CFD1"/>
    <w:multiLevelType w:val="multilevel"/>
    <w:tmpl w:val="2412CFD1"/>
    <w:lvl w:ilvl="0" w:tentative="0">
      <w:start w:val="1"/>
      <w:numFmt w:val="decimal"/>
      <w:lvlText w:val="表3-%1 "/>
      <w:lvlJc w:val="center"/>
      <w:pPr>
        <w:tabs>
          <w:tab w:val="left" w:pos="0"/>
        </w:tabs>
        <w:ind w:left="0" w:firstLine="0"/>
      </w:pPr>
      <w:rPr>
        <w:rFonts w:hint="default" w:ascii="Times New Roman" w:hAnsi="Times New Roman" w:eastAsia="宋体" w:cs="宋体"/>
        <w:b/>
        <w:bCs/>
        <w:sz w:val="24"/>
        <w:szCs w:val="24"/>
      </w:rPr>
    </w:lvl>
    <w:lvl w:ilvl="1" w:tentative="0">
      <w:start w:val="1"/>
      <w:numFmt w:val="none"/>
      <w:lvlText w:val=""/>
      <w:lvlJc w:val="left"/>
      <w:pPr>
        <w:ind w:left="567" w:hanging="567"/>
      </w:pPr>
      <w:rPr>
        <w:rFonts w:hint="default" w:ascii="宋体" w:hAnsi="宋体" w:eastAsia="宋体" w:cs="宋体"/>
      </w:rPr>
    </w:lvl>
    <w:lvl w:ilvl="2" w:tentative="0">
      <w:start w:val="1"/>
      <w:numFmt w:val="none"/>
      <w:lvlText w:val=""/>
      <w:lvlJc w:val="left"/>
      <w:pPr>
        <w:ind w:left="709" w:hanging="709"/>
      </w:pPr>
      <w:rPr>
        <w:rFonts w:hint="default" w:ascii="宋体" w:hAnsi="宋体" w:eastAsia="宋体" w:cs="宋体"/>
      </w:rPr>
    </w:lvl>
    <w:lvl w:ilvl="3" w:tentative="0">
      <w:start w:val="1"/>
      <w:numFmt w:val="none"/>
      <w:lvlText w:val=""/>
      <w:lvlJc w:val="left"/>
      <w:pPr>
        <w:ind w:left="850" w:hanging="850"/>
      </w:pPr>
      <w:rPr>
        <w:rFonts w:hint="default" w:ascii="宋体" w:hAnsi="宋体" w:eastAsia="宋体" w:cs="宋体"/>
      </w:rPr>
    </w:lvl>
    <w:lvl w:ilvl="4" w:tentative="0">
      <w:start w:val="1"/>
      <w:numFmt w:val="none"/>
      <w:lvlText w:val=""/>
      <w:lvlJc w:val="left"/>
      <w:pPr>
        <w:ind w:left="991" w:hanging="991"/>
      </w:pPr>
      <w:rPr>
        <w:rFonts w:hint="default" w:ascii="宋体" w:hAnsi="宋体" w:eastAsia="宋体" w:cs="宋体"/>
      </w:rPr>
    </w:lvl>
    <w:lvl w:ilvl="5" w:tentative="0">
      <w:start w:val="1"/>
      <w:numFmt w:val="none"/>
      <w:lvlText w:val=""/>
      <w:lvlJc w:val="left"/>
      <w:pPr>
        <w:ind w:left="1134" w:hanging="1134"/>
      </w:pPr>
      <w:rPr>
        <w:rFonts w:hint="default" w:ascii="宋体" w:hAnsi="宋体" w:eastAsia="宋体" w:cs="宋体"/>
      </w:rPr>
    </w:lvl>
    <w:lvl w:ilvl="6" w:tentative="0">
      <w:start w:val="1"/>
      <w:numFmt w:val="none"/>
      <w:lvlText w:val=""/>
      <w:lvlJc w:val="left"/>
      <w:pPr>
        <w:ind w:left="1275" w:hanging="1275"/>
      </w:pPr>
      <w:rPr>
        <w:rFonts w:hint="default" w:ascii="宋体" w:hAnsi="宋体" w:eastAsia="宋体" w:cs="宋体"/>
      </w:rPr>
    </w:lvl>
    <w:lvl w:ilvl="7" w:tentative="0">
      <w:start w:val="1"/>
      <w:numFmt w:val="none"/>
      <w:lvlText w:val=""/>
      <w:lvlJc w:val="left"/>
      <w:pPr>
        <w:ind w:left="1418" w:hanging="1418"/>
      </w:pPr>
      <w:rPr>
        <w:rFonts w:hint="default" w:ascii="宋体" w:hAnsi="宋体" w:eastAsia="宋体" w:cs="宋体"/>
      </w:rPr>
    </w:lvl>
    <w:lvl w:ilvl="8" w:tentative="0">
      <w:start w:val="1"/>
      <w:numFmt w:val="none"/>
      <w:lvlText w:val=""/>
      <w:lvlJc w:val="left"/>
      <w:pPr>
        <w:ind w:left="1558" w:hanging="1558"/>
      </w:pPr>
      <w:rPr>
        <w:rFonts w:hint="default" w:ascii="宋体" w:hAnsi="宋体" w:eastAsia="宋体" w:cs="宋体"/>
      </w:rPr>
    </w:lvl>
  </w:abstractNum>
  <w:abstractNum w:abstractNumId="24">
    <w:nsid w:val="277C911A"/>
    <w:multiLevelType w:val="singleLevel"/>
    <w:tmpl w:val="277C911A"/>
    <w:lvl w:ilvl="0" w:tentative="0">
      <w:start w:val="1"/>
      <w:numFmt w:val="decimal"/>
      <w:lvlText w:val="%1."/>
      <w:lvlJc w:val="left"/>
      <w:pPr>
        <w:tabs>
          <w:tab w:val="left" w:pos="312"/>
        </w:tabs>
      </w:pPr>
    </w:lvl>
  </w:abstractNum>
  <w:abstractNum w:abstractNumId="25">
    <w:nsid w:val="2E3A15BA"/>
    <w:multiLevelType w:val="singleLevel"/>
    <w:tmpl w:val="2E3A15BA"/>
    <w:lvl w:ilvl="0" w:tentative="0">
      <w:start w:val="1"/>
      <w:numFmt w:val="decimal"/>
      <w:suff w:val="nothing"/>
      <w:lvlText w:val="（%1）"/>
      <w:lvlJc w:val="left"/>
    </w:lvl>
  </w:abstractNum>
  <w:abstractNum w:abstractNumId="26">
    <w:nsid w:val="44F3C08F"/>
    <w:multiLevelType w:val="multilevel"/>
    <w:tmpl w:val="44F3C08F"/>
    <w:lvl w:ilvl="0" w:tentative="0">
      <w:start w:val="1"/>
      <w:numFmt w:val="decimal"/>
      <w:lvlText w:val="图4-%1 "/>
      <w:lvlJc w:val="center"/>
      <w:pPr>
        <w:tabs>
          <w:tab w:val="left" w:pos="0"/>
        </w:tabs>
        <w:ind w:left="0" w:firstLine="0"/>
      </w:pPr>
      <w:rPr>
        <w:rFonts w:hint="default" w:ascii="Times New Roman" w:hAnsi="Times New Roman" w:eastAsia="宋体" w:cs="宋体"/>
        <w:b/>
        <w:bCs/>
        <w:sz w:val="24"/>
        <w:szCs w:val="24"/>
      </w:rPr>
    </w:lvl>
    <w:lvl w:ilvl="1" w:tentative="0">
      <w:start w:val="1"/>
      <w:numFmt w:val="lowerLetter"/>
      <w:lvlText w:val="%2)"/>
      <w:lvlJc w:val="left"/>
      <w:pPr>
        <w:tabs>
          <w:tab w:val="left" w:pos="1740"/>
        </w:tabs>
        <w:ind w:left="1740" w:hanging="420"/>
      </w:pPr>
      <w:rPr>
        <w:rFonts w:hint="eastAsia" w:cs="Times New Roman"/>
      </w:rPr>
    </w:lvl>
    <w:lvl w:ilvl="2" w:tentative="0">
      <w:start w:val="1"/>
      <w:numFmt w:val="lowerRoman"/>
      <w:lvlText w:val="%3."/>
      <w:lvlJc w:val="right"/>
      <w:pPr>
        <w:tabs>
          <w:tab w:val="left" w:pos="2160"/>
        </w:tabs>
        <w:ind w:left="2160" w:hanging="420"/>
      </w:pPr>
      <w:rPr>
        <w:rFonts w:hint="eastAsia" w:cs="Times New Roman"/>
      </w:rPr>
    </w:lvl>
    <w:lvl w:ilvl="3" w:tentative="0">
      <w:start w:val="1"/>
      <w:numFmt w:val="decimal"/>
      <w:lvlText w:val="%4."/>
      <w:lvlJc w:val="left"/>
      <w:pPr>
        <w:tabs>
          <w:tab w:val="left" w:pos="2580"/>
        </w:tabs>
        <w:ind w:left="2580" w:hanging="420"/>
      </w:pPr>
      <w:rPr>
        <w:rFonts w:hint="eastAsia" w:cs="Times New Roman"/>
      </w:rPr>
    </w:lvl>
    <w:lvl w:ilvl="4" w:tentative="0">
      <w:start w:val="1"/>
      <w:numFmt w:val="lowerLetter"/>
      <w:lvlText w:val="%5)"/>
      <w:lvlJc w:val="left"/>
      <w:pPr>
        <w:tabs>
          <w:tab w:val="left" w:pos="3000"/>
        </w:tabs>
        <w:ind w:left="3000" w:hanging="420"/>
      </w:pPr>
      <w:rPr>
        <w:rFonts w:hint="eastAsia" w:cs="Times New Roman"/>
      </w:rPr>
    </w:lvl>
    <w:lvl w:ilvl="5" w:tentative="0">
      <w:start w:val="1"/>
      <w:numFmt w:val="lowerRoman"/>
      <w:lvlText w:val="%6."/>
      <w:lvlJc w:val="right"/>
      <w:pPr>
        <w:tabs>
          <w:tab w:val="left" w:pos="3420"/>
        </w:tabs>
        <w:ind w:left="3420" w:hanging="420"/>
      </w:pPr>
      <w:rPr>
        <w:rFonts w:hint="eastAsia" w:cs="Times New Roman"/>
      </w:rPr>
    </w:lvl>
    <w:lvl w:ilvl="6" w:tentative="0">
      <w:start w:val="1"/>
      <w:numFmt w:val="decimal"/>
      <w:lvlText w:val="%7."/>
      <w:lvlJc w:val="left"/>
      <w:pPr>
        <w:tabs>
          <w:tab w:val="left" w:pos="3840"/>
        </w:tabs>
        <w:ind w:left="3840" w:hanging="420"/>
      </w:pPr>
      <w:rPr>
        <w:rFonts w:hint="eastAsia" w:cs="Times New Roman"/>
      </w:rPr>
    </w:lvl>
    <w:lvl w:ilvl="7" w:tentative="0">
      <w:start w:val="1"/>
      <w:numFmt w:val="lowerLetter"/>
      <w:lvlText w:val="%8)"/>
      <w:lvlJc w:val="left"/>
      <w:pPr>
        <w:tabs>
          <w:tab w:val="left" w:pos="4260"/>
        </w:tabs>
        <w:ind w:left="4260" w:hanging="420"/>
      </w:pPr>
      <w:rPr>
        <w:rFonts w:hint="eastAsia" w:cs="Times New Roman"/>
      </w:rPr>
    </w:lvl>
    <w:lvl w:ilvl="8" w:tentative="0">
      <w:start w:val="1"/>
      <w:numFmt w:val="lowerRoman"/>
      <w:lvlText w:val="%9."/>
      <w:lvlJc w:val="right"/>
      <w:pPr>
        <w:tabs>
          <w:tab w:val="left" w:pos="4680"/>
        </w:tabs>
        <w:ind w:left="4680" w:hanging="420"/>
      </w:pPr>
      <w:rPr>
        <w:rFonts w:hint="eastAsia" w:cs="Times New Roman"/>
      </w:rPr>
    </w:lvl>
  </w:abstractNum>
  <w:abstractNum w:abstractNumId="27">
    <w:nsid w:val="45C50DF2"/>
    <w:multiLevelType w:val="singleLevel"/>
    <w:tmpl w:val="45C50DF2"/>
    <w:lvl w:ilvl="0" w:tentative="0">
      <w:start w:val="1"/>
      <w:numFmt w:val="decimal"/>
      <w:suff w:val="nothing"/>
      <w:lvlText w:val="（%1）"/>
      <w:lvlJc w:val="left"/>
    </w:lvl>
  </w:abstractNum>
  <w:abstractNum w:abstractNumId="28">
    <w:nsid w:val="46719CF0"/>
    <w:multiLevelType w:val="singleLevel"/>
    <w:tmpl w:val="46719CF0"/>
    <w:lvl w:ilvl="0" w:tentative="0">
      <w:start w:val="1"/>
      <w:numFmt w:val="decimal"/>
      <w:suff w:val="nothing"/>
      <w:lvlText w:val="（%1）"/>
      <w:lvlJc w:val="left"/>
    </w:lvl>
  </w:abstractNum>
  <w:abstractNum w:abstractNumId="29">
    <w:nsid w:val="5967658B"/>
    <w:multiLevelType w:val="singleLevel"/>
    <w:tmpl w:val="5967658B"/>
    <w:lvl w:ilvl="0" w:tentative="0">
      <w:start w:val="1"/>
      <w:numFmt w:val="decimal"/>
      <w:suff w:val="nothing"/>
      <w:lvlText w:val="（%1）"/>
      <w:lvlJc w:val="left"/>
    </w:lvl>
  </w:abstractNum>
  <w:abstractNum w:abstractNumId="30">
    <w:nsid w:val="5FA94B05"/>
    <w:multiLevelType w:val="singleLevel"/>
    <w:tmpl w:val="5FA94B05"/>
    <w:lvl w:ilvl="0" w:tentative="0">
      <w:start w:val="1"/>
      <w:numFmt w:val="decimal"/>
      <w:suff w:val="nothing"/>
      <w:lvlText w:val="表2-%1 "/>
      <w:lvlJc w:val="left"/>
      <w:pPr>
        <w:tabs>
          <w:tab w:val="left" w:pos="0"/>
        </w:tabs>
      </w:pPr>
      <w:rPr>
        <w:rFonts w:hint="default" w:ascii="Times New Roman" w:hAnsi="Times New Roman" w:eastAsia="宋体" w:cs="宋体"/>
        <w:sz w:val="24"/>
      </w:rPr>
    </w:lvl>
  </w:abstractNum>
  <w:abstractNum w:abstractNumId="31">
    <w:nsid w:val="67B31A30"/>
    <w:multiLevelType w:val="singleLevel"/>
    <w:tmpl w:val="67B31A30"/>
    <w:lvl w:ilvl="0" w:tentative="0">
      <w:start w:val="1"/>
      <w:numFmt w:val="decimal"/>
      <w:suff w:val="nothing"/>
      <w:lvlText w:val="%1）"/>
      <w:lvlJc w:val="left"/>
    </w:lvl>
  </w:abstractNum>
  <w:abstractNum w:abstractNumId="32">
    <w:nsid w:val="6832BDDB"/>
    <w:multiLevelType w:val="singleLevel"/>
    <w:tmpl w:val="6832BDDB"/>
    <w:lvl w:ilvl="0" w:tentative="0">
      <w:start w:val="1"/>
      <w:numFmt w:val="decimal"/>
      <w:suff w:val="nothing"/>
      <w:lvlText w:val="（%1）"/>
      <w:lvlJc w:val="left"/>
    </w:lvl>
  </w:abstractNum>
  <w:abstractNum w:abstractNumId="33">
    <w:nsid w:val="698A5B72"/>
    <w:multiLevelType w:val="singleLevel"/>
    <w:tmpl w:val="698A5B72"/>
    <w:lvl w:ilvl="0" w:tentative="0">
      <w:start w:val="1"/>
      <w:numFmt w:val="decimal"/>
      <w:lvlText w:val="%1."/>
      <w:lvlJc w:val="left"/>
      <w:pPr>
        <w:tabs>
          <w:tab w:val="left" w:pos="312"/>
        </w:tabs>
      </w:pPr>
    </w:lvl>
  </w:abstractNum>
  <w:abstractNum w:abstractNumId="34">
    <w:nsid w:val="6B942579"/>
    <w:multiLevelType w:val="singleLevel"/>
    <w:tmpl w:val="6B942579"/>
    <w:lvl w:ilvl="0" w:tentative="0">
      <w:start w:val="1"/>
      <w:numFmt w:val="decimal"/>
      <w:suff w:val="nothing"/>
      <w:lvlText w:val="图2-%1 "/>
      <w:lvlJc w:val="left"/>
      <w:pPr>
        <w:tabs>
          <w:tab w:val="left" w:pos="0"/>
        </w:tabs>
      </w:pPr>
      <w:rPr>
        <w:rFonts w:hint="default" w:ascii="Times New Roman" w:hAnsi="Times New Roman" w:eastAsia="宋体" w:cs="宋体"/>
        <w:sz w:val="24"/>
      </w:rPr>
    </w:lvl>
  </w:abstractNum>
  <w:abstractNum w:abstractNumId="35">
    <w:nsid w:val="7A787AC8"/>
    <w:multiLevelType w:val="singleLevel"/>
    <w:tmpl w:val="7A787AC8"/>
    <w:lvl w:ilvl="0" w:tentative="0">
      <w:start w:val="1"/>
      <w:numFmt w:val="decimal"/>
      <w:lvlText w:val="%1."/>
      <w:lvlJc w:val="left"/>
      <w:pPr>
        <w:tabs>
          <w:tab w:val="left" w:pos="312"/>
        </w:tabs>
      </w:pPr>
    </w:lvl>
  </w:abstractNum>
  <w:abstractNum w:abstractNumId="36">
    <w:nsid w:val="7B4F2085"/>
    <w:multiLevelType w:val="singleLevel"/>
    <w:tmpl w:val="7B4F2085"/>
    <w:lvl w:ilvl="0" w:tentative="0">
      <w:start w:val="1"/>
      <w:numFmt w:val="decimal"/>
      <w:lvlText w:val="%1."/>
      <w:lvlJc w:val="left"/>
      <w:pPr>
        <w:tabs>
          <w:tab w:val="left" w:pos="312"/>
        </w:tabs>
      </w:pPr>
    </w:lvl>
  </w:abstractNum>
  <w:abstractNum w:abstractNumId="37">
    <w:nsid w:val="7E42130A"/>
    <w:multiLevelType w:val="singleLevel"/>
    <w:tmpl w:val="7E42130A"/>
    <w:lvl w:ilvl="0" w:tentative="0">
      <w:start w:val="1"/>
      <w:numFmt w:val="decimal"/>
      <w:lvlText w:val="%1."/>
      <w:lvlJc w:val="left"/>
      <w:pPr>
        <w:tabs>
          <w:tab w:val="left" w:pos="312"/>
        </w:tabs>
      </w:pPr>
    </w:lvl>
  </w:abstractNum>
  <w:num w:numId="1">
    <w:abstractNumId w:val="22"/>
  </w:num>
  <w:num w:numId="2">
    <w:abstractNumId w:val="1"/>
  </w:num>
  <w:num w:numId="3">
    <w:abstractNumId w:val="8"/>
  </w:num>
  <w:num w:numId="4">
    <w:abstractNumId w:val="20"/>
  </w:num>
  <w:num w:numId="5">
    <w:abstractNumId w:val="14"/>
  </w:num>
  <w:num w:numId="6">
    <w:abstractNumId w:val="30"/>
  </w:num>
  <w:num w:numId="7">
    <w:abstractNumId w:val="6"/>
  </w:num>
  <w:num w:numId="8">
    <w:abstractNumId w:val="34"/>
  </w:num>
  <w:num w:numId="9">
    <w:abstractNumId w:val="10"/>
  </w:num>
  <w:num w:numId="10">
    <w:abstractNumId w:val="7"/>
  </w:num>
  <w:num w:numId="11">
    <w:abstractNumId w:val="23"/>
  </w:num>
  <w:num w:numId="12">
    <w:abstractNumId w:val="13"/>
  </w:num>
  <w:num w:numId="13">
    <w:abstractNumId w:val="27"/>
  </w:num>
  <w:num w:numId="14">
    <w:abstractNumId w:val="11"/>
  </w:num>
  <w:num w:numId="15">
    <w:abstractNumId w:val="32"/>
  </w:num>
  <w:num w:numId="16">
    <w:abstractNumId w:val="5"/>
  </w:num>
  <w:num w:numId="17">
    <w:abstractNumId w:val="9"/>
  </w:num>
  <w:num w:numId="18">
    <w:abstractNumId w:val="3"/>
  </w:num>
  <w:num w:numId="19">
    <w:abstractNumId w:val="28"/>
  </w:num>
  <w:num w:numId="20">
    <w:abstractNumId w:val="26"/>
  </w:num>
  <w:num w:numId="21">
    <w:abstractNumId w:val="29"/>
  </w:num>
  <w:num w:numId="22">
    <w:abstractNumId w:val="0"/>
  </w:num>
  <w:num w:numId="23">
    <w:abstractNumId w:val="4"/>
  </w:num>
  <w:num w:numId="24">
    <w:abstractNumId w:val="19"/>
  </w:num>
  <w:num w:numId="25">
    <w:abstractNumId w:val="12"/>
  </w:num>
  <w:num w:numId="26">
    <w:abstractNumId w:val="33"/>
  </w:num>
  <w:num w:numId="27">
    <w:abstractNumId w:val="18"/>
  </w:num>
  <w:num w:numId="28">
    <w:abstractNumId w:val="36"/>
  </w:num>
  <w:num w:numId="29">
    <w:abstractNumId w:val="24"/>
  </w:num>
  <w:num w:numId="30">
    <w:abstractNumId w:val="16"/>
  </w:num>
  <w:num w:numId="31">
    <w:abstractNumId w:val="17"/>
  </w:num>
  <w:num w:numId="32">
    <w:abstractNumId w:val="35"/>
  </w:num>
  <w:num w:numId="33">
    <w:abstractNumId w:val="37"/>
  </w:num>
  <w:num w:numId="34">
    <w:abstractNumId w:val="2"/>
  </w:num>
  <w:num w:numId="35">
    <w:abstractNumId w:val="25"/>
  </w:num>
  <w:num w:numId="36">
    <w:abstractNumId w:val="31"/>
  </w:num>
  <w:num w:numId="37">
    <w:abstractNumId w:val="15"/>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CE4"/>
    <w:rsid w:val="00122D8A"/>
    <w:rsid w:val="00125861"/>
    <w:rsid w:val="00170DA7"/>
    <w:rsid w:val="001D0FAB"/>
    <w:rsid w:val="001E22A1"/>
    <w:rsid w:val="00324303"/>
    <w:rsid w:val="003C4875"/>
    <w:rsid w:val="004C3977"/>
    <w:rsid w:val="005A29FB"/>
    <w:rsid w:val="00613118"/>
    <w:rsid w:val="006156D0"/>
    <w:rsid w:val="006256A4"/>
    <w:rsid w:val="006B3EBE"/>
    <w:rsid w:val="00757F14"/>
    <w:rsid w:val="00833FDC"/>
    <w:rsid w:val="00877FDB"/>
    <w:rsid w:val="00940FD9"/>
    <w:rsid w:val="00970F5E"/>
    <w:rsid w:val="009C46B0"/>
    <w:rsid w:val="00A003C5"/>
    <w:rsid w:val="00A22ECA"/>
    <w:rsid w:val="00A53B0F"/>
    <w:rsid w:val="00A9577B"/>
    <w:rsid w:val="00B12F75"/>
    <w:rsid w:val="00B23153"/>
    <w:rsid w:val="00B93CE4"/>
    <w:rsid w:val="00C36B5B"/>
    <w:rsid w:val="00CA7E32"/>
    <w:rsid w:val="00CC0A17"/>
    <w:rsid w:val="00D034D6"/>
    <w:rsid w:val="00D43D61"/>
    <w:rsid w:val="00EB1C97"/>
    <w:rsid w:val="00F64B4B"/>
    <w:rsid w:val="00F66C21"/>
    <w:rsid w:val="010030EE"/>
    <w:rsid w:val="01037E18"/>
    <w:rsid w:val="0108761A"/>
    <w:rsid w:val="010C3637"/>
    <w:rsid w:val="0110119E"/>
    <w:rsid w:val="011532FA"/>
    <w:rsid w:val="01286562"/>
    <w:rsid w:val="01587BCE"/>
    <w:rsid w:val="01DA224F"/>
    <w:rsid w:val="01E938B7"/>
    <w:rsid w:val="01F23DED"/>
    <w:rsid w:val="02014032"/>
    <w:rsid w:val="020720CD"/>
    <w:rsid w:val="021C1685"/>
    <w:rsid w:val="022C24DE"/>
    <w:rsid w:val="023615AF"/>
    <w:rsid w:val="02395177"/>
    <w:rsid w:val="023F5562"/>
    <w:rsid w:val="02571FF5"/>
    <w:rsid w:val="027044AC"/>
    <w:rsid w:val="02720839"/>
    <w:rsid w:val="0280098D"/>
    <w:rsid w:val="029D3371"/>
    <w:rsid w:val="02A05E21"/>
    <w:rsid w:val="02A36392"/>
    <w:rsid w:val="02A558CB"/>
    <w:rsid w:val="02A77683"/>
    <w:rsid w:val="02AF4B71"/>
    <w:rsid w:val="02B03873"/>
    <w:rsid w:val="02B56978"/>
    <w:rsid w:val="02B61EB9"/>
    <w:rsid w:val="02DF7882"/>
    <w:rsid w:val="02E46966"/>
    <w:rsid w:val="02FD08AC"/>
    <w:rsid w:val="02FE6FDC"/>
    <w:rsid w:val="03016292"/>
    <w:rsid w:val="031554B0"/>
    <w:rsid w:val="03500D78"/>
    <w:rsid w:val="03710AF1"/>
    <w:rsid w:val="037F51A6"/>
    <w:rsid w:val="03826506"/>
    <w:rsid w:val="03875268"/>
    <w:rsid w:val="03907F80"/>
    <w:rsid w:val="03973472"/>
    <w:rsid w:val="03B01A0C"/>
    <w:rsid w:val="03BD3B0E"/>
    <w:rsid w:val="03C50691"/>
    <w:rsid w:val="03C50FB4"/>
    <w:rsid w:val="03C52DAA"/>
    <w:rsid w:val="03CF75C5"/>
    <w:rsid w:val="03F83CAE"/>
    <w:rsid w:val="03FC3A5F"/>
    <w:rsid w:val="03FC6519"/>
    <w:rsid w:val="04035B93"/>
    <w:rsid w:val="04207286"/>
    <w:rsid w:val="04362C38"/>
    <w:rsid w:val="044377C0"/>
    <w:rsid w:val="04545CFA"/>
    <w:rsid w:val="04583D00"/>
    <w:rsid w:val="045F1C63"/>
    <w:rsid w:val="046B18CB"/>
    <w:rsid w:val="0474754E"/>
    <w:rsid w:val="04956E23"/>
    <w:rsid w:val="04BD22F6"/>
    <w:rsid w:val="04F33787"/>
    <w:rsid w:val="05015EA4"/>
    <w:rsid w:val="050E6F6C"/>
    <w:rsid w:val="05123C0E"/>
    <w:rsid w:val="05175A79"/>
    <w:rsid w:val="0531786B"/>
    <w:rsid w:val="054022AB"/>
    <w:rsid w:val="054C475B"/>
    <w:rsid w:val="0552282F"/>
    <w:rsid w:val="05522D2C"/>
    <w:rsid w:val="05602A98"/>
    <w:rsid w:val="058B4297"/>
    <w:rsid w:val="05962B0D"/>
    <w:rsid w:val="05985B0D"/>
    <w:rsid w:val="05AD5DAD"/>
    <w:rsid w:val="05B73887"/>
    <w:rsid w:val="05B9069A"/>
    <w:rsid w:val="05CD0802"/>
    <w:rsid w:val="05EA4124"/>
    <w:rsid w:val="05EC0902"/>
    <w:rsid w:val="05F422A8"/>
    <w:rsid w:val="05F6352F"/>
    <w:rsid w:val="0609158F"/>
    <w:rsid w:val="061016A2"/>
    <w:rsid w:val="0615090E"/>
    <w:rsid w:val="063C7BC6"/>
    <w:rsid w:val="063D4CBA"/>
    <w:rsid w:val="06534571"/>
    <w:rsid w:val="067868E9"/>
    <w:rsid w:val="068269FF"/>
    <w:rsid w:val="06856661"/>
    <w:rsid w:val="068B503A"/>
    <w:rsid w:val="069D6CC6"/>
    <w:rsid w:val="06A64F55"/>
    <w:rsid w:val="06AA1476"/>
    <w:rsid w:val="06AD6562"/>
    <w:rsid w:val="06B54B91"/>
    <w:rsid w:val="06BC74E8"/>
    <w:rsid w:val="06D00278"/>
    <w:rsid w:val="06D04C67"/>
    <w:rsid w:val="06EB28C6"/>
    <w:rsid w:val="070212E1"/>
    <w:rsid w:val="076D4064"/>
    <w:rsid w:val="07725EF6"/>
    <w:rsid w:val="078059E1"/>
    <w:rsid w:val="07AA637F"/>
    <w:rsid w:val="07B75E69"/>
    <w:rsid w:val="07C45AED"/>
    <w:rsid w:val="07CF239E"/>
    <w:rsid w:val="07EC4848"/>
    <w:rsid w:val="08196E6F"/>
    <w:rsid w:val="08393F79"/>
    <w:rsid w:val="0857285A"/>
    <w:rsid w:val="086051F4"/>
    <w:rsid w:val="08610299"/>
    <w:rsid w:val="0870554F"/>
    <w:rsid w:val="087B2F0C"/>
    <w:rsid w:val="088A7639"/>
    <w:rsid w:val="089540EC"/>
    <w:rsid w:val="08AB2589"/>
    <w:rsid w:val="08C34D9E"/>
    <w:rsid w:val="08D65C03"/>
    <w:rsid w:val="08ED1FD8"/>
    <w:rsid w:val="08F53604"/>
    <w:rsid w:val="08FD6983"/>
    <w:rsid w:val="08FE1721"/>
    <w:rsid w:val="0900400C"/>
    <w:rsid w:val="091D1C2F"/>
    <w:rsid w:val="0945589D"/>
    <w:rsid w:val="0974018F"/>
    <w:rsid w:val="09880942"/>
    <w:rsid w:val="098D468E"/>
    <w:rsid w:val="09997835"/>
    <w:rsid w:val="099C011F"/>
    <w:rsid w:val="09B11638"/>
    <w:rsid w:val="09BF62F3"/>
    <w:rsid w:val="09D22A17"/>
    <w:rsid w:val="09D5345C"/>
    <w:rsid w:val="09E300B8"/>
    <w:rsid w:val="09FE6612"/>
    <w:rsid w:val="0A0979E2"/>
    <w:rsid w:val="0A1C4859"/>
    <w:rsid w:val="0A2E27E5"/>
    <w:rsid w:val="0A3C67FA"/>
    <w:rsid w:val="0A4A414C"/>
    <w:rsid w:val="0A4D10A6"/>
    <w:rsid w:val="0A556C2F"/>
    <w:rsid w:val="0A797225"/>
    <w:rsid w:val="0A9147E6"/>
    <w:rsid w:val="0AAA3AB8"/>
    <w:rsid w:val="0AAB782A"/>
    <w:rsid w:val="0AC07B42"/>
    <w:rsid w:val="0AED3206"/>
    <w:rsid w:val="0AED34D4"/>
    <w:rsid w:val="0AF57D00"/>
    <w:rsid w:val="0AFD5537"/>
    <w:rsid w:val="0B1638F0"/>
    <w:rsid w:val="0B564D3F"/>
    <w:rsid w:val="0B5F26E3"/>
    <w:rsid w:val="0B6D6042"/>
    <w:rsid w:val="0B706133"/>
    <w:rsid w:val="0B776B72"/>
    <w:rsid w:val="0B7F7B23"/>
    <w:rsid w:val="0B832AA7"/>
    <w:rsid w:val="0B8930AF"/>
    <w:rsid w:val="0B8A5A8E"/>
    <w:rsid w:val="0BA21AF7"/>
    <w:rsid w:val="0BAF5E34"/>
    <w:rsid w:val="0BB2783C"/>
    <w:rsid w:val="0BBB5E65"/>
    <w:rsid w:val="0BC1104A"/>
    <w:rsid w:val="0BCD0E40"/>
    <w:rsid w:val="0BE1433A"/>
    <w:rsid w:val="0BEB73F0"/>
    <w:rsid w:val="0C0846A8"/>
    <w:rsid w:val="0C144A05"/>
    <w:rsid w:val="0C316D2A"/>
    <w:rsid w:val="0C395F24"/>
    <w:rsid w:val="0C411A42"/>
    <w:rsid w:val="0C560746"/>
    <w:rsid w:val="0C5F51C2"/>
    <w:rsid w:val="0C7D67C1"/>
    <w:rsid w:val="0C804057"/>
    <w:rsid w:val="0C8A47D6"/>
    <w:rsid w:val="0C8E6A27"/>
    <w:rsid w:val="0CA0741D"/>
    <w:rsid w:val="0CAE2DBB"/>
    <w:rsid w:val="0CC472A8"/>
    <w:rsid w:val="0CDD2277"/>
    <w:rsid w:val="0CE315A4"/>
    <w:rsid w:val="0CE872BE"/>
    <w:rsid w:val="0CF12CA2"/>
    <w:rsid w:val="0D487F71"/>
    <w:rsid w:val="0D5A25F6"/>
    <w:rsid w:val="0D6E2F89"/>
    <w:rsid w:val="0D71793F"/>
    <w:rsid w:val="0D83060B"/>
    <w:rsid w:val="0D8878E8"/>
    <w:rsid w:val="0D900540"/>
    <w:rsid w:val="0D9755F8"/>
    <w:rsid w:val="0D9C3398"/>
    <w:rsid w:val="0DA827B3"/>
    <w:rsid w:val="0DC0174A"/>
    <w:rsid w:val="0DD332F8"/>
    <w:rsid w:val="0DD52BB7"/>
    <w:rsid w:val="0DE2767D"/>
    <w:rsid w:val="0DE71CA0"/>
    <w:rsid w:val="0DE85E53"/>
    <w:rsid w:val="0E1A7812"/>
    <w:rsid w:val="0E2F7DFB"/>
    <w:rsid w:val="0E462AB8"/>
    <w:rsid w:val="0E514771"/>
    <w:rsid w:val="0E655A48"/>
    <w:rsid w:val="0E6E240C"/>
    <w:rsid w:val="0E7923CB"/>
    <w:rsid w:val="0E8A1E3F"/>
    <w:rsid w:val="0E95415A"/>
    <w:rsid w:val="0EC8243A"/>
    <w:rsid w:val="0ECB0444"/>
    <w:rsid w:val="0ED50960"/>
    <w:rsid w:val="0EDB465D"/>
    <w:rsid w:val="0EE43CA3"/>
    <w:rsid w:val="0EFB0258"/>
    <w:rsid w:val="0F0837B7"/>
    <w:rsid w:val="0F0D594E"/>
    <w:rsid w:val="0F1C41FC"/>
    <w:rsid w:val="0F3553FC"/>
    <w:rsid w:val="0F4904AF"/>
    <w:rsid w:val="0F607C6B"/>
    <w:rsid w:val="0F6B26F9"/>
    <w:rsid w:val="0F822F91"/>
    <w:rsid w:val="0FA53138"/>
    <w:rsid w:val="0FEA6B07"/>
    <w:rsid w:val="0FF86124"/>
    <w:rsid w:val="100D78AA"/>
    <w:rsid w:val="100E3E1D"/>
    <w:rsid w:val="101F3D82"/>
    <w:rsid w:val="10207B26"/>
    <w:rsid w:val="102A3765"/>
    <w:rsid w:val="102C66D4"/>
    <w:rsid w:val="103850A1"/>
    <w:rsid w:val="10543875"/>
    <w:rsid w:val="105C520E"/>
    <w:rsid w:val="1065378B"/>
    <w:rsid w:val="10736AA8"/>
    <w:rsid w:val="10795724"/>
    <w:rsid w:val="108217FC"/>
    <w:rsid w:val="109354FF"/>
    <w:rsid w:val="109A1BD9"/>
    <w:rsid w:val="10A515D9"/>
    <w:rsid w:val="10AC0E95"/>
    <w:rsid w:val="10C524CC"/>
    <w:rsid w:val="10C75DB2"/>
    <w:rsid w:val="10C762CF"/>
    <w:rsid w:val="10CA3F04"/>
    <w:rsid w:val="10CB49FF"/>
    <w:rsid w:val="10CE55BE"/>
    <w:rsid w:val="10D15BA6"/>
    <w:rsid w:val="10D2332D"/>
    <w:rsid w:val="10DA0820"/>
    <w:rsid w:val="10F16F84"/>
    <w:rsid w:val="1102022F"/>
    <w:rsid w:val="11062D80"/>
    <w:rsid w:val="110E0ACC"/>
    <w:rsid w:val="111246FD"/>
    <w:rsid w:val="11177812"/>
    <w:rsid w:val="11196229"/>
    <w:rsid w:val="11251FCF"/>
    <w:rsid w:val="112C57CB"/>
    <w:rsid w:val="1131392B"/>
    <w:rsid w:val="1141788B"/>
    <w:rsid w:val="114D7CF3"/>
    <w:rsid w:val="11630FB8"/>
    <w:rsid w:val="1181125D"/>
    <w:rsid w:val="11910B90"/>
    <w:rsid w:val="119320AE"/>
    <w:rsid w:val="11B6288B"/>
    <w:rsid w:val="11DE0B1D"/>
    <w:rsid w:val="11FF1362"/>
    <w:rsid w:val="12020088"/>
    <w:rsid w:val="120803DC"/>
    <w:rsid w:val="12170A32"/>
    <w:rsid w:val="12270675"/>
    <w:rsid w:val="122746AB"/>
    <w:rsid w:val="122D5F1A"/>
    <w:rsid w:val="12315F06"/>
    <w:rsid w:val="126857B5"/>
    <w:rsid w:val="12984039"/>
    <w:rsid w:val="12C62C58"/>
    <w:rsid w:val="12C86BBD"/>
    <w:rsid w:val="12CF1390"/>
    <w:rsid w:val="12DB2118"/>
    <w:rsid w:val="12DB5F87"/>
    <w:rsid w:val="12F62FED"/>
    <w:rsid w:val="13034694"/>
    <w:rsid w:val="1306788A"/>
    <w:rsid w:val="130E0071"/>
    <w:rsid w:val="130E68D6"/>
    <w:rsid w:val="13353D69"/>
    <w:rsid w:val="13400C24"/>
    <w:rsid w:val="13457D76"/>
    <w:rsid w:val="135E7A33"/>
    <w:rsid w:val="13665907"/>
    <w:rsid w:val="1367352F"/>
    <w:rsid w:val="136E7FE1"/>
    <w:rsid w:val="137704B5"/>
    <w:rsid w:val="13791B83"/>
    <w:rsid w:val="138F0B1F"/>
    <w:rsid w:val="139864AB"/>
    <w:rsid w:val="13A45EC3"/>
    <w:rsid w:val="13A72581"/>
    <w:rsid w:val="13A92C91"/>
    <w:rsid w:val="13B22DD4"/>
    <w:rsid w:val="13C35E6F"/>
    <w:rsid w:val="13C8767A"/>
    <w:rsid w:val="13E7542E"/>
    <w:rsid w:val="140750A8"/>
    <w:rsid w:val="142C0B1B"/>
    <w:rsid w:val="143A4651"/>
    <w:rsid w:val="14522A3C"/>
    <w:rsid w:val="145A3E84"/>
    <w:rsid w:val="146D6D07"/>
    <w:rsid w:val="14777374"/>
    <w:rsid w:val="14870B74"/>
    <w:rsid w:val="14A96BBF"/>
    <w:rsid w:val="14DC436A"/>
    <w:rsid w:val="14E0118D"/>
    <w:rsid w:val="14EB7FD7"/>
    <w:rsid w:val="14F42795"/>
    <w:rsid w:val="14F81510"/>
    <w:rsid w:val="15257D80"/>
    <w:rsid w:val="15296171"/>
    <w:rsid w:val="152C44E0"/>
    <w:rsid w:val="152E0685"/>
    <w:rsid w:val="152F25BA"/>
    <w:rsid w:val="15581DAD"/>
    <w:rsid w:val="155B5D23"/>
    <w:rsid w:val="155D221B"/>
    <w:rsid w:val="15907B07"/>
    <w:rsid w:val="15913D43"/>
    <w:rsid w:val="159A4EBB"/>
    <w:rsid w:val="15B2222E"/>
    <w:rsid w:val="15BD0EC9"/>
    <w:rsid w:val="15E147E4"/>
    <w:rsid w:val="15E965B2"/>
    <w:rsid w:val="15ED19B4"/>
    <w:rsid w:val="15F91AD9"/>
    <w:rsid w:val="15FB473D"/>
    <w:rsid w:val="16082FC8"/>
    <w:rsid w:val="161104B4"/>
    <w:rsid w:val="162336E7"/>
    <w:rsid w:val="163D25DF"/>
    <w:rsid w:val="16455312"/>
    <w:rsid w:val="16555B68"/>
    <w:rsid w:val="165B7D8A"/>
    <w:rsid w:val="166449E0"/>
    <w:rsid w:val="16662A88"/>
    <w:rsid w:val="1681322B"/>
    <w:rsid w:val="168E1544"/>
    <w:rsid w:val="16A00143"/>
    <w:rsid w:val="16A22ADB"/>
    <w:rsid w:val="16AD4BCC"/>
    <w:rsid w:val="16C94B2C"/>
    <w:rsid w:val="16D63970"/>
    <w:rsid w:val="16DB0A5F"/>
    <w:rsid w:val="16F774E7"/>
    <w:rsid w:val="17201206"/>
    <w:rsid w:val="174858EF"/>
    <w:rsid w:val="174D31CB"/>
    <w:rsid w:val="174F2A9F"/>
    <w:rsid w:val="175045EC"/>
    <w:rsid w:val="175A5307"/>
    <w:rsid w:val="176B1BE8"/>
    <w:rsid w:val="177A5720"/>
    <w:rsid w:val="177C64F0"/>
    <w:rsid w:val="178B2E4F"/>
    <w:rsid w:val="1798376C"/>
    <w:rsid w:val="17AA3DB3"/>
    <w:rsid w:val="17B42E5E"/>
    <w:rsid w:val="17C41D41"/>
    <w:rsid w:val="17E303C1"/>
    <w:rsid w:val="17E439E8"/>
    <w:rsid w:val="17FD51FD"/>
    <w:rsid w:val="18101404"/>
    <w:rsid w:val="18147845"/>
    <w:rsid w:val="181F4409"/>
    <w:rsid w:val="18250E08"/>
    <w:rsid w:val="182A4EC1"/>
    <w:rsid w:val="182E37B2"/>
    <w:rsid w:val="1839247A"/>
    <w:rsid w:val="184D03A6"/>
    <w:rsid w:val="18503B7B"/>
    <w:rsid w:val="18622F00"/>
    <w:rsid w:val="1865597F"/>
    <w:rsid w:val="18772DF7"/>
    <w:rsid w:val="187775D4"/>
    <w:rsid w:val="187835F3"/>
    <w:rsid w:val="188419C2"/>
    <w:rsid w:val="188F069E"/>
    <w:rsid w:val="18987BB3"/>
    <w:rsid w:val="189C3DB2"/>
    <w:rsid w:val="18A86249"/>
    <w:rsid w:val="18BA05B4"/>
    <w:rsid w:val="18C60FC7"/>
    <w:rsid w:val="18E3668A"/>
    <w:rsid w:val="19214004"/>
    <w:rsid w:val="192E3272"/>
    <w:rsid w:val="193166E0"/>
    <w:rsid w:val="19317CAB"/>
    <w:rsid w:val="1969195B"/>
    <w:rsid w:val="19834700"/>
    <w:rsid w:val="19873C6D"/>
    <w:rsid w:val="198F043A"/>
    <w:rsid w:val="198F1A33"/>
    <w:rsid w:val="199C1378"/>
    <w:rsid w:val="19BF7301"/>
    <w:rsid w:val="19C34116"/>
    <w:rsid w:val="19D14E0F"/>
    <w:rsid w:val="19ED59C8"/>
    <w:rsid w:val="1A091F78"/>
    <w:rsid w:val="1A1B6A52"/>
    <w:rsid w:val="1A3130BA"/>
    <w:rsid w:val="1A356D2D"/>
    <w:rsid w:val="1A406A6A"/>
    <w:rsid w:val="1A5C61A2"/>
    <w:rsid w:val="1A5E44BA"/>
    <w:rsid w:val="1A61509C"/>
    <w:rsid w:val="1A6206BE"/>
    <w:rsid w:val="1ABE2BC8"/>
    <w:rsid w:val="1ABE79E3"/>
    <w:rsid w:val="1ACA0CB1"/>
    <w:rsid w:val="1ACC7A58"/>
    <w:rsid w:val="1ACE35FE"/>
    <w:rsid w:val="1AD64D12"/>
    <w:rsid w:val="1AD67034"/>
    <w:rsid w:val="1ADA6BC3"/>
    <w:rsid w:val="1AF441BC"/>
    <w:rsid w:val="1B090F79"/>
    <w:rsid w:val="1B0D02E3"/>
    <w:rsid w:val="1B195CB1"/>
    <w:rsid w:val="1B1C1F09"/>
    <w:rsid w:val="1B1C4A06"/>
    <w:rsid w:val="1B252CDA"/>
    <w:rsid w:val="1B2E00CA"/>
    <w:rsid w:val="1B330D24"/>
    <w:rsid w:val="1B3E146D"/>
    <w:rsid w:val="1B4B7DC4"/>
    <w:rsid w:val="1B5B65FA"/>
    <w:rsid w:val="1B6C3908"/>
    <w:rsid w:val="1B72079F"/>
    <w:rsid w:val="1B824FCF"/>
    <w:rsid w:val="1B854C33"/>
    <w:rsid w:val="1B9176D6"/>
    <w:rsid w:val="1B9E1BD9"/>
    <w:rsid w:val="1B9F30FF"/>
    <w:rsid w:val="1BAB289E"/>
    <w:rsid w:val="1BCC468C"/>
    <w:rsid w:val="1BE340FE"/>
    <w:rsid w:val="1BE723A2"/>
    <w:rsid w:val="1BE85229"/>
    <w:rsid w:val="1BE965D8"/>
    <w:rsid w:val="1BF509A3"/>
    <w:rsid w:val="1BFB3637"/>
    <w:rsid w:val="1C1C1931"/>
    <w:rsid w:val="1C315DAC"/>
    <w:rsid w:val="1C3D1BC3"/>
    <w:rsid w:val="1C4A5F2B"/>
    <w:rsid w:val="1C596316"/>
    <w:rsid w:val="1C736D63"/>
    <w:rsid w:val="1C791A3B"/>
    <w:rsid w:val="1C9A2A0F"/>
    <w:rsid w:val="1CA90894"/>
    <w:rsid w:val="1CB04D0C"/>
    <w:rsid w:val="1CBA5050"/>
    <w:rsid w:val="1CC15AAB"/>
    <w:rsid w:val="1CDE21A1"/>
    <w:rsid w:val="1CED5795"/>
    <w:rsid w:val="1D121B6F"/>
    <w:rsid w:val="1D1522F2"/>
    <w:rsid w:val="1D1541BD"/>
    <w:rsid w:val="1D1614B0"/>
    <w:rsid w:val="1D1D3743"/>
    <w:rsid w:val="1D207579"/>
    <w:rsid w:val="1D215E0F"/>
    <w:rsid w:val="1D2C3AA0"/>
    <w:rsid w:val="1D6E17A5"/>
    <w:rsid w:val="1D711F7A"/>
    <w:rsid w:val="1D7B7078"/>
    <w:rsid w:val="1DA11B7B"/>
    <w:rsid w:val="1DA21090"/>
    <w:rsid w:val="1DDB32CC"/>
    <w:rsid w:val="1DE713A2"/>
    <w:rsid w:val="1E08437D"/>
    <w:rsid w:val="1E0F11DA"/>
    <w:rsid w:val="1E29332B"/>
    <w:rsid w:val="1E3A2F21"/>
    <w:rsid w:val="1E556355"/>
    <w:rsid w:val="1E636E30"/>
    <w:rsid w:val="1E740756"/>
    <w:rsid w:val="1E7E2A9C"/>
    <w:rsid w:val="1EAE43C5"/>
    <w:rsid w:val="1EB11EFB"/>
    <w:rsid w:val="1EC92954"/>
    <w:rsid w:val="1ECB53CE"/>
    <w:rsid w:val="1ECE074D"/>
    <w:rsid w:val="1ED65061"/>
    <w:rsid w:val="1ED76742"/>
    <w:rsid w:val="1EEE0E92"/>
    <w:rsid w:val="1F031FCB"/>
    <w:rsid w:val="1F080890"/>
    <w:rsid w:val="1F093E7B"/>
    <w:rsid w:val="1F0C038B"/>
    <w:rsid w:val="1F112B94"/>
    <w:rsid w:val="1F3E30D6"/>
    <w:rsid w:val="1F540C55"/>
    <w:rsid w:val="1F6B68E4"/>
    <w:rsid w:val="1F8A536F"/>
    <w:rsid w:val="1F953961"/>
    <w:rsid w:val="1FA0658E"/>
    <w:rsid w:val="1FA4530D"/>
    <w:rsid w:val="1FAF3A62"/>
    <w:rsid w:val="1FBB7CE4"/>
    <w:rsid w:val="1FC23CA6"/>
    <w:rsid w:val="1FD73412"/>
    <w:rsid w:val="1FE03E8D"/>
    <w:rsid w:val="1FFE3F50"/>
    <w:rsid w:val="200E4234"/>
    <w:rsid w:val="200E4399"/>
    <w:rsid w:val="20123513"/>
    <w:rsid w:val="20123935"/>
    <w:rsid w:val="20326994"/>
    <w:rsid w:val="20357302"/>
    <w:rsid w:val="20371A0F"/>
    <w:rsid w:val="204F3EBE"/>
    <w:rsid w:val="205C7D2F"/>
    <w:rsid w:val="205E1CA3"/>
    <w:rsid w:val="20614C03"/>
    <w:rsid w:val="206F3A65"/>
    <w:rsid w:val="20722CC3"/>
    <w:rsid w:val="2076109D"/>
    <w:rsid w:val="209E59E2"/>
    <w:rsid w:val="20B34CA3"/>
    <w:rsid w:val="20C64F38"/>
    <w:rsid w:val="20C66AE8"/>
    <w:rsid w:val="2105383B"/>
    <w:rsid w:val="210F0C80"/>
    <w:rsid w:val="21376A32"/>
    <w:rsid w:val="214B42D7"/>
    <w:rsid w:val="21504169"/>
    <w:rsid w:val="21586FA4"/>
    <w:rsid w:val="216A049E"/>
    <w:rsid w:val="217A6742"/>
    <w:rsid w:val="218912A4"/>
    <w:rsid w:val="218D1073"/>
    <w:rsid w:val="218D736F"/>
    <w:rsid w:val="2193743F"/>
    <w:rsid w:val="21A70722"/>
    <w:rsid w:val="21C37C56"/>
    <w:rsid w:val="21CE7D47"/>
    <w:rsid w:val="21D01400"/>
    <w:rsid w:val="21E04707"/>
    <w:rsid w:val="22233FDA"/>
    <w:rsid w:val="22235B94"/>
    <w:rsid w:val="22314F8D"/>
    <w:rsid w:val="22316825"/>
    <w:rsid w:val="22365D88"/>
    <w:rsid w:val="2253289D"/>
    <w:rsid w:val="22574D96"/>
    <w:rsid w:val="226974B1"/>
    <w:rsid w:val="22756905"/>
    <w:rsid w:val="227E6175"/>
    <w:rsid w:val="22962183"/>
    <w:rsid w:val="22AB0FD0"/>
    <w:rsid w:val="22AC71E9"/>
    <w:rsid w:val="22AD0DF7"/>
    <w:rsid w:val="22BF6D86"/>
    <w:rsid w:val="22D55792"/>
    <w:rsid w:val="22D73A2A"/>
    <w:rsid w:val="22F227A6"/>
    <w:rsid w:val="23033651"/>
    <w:rsid w:val="230C7A96"/>
    <w:rsid w:val="23212899"/>
    <w:rsid w:val="235409F9"/>
    <w:rsid w:val="23774023"/>
    <w:rsid w:val="23A0203C"/>
    <w:rsid w:val="23B2441A"/>
    <w:rsid w:val="23BD5235"/>
    <w:rsid w:val="23C2208F"/>
    <w:rsid w:val="23DF6424"/>
    <w:rsid w:val="23E55AC2"/>
    <w:rsid w:val="23E63516"/>
    <w:rsid w:val="23E72E0C"/>
    <w:rsid w:val="23EE1938"/>
    <w:rsid w:val="23F21F8E"/>
    <w:rsid w:val="240028AC"/>
    <w:rsid w:val="244B3EB2"/>
    <w:rsid w:val="244F6F2B"/>
    <w:rsid w:val="245A5622"/>
    <w:rsid w:val="246C77B3"/>
    <w:rsid w:val="247108CF"/>
    <w:rsid w:val="24715FA8"/>
    <w:rsid w:val="24AC1531"/>
    <w:rsid w:val="24B53CDF"/>
    <w:rsid w:val="24C77BCA"/>
    <w:rsid w:val="24E40608"/>
    <w:rsid w:val="24E935FF"/>
    <w:rsid w:val="24EE140E"/>
    <w:rsid w:val="24F823F9"/>
    <w:rsid w:val="24FA7699"/>
    <w:rsid w:val="251B02E9"/>
    <w:rsid w:val="251B5CF5"/>
    <w:rsid w:val="252D7FDA"/>
    <w:rsid w:val="25485D34"/>
    <w:rsid w:val="256316EA"/>
    <w:rsid w:val="256437C7"/>
    <w:rsid w:val="25657932"/>
    <w:rsid w:val="257175C0"/>
    <w:rsid w:val="2584792C"/>
    <w:rsid w:val="25A14027"/>
    <w:rsid w:val="25A36CB6"/>
    <w:rsid w:val="25A847E3"/>
    <w:rsid w:val="25A90AB8"/>
    <w:rsid w:val="25B1113C"/>
    <w:rsid w:val="25C93A07"/>
    <w:rsid w:val="25D71360"/>
    <w:rsid w:val="25DC5E46"/>
    <w:rsid w:val="25E87F6B"/>
    <w:rsid w:val="25ED0A9E"/>
    <w:rsid w:val="25FF08CA"/>
    <w:rsid w:val="26002D46"/>
    <w:rsid w:val="26102E31"/>
    <w:rsid w:val="261A42D6"/>
    <w:rsid w:val="26201AC1"/>
    <w:rsid w:val="2622175C"/>
    <w:rsid w:val="2629786D"/>
    <w:rsid w:val="2663627A"/>
    <w:rsid w:val="269F749E"/>
    <w:rsid w:val="26A923E0"/>
    <w:rsid w:val="26AD2FC0"/>
    <w:rsid w:val="26B12283"/>
    <w:rsid w:val="26B9213F"/>
    <w:rsid w:val="26C56D0F"/>
    <w:rsid w:val="26E27D70"/>
    <w:rsid w:val="27020327"/>
    <w:rsid w:val="27111EAB"/>
    <w:rsid w:val="27124490"/>
    <w:rsid w:val="27134055"/>
    <w:rsid w:val="272C504B"/>
    <w:rsid w:val="272F0906"/>
    <w:rsid w:val="27310E77"/>
    <w:rsid w:val="273B1BC6"/>
    <w:rsid w:val="27463E40"/>
    <w:rsid w:val="27526262"/>
    <w:rsid w:val="27581E2C"/>
    <w:rsid w:val="278922E8"/>
    <w:rsid w:val="27AE736E"/>
    <w:rsid w:val="27C4372B"/>
    <w:rsid w:val="27D40B9F"/>
    <w:rsid w:val="281270DF"/>
    <w:rsid w:val="2827031A"/>
    <w:rsid w:val="28272B6D"/>
    <w:rsid w:val="283C7070"/>
    <w:rsid w:val="28483B04"/>
    <w:rsid w:val="286C7425"/>
    <w:rsid w:val="289D62E8"/>
    <w:rsid w:val="28CC4178"/>
    <w:rsid w:val="28CC5189"/>
    <w:rsid w:val="28D267BB"/>
    <w:rsid w:val="29034B41"/>
    <w:rsid w:val="29177195"/>
    <w:rsid w:val="29243E1A"/>
    <w:rsid w:val="29401875"/>
    <w:rsid w:val="294545A9"/>
    <w:rsid w:val="299A741F"/>
    <w:rsid w:val="29BC0732"/>
    <w:rsid w:val="29CD3807"/>
    <w:rsid w:val="29D67888"/>
    <w:rsid w:val="29DB23DD"/>
    <w:rsid w:val="29F219C5"/>
    <w:rsid w:val="29FC2B39"/>
    <w:rsid w:val="2A04282F"/>
    <w:rsid w:val="2A17477E"/>
    <w:rsid w:val="2A1B5020"/>
    <w:rsid w:val="2A271FA9"/>
    <w:rsid w:val="2A311A96"/>
    <w:rsid w:val="2A447ED5"/>
    <w:rsid w:val="2A465BFD"/>
    <w:rsid w:val="2A4B5348"/>
    <w:rsid w:val="2A5064F0"/>
    <w:rsid w:val="2A6205DB"/>
    <w:rsid w:val="2A7D63F1"/>
    <w:rsid w:val="2A897A38"/>
    <w:rsid w:val="2A8A2E8C"/>
    <w:rsid w:val="2A9973B6"/>
    <w:rsid w:val="2A9F4FE9"/>
    <w:rsid w:val="2AA02238"/>
    <w:rsid w:val="2AB4330F"/>
    <w:rsid w:val="2ABE2154"/>
    <w:rsid w:val="2AD2007C"/>
    <w:rsid w:val="2AD63788"/>
    <w:rsid w:val="2AD72A6F"/>
    <w:rsid w:val="2AD759DB"/>
    <w:rsid w:val="2AE84D59"/>
    <w:rsid w:val="2AED39F3"/>
    <w:rsid w:val="2AED771C"/>
    <w:rsid w:val="2AEE717E"/>
    <w:rsid w:val="2B0C6E50"/>
    <w:rsid w:val="2B230DF2"/>
    <w:rsid w:val="2B2B40A0"/>
    <w:rsid w:val="2B4D04D8"/>
    <w:rsid w:val="2B5D51A4"/>
    <w:rsid w:val="2B63157B"/>
    <w:rsid w:val="2B724BD5"/>
    <w:rsid w:val="2B8C6489"/>
    <w:rsid w:val="2B8F23FA"/>
    <w:rsid w:val="2B9A5C37"/>
    <w:rsid w:val="2BA21BBE"/>
    <w:rsid w:val="2BC01D66"/>
    <w:rsid w:val="2BC0443F"/>
    <w:rsid w:val="2BD43C5A"/>
    <w:rsid w:val="2BDD0866"/>
    <w:rsid w:val="2BDE3978"/>
    <w:rsid w:val="2BE057BA"/>
    <w:rsid w:val="2BE05E12"/>
    <w:rsid w:val="2BEB6643"/>
    <w:rsid w:val="2BF6085D"/>
    <w:rsid w:val="2C07501B"/>
    <w:rsid w:val="2C0B1233"/>
    <w:rsid w:val="2C0C13FB"/>
    <w:rsid w:val="2C2E0302"/>
    <w:rsid w:val="2C305E98"/>
    <w:rsid w:val="2C481A9A"/>
    <w:rsid w:val="2C60606C"/>
    <w:rsid w:val="2C802527"/>
    <w:rsid w:val="2C82701B"/>
    <w:rsid w:val="2C956D4E"/>
    <w:rsid w:val="2CA6169C"/>
    <w:rsid w:val="2CCB09C2"/>
    <w:rsid w:val="2CD40BC2"/>
    <w:rsid w:val="2CDA30CF"/>
    <w:rsid w:val="2CE86941"/>
    <w:rsid w:val="2CEC5967"/>
    <w:rsid w:val="2CFA1ABB"/>
    <w:rsid w:val="2CFB3CBE"/>
    <w:rsid w:val="2CFB648A"/>
    <w:rsid w:val="2D047A30"/>
    <w:rsid w:val="2D050C29"/>
    <w:rsid w:val="2D152AF2"/>
    <w:rsid w:val="2D2B188E"/>
    <w:rsid w:val="2D2C03B0"/>
    <w:rsid w:val="2D3453CE"/>
    <w:rsid w:val="2D460020"/>
    <w:rsid w:val="2D476568"/>
    <w:rsid w:val="2D63497D"/>
    <w:rsid w:val="2D6F45D0"/>
    <w:rsid w:val="2D9B71D8"/>
    <w:rsid w:val="2DB41456"/>
    <w:rsid w:val="2DBD20B8"/>
    <w:rsid w:val="2DBD47AF"/>
    <w:rsid w:val="2DD6687F"/>
    <w:rsid w:val="2DF80385"/>
    <w:rsid w:val="2E074382"/>
    <w:rsid w:val="2E4A75F1"/>
    <w:rsid w:val="2E4E47F0"/>
    <w:rsid w:val="2E5D7C2B"/>
    <w:rsid w:val="2E7E7C7F"/>
    <w:rsid w:val="2E843127"/>
    <w:rsid w:val="2E913BB1"/>
    <w:rsid w:val="2EA601E3"/>
    <w:rsid w:val="2EB36A9F"/>
    <w:rsid w:val="2EBC20E5"/>
    <w:rsid w:val="2EBC6626"/>
    <w:rsid w:val="2EF151A5"/>
    <w:rsid w:val="2EF4126A"/>
    <w:rsid w:val="2EF513B9"/>
    <w:rsid w:val="2F083FC3"/>
    <w:rsid w:val="2F253FBD"/>
    <w:rsid w:val="2F2622F6"/>
    <w:rsid w:val="2F287C5E"/>
    <w:rsid w:val="2F360F23"/>
    <w:rsid w:val="2F597502"/>
    <w:rsid w:val="2F5D025F"/>
    <w:rsid w:val="2F67436F"/>
    <w:rsid w:val="2F6822CF"/>
    <w:rsid w:val="2F6F403B"/>
    <w:rsid w:val="2F7805C5"/>
    <w:rsid w:val="2F8E1952"/>
    <w:rsid w:val="2F8F217B"/>
    <w:rsid w:val="2FB528D2"/>
    <w:rsid w:val="2FB95A0C"/>
    <w:rsid w:val="2FC74F05"/>
    <w:rsid w:val="2FC9726C"/>
    <w:rsid w:val="2FDC0704"/>
    <w:rsid w:val="2FEC43FC"/>
    <w:rsid w:val="300017EC"/>
    <w:rsid w:val="30042949"/>
    <w:rsid w:val="301C3A83"/>
    <w:rsid w:val="303343DE"/>
    <w:rsid w:val="305211D8"/>
    <w:rsid w:val="306029C1"/>
    <w:rsid w:val="306C4745"/>
    <w:rsid w:val="30A11BE0"/>
    <w:rsid w:val="30BF3FB1"/>
    <w:rsid w:val="30F1715A"/>
    <w:rsid w:val="31000A9B"/>
    <w:rsid w:val="310927D2"/>
    <w:rsid w:val="310A7113"/>
    <w:rsid w:val="31156C9D"/>
    <w:rsid w:val="311E5660"/>
    <w:rsid w:val="3126266B"/>
    <w:rsid w:val="313015BD"/>
    <w:rsid w:val="3138414C"/>
    <w:rsid w:val="31425DC0"/>
    <w:rsid w:val="3147570D"/>
    <w:rsid w:val="314B35B2"/>
    <w:rsid w:val="314B441C"/>
    <w:rsid w:val="31612BF1"/>
    <w:rsid w:val="316420F4"/>
    <w:rsid w:val="31666F0B"/>
    <w:rsid w:val="3179279B"/>
    <w:rsid w:val="317E5A32"/>
    <w:rsid w:val="318466D4"/>
    <w:rsid w:val="319959BA"/>
    <w:rsid w:val="319B6BB5"/>
    <w:rsid w:val="31A0241D"/>
    <w:rsid w:val="31EB092C"/>
    <w:rsid w:val="31F10FA3"/>
    <w:rsid w:val="31F16AB8"/>
    <w:rsid w:val="31FC1DA6"/>
    <w:rsid w:val="320402E4"/>
    <w:rsid w:val="322403C7"/>
    <w:rsid w:val="32341312"/>
    <w:rsid w:val="323878C2"/>
    <w:rsid w:val="32473883"/>
    <w:rsid w:val="324B17B4"/>
    <w:rsid w:val="3264169D"/>
    <w:rsid w:val="326805FE"/>
    <w:rsid w:val="326C7C59"/>
    <w:rsid w:val="327E6C98"/>
    <w:rsid w:val="328A06AB"/>
    <w:rsid w:val="32917087"/>
    <w:rsid w:val="329E2783"/>
    <w:rsid w:val="32C16A53"/>
    <w:rsid w:val="32C443AD"/>
    <w:rsid w:val="32E05BA8"/>
    <w:rsid w:val="330945F3"/>
    <w:rsid w:val="331B2CC5"/>
    <w:rsid w:val="332B3DDB"/>
    <w:rsid w:val="3332037E"/>
    <w:rsid w:val="3341378C"/>
    <w:rsid w:val="33472CCE"/>
    <w:rsid w:val="335764C2"/>
    <w:rsid w:val="33647FA6"/>
    <w:rsid w:val="336520CD"/>
    <w:rsid w:val="33765016"/>
    <w:rsid w:val="337A3935"/>
    <w:rsid w:val="3381002D"/>
    <w:rsid w:val="338C4149"/>
    <w:rsid w:val="338F61AE"/>
    <w:rsid w:val="339170BF"/>
    <w:rsid w:val="33A71070"/>
    <w:rsid w:val="33B31D26"/>
    <w:rsid w:val="33CE4546"/>
    <w:rsid w:val="33D95773"/>
    <w:rsid w:val="33E1387B"/>
    <w:rsid w:val="33F7211A"/>
    <w:rsid w:val="340C3D2A"/>
    <w:rsid w:val="340F362A"/>
    <w:rsid w:val="34125C5A"/>
    <w:rsid w:val="341847DB"/>
    <w:rsid w:val="341D44B7"/>
    <w:rsid w:val="34396C1C"/>
    <w:rsid w:val="34422A6D"/>
    <w:rsid w:val="344606D7"/>
    <w:rsid w:val="344F78EA"/>
    <w:rsid w:val="347F546A"/>
    <w:rsid w:val="348222AE"/>
    <w:rsid w:val="348255CD"/>
    <w:rsid w:val="34952524"/>
    <w:rsid w:val="34A40635"/>
    <w:rsid w:val="34A4705D"/>
    <w:rsid w:val="34D43BD2"/>
    <w:rsid w:val="353832B9"/>
    <w:rsid w:val="353A675D"/>
    <w:rsid w:val="35413ACD"/>
    <w:rsid w:val="354A3A56"/>
    <w:rsid w:val="354A7453"/>
    <w:rsid w:val="354D71A1"/>
    <w:rsid w:val="35771333"/>
    <w:rsid w:val="357E549D"/>
    <w:rsid w:val="358C697E"/>
    <w:rsid w:val="359E269F"/>
    <w:rsid w:val="35A71E14"/>
    <w:rsid w:val="35AB0F9E"/>
    <w:rsid w:val="35C20E58"/>
    <w:rsid w:val="35C36199"/>
    <w:rsid w:val="35C81F43"/>
    <w:rsid w:val="35CF2E4E"/>
    <w:rsid w:val="35DF52F8"/>
    <w:rsid w:val="35FE7442"/>
    <w:rsid w:val="36045B33"/>
    <w:rsid w:val="362F53E9"/>
    <w:rsid w:val="36505DF7"/>
    <w:rsid w:val="36592A22"/>
    <w:rsid w:val="3684230E"/>
    <w:rsid w:val="369100B2"/>
    <w:rsid w:val="36AC53C0"/>
    <w:rsid w:val="36BB3175"/>
    <w:rsid w:val="36C56482"/>
    <w:rsid w:val="36C97A0D"/>
    <w:rsid w:val="36F428E8"/>
    <w:rsid w:val="371C7D5B"/>
    <w:rsid w:val="372E4281"/>
    <w:rsid w:val="373315F4"/>
    <w:rsid w:val="37594069"/>
    <w:rsid w:val="37712551"/>
    <w:rsid w:val="377834F5"/>
    <w:rsid w:val="377F628E"/>
    <w:rsid w:val="37901AA5"/>
    <w:rsid w:val="37916554"/>
    <w:rsid w:val="379436A5"/>
    <w:rsid w:val="37966345"/>
    <w:rsid w:val="379B15A4"/>
    <w:rsid w:val="37A83DE4"/>
    <w:rsid w:val="37AD6A7A"/>
    <w:rsid w:val="37AE5A50"/>
    <w:rsid w:val="37B667EA"/>
    <w:rsid w:val="37B67E13"/>
    <w:rsid w:val="37BC044E"/>
    <w:rsid w:val="37C75383"/>
    <w:rsid w:val="37E516E7"/>
    <w:rsid w:val="37EA43F2"/>
    <w:rsid w:val="37ED238E"/>
    <w:rsid w:val="380C6603"/>
    <w:rsid w:val="38166F6B"/>
    <w:rsid w:val="38242125"/>
    <w:rsid w:val="38297508"/>
    <w:rsid w:val="38741F0E"/>
    <w:rsid w:val="38780954"/>
    <w:rsid w:val="387D07A4"/>
    <w:rsid w:val="38984D68"/>
    <w:rsid w:val="389D73F6"/>
    <w:rsid w:val="38B4798B"/>
    <w:rsid w:val="38B74C5E"/>
    <w:rsid w:val="38CC4DEB"/>
    <w:rsid w:val="38DD1E6A"/>
    <w:rsid w:val="38E717BB"/>
    <w:rsid w:val="38F7731D"/>
    <w:rsid w:val="38FD70D8"/>
    <w:rsid w:val="39022B3D"/>
    <w:rsid w:val="390430A7"/>
    <w:rsid w:val="390641B2"/>
    <w:rsid w:val="391F3DD3"/>
    <w:rsid w:val="393D67A4"/>
    <w:rsid w:val="394531D5"/>
    <w:rsid w:val="394F7388"/>
    <w:rsid w:val="39727536"/>
    <w:rsid w:val="397C7F1F"/>
    <w:rsid w:val="397F201F"/>
    <w:rsid w:val="39851C32"/>
    <w:rsid w:val="399018F4"/>
    <w:rsid w:val="39934616"/>
    <w:rsid w:val="3994077D"/>
    <w:rsid w:val="39955048"/>
    <w:rsid w:val="39A1505A"/>
    <w:rsid w:val="39A725BE"/>
    <w:rsid w:val="39AC12BC"/>
    <w:rsid w:val="39B705F0"/>
    <w:rsid w:val="39C87DF3"/>
    <w:rsid w:val="39F7239A"/>
    <w:rsid w:val="39FB51A0"/>
    <w:rsid w:val="3A4047A8"/>
    <w:rsid w:val="3A4D33D3"/>
    <w:rsid w:val="3A5045CD"/>
    <w:rsid w:val="3A5C6304"/>
    <w:rsid w:val="3A616126"/>
    <w:rsid w:val="3A6313BE"/>
    <w:rsid w:val="3A643F6D"/>
    <w:rsid w:val="3A667E6C"/>
    <w:rsid w:val="3A70153A"/>
    <w:rsid w:val="3A78242C"/>
    <w:rsid w:val="3A7C32FC"/>
    <w:rsid w:val="3A7E1AD7"/>
    <w:rsid w:val="3A9E2969"/>
    <w:rsid w:val="3ABC00D6"/>
    <w:rsid w:val="3AD00C46"/>
    <w:rsid w:val="3AD35612"/>
    <w:rsid w:val="3AE26C6E"/>
    <w:rsid w:val="3AE37FAE"/>
    <w:rsid w:val="3AEB6B3B"/>
    <w:rsid w:val="3AEE7629"/>
    <w:rsid w:val="3AF13CEA"/>
    <w:rsid w:val="3AFA3BE5"/>
    <w:rsid w:val="3AFC5ABD"/>
    <w:rsid w:val="3B065BED"/>
    <w:rsid w:val="3B25347B"/>
    <w:rsid w:val="3B443302"/>
    <w:rsid w:val="3B48109C"/>
    <w:rsid w:val="3B4E0E4C"/>
    <w:rsid w:val="3B5D3D02"/>
    <w:rsid w:val="3B6F1115"/>
    <w:rsid w:val="3B8A277D"/>
    <w:rsid w:val="3B9819D7"/>
    <w:rsid w:val="3B987E62"/>
    <w:rsid w:val="3BAB78F9"/>
    <w:rsid w:val="3BBD7377"/>
    <w:rsid w:val="3BC27E1F"/>
    <w:rsid w:val="3BCE53CA"/>
    <w:rsid w:val="3BDC7B41"/>
    <w:rsid w:val="3BE57722"/>
    <w:rsid w:val="3BF770DE"/>
    <w:rsid w:val="3C0169E6"/>
    <w:rsid w:val="3C330715"/>
    <w:rsid w:val="3C3C1105"/>
    <w:rsid w:val="3C402634"/>
    <w:rsid w:val="3C46180A"/>
    <w:rsid w:val="3C4B4F96"/>
    <w:rsid w:val="3C5B33E5"/>
    <w:rsid w:val="3C670A1E"/>
    <w:rsid w:val="3C6B4348"/>
    <w:rsid w:val="3C6D2C4F"/>
    <w:rsid w:val="3C87628B"/>
    <w:rsid w:val="3CA708DA"/>
    <w:rsid w:val="3CCD4DB4"/>
    <w:rsid w:val="3CCF03C0"/>
    <w:rsid w:val="3CE460BD"/>
    <w:rsid w:val="3CE602C8"/>
    <w:rsid w:val="3CFE28C0"/>
    <w:rsid w:val="3D0C6DE6"/>
    <w:rsid w:val="3D0E212E"/>
    <w:rsid w:val="3D232155"/>
    <w:rsid w:val="3D2C3872"/>
    <w:rsid w:val="3D3352EE"/>
    <w:rsid w:val="3D715D82"/>
    <w:rsid w:val="3D780E2D"/>
    <w:rsid w:val="3D7D17AE"/>
    <w:rsid w:val="3D7E1128"/>
    <w:rsid w:val="3D826D73"/>
    <w:rsid w:val="3D8E375A"/>
    <w:rsid w:val="3D9175A3"/>
    <w:rsid w:val="3D960530"/>
    <w:rsid w:val="3D9B17FA"/>
    <w:rsid w:val="3DAA33CB"/>
    <w:rsid w:val="3DBA7B59"/>
    <w:rsid w:val="3DD20369"/>
    <w:rsid w:val="3DD403A2"/>
    <w:rsid w:val="3DD41C76"/>
    <w:rsid w:val="3DD9376C"/>
    <w:rsid w:val="3E16714D"/>
    <w:rsid w:val="3E3141CC"/>
    <w:rsid w:val="3E407803"/>
    <w:rsid w:val="3E701A8F"/>
    <w:rsid w:val="3E75111C"/>
    <w:rsid w:val="3E7E20AF"/>
    <w:rsid w:val="3E921059"/>
    <w:rsid w:val="3EAB0654"/>
    <w:rsid w:val="3EB653A5"/>
    <w:rsid w:val="3ED21A36"/>
    <w:rsid w:val="3EDA7200"/>
    <w:rsid w:val="3F055FB6"/>
    <w:rsid w:val="3F102FD3"/>
    <w:rsid w:val="3F2A0CE1"/>
    <w:rsid w:val="3F3451E8"/>
    <w:rsid w:val="3F392370"/>
    <w:rsid w:val="3F4B392D"/>
    <w:rsid w:val="3F510FF0"/>
    <w:rsid w:val="3F550DDF"/>
    <w:rsid w:val="3F5A0932"/>
    <w:rsid w:val="3F5A79D4"/>
    <w:rsid w:val="3F6A7BC7"/>
    <w:rsid w:val="3F7625DE"/>
    <w:rsid w:val="3F7A243C"/>
    <w:rsid w:val="3F7D3A04"/>
    <w:rsid w:val="3F8103B0"/>
    <w:rsid w:val="3F9115F7"/>
    <w:rsid w:val="3FB93F1B"/>
    <w:rsid w:val="3FCF4454"/>
    <w:rsid w:val="3FD769D2"/>
    <w:rsid w:val="3FDF48AB"/>
    <w:rsid w:val="3FE93217"/>
    <w:rsid w:val="400C1979"/>
    <w:rsid w:val="401448AA"/>
    <w:rsid w:val="40341CFC"/>
    <w:rsid w:val="40371BBB"/>
    <w:rsid w:val="403958C2"/>
    <w:rsid w:val="40443A27"/>
    <w:rsid w:val="40443E3A"/>
    <w:rsid w:val="40660183"/>
    <w:rsid w:val="406A2B4A"/>
    <w:rsid w:val="407219A4"/>
    <w:rsid w:val="407B02FF"/>
    <w:rsid w:val="40940160"/>
    <w:rsid w:val="40A42690"/>
    <w:rsid w:val="40AE5488"/>
    <w:rsid w:val="40B80722"/>
    <w:rsid w:val="40B94373"/>
    <w:rsid w:val="40C45711"/>
    <w:rsid w:val="40CA623A"/>
    <w:rsid w:val="40E24A25"/>
    <w:rsid w:val="4106489D"/>
    <w:rsid w:val="413954C0"/>
    <w:rsid w:val="413D5606"/>
    <w:rsid w:val="414870D0"/>
    <w:rsid w:val="41625333"/>
    <w:rsid w:val="416B5486"/>
    <w:rsid w:val="41720FB5"/>
    <w:rsid w:val="41745CAA"/>
    <w:rsid w:val="417E786F"/>
    <w:rsid w:val="41AA10E2"/>
    <w:rsid w:val="41BE4262"/>
    <w:rsid w:val="41C573A0"/>
    <w:rsid w:val="41CF4659"/>
    <w:rsid w:val="41D73DBD"/>
    <w:rsid w:val="41DD28D2"/>
    <w:rsid w:val="41E222B8"/>
    <w:rsid w:val="41F82CC3"/>
    <w:rsid w:val="42114882"/>
    <w:rsid w:val="422C0FC2"/>
    <w:rsid w:val="424262E2"/>
    <w:rsid w:val="425E0D5F"/>
    <w:rsid w:val="426916E4"/>
    <w:rsid w:val="426A0607"/>
    <w:rsid w:val="427431DA"/>
    <w:rsid w:val="42810C5B"/>
    <w:rsid w:val="428421A2"/>
    <w:rsid w:val="42A01913"/>
    <w:rsid w:val="42BE672C"/>
    <w:rsid w:val="42C639DF"/>
    <w:rsid w:val="42D51CCF"/>
    <w:rsid w:val="42DF2CF8"/>
    <w:rsid w:val="42EA0750"/>
    <w:rsid w:val="42F064CD"/>
    <w:rsid w:val="42F51E2A"/>
    <w:rsid w:val="42F9266B"/>
    <w:rsid w:val="42FA1C9E"/>
    <w:rsid w:val="43051A19"/>
    <w:rsid w:val="43056584"/>
    <w:rsid w:val="43086250"/>
    <w:rsid w:val="430A1DED"/>
    <w:rsid w:val="430B6D2A"/>
    <w:rsid w:val="43151A23"/>
    <w:rsid w:val="43257B46"/>
    <w:rsid w:val="43393D47"/>
    <w:rsid w:val="43700037"/>
    <w:rsid w:val="437338D4"/>
    <w:rsid w:val="438E1AF3"/>
    <w:rsid w:val="43B014EA"/>
    <w:rsid w:val="43B300C6"/>
    <w:rsid w:val="43BB30E7"/>
    <w:rsid w:val="43EE749F"/>
    <w:rsid w:val="43F247FD"/>
    <w:rsid w:val="44046714"/>
    <w:rsid w:val="440946A0"/>
    <w:rsid w:val="4420119C"/>
    <w:rsid w:val="443641AB"/>
    <w:rsid w:val="44602824"/>
    <w:rsid w:val="446F1DF5"/>
    <w:rsid w:val="447B7107"/>
    <w:rsid w:val="448842C2"/>
    <w:rsid w:val="4492209A"/>
    <w:rsid w:val="44984C44"/>
    <w:rsid w:val="449951A2"/>
    <w:rsid w:val="449D6855"/>
    <w:rsid w:val="44A00DFA"/>
    <w:rsid w:val="44AE5BA8"/>
    <w:rsid w:val="44B953A2"/>
    <w:rsid w:val="44DD6165"/>
    <w:rsid w:val="44DF4F24"/>
    <w:rsid w:val="44EC0D85"/>
    <w:rsid w:val="44EE71ED"/>
    <w:rsid w:val="44F10215"/>
    <w:rsid w:val="44F37371"/>
    <w:rsid w:val="44F70203"/>
    <w:rsid w:val="44F85C75"/>
    <w:rsid w:val="452C1E2D"/>
    <w:rsid w:val="453F5AF5"/>
    <w:rsid w:val="45420063"/>
    <w:rsid w:val="454963B5"/>
    <w:rsid w:val="45585FB5"/>
    <w:rsid w:val="45707D2F"/>
    <w:rsid w:val="457E3819"/>
    <w:rsid w:val="45AC2D04"/>
    <w:rsid w:val="45B527CD"/>
    <w:rsid w:val="45C71C72"/>
    <w:rsid w:val="45CC116E"/>
    <w:rsid w:val="45CF467B"/>
    <w:rsid w:val="45D0250D"/>
    <w:rsid w:val="45DF536B"/>
    <w:rsid w:val="45E2142C"/>
    <w:rsid w:val="4602362B"/>
    <w:rsid w:val="460452C0"/>
    <w:rsid w:val="460B3044"/>
    <w:rsid w:val="460F35A6"/>
    <w:rsid w:val="4622545D"/>
    <w:rsid w:val="462B21DE"/>
    <w:rsid w:val="4661268E"/>
    <w:rsid w:val="466360D1"/>
    <w:rsid w:val="46744693"/>
    <w:rsid w:val="468912E7"/>
    <w:rsid w:val="469A4E75"/>
    <w:rsid w:val="46A2150C"/>
    <w:rsid w:val="46AF6218"/>
    <w:rsid w:val="46B300A5"/>
    <w:rsid w:val="46C8479A"/>
    <w:rsid w:val="46CB29C6"/>
    <w:rsid w:val="46DA3884"/>
    <w:rsid w:val="46FA471C"/>
    <w:rsid w:val="47105A2C"/>
    <w:rsid w:val="471167BF"/>
    <w:rsid w:val="474739E7"/>
    <w:rsid w:val="475F7BC8"/>
    <w:rsid w:val="4763708E"/>
    <w:rsid w:val="478A3340"/>
    <w:rsid w:val="479340D0"/>
    <w:rsid w:val="47A80CA8"/>
    <w:rsid w:val="47A854C0"/>
    <w:rsid w:val="47C87B80"/>
    <w:rsid w:val="47DA6AEB"/>
    <w:rsid w:val="47E67490"/>
    <w:rsid w:val="47E81664"/>
    <w:rsid w:val="47EA20A9"/>
    <w:rsid w:val="47F03219"/>
    <w:rsid w:val="47F4558A"/>
    <w:rsid w:val="480B1F68"/>
    <w:rsid w:val="48150BF2"/>
    <w:rsid w:val="482D0023"/>
    <w:rsid w:val="48360123"/>
    <w:rsid w:val="48423A86"/>
    <w:rsid w:val="484F4D91"/>
    <w:rsid w:val="48567212"/>
    <w:rsid w:val="48641B62"/>
    <w:rsid w:val="4864642A"/>
    <w:rsid w:val="4868684E"/>
    <w:rsid w:val="4880565F"/>
    <w:rsid w:val="4889572C"/>
    <w:rsid w:val="488C2F23"/>
    <w:rsid w:val="48A03392"/>
    <w:rsid w:val="48B70EAB"/>
    <w:rsid w:val="48BB416C"/>
    <w:rsid w:val="48C741B3"/>
    <w:rsid w:val="48C9510A"/>
    <w:rsid w:val="48DA2FD2"/>
    <w:rsid w:val="48FF1046"/>
    <w:rsid w:val="49016FEE"/>
    <w:rsid w:val="49262DB0"/>
    <w:rsid w:val="49317477"/>
    <w:rsid w:val="493262F7"/>
    <w:rsid w:val="49395702"/>
    <w:rsid w:val="493A685A"/>
    <w:rsid w:val="49413D11"/>
    <w:rsid w:val="49501565"/>
    <w:rsid w:val="495064B8"/>
    <w:rsid w:val="49696314"/>
    <w:rsid w:val="497E4F52"/>
    <w:rsid w:val="4989490B"/>
    <w:rsid w:val="49A536E4"/>
    <w:rsid w:val="49C85915"/>
    <w:rsid w:val="49D22A13"/>
    <w:rsid w:val="49DB7325"/>
    <w:rsid w:val="49DD5E53"/>
    <w:rsid w:val="49E22908"/>
    <w:rsid w:val="49EF513B"/>
    <w:rsid w:val="49F8747D"/>
    <w:rsid w:val="49F9128D"/>
    <w:rsid w:val="49FE1F7F"/>
    <w:rsid w:val="4A010C5E"/>
    <w:rsid w:val="4A0B7111"/>
    <w:rsid w:val="4A0D31F6"/>
    <w:rsid w:val="4A107AB9"/>
    <w:rsid w:val="4A275032"/>
    <w:rsid w:val="4A280DAA"/>
    <w:rsid w:val="4A370B61"/>
    <w:rsid w:val="4A5F6F31"/>
    <w:rsid w:val="4A6F4956"/>
    <w:rsid w:val="4A7051E7"/>
    <w:rsid w:val="4A9072A5"/>
    <w:rsid w:val="4A961E26"/>
    <w:rsid w:val="4AF60CDA"/>
    <w:rsid w:val="4B05525D"/>
    <w:rsid w:val="4B1A4B97"/>
    <w:rsid w:val="4B2C03E0"/>
    <w:rsid w:val="4B4256DB"/>
    <w:rsid w:val="4B5E51C5"/>
    <w:rsid w:val="4B5F07FC"/>
    <w:rsid w:val="4B685E4C"/>
    <w:rsid w:val="4B7C2A13"/>
    <w:rsid w:val="4B801870"/>
    <w:rsid w:val="4B910BE2"/>
    <w:rsid w:val="4BA00751"/>
    <w:rsid w:val="4BA97CC9"/>
    <w:rsid w:val="4BEB349F"/>
    <w:rsid w:val="4BEE5272"/>
    <w:rsid w:val="4BEF0248"/>
    <w:rsid w:val="4BF05E48"/>
    <w:rsid w:val="4BF40287"/>
    <w:rsid w:val="4C063EEA"/>
    <w:rsid w:val="4C1272BD"/>
    <w:rsid w:val="4C1669BD"/>
    <w:rsid w:val="4C1E65A9"/>
    <w:rsid w:val="4C201F23"/>
    <w:rsid w:val="4C2C7498"/>
    <w:rsid w:val="4C561BFF"/>
    <w:rsid w:val="4C6A5C65"/>
    <w:rsid w:val="4C71401F"/>
    <w:rsid w:val="4C93501C"/>
    <w:rsid w:val="4CA06BAF"/>
    <w:rsid w:val="4CA51360"/>
    <w:rsid w:val="4CA76E87"/>
    <w:rsid w:val="4CB44BC1"/>
    <w:rsid w:val="4CBD57DA"/>
    <w:rsid w:val="4CC920D2"/>
    <w:rsid w:val="4CDB4ABF"/>
    <w:rsid w:val="4CE03F4C"/>
    <w:rsid w:val="4CE97FF1"/>
    <w:rsid w:val="4CEF6F61"/>
    <w:rsid w:val="4CF82CB6"/>
    <w:rsid w:val="4CFF6D14"/>
    <w:rsid w:val="4D080676"/>
    <w:rsid w:val="4D0E652F"/>
    <w:rsid w:val="4D1A69ED"/>
    <w:rsid w:val="4D1F79D9"/>
    <w:rsid w:val="4D304A81"/>
    <w:rsid w:val="4D4E0DBF"/>
    <w:rsid w:val="4D5F184D"/>
    <w:rsid w:val="4D8207D1"/>
    <w:rsid w:val="4D872151"/>
    <w:rsid w:val="4D9E22B4"/>
    <w:rsid w:val="4DA36597"/>
    <w:rsid w:val="4DA82AD1"/>
    <w:rsid w:val="4DCE4889"/>
    <w:rsid w:val="4DD54DA5"/>
    <w:rsid w:val="4DD85964"/>
    <w:rsid w:val="4DE87300"/>
    <w:rsid w:val="4DF928A0"/>
    <w:rsid w:val="4DFF0074"/>
    <w:rsid w:val="4E0058FE"/>
    <w:rsid w:val="4E005F4E"/>
    <w:rsid w:val="4E173610"/>
    <w:rsid w:val="4E1C76B3"/>
    <w:rsid w:val="4E1E4977"/>
    <w:rsid w:val="4E1E55FB"/>
    <w:rsid w:val="4E2D1DF5"/>
    <w:rsid w:val="4E3468C2"/>
    <w:rsid w:val="4E4A44D4"/>
    <w:rsid w:val="4E51661F"/>
    <w:rsid w:val="4E5D5F89"/>
    <w:rsid w:val="4E5E31B4"/>
    <w:rsid w:val="4E604CCE"/>
    <w:rsid w:val="4E736BF3"/>
    <w:rsid w:val="4E750330"/>
    <w:rsid w:val="4E864F04"/>
    <w:rsid w:val="4EAB2A55"/>
    <w:rsid w:val="4EB26E94"/>
    <w:rsid w:val="4EB37903"/>
    <w:rsid w:val="4EF115A7"/>
    <w:rsid w:val="4EFE2294"/>
    <w:rsid w:val="4F2002A2"/>
    <w:rsid w:val="4F244950"/>
    <w:rsid w:val="4F253B0A"/>
    <w:rsid w:val="4F2641FA"/>
    <w:rsid w:val="4F3A50A9"/>
    <w:rsid w:val="4F3C5CC4"/>
    <w:rsid w:val="4F3D0FCC"/>
    <w:rsid w:val="4F552641"/>
    <w:rsid w:val="4F555893"/>
    <w:rsid w:val="4F6708F1"/>
    <w:rsid w:val="4F6A0C49"/>
    <w:rsid w:val="4F6D59B7"/>
    <w:rsid w:val="4F7D432C"/>
    <w:rsid w:val="4F844033"/>
    <w:rsid w:val="4F9118B2"/>
    <w:rsid w:val="4F976143"/>
    <w:rsid w:val="4F9F1B0F"/>
    <w:rsid w:val="4FA82DCF"/>
    <w:rsid w:val="4FB1128B"/>
    <w:rsid w:val="4FBA4E1A"/>
    <w:rsid w:val="4FCE41A2"/>
    <w:rsid w:val="4FFA2738"/>
    <w:rsid w:val="5008120E"/>
    <w:rsid w:val="500A7B34"/>
    <w:rsid w:val="502668E6"/>
    <w:rsid w:val="50566020"/>
    <w:rsid w:val="506231B6"/>
    <w:rsid w:val="50697A27"/>
    <w:rsid w:val="50702826"/>
    <w:rsid w:val="507C0296"/>
    <w:rsid w:val="50811E37"/>
    <w:rsid w:val="5086484A"/>
    <w:rsid w:val="50C0182B"/>
    <w:rsid w:val="50D47378"/>
    <w:rsid w:val="50D75B26"/>
    <w:rsid w:val="50DD28EE"/>
    <w:rsid w:val="50E045C3"/>
    <w:rsid w:val="51052260"/>
    <w:rsid w:val="51131682"/>
    <w:rsid w:val="51157F18"/>
    <w:rsid w:val="51181B78"/>
    <w:rsid w:val="511F6EC6"/>
    <w:rsid w:val="5144296E"/>
    <w:rsid w:val="51450BCF"/>
    <w:rsid w:val="51462732"/>
    <w:rsid w:val="514C3DA9"/>
    <w:rsid w:val="51534166"/>
    <w:rsid w:val="516312BB"/>
    <w:rsid w:val="51736E62"/>
    <w:rsid w:val="51741CF3"/>
    <w:rsid w:val="5192567D"/>
    <w:rsid w:val="51A04BBA"/>
    <w:rsid w:val="51A628FD"/>
    <w:rsid w:val="51BB5288"/>
    <w:rsid w:val="51D23ED8"/>
    <w:rsid w:val="51D57A6A"/>
    <w:rsid w:val="51DB7702"/>
    <w:rsid w:val="51F268BF"/>
    <w:rsid w:val="51F44C38"/>
    <w:rsid w:val="52141152"/>
    <w:rsid w:val="52160113"/>
    <w:rsid w:val="521777A6"/>
    <w:rsid w:val="521930C4"/>
    <w:rsid w:val="521A37B8"/>
    <w:rsid w:val="522C241B"/>
    <w:rsid w:val="52326F04"/>
    <w:rsid w:val="523B3C84"/>
    <w:rsid w:val="5244074B"/>
    <w:rsid w:val="52516D5A"/>
    <w:rsid w:val="52570DC4"/>
    <w:rsid w:val="526B51B3"/>
    <w:rsid w:val="527231B5"/>
    <w:rsid w:val="527425EB"/>
    <w:rsid w:val="528E4655"/>
    <w:rsid w:val="52980664"/>
    <w:rsid w:val="529E60AD"/>
    <w:rsid w:val="52A23419"/>
    <w:rsid w:val="52B00A8A"/>
    <w:rsid w:val="52B95CB6"/>
    <w:rsid w:val="52B96A43"/>
    <w:rsid w:val="52C5622A"/>
    <w:rsid w:val="52D76880"/>
    <w:rsid w:val="52DD1E7D"/>
    <w:rsid w:val="52EF59FF"/>
    <w:rsid w:val="52FC75C6"/>
    <w:rsid w:val="53046490"/>
    <w:rsid w:val="53046EBC"/>
    <w:rsid w:val="530E2317"/>
    <w:rsid w:val="531A7FEC"/>
    <w:rsid w:val="5348548E"/>
    <w:rsid w:val="536566AA"/>
    <w:rsid w:val="53674484"/>
    <w:rsid w:val="53746077"/>
    <w:rsid w:val="538A40A0"/>
    <w:rsid w:val="53905A1E"/>
    <w:rsid w:val="53B04B5B"/>
    <w:rsid w:val="53B2737E"/>
    <w:rsid w:val="53B62D6E"/>
    <w:rsid w:val="53C540FE"/>
    <w:rsid w:val="53E11927"/>
    <w:rsid w:val="53E753A4"/>
    <w:rsid w:val="5401349C"/>
    <w:rsid w:val="541D1A0B"/>
    <w:rsid w:val="542F101F"/>
    <w:rsid w:val="54425DEA"/>
    <w:rsid w:val="545B7CF6"/>
    <w:rsid w:val="54694499"/>
    <w:rsid w:val="546A14DE"/>
    <w:rsid w:val="546A2443"/>
    <w:rsid w:val="54724D53"/>
    <w:rsid w:val="5497250C"/>
    <w:rsid w:val="54A4435C"/>
    <w:rsid w:val="54AB647D"/>
    <w:rsid w:val="54BF407E"/>
    <w:rsid w:val="54CA5FC1"/>
    <w:rsid w:val="54DD3465"/>
    <w:rsid w:val="54E94215"/>
    <w:rsid w:val="54F577E0"/>
    <w:rsid w:val="54F74C0E"/>
    <w:rsid w:val="55182B94"/>
    <w:rsid w:val="553146FF"/>
    <w:rsid w:val="553239CD"/>
    <w:rsid w:val="55334A1F"/>
    <w:rsid w:val="55493503"/>
    <w:rsid w:val="556038B3"/>
    <w:rsid w:val="55675A65"/>
    <w:rsid w:val="556D130B"/>
    <w:rsid w:val="55B8083D"/>
    <w:rsid w:val="55BF706D"/>
    <w:rsid w:val="55CB1777"/>
    <w:rsid w:val="55CC11BF"/>
    <w:rsid w:val="55CF62E7"/>
    <w:rsid w:val="55D500A0"/>
    <w:rsid w:val="55E370EB"/>
    <w:rsid w:val="55E9277A"/>
    <w:rsid w:val="55EC03E1"/>
    <w:rsid w:val="561F12B3"/>
    <w:rsid w:val="564415B7"/>
    <w:rsid w:val="564E3B65"/>
    <w:rsid w:val="565040CD"/>
    <w:rsid w:val="565A7FF6"/>
    <w:rsid w:val="56775B43"/>
    <w:rsid w:val="567E6227"/>
    <w:rsid w:val="56955C1A"/>
    <w:rsid w:val="569D022A"/>
    <w:rsid w:val="569F3B79"/>
    <w:rsid w:val="56C342DA"/>
    <w:rsid w:val="56D022AC"/>
    <w:rsid w:val="56D85616"/>
    <w:rsid w:val="56D9158D"/>
    <w:rsid w:val="56DF2A7B"/>
    <w:rsid w:val="57061A33"/>
    <w:rsid w:val="571050A0"/>
    <w:rsid w:val="57121C44"/>
    <w:rsid w:val="57151340"/>
    <w:rsid w:val="5718165F"/>
    <w:rsid w:val="5718173F"/>
    <w:rsid w:val="57480104"/>
    <w:rsid w:val="5750549E"/>
    <w:rsid w:val="575532DC"/>
    <w:rsid w:val="57657F14"/>
    <w:rsid w:val="57694DF1"/>
    <w:rsid w:val="578563BE"/>
    <w:rsid w:val="57932743"/>
    <w:rsid w:val="57A90B07"/>
    <w:rsid w:val="57AF5964"/>
    <w:rsid w:val="57CD2218"/>
    <w:rsid w:val="57EA58F1"/>
    <w:rsid w:val="57EF30F3"/>
    <w:rsid w:val="5825158A"/>
    <w:rsid w:val="58433C79"/>
    <w:rsid w:val="58491C15"/>
    <w:rsid w:val="586D7FC9"/>
    <w:rsid w:val="58717132"/>
    <w:rsid w:val="58815DB2"/>
    <w:rsid w:val="58871D81"/>
    <w:rsid w:val="58980BBF"/>
    <w:rsid w:val="58B02697"/>
    <w:rsid w:val="58B24D7A"/>
    <w:rsid w:val="58D2260D"/>
    <w:rsid w:val="58DE5AF7"/>
    <w:rsid w:val="58FB447A"/>
    <w:rsid w:val="5906675A"/>
    <w:rsid w:val="59081510"/>
    <w:rsid w:val="590D3DD6"/>
    <w:rsid w:val="59107A4D"/>
    <w:rsid w:val="59227260"/>
    <w:rsid w:val="592C6B6A"/>
    <w:rsid w:val="593D0D6B"/>
    <w:rsid w:val="595125CD"/>
    <w:rsid w:val="5952141D"/>
    <w:rsid w:val="59980B06"/>
    <w:rsid w:val="59AA0885"/>
    <w:rsid w:val="59B031A1"/>
    <w:rsid w:val="59C21262"/>
    <w:rsid w:val="59CE648E"/>
    <w:rsid w:val="59D17C45"/>
    <w:rsid w:val="59DA1B4A"/>
    <w:rsid w:val="59DD0A71"/>
    <w:rsid w:val="59EA1BD8"/>
    <w:rsid w:val="59EC606D"/>
    <w:rsid w:val="59FC2BF6"/>
    <w:rsid w:val="5A1912E0"/>
    <w:rsid w:val="5A214B05"/>
    <w:rsid w:val="5A282DA4"/>
    <w:rsid w:val="5A2C5F75"/>
    <w:rsid w:val="5A3E0E50"/>
    <w:rsid w:val="5A4D7FA9"/>
    <w:rsid w:val="5A526F8A"/>
    <w:rsid w:val="5A553936"/>
    <w:rsid w:val="5A5619B9"/>
    <w:rsid w:val="5A5E2C2B"/>
    <w:rsid w:val="5A6C24FD"/>
    <w:rsid w:val="5A7D7624"/>
    <w:rsid w:val="5A7F430C"/>
    <w:rsid w:val="5A7F66E2"/>
    <w:rsid w:val="5A945187"/>
    <w:rsid w:val="5A9E45A5"/>
    <w:rsid w:val="5AAA108F"/>
    <w:rsid w:val="5AC61FD5"/>
    <w:rsid w:val="5AD661CE"/>
    <w:rsid w:val="5ADA0F02"/>
    <w:rsid w:val="5B32772E"/>
    <w:rsid w:val="5B3637CA"/>
    <w:rsid w:val="5B587F0B"/>
    <w:rsid w:val="5B6756B6"/>
    <w:rsid w:val="5B7D0F64"/>
    <w:rsid w:val="5B9A0E4F"/>
    <w:rsid w:val="5B9B13DC"/>
    <w:rsid w:val="5B9F3FC0"/>
    <w:rsid w:val="5BA02CB6"/>
    <w:rsid w:val="5BB35701"/>
    <w:rsid w:val="5BB64E29"/>
    <w:rsid w:val="5BCD618D"/>
    <w:rsid w:val="5BE12B92"/>
    <w:rsid w:val="5BE408F4"/>
    <w:rsid w:val="5BFB2CE3"/>
    <w:rsid w:val="5C011709"/>
    <w:rsid w:val="5C0D3499"/>
    <w:rsid w:val="5C1B076F"/>
    <w:rsid w:val="5C232C08"/>
    <w:rsid w:val="5C28185A"/>
    <w:rsid w:val="5C307698"/>
    <w:rsid w:val="5C366765"/>
    <w:rsid w:val="5C3F1CB3"/>
    <w:rsid w:val="5C615AFD"/>
    <w:rsid w:val="5C6D53D4"/>
    <w:rsid w:val="5C781762"/>
    <w:rsid w:val="5C7E7484"/>
    <w:rsid w:val="5C806334"/>
    <w:rsid w:val="5C8B7939"/>
    <w:rsid w:val="5C954DB9"/>
    <w:rsid w:val="5C972CCE"/>
    <w:rsid w:val="5C9D1184"/>
    <w:rsid w:val="5CA377FF"/>
    <w:rsid w:val="5CBA16BC"/>
    <w:rsid w:val="5CBA1F3C"/>
    <w:rsid w:val="5CCC2B8B"/>
    <w:rsid w:val="5CD56B70"/>
    <w:rsid w:val="5CEB18E4"/>
    <w:rsid w:val="5D011940"/>
    <w:rsid w:val="5D143F1F"/>
    <w:rsid w:val="5D193E77"/>
    <w:rsid w:val="5D224E46"/>
    <w:rsid w:val="5D28110F"/>
    <w:rsid w:val="5D2C365B"/>
    <w:rsid w:val="5D3F223B"/>
    <w:rsid w:val="5D6014DA"/>
    <w:rsid w:val="5D7E0127"/>
    <w:rsid w:val="5DA70882"/>
    <w:rsid w:val="5DAC3BB4"/>
    <w:rsid w:val="5DAC751D"/>
    <w:rsid w:val="5DB11C44"/>
    <w:rsid w:val="5DB71063"/>
    <w:rsid w:val="5DB96B8F"/>
    <w:rsid w:val="5DBC440C"/>
    <w:rsid w:val="5DBE42BC"/>
    <w:rsid w:val="5DD17043"/>
    <w:rsid w:val="5DD52B10"/>
    <w:rsid w:val="5DE45069"/>
    <w:rsid w:val="5E0A45F7"/>
    <w:rsid w:val="5E1C5779"/>
    <w:rsid w:val="5E20006B"/>
    <w:rsid w:val="5E24062F"/>
    <w:rsid w:val="5E2750A8"/>
    <w:rsid w:val="5E2C27BF"/>
    <w:rsid w:val="5E330C9A"/>
    <w:rsid w:val="5E371164"/>
    <w:rsid w:val="5E443FAD"/>
    <w:rsid w:val="5E5D71B2"/>
    <w:rsid w:val="5E67680B"/>
    <w:rsid w:val="5E6957C1"/>
    <w:rsid w:val="5E6B4F75"/>
    <w:rsid w:val="5E6C51E3"/>
    <w:rsid w:val="5E7972C2"/>
    <w:rsid w:val="5E8343A9"/>
    <w:rsid w:val="5E884F6C"/>
    <w:rsid w:val="5E890176"/>
    <w:rsid w:val="5EB1551F"/>
    <w:rsid w:val="5EC829CE"/>
    <w:rsid w:val="5ED67185"/>
    <w:rsid w:val="5EDC4F21"/>
    <w:rsid w:val="5EDE6FD5"/>
    <w:rsid w:val="5EFB72E8"/>
    <w:rsid w:val="5EFC12F0"/>
    <w:rsid w:val="5F4D2014"/>
    <w:rsid w:val="5F5503CB"/>
    <w:rsid w:val="5F722D9D"/>
    <w:rsid w:val="5F8E4C48"/>
    <w:rsid w:val="5FA6034F"/>
    <w:rsid w:val="5FB05D84"/>
    <w:rsid w:val="5FB41476"/>
    <w:rsid w:val="5FBC2F89"/>
    <w:rsid w:val="5FC17F4A"/>
    <w:rsid w:val="5FCC0233"/>
    <w:rsid w:val="5FEF3C20"/>
    <w:rsid w:val="5FFE1F39"/>
    <w:rsid w:val="6057093B"/>
    <w:rsid w:val="60657F73"/>
    <w:rsid w:val="6072391C"/>
    <w:rsid w:val="608C09CC"/>
    <w:rsid w:val="6093641D"/>
    <w:rsid w:val="60A46F85"/>
    <w:rsid w:val="60A70823"/>
    <w:rsid w:val="60AF592A"/>
    <w:rsid w:val="60B23384"/>
    <w:rsid w:val="60B25161"/>
    <w:rsid w:val="60CE53AD"/>
    <w:rsid w:val="60EC786E"/>
    <w:rsid w:val="60F33C49"/>
    <w:rsid w:val="60FD486C"/>
    <w:rsid w:val="61030D40"/>
    <w:rsid w:val="61076609"/>
    <w:rsid w:val="61191014"/>
    <w:rsid w:val="612F206D"/>
    <w:rsid w:val="616F46AA"/>
    <w:rsid w:val="6173114C"/>
    <w:rsid w:val="61795E04"/>
    <w:rsid w:val="61806B44"/>
    <w:rsid w:val="619A1E28"/>
    <w:rsid w:val="619B6FBD"/>
    <w:rsid w:val="61A77F03"/>
    <w:rsid w:val="61C81920"/>
    <w:rsid w:val="61CB3AB7"/>
    <w:rsid w:val="61D80792"/>
    <w:rsid w:val="61F950AE"/>
    <w:rsid w:val="62097D6C"/>
    <w:rsid w:val="620F274F"/>
    <w:rsid w:val="620F2F3D"/>
    <w:rsid w:val="62130887"/>
    <w:rsid w:val="62174B3C"/>
    <w:rsid w:val="62193481"/>
    <w:rsid w:val="621D60E5"/>
    <w:rsid w:val="6223250F"/>
    <w:rsid w:val="622556AB"/>
    <w:rsid w:val="62302FAB"/>
    <w:rsid w:val="62443AEA"/>
    <w:rsid w:val="6249190A"/>
    <w:rsid w:val="625422E5"/>
    <w:rsid w:val="62614A02"/>
    <w:rsid w:val="62657700"/>
    <w:rsid w:val="62663F42"/>
    <w:rsid w:val="627A2410"/>
    <w:rsid w:val="62851A1E"/>
    <w:rsid w:val="6288574D"/>
    <w:rsid w:val="62901A72"/>
    <w:rsid w:val="62921585"/>
    <w:rsid w:val="62944DD7"/>
    <w:rsid w:val="62993A6D"/>
    <w:rsid w:val="629E1E8B"/>
    <w:rsid w:val="62AD2705"/>
    <w:rsid w:val="62B327A2"/>
    <w:rsid w:val="62C63284"/>
    <w:rsid w:val="62C70889"/>
    <w:rsid w:val="62CA522E"/>
    <w:rsid w:val="62D46981"/>
    <w:rsid w:val="62DF2AF1"/>
    <w:rsid w:val="62ED4B7F"/>
    <w:rsid w:val="62EF7837"/>
    <w:rsid w:val="62F556F2"/>
    <w:rsid w:val="62FB4919"/>
    <w:rsid w:val="62FE122B"/>
    <w:rsid w:val="63190E8D"/>
    <w:rsid w:val="631F104A"/>
    <w:rsid w:val="63894886"/>
    <w:rsid w:val="639029F1"/>
    <w:rsid w:val="6397657F"/>
    <w:rsid w:val="63A27EE2"/>
    <w:rsid w:val="63AB7308"/>
    <w:rsid w:val="63C141F3"/>
    <w:rsid w:val="63CE4B63"/>
    <w:rsid w:val="63D2121D"/>
    <w:rsid w:val="63D278A5"/>
    <w:rsid w:val="63DC6A36"/>
    <w:rsid w:val="63DF6203"/>
    <w:rsid w:val="63E1229E"/>
    <w:rsid w:val="640D19A6"/>
    <w:rsid w:val="641E20A6"/>
    <w:rsid w:val="64356146"/>
    <w:rsid w:val="645424A2"/>
    <w:rsid w:val="645B252F"/>
    <w:rsid w:val="646D65C4"/>
    <w:rsid w:val="647C40B5"/>
    <w:rsid w:val="648119B1"/>
    <w:rsid w:val="6482125C"/>
    <w:rsid w:val="648E1A7B"/>
    <w:rsid w:val="64972016"/>
    <w:rsid w:val="649B6691"/>
    <w:rsid w:val="64B452FA"/>
    <w:rsid w:val="64BC01A3"/>
    <w:rsid w:val="64BF017C"/>
    <w:rsid w:val="64C24C90"/>
    <w:rsid w:val="64C82C14"/>
    <w:rsid w:val="64D15BAB"/>
    <w:rsid w:val="64EF6307"/>
    <w:rsid w:val="64FC578C"/>
    <w:rsid w:val="65145A7C"/>
    <w:rsid w:val="651F6583"/>
    <w:rsid w:val="65366619"/>
    <w:rsid w:val="65446FC4"/>
    <w:rsid w:val="656A35C0"/>
    <w:rsid w:val="656A6202"/>
    <w:rsid w:val="657D1B52"/>
    <w:rsid w:val="658519D0"/>
    <w:rsid w:val="65927D34"/>
    <w:rsid w:val="65985C9F"/>
    <w:rsid w:val="65A35A3C"/>
    <w:rsid w:val="65AA2E49"/>
    <w:rsid w:val="65B54E50"/>
    <w:rsid w:val="65C0444E"/>
    <w:rsid w:val="65C80937"/>
    <w:rsid w:val="65D224B2"/>
    <w:rsid w:val="65E84C2E"/>
    <w:rsid w:val="66101584"/>
    <w:rsid w:val="661A6460"/>
    <w:rsid w:val="66277C26"/>
    <w:rsid w:val="6628010E"/>
    <w:rsid w:val="6663672C"/>
    <w:rsid w:val="666E3230"/>
    <w:rsid w:val="667271DD"/>
    <w:rsid w:val="667C21B8"/>
    <w:rsid w:val="668D2F14"/>
    <w:rsid w:val="669A0623"/>
    <w:rsid w:val="669B1CF1"/>
    <w:rsid w:val="66A952AF"/>
    <w:rsid w:val="66B16CEE"/>
    <w:rsid w:val="66B372BF"/>
    <w:rsid w:val="66C74D72"/>
    <w:rsid w:val="66D4191C"/>
    <w:rsid w:val="66D659BE"/>
    <w:rsid w:val="66D948E5"/>
    <w:rsid w:val="66E856F1"/>
    <w:rsid w:val="66F870C7"/>
    <w:rsid w:val="67067B21"/>
    <w:rsid w:val="67073E8E"/>
    <w:rsid w:val="67173D76"/>
    <w:rsid w:val="67272FC4"/>
    <w:rsid w:val="672901E4"/>
    <w:rsid w:val="673C29B5"/>
    <w:rsid w:val="675A20F8"/>
    <w:rsid w:val="676A75D7"/>
    <w:rsid w:val="67791DBA"/>
    <w:rsid w:val="67862761"/>
    <w:rsid w:val="678C0773"/>
    <w:rsid w:val="67A11C38"/>
    <w:rsid w:val="67A143BE"/>
    <w:rsid w:val="67AD1F37"/>
    <w:rsid w:val="67E1553D"/>
    <w:rsid w:val="67F53513"/>
    <w:rsid w:val="67FC35EF"/>
    <w:rsid w:val="67FE706C"/>
    <w:rsid w:val="680C0830"/>
    <w:rsid w:val="68186309"/>
    <w:rsid w:val="681A4AE4"/>
    <w:rsid w:val="682012A7"/>
    <w:rsid w:val="68271D3E"/>
    <w:rsid w:val="68286058"/>
    <w:rsid w:val="683F4623"/>
    <w:rsid w:val="6844270A"/>
    <w:rsid w:val="684626D0"/>
    <w:rsid w:val="685A3EAF"/>
    <w:rsid w:val="68660FC4"/>
    <w:rsid w:val="68667859"/>
    <w:rsid w:val="687E69F5"/>
    <w:rsid w:val="688054DA"/>
    <w:rsid w:val="68830936"/>
    <w:rsid w:val="689842E3"/>
    <w:rsid w:val="68AD7B25"/>
    <w:rsid w:val="68D05299"/>
    <w:rsid w:val="68F71159"/>
    <w:rsid w:val="69023E80"/>
    <w:rsid w:val="69056655"/>
    <w:rsid w:val="6906476D"/>
    <w:rsid w:val="690E3970"/>
    <w:rsid w:val="6911462C"/>
    <w:rsid w:val="69123344"/>
    <w:rsid w:val="69157DBE"/>
    <w:rsid w:val="69171338"/>
    <w:rsid w:val="69326075"/>
    <w:rsid w:val="69423514"/>
    <w:rsid w:val="696A1F0B"/>
    <w:rsid w:val="69AC5B30"/>
    <w:rsid w:val="69CC230D"/>
    <w:rsid w:val="69D07806"/>
    <w:rsid w:val="69DC264F"/>
    <w:rsid w:val="69E71C90"/>
    <w:rsid w:val="69FB15E6"/>
    <w:rsid w:val="6A120704"/>
    <w:rsid w:val="6A14743F"/>
    <w:rsid w:val="6A1D08DA"/>
    <w:rsid w:val="6A1E3426"/>
    <w:rsid w:val="6A2415BB"/>
    <w:rsid w:val="6A3C2921"/>
    <w:rsid w:val="6A43279A"/>
    <w:rsid w:val="6A4F2E08"/>
    <w:rsid w:val="6A525342"/>
    <w:rsid w:val="6A6B6231"/>
    <w:rsid w:val="6A6D4349"/>
    <w:rsid w:val="6A75360F"/>
    <w:rsid w:val="6A763E0C"/>
    <w:rsid w:val="6A7C1DD5"/>
    <w:rsid w:val="6A8B036D"/>
    <w:rsid w:val="6A9F33CB"/>
    <w:rsid w:val="6ABE6B6C"/>
    <w:rsid w:val="6ADF349C"/>
    <w:rsid w:val="6AE80356"/>
    <w:rsid w:val="6B0101EF"/>
    <w:rsid w:val="6B086419"/>
    <w:rsid w:val="6B0F5D8B"/>
    <w:rsid w:val="6B123573"/>
    <w:rsid w:val="6B1B0FC1"/>
    <w:rsid w:val="6B3C0417"/>
    <w:rsid w:val="6B4660B0"/>
    <w:rsid w:val="6B52332F"/>
    <w:rsid w:val="6B6C74BF"/>
    <w:rsid w:val="6B7D3653"/>
    <w:rsid w:val="6B8135C0"/>
    <w:rsid w:val="6B8B63A0"/>
    <w:rsid w:val="6B981494"/>
    <w:rsid w:val="6B9F6CC6"/>
    <w:rsid w:val="6BA35608"/>
    <w:rsid w:val="6BCE3108"/>
    <w:rsid w:val="6BD759FB"/>
    <w:rsid w:val="6BE63056"/>
    <w:rsid w:val="6C02457A"/>
    <w:rsid w:val="6C0E1756"/>
    <w:rsid w:val="6C1F5711"/>
    <w:rsid w:val="6C3A15ED"/>
    <w:rsid w:val="6C3F748A"/>
    <w:rsid w:val="6C4B4D1D"/>
    <w:rsid w:val="6C541E33"/>
    <w:rsid w:val="6C7019FC"/>
    <w:rsid w:val="6CA65875"/>
    <w:rsid w:val="6CBC7B67"/>
    <w:rsid w:val="6CF02AFE"/>
    <w:rsid w:val="6D07702B"/>
    <w:rsid w:val="6D1D7558"/>
    <w:rsid w:val="6D1F1FA6"/>
    <w:rsid w:val="6D3656D5"/>
    <w:rsid w:val="6D612961"/>
    <w:rsid w:val="6D853509"/>
    <w:rsid w:val="6D87364A"/>
    <w:rsid w:val="6D8F56B8"/>
    <w:rsid w:val="6D9602E3"/>
    <w:rsid w:val="6DAC5E03"/>
    <w:rsid w:val="6DB1683D"/>
    <w:rsid w:val="6DC11193"/>
    <w:rsid w:val="6DD45E5C"/>
    <w:rsid w:val="6DDE339C"/>
    <w:rsid w:val="6DF06210"/>
    <w:rsid w:val="6DFE07C3"/>
    <w:rsid w:val="6E134745"/>
    <w:rsid w:val="6E1E5D22"/>
    <w:rsid w:val="6E282A58"/>
    <w:rsid w:val="6E2E0FF3"/>
    <w:rsid w:val="6E4226CA"/>
    <w:rsid w:val="6E4D3473"/>
    <w:rsid w:val="6E5D6FD3"/>
    <w:rsid w:val="6E9150D1"/>
    <w:rsid w:val="6E962CB7"/>
    <w:rsid w:val="6EA061C4"/>
    <w:rsid w:val="6EB604E9"/>
    <w:rsid w:val="6EB97316"/>
    <w:rsid w:val="6EC26051"/>
    <w:rsid w:val="6ED17F7B"/>
    <w:rsid w:val="6EF230E7"/>
    <w:rsid w:val="6EF331DF"/>
    <w:rsid w:val="6EF73B48"/>
    <w:rsid w:val="6F1644DA"/>
    <w:rsid w:val="6F1B6FAE"/>
    <w:rsid w:val="6F1C059F"/>
    <w:rsid w:val="6F351AC0"/>
    <w:rsid w:val="6F3E18D2"/>
    <w:rsid w:val="6F4827BD"/>
    <w:rsid w:val="6F586DD7"/>
    <w:rsid w:val="6F593630"/>
    <w:rsid w:val="6F660969"/>
    <w:rsid w:val="6F7F4577"/>
    <w:rsid w:val="6F84369C"/>
    <w:rsid w:val="6FA93431"/>
    <w:rsid w:val="6FB547C6"/>
    <w:rsid w:val="6FC45BC2"/>
    <w:rsid w:val="6FCE6A7E"/>
    <w:rsid w:val="6FDA0599"/>
    <w:rsid w:val="6FDE6462"/>
    <w:rsid w:val="6FEA072C"/>
    <w:rsid w:val="6FEC464E"/>
    <w:rsid w:val="7002394D"/>
    <w:rsid w:val="701E457C"/>
    <w:rsid w:val="70311EB7"/>
    <w:rsid w:val="70433074"/>
    <w:rsid w:val="704B63FE"/>
    <w:rsid w:val="704C6CF1"/>
    <w:rsid w:val="704C7443"/>
    <w:rsid w:val="704E6C7C"/>
    <w:rsid w:val="706C7393"/>
    <w:rsid w:val="70761BCA"/>
    <w:rsid w:val="707E5E7F"/>
    <w:rsid w:val="70800CBB"/>
    <w:rsid w:val="7087028F"/>
    <w:rsid w:val="709341D4"/>
    <w:rsid w:val="70983011"/>
    <w:rsid w:val="70A9339C"/>
    <w:rsid w:val="70B522B7"/>
    <w:rsid w:val="70C30FEE"/>
    <w:rsid w:val="70C60603"/>
    <w:rsid w:val="70D50C8E"/>
    <w:rsid w:val="70D7175E"/>
    <w:rsid w:val="70E344D6"/>
    <w:rsid w:val="70EE0556"/>
    <w:rsid w:val="710870BC"/>
    <w:rsid w:val="7127038C"/>
    <w:rsid w:val="7127492C"/>
    <w:rsid w:val="71535E5D"/>
    <w:rsid w:val="717D5B15"/>
    <w:rsid w:val="718C3C89"/>
    <w:rsid w:val="71AA1F21"/>
    <w:rsid w:val="71B85C43"/>
    <w:rsid w:val="71CD5C10"/>
    <w:rsid w:val="71DD5B74"/>
    <w:rsid w:val="71E50B12"/>
    <w:rsid w:val="71F00B20"/>
    <w:rsid w:val="71F073B4"/>
    <w:rsid w:val="71F74911"/>
    <w:rsid w:val="71F97A29"/>
    <w:rsid w:val="720541F1"/>
    <w:rsid w:val="721320F1"/>
    <w:rsid w:val="721A18EF"/>
    <w:rsid w:val="721E3078"/>
    <w:rsid w:val="7226184F"/>
    <w:rsid w:val="72350312"/>
    <w:rsid w:val="726952B6"/>
    <w:rsid w:val="726C0DB7"/>
    <w:rsid w:val="726F79A2"/>
    <w:rsid w:val="727B566C"/>
    <w:rsid w:val="727E5912"/>
    <w:rsid w:val="728E4BB4"/>
    <w:rsid w:val="729F135A"/>
    <w:rsid w:val="72A5098F"/>
    <w:rsid w:val="72A70802"/>
    <w:rsid w:val="72AA4794"/>
    <w:rsid w:val="72C90440"/>
    <w:rsid w:val="72E05308"/>
    <w:rsid w:val="72F91F4A"/>
    <w:rsid w:val="72FA03AB"/>
    <w:rsid w:val="731A2A3A"/>
    <w:rsid w:val="73245D03"/>
    <w:rsid w:val="73252BFC"/>
    <w:rsid w:val="7332722D"/>
    <w:rsid w:val="733326A1"/>
    <w:rsid w:val="73447B47"/>
    <w:rsid w:val="73607031"/>
    <w:rsid w:val="737576AD"/>
    <w:rsid w:val="73986917"/>
    <w:rsid w:val="73A3131E"/>
    <w:rsid w:val="73B720D4"/>
    <w:rsid w:val="73C56190"/>
    <w:rsid w:val="73DA553C"/>
    <w:rsid w:val="73ED7DD9"/>
    <w:rsid w:val="73FD6DBD"/>
    <w:rsid w:val="742D518B"/>
    <w:rsid w:val="743356A7"/>
    <w:rsid w:val="743602B4"/>
    <w:rsid w:val="743B789E"/>
    <w:rsid w:val="7472797A"/>
    <w:rsid w:val="74835301"/>
    <w:rsid w:val="74985F93"/>
    <w:rsid w:val="749E3CD9"/>
    <w:rsid w:val="74A20820"/>
    <w:rsid w:val="74B23720"/>
    <w:rsid w:val="74C92ADB"/>
    <w:rsid w:val="74D7308A"/>
    <w:rsid w:val="74F81F56"/>
    <w:rsid w:val="750472B8"/>
    <w:rsid w:val="750D6BA9"/>
    <w:rsid w:val="750D6DB6"/>
    <w:rsid w:val="75201C33"/>
    <w:rsid w:val="752B3379"/>
    <w:rsid w:val="752E71B2"/>
    <w:rsid w:val="752F0554"/>
    <w:rsid w:val="753C53D5"/>
    <w:rsid w:val="753F6C90"/>
    <w:rsid w:val="754917BB"/>
    <w:rsid w:val="755D726E"/>
    <w:rsid w:val="75614051"/>
    <w:rsid w:val="757B2E14"/>
    <w:rsid w:val="758B5DF0"/>
    <w:rsid w:val="75A95740"/>
    <w:rsid w:val="75AF37A9"/>
    <w:rsid w:val="75AF3FAA"/>
    <w:rsid w:val="75CC2BB4"/>
    <w:rsid w:val="75D27E21"/>
    <w:rsid w:val="75DD2315"/>
    <w:rsid w:val="75EE4AAA"/>
    <w:rsid w:val="75FB711B"/>
    <w:rsid w:val="76237A45"/>
    <w:rsid w:val="76312FEB"/>
    <w:rsid w:val="76317022"/>
    <w:rsid w:val="763F5868"/>
    <w:rsid w:val="764A3CD3"/>
    <w:rsid w:val="76662D38"/>
    <w:rsid w:val="767043C0"/>
    <w:rsid w:val="76743811"/>
    <w:rsid w:val="767825BB"/>
    <w:rsid w:val="768228BB"/>
    <w:rsid w:val="76991159"/>
    <w:rsid w:val="76A54E75"/>
    <w:rsid w:val="76AC6C08"/>
    <w:rsid w:val="76BD4F46"/>
    <w:rsid w:val="76BE0B93"/>
    <w:rsid w:val="76D37824"/>
    <w:rsid w:val="771B5ADC"/>
    <w:rsid w:val="77316A3F"/>
    <w:rsid w:val="7736105C"/>
    <w:rsid w:val="773F310C"/>
    <w:rsid w:val="77672662"/>
    <w:rsid w:val="776D40C1"/>
    <w:rsid w:val="777C0FE5"/>
    <w:rsid w:val="779B4E93"/>
    <w:rsid w:val="77AB0BB3"/>
    <w:rsid w:val="77B03472"/>
    <w:rsid w:val="77B80C71"/>
    <w:rsid w:val="77CE4F95"/>
    <w:rsid w:val="77D01FB6"/>
    <w:rsid w:val="77D1082D"/>
    <w:rsid w:val="77E2630E"/>
    <w:rsid w:val="77EB78FD"/>
    <w:rsid w:val="77F0541D"/>
    <w:rsid w:val="78010A6C"/>
    <w:rsid w:val="78051F49"/>
    <w:rsid w:val="78097643"/>
    <w:rsid w:val="78110CB0"/>
    <w:rsid w:val="781725AB"/>
    <w:rsid w:val="78247CF4"/>
    <w:rsid w:val="78297CE1"/>
    <w:rsid w:val="783C08CE"/>
    <w:rsid w:val="78434D8C"/>
    <w:rsid w:val="78441739"/>
    <w:rsid w:val="784725A8"/>
    <w:rsid w:val="784A21E9"/>
    <w:rsid w:val="7856281A"/>
    <w:rsid w:val="785E57B5"/>
    <w:rsid w:val="787E3E42"/>
    <w:rsid w:val="78856222"/>
    <w:rsid w:val="78A728F8"/>
    <w:rsid w:val="78AB4518"/>
    <w:rsid w:val="78D04932"/>
    <w:rsid w:val="78D6687E"/>
    <w:rsid w:val="78DD498A"/>
    <w:rsid w:val="78E10B4E"/>
    <w:rsid w:val="78EE4DE9"/>
    <w:rsid w:val="79002D6F"/>
    <w:rsid w:val="792720A9"/>
    <w:rsid w:val="7946784C"/>
    <w:rsid w:val="7949231F"/>
    <w:rsid w:val="795A1C42"/>
    <w:rsid w:val="79724ED8"/>
    <w:rsid w:val="79782905"/>
    <w:rsid w:val="797922C3"/>
    <w:rsid w:val="79870D9A"/>
    <w:rsid w:val="799F4335"/>
    <w:rsid w:val="79A165AF"/>
    <w:rsid w:val="79A74F98"/>
    <w:rsid w:val="79AD43A1"/>
    <w:rsid w:val="79B85C40"/>
    <w:rsid w:val="79C95BFE"/>
    <w:rsid w:val="79DF7731"/>
    <w:rsid w:val="79F37FC4"/>
    <w:rsid w:val="79F82177"/>
    <w:rsid w:val="79FA46C9"/>
    <w:rsid w:val="79FC4F93"/>
    <w:rsid w:val="7A081138"/>
    <w:rsid w:val="7A2227F0"/>
    <w:rsid w:val="7A2B5A84"/>
    <w:rsid w:val="7A2F321C"/>
    <w:rsid w:val="7A433E64"/>
    <w:rsid w:val="7A5D651E"/>
    <w:rsid w:val="7A6501DB"/>
    <w:rsid w:val="7A765D37"/>
    <w:rsid w:val="7A7942D3"/>
    <w:rsid w:val="7A862AFC"/>
    <w:rsid w:val="7A8D2CC7"/>
    <w:rsid w:val="7A9033F2"/>
    <w:rsid w:val="7AA656A5"/>
    <w:rsid w:val="7AFB3054"/>
    <w:rsid w:val="7B001EAD"/>
    <w:rsid w:val="7B1B5C3E"/>
    <w:rsid w:val="7B265A07"/>
    <w:rsid w:val="7B3B431F"/>
    <w:rsid w:val="7B3D0A42"/>
    <w:rsid w:val="7B4E3DCC"/>
    <w:rsid w:val="7B5451EB"/>
    <w:rsid w:val="7B5B47C9"/>
    <w:rsid w:val="7B670E83"/>
    <w:rsid w:val="7B9B513F"/>
    <w:rsid w:val="7B9D5D57"/>
    <w:rsid w:val="7BA27F29"/>
    <w:rsid w:val="7BA56C2C"/>
    <w:rsid w:val="7BA619AB"/>
    <w:rsid w:val="7BB404C8"/>
    <w:rsid w:val="7BBB75BC"/>
    <w:rsid w:val="7BD81D81"/>
    <w:rsid w:val="7BF82172"/>
    <w:rsid w:val="7BF87179"/>
    <w:rsid w:val="7C000166"/>
    <w:rsid w:val="7C1D6F3F"/>
    <w:rsid w:val="7C3074C7"/>
    <w:rsid w:val="7C4A7501"/>
    <w:rsid w:val="7C4F2D74"/>
    <w:rsid w:val="7C511032"/>
    <w:rsid w:val="7C5D450D"/>
    <w:rsid w:val="7C794F12"/>
    <w:rsid w:val="7C7A4BE6"/>
    <w:rsid w:val="7C7B44D0"/>
    <w:rsid w:val="7C8134F8"/>
    <w:rsid w:val="7CA86BEC"/>
    <w:rsid w:val="7CB45719"/>
    <w:rsid w:val="7CBE2341"/>
    <w:rsid w:val="7CBF78C7"/>
    <w:rsid w:val="7CCE35BB"/>
    <w:rsid w:val="7CD62265"/>
    <w:rsid w:val="7CF43132"/>
    <w:rsid w:val="7D060228"/>
    <w:rsid w:val="7D111EBB"/>
    <w:rsid w:val="7D20797D"/>
    <w:rsid w:val="7D287F6E"/>
    <w:rsid w:val="7D315D46"/>
    <w:rsid w:val="7D700698"/>
    <w:rsid w:val="7D721D4B"/>
    <w:rsid w:val="7D967D3E"/>
    <w:rsid w:val="7D9B0A13"/>
    <w:rsid w:val="7DAA5234"/>
    <w:rsid w:val="7DB7133A"/>
    <w:rsid w:val="7DD96F23"/>
    <w:rsid w:val="7DE6001A"/>
    <w:rsid w:val="7DE60785"/>
    <w:rsid w:val="7DEB53D5"/>
    <w:rsid w:val="7DF147CF"/>
    <w:rsid w:val="7DFB571E"/>
    <w:rsid w:val="7E344739"/>
    <w:rsid w:val="7E49716A"/>
    <w:rsid w:val="7E49716C"/>
    <w:rsid w:val="7E4F138B"/>
    <w:rsid w:val="7E52153A"/>
    <w:rsid w:val="7E6006EB"/>
    <w:rsid w:val="7E807946"/>
    <w:rsid w:val="7E9304E9"/>
    <w:rsid w:val="7EAB0D0F"/>
    <w:rsid w:val="7EE50A3C"/>
    <w:rsid w:val="7EEE25D7"/>
    <w:rsid w:val="7EF622E8"/>
    <w:rsid w:val="7F1C21A2"/>
    <w:rsid w:val="7F294008"/>
    <w:rsid w:val="7F2C61BC"/>
    <w:rsid w:val="7F3C700A"/>
    <w:rsid w:val="7F3D4385"/>
    <w:rsid w:val="7F453289"/>
    <w:rsid w:val="7F5109A2"/>
    <w:rsid w:val="7F69202A"/>
    <w:rsid w:val="7F700AD7"/>
    <w:rsid w:val="7F765B38"/>
    <w:rsid w:val="7F90707B"/>
    <w:rsid w:val="7F953113"/>
    <w:rsid w:val="7FAE43B3"/>
    <w:rsid w:val="7FC206EC"/>
    <w:rsid w:val="7FC93C2B"/>
    <w:rsid w:val="7FCE200B"/>
    <w:rsid w:val="7FD00459"/>
    <w:rsid w:val="7FE631B8"/>
    <w:rsid w:val="7FE678DF"/>
    <w:rsid w:val="7FFD31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3"/>
    <w:qFormat/>
    <w:uiPriority w:val="99"/>
    <w:pPr>
      <w:keepNext/>
      <w:overflowPunct w:val="0"/>
      <w:snapToGrid w:val="0"/>
      <w:spacing w:before="120" w:after="160" w:line="360" w:lineRule="auto"/>
      <w:jc w:val="center"/>
      <w:outlineLvl w:val="0"/>
    </w:pPr>
    <w:rPr>
      <w:b/>
      <w:bCs/>
      <w:color w:val="000000"/>
      <w:kern w:val="44"/>
      <w:sz w:val="32"/>
      <w:szCs w:val="30"/>
    </w:rPr>
  </w:style>
  <w:style w:type="paragraph" w:styleId="3">
    <w:name w:val="heading 4"/>
    <w:basedOn w:val="1"/>
    <w:next w:val="1"/>
    <w:qFormat/>
    <w:uiPriority w:val="0"/>
    <w:pPr>
      <w:keepNext/>
      <w:keepLines/>
      <w:numPr>
        <w:ilvl w:val="3"/>
        <w:numId w:val="1"/>
      </w:numPr>
      <w:tabs>
        <w:tab w:val="left" w:pos="0"/>
      </w:tabs>
      <w:adjustRightInd w:val="0"/>
      <w:spacing w:before="280" w:after="290" w:line="376" w:lineRule="atLeast"/>
      <w:jc w:val="left"/>
      <w:textAlignment w:val="baseline"/>
      <w:outlineLvl w:val="3"/>
    </w:pPr>
    <w:rPr>
      <w:rFonts w:ascii="Arial" w:hAnsi="Arial"/>
      <w:b/>
      <w:kern w:val="0"/>
      <w:sz w:val="28"/>
      <w:szCs w:val="20"/>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qFormat/>
    <w:uiPriority w:val="35"/>
    <w:pPr>
      <w:keepNext/>
      <w:jc w:val="center"/>
    </w:pPr>
    <w:rPr>
      <w:rFonts w:eastAsia="黑体"/>
      <w:b/>
      <w:szCs w:val="21"/>
    </w:rPr>
  </w:style>
  <w:style w:type="paragraph" w:styleId="5">
    <w:name w:val="annotation text"/>
    <w:basedOn w:val="1"/>
    <w:link w:val="63"/>
    <w:qFormat/>
    <w:uiPriority w:val="0"/>
    <w:pPr>
      <w:jc w:val="left"/>
    </w:pPr>
  </w:style>
  <w:style w:type="paragraph" w:styleId="6">
    <w:name w:val="Body Text"/>
    <w:basedOn w:val="1"/>
    <w:next w:val="1"/>
    <w:qFormat/>
    <w:uiPriority w:val="0"/>
    <w:pPr>
      <w:widowControl/>
      <w:snapToGrid w:val="0"/>
      <w:spacing w:before="60" w:after="160" w:line="259" w:lineRule="auto"/>
      <w:ind w:right="113"/>
    </w:pPr>
    <w:rPr>
      <w:kern w:val="0"/>
      <w:sz w:val="18"/>
      <w:szCs w:val="20"/>
    </w:rPr>
  </w:style>
  <w:style w:type="paragraph" w:styleId="7">
    <w:name w:val="Body Text Indent"/>
    <w:basedOn w:val="1"/>
    <w:next w:val="8"/>
    <w:qFormat/>
    <w:uiPriority w:val="0"/>
    <w:pPr>
      <w:spacing w:after="120"/>
    </w:pPr>
    <w:rPr>
      <w:kern w:val="0"/>
      <w:sz w:val="24"/>
      <w:szCs w:val="20"/>
    </w:rPr>
  </w:style>
  <w:style w:type="paragraph" w:styleId="8">
    <w:name w:val="envelope return"/>
    <w:basedOn w:val="1"/>
    <w:qFormat/>
    <w:uiPriority w:val="0"/>
    <w:pPr>
      <w:snapToGrid w:val="0"/>
      <w:spacing w:line="500" w:lineRule="exact"/>
    </w:pPr>
    <w:rPr>
      <w:rFonts w:ascii="Arial" w:hAnsi="Arial" w:eastAsia="仿宋_GB2312" w:cs="Arial"/>
      <w:sz w:val="28"/>
      <w:szCs w:val="20"/>
    </w:rPr>
  </w:style>
  <w:style w:type="paragraph" w:styleId="9">
    <w:name w:val="Body Text Indent 2"/>
    <w:basedOn w:val="1"/>
    <w:qFormat/>
    <w:uiPriority w:val="0"/>
    <w:pPr>
      <w:spacing w:after="120" w:line="480" w:lineRule="auto"/>
      <w:ind w:left="420" w:leftChars="200"/>
    </w:pPr>
  </w:style>
  <w:style w:type="paragraph" w:styleId="10">
    <w:name w:val="Balloon Text"/>
    <w:basedOn w:val="1"/>
    <w:link w:val="65"/>
    <w:qFormat/>
    <w:uiPriority w:val="0"/>
    <w:rPr>
      <w:sz w:val="18"/>
      <w:szCs w:val="18"/>
    </w:rPr>
  </w:style>
  <w:style w:type="paragraph" w:styleId="11">
    <w:name w:val="footer"/>
    <w:basedOn w:val="1"/>
    <w:qFormat/>
    <w:uiPriority w:val="99"/>
    <w:pPr>
      <w:tabs>
        <w:tab w:val="center" w:pos="4153"/>
        <w:tab w:val="right" w:pos="8306"/>
      </w:tabs>
      <w:snapToGrid w:val="0"/>
      <w:jc w:val="left"/>
    </w:pPr>
    <w:rPr>
      <w:kern w:val="0"/>
      <w:sz w:val="18"/>
      <w:szCs w:val="20"/>
    </w:rPr>
  </w:style>
  <w:style w:type="paragraph" w:styleId="12">
    <w:name w:val="header"/>
    <w:basedOn w:val="1"/>
    <w:next w:val="13"/>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3">
    <w:name w:val="样式5"/>
    <w:basedOn w:val="14"/>
    <w:next w:val="1"/>
    <w:qFormat/>
    <w:uiPriority w:val="0"/>
    <w:pPr>
      <w:numPr>
        <w:ilvl w:val="0"/>
        <w:numId w:val="2"/>
      </w:numPr>
      <w:tabs>
        <w:tab w:val="left" w:pos="105"/>
      </w:tabs>
    </w:pPr>
    <w:rPr>
      <w:rFonts w:hAnsi="Times New Roman" w:eastAsia="宋体"/>
    </w:rPr>
  </w:style>
  <w:style w:type="paragraph" w:customStyle="1" w:styleId="14">
    <w:name w:val="样式3"/>
    <w:basedOn w:val="1"/>
    <w:qFormat/>
    <w:uiPriority w:val="0"/>
    <w:pPr>
      <w:jc w:val="center"/>
    </w:pPr>
    <w:rPr>
      <w:rFonts w:hAnsi="黑体" w:eastAsia="黑体"/>
      <w:color w:val="000000"/>
    </w:rPr>
  </w:style>
  <w:style w:type="paragraph" w:styleId="15">
    <w:name w:val="toc 1"/>
    <w:basedOn w:val="1"/>
    <w:next w:val="1"/>
    <w:qFormat/>
    <w:uiPriority w:val="0"/>
    <w:pPr>
      <w:spacing w:line="360" w:lineRule="auto"/>
    </w:pPr>
    <w:rPr>
      <w:sz w:val="24"/>
    </w:rPr>
  </w:style>
  <w:style w:type="paragraph" w:styleId="16">
    <w:name w:val="Body Text Indent 3"/>
    <w:basedOn w:val="1"/>
    <w:qFormat/>
    <w:uiPriority w:val="0"/>
    <w:pPr>
      <w:spacing w:after="120"/>
      <w:ind w:left="420" w:leftChars="200"/>
    </w:pPr>
    <w:rPr>
      <w:sz w:val="16"/>
      <w:szCs w:val="16"/>
    </w:rPr>
  </w:style>
  <w:style w:type="paragraph" w:styleId="17">
    <w:name w:val="table of figures"/>
    <w:basedOn w:val="1"/>
    <w:next w:val="1"/>
    <w:qFormat/>
    <w:uiPriority w:val="0"/>
    <w:pPr>
      <w:ind w:left="200" w:leftChars="200" w:hanging="200" w:hangingChars="200"/>
    </w:pPr>
  </w:style>
  <w:style w:type="paragraph" w:styleId="18">
    <w:name w:val="Body Text 2"/>
    <w:basedOn w:val="1"/>
    <w:qFormat/>
    <w:uiPriority w:val="0"/>
    <w:pPr>
      <w:spacing w:line="312" w:lineRule="auto"/>
    </w:pPr>
    <w:rPr>
      <w:rFonts w:ascii="宋体"/>
      <w:sz w:val="28"/>
    </w:rPr>
  </w:style>
  <w:style w:type="paragraph" w:styleId="19">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5"/>
    <w:next w:val="5"/>
    <w:link w:val="64"/>
    <w:qFormat/>
    <w:uiPriority w:val="0"/>
    <w:rPr>
      <w:b/>
      <w:bCs/>
    </w:rPr>
  </w:style>
  <w:style w:type="paragraph" w:styleId="21">
    <w:name w:val="Body Text First Indent"/>
    <w:basedOn w:val="6"/>
    <w:qFormat/>
    <w:uiPriority w:val="0"/>
    <w:pPr>
      <w:spacing w:after="120" w:line="240" w:lineRule="auto"/>
      <w:ind w:firstLine="420" w:firstLineChars="100"/>
    </w:pPr>
    <w:rPr>
      <w:sz w:val="21"/>
    </w:rPr>
  </w:style>
  <w:style w:type="paragraph" w:styleId="22">
    <w:name w:val="Body Text First Indent 2"/>
    <w:basedOn w:val="7"/>
    <w:next w:val="21"/>
    <w:qFormat/>
    <w:uiPriority w:val="0"/>
    <w:pPr>
      <w:ind w:firstLine="420" w:firstLineChars="200"/>
    </w:p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Hyperlink"/>
    <w:basedOn w:val="25"/>
    <w:unhideWhenUsed/>
    <w:qFormat/>
    <w:uiPriority w:val="99"/>
    <w:rPr>
      <w:color w:val="0563C1" w:themeColor="hyperlink"/>
      <w:u w:val="single"/>
      <w14:textFill>
        <w14:solidFill>
          <w14:schemeClr w14:val="hlink"/>
        </w14:solidFill>
      </w14:textFill>
    </w:rPr>
  </w:style>
  <w:style w:type="character" w:styleId="28">
    <w:name w:val="annotation reference"/>
    <w:basedOn w:val="25"/>
    <w:qFormat/>
    <w:uiPriority w:val="0"/>
    <w:rPr>
      <w:sz w:val="21"/>
      <w:szCs w:val="21"/>
    </w:rPr>
  </w:style>
  <w:style w:type="paragraph" w:customStyle="1" w:styleId="29">
    <w:name w:val="Default"/>
    <w:basedOn w:val="30"/>
    <w:next w:val="1"/>
    <w:qFormat/>
    <w:uiPriority w:val="0"/>
    <w:pPr>
      <w:autoSpaceDE w:val="0"/>
      <w:autoSpaceDN w:val="0"/>
    </w:pPr>
    <w:rPr>
      <w:rFonts w:ascii="仿宋_GB2312" w:hAnsi="Times New Roman" w:eastAsia="仿宋_GB2312" w:cs="仿宋_GB2312"/>
      <w:color w:val="000000"/>
      <w:sz w:val="24"/>
      <w:szCs w:val="24"/>
    </w:rPr>
  </w:style>
  <w:style w:type="paragraph" w:customStyle="1" w:styleId="30">
    <w:name w:val="纯文本1"/>
    <w:basedOn w:val="1"/>
    <w:qFormat/>
    <w:uiPriority w:val="0"/>
    <w:pPr>
      <w:adjustRightInd w:val="0"/>
    </w:pPr>
    <w:rPr>
      <w:rFonts w:hAnsi="Courier New"/>
      <w:szCs w:val="20"/>
    </w:rPr>
  </w:style>
  <w:style w:type="paragraph" w:customStyle="1" w:styleId="31">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2">
    <w:name w:val="font71"/>
    <w:basedOn w:val="25"/>
    <w:qFormat/>
    <w:uiPriority w:val="0"/>
    <w:rPr>
      <w:rFonts w:hint="default" w:ascii="Times New Roman" w:hAnsi="Times New Roman" w:cs="Times New Roman"/>
      <w:color w:val="000000"/>
      <w:sz w:val="22"/>
      <w:szCs w:val="22"/>
      <w:u w:val="none"/>
      <w:vertAlign w:val="subscript"/>
    </w:rPr>
  </w:style>
  <w:style w:type="character" w:customStyle="1" w:styleId="33">
    <w:name w:val="标题 1 Char"/>
    <w:link w:val="2"/>
    <w:qFormat/>
    <w:uiPriority w:val="99"/>
    <w:rPr>
      <w:rFonts w:ascii="Times New Roman" w:hAnsi="Times New Roman" w:eastAsia="宋体"/>
      <w:b/>
      <w:bCs/>
      <w:color w:val="000000"/>
      <w:kern w:val="44"/>
      <w:sz w:val="32"/>
      <w:szCs w:val="30"/>
    </w:rPr>
  </w:style>
  <w:style w:type="paragraph" w:customStyle="1" w:styleId="34">
    <w:name w:val="xyb自建正文"/>
    <w:basedOn w:val="1"/>
    <w:qFormat/>
    <w:uiPriority w:val="99"/>
    <w:pPr>
      <w:spacing w:line="360" w:lineRule="auto"/>
      <w:ind w:firstLine="480" w:firstLineChars="200"/>
      <w:textAlignment w:val="baseline"/>
    </w:pPr>
    <w:rPr>
      <w:kern w:val="0"/>
      <w:sz w:val="24"/>
    </w:rPr>
  </w:style>
  <w:style w:type="character" w:customStyle="1" w:styleId="35">
    <w:name w:val="【正文】 Char Char"/>
    <w:qFormat/>
    <w:uiPriority w:val="0"/>
    <w:rPr>
      <w:rFonts w:hint="default" w:ascii="Times New Roman" w:hAnsi="Times New Roman" w:eastAsia="宋体" w:cs="宋体"/>
      <w:color w:val="000000"/>
      <w:kern w:val="2"/>
      <w:sz w:val="24"/>
    </w:rPr>
  </w:style>
  <w:style w:type="character" w:customStyle="1" w:styleId="36">
    <w:name w:val="font31"/>
    <w:basedOn w:val="25"/>
    <w:qFormat/>
    <w:uiPriority w:val="0"/>
    <w:rPr>
      <w:rFonts w:hint="default" w:ascii="Times New Roman" w:hAnsi="Times New Roman" w:cs="Times New Roman"/>
      <w:color w:val="000000"/>
      <w:sz w:val="21"/>
      <w:szCs w:val="21"/>
      <w:u w:val="none"/>
    </w:rPr>
  </w:style>
  <w:style w:type="character" w:customStyle="1" w:styleId="37">
    <w:name w:val="font81"/>
    <w:basedOn w:val="25"/>
    <w:qFormat/>
    <w:uiPriority w:val="0"/>
    <w:rPr>
      <w:rFonts w:hint="default" w:ascii="Times New Roman" w:hAnsi="Times New Roman" w:cs="Times New Roman"/>
      <w:color w:val="000000"/>
      <w:sz w:val="21"/>
      <w:szCs w:val="21"/>
      <w:u w:val="none"/>
      <w:vertAlign w:val="subscript"/>
    </w:rPr>
  </w:style>
  <w:style w:type="character" w:customStyle="1" w:styleId="38">
    <w:name w:val="font61"/>
    <w:basedOn w:val="25"/>
    <w:qFormat/>
    <w:uiPriority w:val="0"/>
    <w:rPr>
      <w:rFonts w:hint="eastAsia" w:ascii="宋体" w:hAnsi="宋体" w:eastAsia="宋体" w:cs="宋体"/>
      <w:color w:val="000000"/>
      <w:sz w:val="21"/>
      <w:szCs w:val="21"/>
      <w:u w:val="none"/>
    </w:rPr>
  </w:style>
  <w:style w:type="character" w:customStyle="1" w:styleId="39">
    <w:name w:val="font01"/>
    <w:basedOn w:val="25"/>
    <w:qFormat/>
    <w:uiPriority w:val="0"/>
    <w:rPr>
      <w:rFonts w:hint="eastAsia" w:ascii="宋体" w:hAnsi="宋体" w:eastAsia="宋体" w:cs="宋体"/>
      <w:color w:val="000000"/>
      <w:sz w:val="21"/>
      <w:szCs w:val="21"/>
      <w:u w:val="none"/>
    </w:rPr>
  </w:style>
  <w:style w:type="character" w:customStyle="1" w:styleId="40">
    <w:name w:val="font21"/>
    <w:basedOn w:val="25"/>
    <w:qFormat/>
    <w:uiPriority w:val="0"/>
    <w:rPr>
      <w:rFonts w:hint="default" w:ascii="Times New Roman" w:hAnsi="Times New Roman" w:cs="Times New Roman"/>
      <w:color w:val="000000"/>
      <w:sz w:val="21"/>
      <w:szCs w:val="21"/>
      <w:u w:val="none"/>
    </w:rPr>
  </w:style>
  <w:style w:type="character" w:customStyle="1" w:styleId="41">
    <w:name w:val="font11"/>
    <w:basedOn w:val="25"/>
    <w:qFormat/>
    <w:uiPriority w:val="0"/>
    <w:rPr>
      <w:rFonts w:hint="default" w:ascii="Times New Roman" w:hAnsi="Times New Roman" w:cs="Times New Roman"/>
      <w:color w:val="000000"/>
      <w:sz w:val="22"/>
      <w:szCs w:val="22"/>
      <w:u w:val="none"/>
      <w:vertAlign w:val="subscript"/>
    </w:rPr>
  </w:style>
  <w:style w:type="paragraph" w:customStyle="1" w:styleId="42">
    <w:name w:val="表格格式"/>
    <w:basedOn w:val="4"/>
    <w:qFormat/>
    <w:uiPriority w:val="0"/>
    <w:pPr>
      <w:keepNext w:val="0"/>
      <w:kinsoku w:val="0"/>
      <w:overflowPunct w:val="0"/>
      <w:autoSpaceDE w:val="0"/>
      <w:autoSpaceDN w:val="0"/>
    </w:pPr>
    <w:rPr>
      <w:rFonts w:eastAsia="宋体"/>
      <w:b w:val="0"/>
    </w:rPr>
  </w:style>
  <w:style w:type="table" w:customStyle="1" w:styleId="43">
    <w:name w:val="报告书表格"/>
    <w:basedOn w:val="23"/>
    <w:qFormat/>
    <w:uiPriority w:val="99"/>
    <w:pPr>
      <w:adjustRightInd w:val="0"/>
      <w:snapToGrid w:val="0"/>
      <w:jc w:val="center"/>
    </w:pPr>
    <w:rPr>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shd w:val="clear" w:color="auto" w:fill="auto"/>
      <w:vAlign w:val="center"/>
    </w:tcPr>
    <w:tblStylePr w:type="firstRow">
      <w:pPr>
        <w:wordWrap/>
        <w:adjustRightInd w:val="0"/>
        <w:snapToGrid w:val="0"/>
        <w:spacing w:line="240" w:lineRule="auto"/>
        <w:ind w:firstLine="0" w:firstLineChars="0"/>
        <w:jc w:val="center"/>
        <w:outlineLvl w:val="9"/>
      </w:pPr>
      <w:rPr>
        <w:rFonts w:ascii="Times New Roman" w:hAnsi="Times New Roman" w:eastAsia="宋体"/>
        <w:b w:val="0"/>
        <w:color w:val="000000"/>
        <w:sz w:val="21"/>
      </w:rPr>
      <w:tcPr>
        <w:shd w:val="clear" w:color="auto" w:fill="FFFFFF"/>
      </w:tcPr>
    </w:tblStylePr>
  </w:style>
  <w:style w:type="paragraph" w:styleId="44">
    <w:name w:val="No Spacing"/>
    <w:basedOn w:val="1"/>
    <w:next w:val="45"/>
    <w:qFormat/>
    <w:uiPriority w:val="0"/>
    <w:pPr>
      <w:adjustRightInd w:val="0"/>
      <w:snapToGrid w:val="0"/>
      <w:jc w:val="center"/>
    </w:pPr>
    <w:rPr>
      <w:bCs/>
      <w:szCs w:val="21"/>
    </w:rPr>
  </w:style>
  <w:style w:type="paragraph" w:customStyle="1" w:styleId="45">
    <w:name w:val="书正文"/>
    <w:basedOn w:val="1"/>
    <w:qFormat/>
    <w:uiPriority w:val="0"/>
    <w:pPr>
      <w:ind w:firstLine="480"/>
    </w:pPr>
    <w:rPr>
      <w:color w:val="000000"/>
      <w:sz w:val="24"/>
      <w:szCs w:val="22"/>
      <w:shd w:val="clear" w:color="auto" w:fill="FFFFFF"/>
    </w:rPr>
  </w:style>
  <w:style w:type="paragraph" w:customStyle="1" w:styleId="46">
    <w:name w:val="hj正文"/>
    <w:basedOn w:val="1"/>
    <w:qFormat/>
    <w:uiPriority w:val="0"/>
    <w:pPr>
      <w:spacing w:line="360" w:lineRule="auto"/>
      <w:ind w:firstLine="480" w:firstLineChars="200"/>
    </w:pPr>
    <w:rPr>
      <w:sz w:val="24"/>
    </w:rPr>
  </w:style>
  <w:style w:type="character" w:customStyle="1" w:styleId="47">
    <w:name w:val="font51"/>
    <w:basedOn w:val="25"/>
    <w:qFormat/>
    <w:uiPriority w:val="0"/>
    <w:rPr>
      <w:rFonts w:hint="default" w:ascii="Times New Roman" w:hAnsi="Times New Roman" w:cs="Times New Roman"/>
      <w:color w:val="000000"/>
      <w:sz w:val="21"/>
      <w:szCs w:val="21"/>
      <w:u w:val="none"/>
    </w:rPr>
  </w:style>
  <w:style w:type="character" w:customStyle="1" w:styleId="48">
    <w:name w:val="font91"/>
    <w:basedOn w:val="25"/>
    <w:qFormat/>
    <w:uiPriority w:val="0"/>
    <w:rPr>
      <w:rFonts w:hint="default" w:ascii="Times New Roman" w:hAnsi="Times New Roman" w:cs="Times New Roman"/>
      <w:color w:val="000000"/>
      <w:sz w:val="21"/>
      <w:szCs w:val="21"/>
      <w:u w:val="none"/>
      <w:vertAlign w:val="superscript"/>
    </w:rPr>
  </w:style>
  <w:style w:type="character" w:customStyle="1" w:styleId="49">
    <w:name w:val="font41"/>
    <w:basedOn w:val="25"/>
    <w:qFormat/>
    <w:uiPriority w:val="0"/>
    <w:rPr>
      <w:rFonts w:hint="eastAsia" w:ascii="宋体" w:hAnsi="宋体" w:eastAsia="宋体" w:cs="宋体"/>
      <w:color w:val="FF0000"/>
      <w:sz w:val="21"/>
      <w:szCs w:val="21"/>
      <w:u w:val="none"/>
    </w:rPr>
  </w:style>
  <w:style w:type="paragraph" w:customStyle="1" w:styleId="50">
    <w:name w:val="11表头"/>
    <w:basedOn w:val="1"/>
    <w:qFormat/>
    <w:uiPriority w:val="0"/>
    <w:pPr>
      <w:spacing w:before="156" w:line="360" w:lineRule="auto"/>
      <w:jc w:val="center"/>
    </w:pPr>
    <w:rPr>
      <w:kern w:val="0"/>
      <w:sz w:val="24"/>
      <w:szCs w:val="20"/>
    </w:rPr>
  </w:style>
  <w:style w:type="paragraph" w:customStyle="1" w:styleId="51">
    <w:name w:val="表中文字"/>
    <w:basedOn w:val="1"/>
    <w:qFormat/>
    <w:uiPriority w:val="0"/>
    <w:pPr>
      <w:adjustRightInd w:val="0"/>
      <w:snapToGrid w:val="0"/>
      <w:spacing w:line="400" w:lineRule="exact"/>
      <w:jc w:val="center"/>
    </w:pPr>
  </w:style>
  <w:style w:type="table" w:customStyle="1" w:styleId="52">
    <w:name w:val="Table Grid_0"/>
    <w:basedOn w:val="23"/>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3">
    <w:name w:val="Other|1"/>
    <w:basedOn w:val="1"/>
    <w:qFormat/>
    <w:uiPriority w:val="0"/>
    <w:pPr>
      <w:spacing w:after="180"/>
      <w:ind w:firstLine="240"/>
    </w:pPr>
    <w:rPr>
      <w:rFonts w:ascii="宋体" w:hAnsi="宋体" w:cs="宋体"/>
      <w:color w:val="1D1D1D"/>
      <w:sz w:val="22"/>
      <w:szCs w:val="22"/>
      <w:lang w:val="zh-TW" w:eastAsia="zh-TW" w:bidi="zh-TW"/>
    </w:rPr>
  </w:style>
  <w:style w:type="paragraph" w:customStyle="1" w:styleId="54">
    <w:name w:val="表格1"/>
    <w:basedOn w:val="1"/>
    <w:qFormat/>
    <w:uiPriority w:val="0"/>
    <w:pPr>
      <w:spacing w:line="480" w:lineRule="exact"/>
      <w:jc w:val="center"/>
      <w:textAlignment w:val="baseline"/>
    </w:pPr>
    <w:rPr>
      <w:rFonts w:ascii="楷体_GB2312"/>
      <w:kern w:val="0"/>
      <w:sz w:val="24"/>
      <w:szCs w:val="20"/>
    </w:rPr>
  </w:style>
  <w:style w:type="table" w:customStyle="1" w:styleId="55">
    <w:name w:val="Table Normal"/>
    <w:semiHidden/>
    <w:unhideWhenUsed/>
    <w:qFormat/>
    <w:uiPriority w:val="0"/>
    <w:tblPr>
      <w:tblCellMar>
        <w:top w:w="0" w:type="dxa"/>
        <w:left w:w="0" w:type="dxa"/>
        <w:bottom w:w="0" w:type="dxa"/>
        <w:right w:w="0" w:type="dxa"/>
      </w:tblCellMar>
    </w:tblPr>
  </w:style>
  <w:style w:type="paragraph" w:customStyle="1" w:styleId="56">
    <w:name w:val="报告"/>
    <w:basedOn w:val="1"/>
    <w:qFormat/>
    <w:uiPriority w:val="0"/>
    <w:pPr>
      <w:adjustRightInd w:val="0"/>
      <w:spacing w:line="360" w:lineRule="auto"/>
      <w:ind w:firstLine="505"/>
      <w:textAlignment w:val="baseline"/>
    </w:pPr>
    <w:rPr>
      <w:kern w:val="0"/>
      <w:sz w:val="24"/>
      <w:szCs w:val="20"/>
    </w:rPr>
  </w:style>
  <w:style w:type="paragraph" w:customStyle="1" w:styleId="57">
    <w:name w:val="样式 宋体 四号 首行缩进:  1.01 厘米"/>
    <w:basedOn w:val="1"/>
    <w:qFormat/>
    <w:uiPriority w:val="0"/>
    <w:pPr>
      <w:spacing w:line="360" w:lineRule="auto"/>
      <w:ind w:firstLine="600"/>
    </w:pPr>
    <w:rPr>
      <w:rFonts w:hAnsi="宋体"/>
      <w:sz w:val="28"/>
      <w:szCs w:val="28"/>
    </w:rPr>
  </w:style>
  <w:style w:type="paragraph" w:customStyle="1" w:styleId="58">
    <w:name w:val="样式 Bt3 + 加粗1"/>
    <w:basedOn w:val="1"/>
    <w:qFormat/>
    <w:uiPriority w:val="0"/>
    <w:pPr>
      <w:keepNext/>
      <w:keepLines/>
      <w:spacing w:line="360" w:lineRule="auto"/>
      <w:jc w:val="left"/>
      <w:outlineLvl w:val="2"/>
    </w:pPr>
    <w:rPr>
      <w:rFonts w:eastAsia="黑体" w:cs="宋体"/>
      <w:bCs/>
      <w:snapToGrid w:val="0"/>
      <w:kern w:val="0"/>
      <w:sz w:val="24"/>
    </w:rPr>
  </w:style>
  <w:style w:type="paragraph" w:customStyle="1" w:styleId="59">
    <w:name w:val="zhang正文"/>
    <w:basedOn w:val="7"/>
    <w:qFormat/>
    <w:uiPriority w:val="0"/>
    <w:pPr>
      <w:autoSpaceDE w:val="0"/>
      <w:autoSpaceDN w:val="0"/>
      <w:snapToGrid w:val="0"/>
      <w:spacing w:line="500" w:lineRule="exact"/>
      <w:ind w:firstLine="525"/>
    </w:pPr>
    <w:rPr>
      <w:rFonts w:ascii="Calibri" w:hAnsi="Calibri" w:eastAsia="楷体_GB2312"/>
      <w:sz w:val="28"/>
      <w:szCs w:val="22"/>
    </w:rPr>
  </w:style>
  <w:style w:type="paragraph" w:customStyle="1" w:styleId="60">
    <w:name w:val="1文章"/>
    <w:basedOn w:val="1"/>
    <w:qFormat/>
    <w:uiPriority w:val="0"/>
    <w:pPr>
      <w:snapToGrid w:val="0"/>
      <w:spacing w:line="360" w:lineRule="auto"/>
      <w:ind w:firstLine="573"/>
    </w:pPr>
    <w:rPr>
      <w:rFonts w:eastAsia="仿宋_GB2312"/>
      <w:sz w:val="28"/>
      <w:szCs w:val="28"/>
    </w:rPr>
  </w:style>
  <w:style w:type="character" w:customStyle="1" w:styleId="61">
    <w:name w:val="font101"/>
    <w:basedOn w:val="25"/>
    <w:qFormat/>
    <w:uiPriority w:val="0"/>
    <w:rPr>
      <w:rFonts w:hint="eastAsia" w:ascii="宋体" w:hAnsi="宋体" w:eastAsia="宋体" w:cs="宋体"/>
      <w:color w:val="000000"/>
      <w:sz w:val="24"/>
      <w:szCs w:val="24"/>
      <w:u w:val="none"/>
    </w:rPr>
  </w:style>
  <w:style w:type="character" w:customStyle="1" w:styleId="62">
    <w:name w:val="font112"/>
    <w:basedOn w:val="25"/>
    <w:qFormat/>
    <w:uiPriority w:val="0"/>
    <w:rPr>
      <w:rFonts w:hint="default" w:ascii="Times New Roman" w:hAnsi="Times New Roman" w:cs="Times New Roman"/>
      <w:color w:val="000000"/>
      <w:sz w:val="21"/>
      <w:szCs w:val="21"/>
      <w:u w:val="none"/>
      <w:vertAlign w:val="superscript"/>
    </w:rPr>
  </w:style>
  <w:style w:type="character" w:customStyle="1" w:styleId="63">
    <w:name w:val="批注文字 Char"/>
    <w:basedOn w:val="25"/>
    <w:link w:val="5"/>
    <w:qFormat/>
    <w:uiPriority w:val="0"/>
    <w:rPr>
      <w:kern w:val="2"/>
      <w:sz w:val="21"/>
      <w:szCs w:val="24"/>
    </w:rPr>
  </w:style>
  <w:style w:type="character" w:customStyle="1" w:styleId="64">
    <w:name w:val="批注主题 Char"/>
    <w:basedOn w:val="63"/>
    <w:link w:val="20"/>
    <w:qFormat/>
    <w:uiPriority w:val="0"/>
    <w:rPr>
      <w:b/>
      <w:bCs/>
      <w:kern w:val="2"/>
      <w:sz w:val="21"/>
      <w:szCs w:val="24"/>
    </w:rPr>
  </w:style>
  <w:style w:type="character" w:customStyle="1" w:styleId="65">
    <w:name w:val="批注框文本 Char"/>
    <w:basedOn w:val="25"/>
    <w:link w:val="10"/>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wmf"/><Relationship Id="rId25" Type="http://schemas.openxmlformats.org/officeDocument/2006/relationships/oleObject" Target="embeddings/oleObject4.bin"/><Relationship Id="rId24" Type="http://schemas.openxmlformats.org/officeDocument/2006/relationships/image" Target="media/image13.jpeg"/><Relationship Id="rId23" Type="http://schemas.openxmlformats.org/officeDocument/2006/relationships/image" Target="media/image12.wmf"/><Relationship Id="rId22" Type="http://schemas.openxmlformats.org/officeDocument/2006/relationships/oleObject" Target="embeddings/oleObject3.bin"/><Relationship Id="rId21" Type="http://schemas.openxmlformats.org/officeDocument/2006/relationships/image" Target="media/image11.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1.bin"/><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55551</Words>
  <Characters>60044</Characters>
  <Lines>446</Lines>
  <Paragraphs>125</Paragraphs>
  <TotalTime>1</TotalTime>
  <ScaleCrop>false</ScaleCrop>
  <LinksUpToDate>false</LinksUpToDate>
  <CharactersWithSpaces>60262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2021-06-11T08:22:00Z</dcterms:created>
  <dc:creator>scyh</dc:creator>
  <cp:lastModifiedBy>静心守诺</cp:lastModifiedBy>
  <cp:lastPrinted>2021-07-28T02:47:00Z</cp:lastPrinted>
  <dcterms:modified xsi:type="dcterms:W3CDTF">2022-04-11T02:41:39Z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6D03D95C65064428A265CEA2221CDFA5</vt:lpwstr>
  </property>
</Properties>
</file>