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52"/>
          <w:szCs w:val="52"/>
        </w:rPr>
        <w:t>201</w:t>
      </w:r>
      <w:r>
        <w:rPr>
          <w:rFonts w:hint="eastAsia" w:ascii="黑体" w:hAnsi="黑体" w:eastAsia="黑体"/>
          <w:color w:val="000000"/>
          <w:sz w:val="52"/>
          <w:szCs w:val="52"/>
        </w:rPr>
        <w:t>9</w:t>
      </w:r>
      <w:r>
        <w:rPr>
          <w:rFonts w:hint="eastAsia" w:ascii="方正小标宋简体" w:hAnsi="宋体" w:eastAsia="方正小标宋简体"/>
          <w:color w:val="000000"/>
          <w:sz w:val="52"/>
          <w:szCs w:val="52"/>
        </w:rPr>
        <w:t>年度</w:t>
      </w:r>
      <w:bookmarkEnd w:id="1"/>
      <w:bookmarkEnd w:id="2"/>
      <w:bookmarkEnd w:id="3"/>
      <w:bookmarkEnd w:id="4"/>
      <w:bookmarkEnd w:id="5"/>
    </w:p>
    <w:bookmarkEnd w:id="0"/>
    <w:p>
      <w:pPr>
        <w:snapToGrid w:val="0"/>
        <w:jc w:val="center"/>
        <w:rPr>
          <w:rFonts w:hint="eastAsia" w:ascii="方正小标宋简体" w:hAnsi="宋体" w:eastAsia="方正小标宋简体"/>
          <w:color w:val="000000"/>
          <w:sz w:val="52"/>
          <w:szCs w:val="52"/>
        </w:rPr>
      </w:pPr>
      <w:bookmarkStart w:id="6" w:name="_Toc15306268"/>
      <w:bookmarkStart w:id="7" w:name="_Toc15377194"/>
      <w:bookmarkStart w:id="8" w:name="_Toc15396476"/>
      <w:bookmarkStart w:id="9" w:name="_Toc15377426"/>
      <w:bookmarkStart w:id="10" w:name="_Toc15396598"/>
      <w:bookmarkStart w:id="11" w:name="_Toc15378442"/>
      <w:r>
        <w:rPr>
          <w:rFonts w:hint="eastAsia" w:ascii="方正小标宋简体" w:hAnsi="宋体" w:eastAsia="方正小标宋简体"/>
          <w:color w:val="000000"/>
          <w:sz w:val="52"/>
          <w:szCs w:val="52"/>
          <w:lang w:eastAsia="zh-CN"/>
        </w:rPr>
        <w:t>宣汉县司法局</w:t>
      </w:r>
      <w:r>
        <w:rPr>
          <w:rFonts w:hint="eastAsia" w:ascii="方正小标宋简体" w:hAnsi="宋体" w:eastAsia="方正小标宋简体"/>
          <w:color w:val="000000"/>
          <w:sz w:val="52"/>
          <w:szCs w:val="5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12</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pageBreakBefore w:val="0"/>
        <w:widowControl w:val="0"/>
        <w:kinsoku/>
        <w:wordWrap/>
        <w:overflowPunct/>
        <w:topLinePunct w:val="0"/>
        <w:autoSpaceDE/>
        <w:autoSpaceDN/>
        <w:bidi w:val="0"/>
        <w:ind w:firstLine="640" w:firstLineChars="200"/>
        <w:textAlignment w:val="auto"/>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5"/>
        <w:keepNext w:val="0"/>
        <w:keepLines w:val="0"/>
        <w:pageBreakBefore w:val="0"/>
        <w:widowControl w:val="0"/>
        <w:kinsoku/>
        <w:wordWrap/>
        <w:overflowPunct/>
        <w:topLinePunct w:val="0"/>
        <w:autoSpaceDE/>
        <w:autoSpaceDN/>
        <w:bidi w:val="0"/>
        <w:adjustRightInd w:val="0"/>
        <w:snapToGrid w:val="0"/>
        <w:spacing w:before="93" w:line="580" w:lineRule="exact"/>
        <w:ind w:firstLine="640" w:firstLineChars="200"/>
        <w:textAlignment w:val="auto"/>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（一）主要职能。（职能参照省政府批准的三定方案）</w:t>
      </w:r>
      <w:bookmarkEnd w:id="16"/>
      <w:bookmarkEnd w:id="17"/>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rPr>
      </w:pPr>
      <w:bookmarkStart w:id="18" w:name="_Toc15378446"/>
      <w:bookmarkStart w:id="19" w:name="_Toc15377199"/>
      <w:r>
        <w:rPr>
          <w:rFonts w:hint="eastAsia" w:cs="宋体"/>
          <w:b w:val="0"/>
          <w:i w:val="0"/>
          <w:caps w:val="0"/>
          <w:color w:val="333333"/>
          <w:spacing w:val="0"/>
          <w:sz w:val="32"/>
          <w:szCs w:val="32"/>
          <w:shd w:val="clear" w:color="auto" w:fill="FFFFFF"/>
          <w:lang w:val="en-US" w:eastAsia="zh-CN"/>
        </w:rPr>
        <w:t>(</w:t>
      </w:r>
      <w:r>
        <w:rPr>
          <w:rFonts w:hint="eastAsia" w:ascii="宋体" w:hAnsi="宋体" w:eastAsia="宋体" w:cs="宋体"/>
          <w:b w:val="0"/>
          <w:i w:val="0"/>
          <w:caps w:val="0"/>
          <w:color w:val="333333"/>
          <w:spacing w:val="0"/>
          <w:sz w:val="32"/>
          <w:szCs w:val="32"/>
          <w:shd w:val="clear" w:color="auto" w:fill="FFFFFF"/>
          <w:lang w:val="en-US" w:eastAsia="zh-CN"/>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研究起草</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"https://www.baidu.com/s?wd=%E5%8F%B8%E6%B3%95%E8%A1%8C%E6%94%BF&amp;tn=44039180_cpr&amp;fenlei=mv6quAkxTZn0IZRqIHckPjm4nH00T1d9m16srAR1PWbsm16knvmd0ZwV5Hcvrjm3rH6sPfKWUMw85HfYnjn4nH6sgvPsT6KdThsqpZwYTjCEQLGCpyw9Uz4Bmy-bIi4WUvYETgN-TLwGUv3En1nYn1mdrjmL"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司法行政</w:t>
      </w:r>
      <w:r>
        <w:rPr>
          <w:rFonts w:hint="eastAsia" w:ascii="仿宋_GB2312" w:hAnsi="仿宋" w:eastAsia="仿宋_GB2312"/>
          <w:sz w:val="32"/>
          <w:szCs w:val="32"/>
        </w:rPr>
        <w:fldChar w:fldCharType="end"/>
      </w:r>
      <w:r>
        <w:rPr>
          <w:rFonts w:hint="eastAsia" w:ascii="仿宋_GB2312" w:hAnsi="仿宋" w:eastAsia="仿宋_GB2312"/>
          <w:sz w:val="32"/>
          <w:szCs w:val="32"/>
        </w:rPr>
        <w:t>方面的地方性法规、规章草案；编</w:t>
      </w:r>
      <w:r>
        <w:rPr>
          <w:rFonts w:hint="eastAsia" w:ascii="仿宋_GB2312" w:hAnsi="仿宋" w:eastAsia="仿宋_GB2312"/>
          <w:sz w:val="32"/>
          <w:szCs w:val="32"/>
          <w:lang w:eastAsia="zh-CN"/>
        </w:rPr>
        <w:t>制</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"https://www.baidu.com/s?wd=%E5%8F%B8%E6%B3%95%E8%A1%8C%E6%94%BF&amp;tn=44039180_cpr&amp;fenlei=mv6quAkxTZn0IZRqIHckPjm4nH00T1d9m16srAR1PWbsm16knvmd0ZwV5Hcvrjm3rH6sPfKWUMw85HfYnjn4nH6sgvPsT6KdThsqpZwYTjCEQLGCpyw9Uz4Bmy-bIi4WUvYETgN-TLwGUv3En1nYn1mdrjmL"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司法行政</w:t>
      </w:r>
      <w:r>
        <w:rPr>
          <w:rFonts w:hint="eastAsia" w:ascii="仿宋_GB2312" w:hAnsi="仿宋" w:eastAsia="仿宋_GB2312"/>
          <w:sz w:val="32"/>
          <w:szCs w:val="32"/>
        </w:rPr>
        <w:fldChar w:fldCharType="end"/>
      </w:r>
      <w:r>
        <w:rPr>
          <w:rFonts w:hint="eastAsia" w:ascii="仿宋_GB2312" w:hAnsi="仿宋" w:eastAsia="仿宋_GB2312"/>
          <w:sz w:val="32"/>
          <w:szCs w:val="32"/>
        </w:rPr>
        <w:t>工作的发展规划及年度计划，并监督实施。</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(2).</w:t>
      </w:r>
      <w:r>
        <w:rPr>
          <w:rFonts w:hint="eastAsia" w:ascii="仿宋_GB2312" w:hAnsi="仿宋" w:eastAsia="仿宋_GB2312"/>
          <w:sz w:val="32"/>
          <w:szCs w:val="32"/>
        </w:rPr>
        <w:t>负责组织、指导对刑满释放和解除劳动教养人员的安置帮教工作。</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(3).</w:t>
      </w:r>
      <w:r>
        <w:rPr>
          <w:rFonts w:hint="eastAsia" w:ascii="仿宋_GB2312" w:hAnsi="仿宋" w:eastAsia="仿宋_GB2312"/>
          <w:sz w:val="32"/>
          <w:szCs w:val="32"/>
        </w:rPr>
        <w:t>负</w:t>
      </w:r>
      <w:r>
        <w:rPr>
          <w:rFonts w:hint="eastAsia" w:ascii="仿宋_GB2312" w:hAnsi="仿宋" w:eastAsia="仿宋_GB2312"/>
          <w:sz w:val="32"/>
          <w:szCs w:val="32"/>
          <w:lang w:eastAsia="zh-CN"/>
        </w:rPr>
        <w:t>责</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"https://www.baidu.com/s?wd=%E5%8F%B8%E6%B3%95%E8%A1%8C%E6%94%BF&amp;tn=44039180_cpr&amp;fenlei=mv6quAkxTZn0IZRqIHckPjm4nH00T1d9m16srAR1PWbsm16knvmd0ZwV5Hcvrjm3rH6sPfKWUMw85HfYnjn4nH6sgvPsT6KdThsqpZwYTjCEQLGCpyw9Uz4Bmy-bIi4WUvYETgN-TLwGUv3En1nYn1mdrjmL"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司法行政</w:t>
      </w:r>
      <w:r>
        <w:rPr>
          <w:rFonts w:hint="eastAsia" w:ascii="仿宋_GB2312" w:hAnsi="仿宋" w:eastAsia="仿宋_GB2312"/>
          <w:sz w:val="32"/>
          <w:szCs w:val="32"/>
        </w:rPr>
        <w:fldChar w:fldCharType="end"/>
      </w:r>
      <w:r>
        <w:rPr>
          <w:rFonts w:hint="eastAsia" w:ascii="仿宋_GB2312" w:hAnsi="仿宋" w:eastAsia="仿宋_GB2312"/>
          <w:sz w:val="32"/>
          <w:szCs w:val="32"/>
        </w:rPr>
        <w:t>系统的队伍建设和思想政治工作。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right="0" w:firstLine="320" w:firstLineChars="100"/>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(4).</w:t>
      </w:r>
      <w:r>
        <w:rPr>
          <w:rFonts w:hint="eastAsia" w:ascii="仿宋_GB2312" w:hAnsi="仿宋" w:eastAsia="仿宋_GB2312"/>
          <w:sz w:val="32"/>
          <w:szCs w:val="32"/>
        </w:rPr>
        <w:t>负责管理律师、法律援助工作和公证机构及公证活动；</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(5).</w:t>
      </w:r>
      <w:r>
        <w:rPr>
          <w:rFonts w:hint="eastAsia" w:ascii="仿宋_GB2312" w:hAnsi="仿宋" w:eastAsia="仿宋_GB2312"/>
          <w:sz w:val="32"/>
          <w:szCs w:val="32"/>
        </w:rPr>
        <w:t>指导本系统业务培训工作。</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(6).</w:t>
      </w:r>
      <w:r>
        <w:rPr>
          <w:rFonts w:hint="eastAsia" w:ascii="仿宋_GB2312" w:hAnsi="仿宋" w:eastAsia="仿宋_GB2312"/>
          <w:sz w:val="32"/>
          <w:szCs w:val="32"/>
        </w:rPr>
        <w:t>负责管理人民调解工作、</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"https://www.baidu.com/s?wd=%E7%A4%BE%E5%8C%BA%E7%9F%AB%E6%AD%A3&amp;tn=44039180_cpr&amp;fenlei=mv6quAkxTZn0IZRqIHckPjm4nH00T1d9m16srAR1PWbsm16knvmd0ZwV5Hcvrjm3rH6sPfKWUMw85HfYnjn4nH6sgvPsT6KdThsqpZwYTjCEQLGCpyw9Uz4Bmy-bIi4WUvYETgN-TLwGUv3En1nYn1mdrjmL"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社区矫正</w:t>
      </w:r>
      <w:r>
        <w:rPr>
          <w:rFonts w:hint="eastAsia" w:ascii="仿宋_GB2312" w:hAnsi="仿宋" w:eastAsia="仿宋_GB2312"/>
          <w:sz w:val="32"/>
          <w:szCs w:val="32"/>
        </w:rPr>
        <w:fldChar w:fldCharType="end"/>
      </w:r>
      <w:r>
        <w:rPr>
          <w:rFonts w:hint="eastAsia" w:ascii="仿宋_GB2312" w:hAnsi="仿宋" w:eastAsia="仿宋_GB2312"/>
          <w:sz w:val="32"/>
          <w:szCs w:val="32"/>
        </w:rPr>
        <w:t>工作及司法助理员、</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"https://www.baidu.com/s?wd=%E5%9F%BA%E5%B1%82%E5%8F%B8%E6%B3%95%E6%89%80&amp;tn=44039180_cpr&amp;fenlei=mv6quAkxTZn0IZRqIHckPjm4nH00T1d9m16srAR1PWbsm16knvmd0ZwV5Hcvrjm3rH6sPfKWUMw85HfYnjn4nH6sgvPsT6KdThsqpZwYTjCEQLGCpyw9Uz4Bmy-bIi4WUvYETgN-TLwGUv3En1nYn1mdrjmL"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基层司法所</w:t>
      </w:r>
      <w:r>
        <w:rPr>
          <w:rFonts w:hint="eastAsia" w:ascii="仿宋_GB2312" w:hAnsi="仿宋" w:eastAsia="仿宋_GB2312"/>
          <w:sz w:val="32"/>
          <w:szCs w:val="32"/>
        </w:rPr>
        <w:fldChar w:fldCharType="end"/>
      </w:r>
      <w:r>
        <w:rPr>
          <w:rFonts w:hint="eastAsia" w:ascii="仿宋_GB2312" w:hAnsi="仿宋" w:eastAsia="仿宋_GB2312"/>
          <w:sz w:val="32"/>
          <w:szCs w:val="32"/>
        </w:rPr>
        <w:t>和基层法律服务工作。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right="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(7).</w:t>
      </w:r>
      <w:r>
        <w:rPr>
          <w:rFonts w:hint="eastAsia" w:ascii="仿宋_GB2312" w:hAnsi="仿宋" w:eastAsia="仿宋_GB2312"/>
          <w:sz w:val="32"/>
          <w:szCs w:val="32"/>
        </w:rPr>
        <w:t>负责司法行政系统的外事工作和对外宣传、交流工作</w:t>
      </w:r>
      <w:r>
        <w:rPr>
          <w:rFonts w:hint="eastAsia" w:ascii="仿宋_GB2312" w:hAnsi="仿宋" w:eastAsia="仿宋_GB2312"/>
          <w:sz w:val="32"/>
          <w:szCs w:val="32"/>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639" w:leftChars="152" w:right="0" w:hanging="320" w:hangingChars="1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负责仲裁机构的登记管理工作。</w:t>
      </w:r>
    </w:p>
    <w:p>
      <w:pPr>
        <w:pStyle w:val="5"/>
        <w:keepNext w:val="0"/>
        <w:keepLines w:val="0"/>
        <w:pageBreakBefore w:val="0"/>
        <w:widowControl w:val="0"/>
        <w:kinsoku/>
        <w:wordWrap/>
        <w:overflowPunct/>
        <w:topLinePunct w:val="0"/>
        <w:autoSpaceDE/>
        <w:autoSpaceDN/>
        <w:bidi w:val="0"/>
        <w:adjustRightInd w:val="0"/>
        <w:snapToGrid w:val="0"/>
        <w:spacing w:before="93" w:line="580" w:lineRule="exact"/>
        <w:ind w:firstLine="640" w:firstLineChars="200"/>
        <w:textAlignment w:val="auto"/>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lang w:val="en-US" w:eastAsia="zh-CN"/>
        </w:rPr>
      </w:pPr>
      <w:bookmarkStart w:id="20" w:name="_Toc15377200"/>
      <w:bookmarkStart w:id="21" w:name="_Toc15396601"/>
      <w:r>
        <w:rPr>
          <w:rFonts w:hint="eastAsia" w:ascii="仿宋_GB2312" w:hAnsi="仿宋" w:eastAsia="仿宋_GB2312"/>
          <w:sz w:val="32"/>
          <w:szCs w:val="32"/>
          <w:lang w:val="en-US" w:eastAsia="zh-CN"/>
        </w:rPr>
        <w:t>1.较好完成了“七五普法”任务，提高了宣汉人民的法律意识。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2.完成了350人的社区矫正工作，转变了思想，传递了正能量。</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3.首月救助了36人，使之安居乐业，回归社会，做守法公民。</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4.调解25466件民事纠纷，维护了社会和谐稳定。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5.完成502件法律援助案件，打不起官司的人，也能维护自己合法权益。</w:t>
      </w:r>
    </w:p>
    <w:p>
      <w:pPr>
        <w:pStyle w:val="13"/>
        <w:keepNext w:val="0"/>
        <w:keepLines w:val="0"/>
        <w:pageBreakBefore w:val="0"/>
        <w:widowControl/>
        <w:suppressLineNumbers w:val="0"/>
        <w:shd w:val="clear"/>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二、机构设置</w:t>
      </w:r>
      <w:bookmarkEnd w:id="20"/>
      <w:bookmarkEnd w:id="2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宣汉县司法局机构一个，独立核算机构一个。</w:t>
      </w:r>
      <w:r>
        <w:rPr>
          <w:rFonts w:hint="eastAsia" w:ascii="仿宋_GB2312" w:hAnsi="仿宋" w:eastAsia="仿宋_GB2312"/>
          <w:sz w:val="32"/>
          <w:szCs w:val="32"/>
          <w:lang w:eastAsia="zh-CN"/>
        </w:rPr>
        <w:t>政法机关人员</w:t>
      </w:r>
      <w:r>
        <w:rPr>
          <w:rFonts w:hint="eastAsia" w:ascii="仿宋_GB2312" w:hAnsi="仿宋" w:eastAsia="仿宋_GB2312"/>
          <w:sz w:val="32"/>
          <w:szCs w:val="32"/>
          <w:lang w:val="en-US" w:eastAsia="zh-CN"/>
        </w:rPr>
        <w:t>88人</w:t>
      </w:r>
      <w:r>
        <w:rPr>
          <w:rFonts w:hint="eastAsia" w:ascii="仿宋_GB2312" w:hAnsi="仿宋" w:eastAsia="仿宋_GB2312"/>
          <w:sz w:val="32"/>
          <w:szCs w:val="32"/>
        </w:rPr>
        <w:t>，</w:t>
      </w:r>
      <w:r>
        <w:rPr>
          <w:rFonts w:hint="eastAsia" w:ascii="仿宋_GB2312" w:hAnsi="仿宋" w:eastAsia="仿宋_GB2312"/>
          <w:sz w:val="32"/>
          <w:szCs w:val="32"/>
          <w:lang w:val="en-US" w:eastAsia="zh-CN"/>
        </w:rPr>
        <w:t>事业编制人员8人，合计96人。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纳入2019年度部门决算编制范围的二级预算单位包括：</w:t>
      </w:r>
    </w:p>
    <w:p>
      <w:pPr>
        <w:pStyle w:val="5"/>
        <w:keepNext w:val="0"/>
        <w:keepLines w:val="0"/>
        <w:pageBreakBefore w:val="0"/>
        <w:kinsoku/>
        <w:wordWrap/>
        <w:overflowPunct/>
        <w:topLinePunct w:val="0"/>
        <w:autoSpaceDE/>
        <w:autoSpaceDN/>
        <w:bidi w:val="0"/>
        <w:adjustRightInd w:val="0"/>
        <w:snapToGrid w:val="0"/>
        <w:spacing w:before="93" w:line="580" w:lineRule="exact"/>
        <w:ind w:firstLine="672" w:firstLineChars="210"/>
        <w:textAlignment w:val="auto"/>
        <w:rPr>
          <w:rFonts w:hint="eastAsia" w:ascii="仿宋_GB2312"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无</w:t>
      </w:r>
    </w:p>
    <w:p>
      <w:pPr>
        <w:keepNext w:val="0"/>
        <w:keepLines w:val="0"/>
        <w:pageBreakBefore w:val="0"/>
        <w:widowControl/>
        <w:kinsoku/>
        <w:wordWrap/>
        <w:overflowPunct/>
        <w:topLinePunct w:val="0"/>
        <w:autoSpaceDE/>
        <w:autoSpaceDN/>
        <w:bidi w:val="0"/>
        <w:spacing w:line="580" w:lineRule="exact"/>
        <w:jc w:val="left"/>
        <w:textAlignment w:val="auto"/>
        <w:rPr>
          <w:rFonts w:ascii="仿宋" w:hAnsi="仿宋" w:eastAsia="仿宋"/>
          <w:color w:val="000000"/>
          <w:kern w:val="0"/>
          <w:sz w:val="32"/>
          <w:szCs w:val="32"/>
        </w:rPr>
      </w:pPr>
    </w:p>
    <w:p>
      <w:pPr>
        <w:pStyle w:val="2"/>
        <w:ind w:right="440"/>
        <w:jc w:val="right"/>
        <w:rPr>
          <w:rFonts w:hint="eastAsia" w:ascii="黑体" w:hAnsi="黑体" w:eastAsia="黑体"/>
          <w:b w:val="0"/>
          <w:color w:val="000000"/>
        </w:rPr>
      </w:pPr>
      <w:bookmarkStart w:id="22" w:name="_Toc15377204"/>
      <w:bookmarkStart w:id="23" w:name="_Toc15396602"/>
      <w:r>
        <w:rPr>
          <w:rFonts w:hint="eastAsia" w:ascii="黑体" w:hAnsi="黑体" w:eastAsia="黑体"/>
          <w:b w:val="0"/>
          <w:color w:val="000000"/>
        </w:rPr>
        <w:br w:type="page"/>
      </w:r>
    </w:p>
    <w:p>
      <w:pPr>
        <w:pStyle w:val="2"/>
        <w:ind w:right="440"/>
        <w:jc w:val="right"/>
        <w:rPr>
          <w:rStyle w:val="26"/>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eastAsia="zh-CN"/>
        </w:rPr>
        <w:t>2019年收入1791.21万元，支出1791.21万元。为打造节约型机关，节约开支，但</w:t>
      </w:r>
      <w:r>
        <w:rPr>
          <w:rFonts w:hint="eastAsia" w:ascii="仿宋_GB2312" w:eastAsia="仿宋_GB2312"/>
          <w:sz w:val="28"/>
          <w:szCs w:val="28"/>
          <w:lang w:val="en-US" w:eastAsia="zh-CN"/>
        </w:rPr>
        <w:t>2019年机构合并，人员增加</w:t>
      </w:r>
      <w:r>
        <w:rPr>
          <w:rFonts w:hint="eastAsia" w:ascii="仿宋_GB2312" w:eastAsia="仿宋_GB2312"/>
          <w:sz w:val="28"/>
          <w:szCs w:val="28"/>
          <w:lang w:eastAsia="zh-CN"/>
        </w:rPr>
        <w:t>，较</w:t>
      </w:r>
      <w:r>
        <w:rPr>
          <w:rFonts w:hint="eastAsia" w:ascii="仿宋_GB2312" w:eastAsia="仿宋_GB2312"/>
          <w:sz w:val="28"/>
          <w:szCs w:val="28"/>
          <w:lang w:val="en-US" w:eastAsia="zh-CN"/>
        </w:rPr>
        <w:t>2018年1690.49万元增加100.72万元</w:t>
      </w:r>
      <w:r>
        <w:rPr>
          <w:rFonts w:hint="eastAsia" w:ascii="仿宋_GB2312" w:eastAsia="仿宋_GB2312"/>
          <w:sz w:val="28"/>
          <w:szCs w:val="28"/>
        </w:rPr>
        <w:t>，</w:t>
      </w:r>
      <w:r>
        <w:rPr>
          <w:rFonts w:hint="eastAsia" w:ascii="仿宋_GB2312" w:eastAsia="仿宋_GB2312"/>
          <w:sz w:val="28"/>
          <w:szCs w:val="28"/>
          <w:lang w:eastAsia="zh-CN"/>
        </w:rPr>
        <w:t>增加5.96%</w:t>
      </w:r>
      <w:r>
        <w:rPr>
          <w:rFonts w:hint="eastAsia" w:ascii="仿宋_GB2312" w:eastAsia="仿宋_GB2312"/>
          <w:sz w:val="28"/>
          <w:szCs w:val="28"/>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drawing>
          <wp:anchor distT="0" distB="0" distL="114300" distR="114300" simplePos="0" relativeHeight="251658240" behindDoc="0" locked="0" layoutInCell="1" allowOverlap="1">
            <wp:simplePos x="0" y="0"/>
            <wp:positionH relativeFrom="column">
              <wp:posOffset>58420</wp:posOffset>
            </wp:positionH>
            <wp:positionV relativeFrom="paragraph">
              <wp:posOffset>95885</wp:posOffset>
            </wp:positionV>
            <wp:extent cx="5537200" cy="2496185"/>
            <wp:effectExtent l="4445" t="4445" r="20955"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5"/>
        <w:numPr>
          <w:ilvl w:val="0"/>
          <w:numId w:val="1"/>
        </w:numPr>
        <w:spacing w:line="600" w:lineRule="exact"/>
        <w:ind w:firstLineChars="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eastAsia="仿宋_GB2312"/>
          <w:sz w:val="28"/>
          <w:szCs w:val="28"/>
          <w:lang w:eastAsia="zh-CN"/>
        </w:rPr>
        <w:t>1791.21</w:t>
      </w:r>
      <w:r>
        <w:rPr>
          <w:rFonts w:hint="eastAsia" w:ascii="仿宋" w:hAnsi="仿宋" w:eastAsia="仿宋"/>
          <w:color w:val="000000"/>
          <w:sz w:val="32"/>
          <w:szCs w:val="32"/>
        </w:rPr>
        <w:t>万元，其中：一般公共预算财政拨款收入</w:t>
      </w:r>
      <w:r>
        <w:rPr>
          <w:rFonts w:hint="eastAsia" w:ascii="仿宋_GB2312" w:eastAsia="仿宋_GB2312"/>
          <w:sz w:val="28"/>
          <w:szCs w:val="28"/>
          <w:lang w:val="en-US" w:eastAsia="zh-CN"/>
        </w:rPr>
        <w:t>1791.21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政府性基金预算财政拨款收入</w:t>
      </w:r>
      <w:r>
        <w:rPr>
          <w:rFonts w:hint="eastAsia" w:ascii="仿宋_GB2312" w:eastAsia="仿宋_GB2312"/>
          <w:sz w:val="28"/>
          <w:szCs w:val="28"/>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29845</wp:posOffset>
            </wp:positionH>
            <wp:positionV relativeFrom="paragraph">
              <wp:posOffset>139065</wp:posOffset>
            </wp:positionV>
            <wp:extent cx="5537200" cy="2372360"/>
            <wp:effectExtent l="4445" t="4445" r="20955" b="23495"/>
            <wp:wrapTight wrapText="bothSides">
              <wp:wrapPolygon>
                <wp:start x="-17" y="-40"/>
                <wp:lineTo x="-17" y="21467"/>
                <wp:lineTo x="21533" y="21467"/>
                <wp:lineTo x="21533" y="-40"/>
                <wp:lineTo x="-17" y="-40"/>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5"/>
        <w:numPr>
          <w:ilvl w:val="0"/>
          <w:numId w:val="1"/>
        </w:numPr>
        <w:spacing w:line="600" w:lineRule="exact"/>
        <w:ind w:firstLine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eastAsia="仿宋_GB2312"/>
          <w:sz w:val="28"/>
          <w:szCs w:val="28"/>
          <w:lang w:eastAsia="zh-CN"/>
        </w:rPr>
        <w:t>1791.21</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1434.11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357.1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25400</wp:posOffset>
            </wp:positionH>
            <wp:positionV relativeFrom="paragraph">
              <wp:posOffset>271145</wp:posOffset>
            </wp:positionV>
            <wp:extent cx="5537200" cy="2372360"/>
            <wp:effectExtent l="4445" t="4445" r="20955" b="23495"/>
            <wp:wrapTight wrapText="bothSides">
              <wp:wrapPolygon>
                <wp:start x="-17" y="-40"/>
                <wp:lineTo x="-17" y="21467"/>
                <wp:lineTo x="21533" y="21467"/>
                <wp:lineTo x="21533" y="-40"/>
                <wp:lineTo x="-17" y="-40"/>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2019年财政拨款收</w:t>
      </w:r>
      <w:r>
        <w:rPr>
          <w:rFonts w:hint="eastAsia" w:ascii="仿宋" w:hAnsi="仿宋" w:eastAsia="仿宋"/>
          <w:color w:val="000000"/>
          <w:sz w:val="32"/>
          <w:szCs w:val="32"/>
          <w:lang w:eastAsia="zh-CN"/>
        </w:rPr>
        <w:t>入总计1791.21万元，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1791.21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为打造节约型机关，节约开支，但</w:t>
      </w:r>
      <w:r>
        <w:rPr>
          <w:rFonts w:hint="eastAsia" w:ascii="仿宋" w:hAnsi="仿宋" w:eastAsia="仿宋"/>
          <w:color w:val="000000"/>
          <w:sz w:val="32"/>
          <w:szCs w:val="32"/>
          <w:lang w:val="en-US" w:eastAsia="zh-CN"/>
        </w:rPr>
        <w:t>2019年机构合并，人员增加</w:t>
      </w:r>
      <w:r>
        <w:rPr>
          <w:rFonts w:hint="eastAsia" w:ascii="仿宋" w:hAnsi="仿宋" w:eastAsia="仿宋"/>
          <w:color w:val="000000"/>
          <w:sz w:val="32"/>
          <w:szCs w:val="32"/>
          <w:lang w:eastAsia="zh-CN"/>
        </w:rPr>
        <w:t>，较</w:t>
      </w:r>
      <w:r>
        <w:rPr>
          <w:rFonts w:hint="eastAsia" w:ascii="仿宋" w:hAnsi="仿宋" w:eastAsia="仿宋"/>
          <w:color w:val="000000"/>
          <w:sz w:val="32"/>
          <w:szCs w:val="32"/>
          <w:lang w:val="en-US" w:eastAsia="zh-CN"/>
        </w:rPr>
        <w:t>2018</w:t>
      </w:r>
      <w:r>
        <w:rPr>
          <w:rFonts w:hint="eastAsia" w:ascii="仿宋" w:hAnsi="仿宋" w:eastAsia="仿宋" w:cs="Times New Roman"/>
          <w:color w:val="000000"/>
          <w:sz w:val="32"/>
          <w:szCs w:val="32"/>
          <w:lang w:val="en-US" w:eastAsia="zh-CN"/>
        </w:rPr>
        <w:t>年1690.49万元增加100.72万元</w:t>
      </w:r>
      <w:r>
        <w:rPr>
          <w:rFonts w:hint="eastAsia" w:ascii="仿宋" w:hAnsi="仿宋" w:eastAsia="仿宋" w:cs="Times New Roman"/>
          <w:color w:val="000000"/>
          <w:sz w:val="32"/>
          <w:szCs w:val="32"/>
          <w:lang w:eastAsia="zh-CN"/>
        </w:rPr>
        <w:t>，增加5.96%。</w:t>
      </w:r>
    </w:p>
    <w:p>
      <w:pPr>
        <w:spacing w:line="600" w:lineRule="exact"/>
        <w:ind w:firstLine="64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3" w:firstLineChars="200"/>
        <w:rPr>
          <w:rFonts w:ascii="仿宋" w:hAnsi="仿宋" w:eastAsia="仿宋"/>
          <w:b/>
          <w:color w:val="00B050"/>
          <w:sz w:val="32"/>
          <w:szCs w:val="32"/>
        </w:rPr>
      </w:pPr>
    </w:p>
    <w:p>
      <w:pPr>
        <w:spacing w:line="600" w:lineRule="exact"/>
        <w:ind w:firstLine="640" w:firstLineChars="200"/>
        <w:rPr>
          <w:rFonts w:hint="eastAsia" w:ascii="黑体" w:hAnsi="黑体" w:eastAsia="黑体"/>
          <w:color w:val="000000"/>
          <w:sz w:val="32"/>
          <w:szCs w:val="32"/>
        </w:rPr>
      </w:pPr>
      <w:r>
        <w:rPr>
          <w:rFonts w:hint="eastAsia" w:ascii="仿宋_GB2312" w:eastAsia="仿宋_GB2312"/>
          <w:color w:val="000000"/>
          <w:sz w:val="32"/>
          <w:szCs w:val="32"/>
          <w:lang w:eastAsia="zh-CN"/>
        </w:rPr>
        <w:drawing>
          <wp:anchor distT="0" distB="0" distL="114300" distR="114300" simplePos="0" relativeHeight="251662336" behindDoc="0" locked="0" layoutInCell="1" allowOverlap="1">
            <wp:simplePos x="0" y="0"/>
            <wp:positionH relativeFrom="column">
              <wp:posOffset>63500</wp:posOffset>
            </wp:positionH>
            <wp:positionV relativeFrom="paragraph">
              <wp:posOffset>129540</wp:posOffset>
            </wp:positionV>
            <wp:extent cx="5537200" cy="2419350"/>
            <wp:effectExtent l="4445" t="4445" r="2095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_GB2312" w:eastAsia="仿宋_GB2312"/>
          <w:sz w:val="28"/>
          <w:szCs w:val="28"/>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1791.21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为打造节约型机关，节约开支，项目支出减少，</w:t>
      </w:r>
      <w:r>
        <w:rPr>
          <w:rFonts w:hint="eastAsia" w:ascii="仿宋" w:hAnsi="仿宋" w:eastAsia="仿宋" w:cs="Times New Roman"/>
          <w:color w:val="000000"/>
          <w:sz w:val="32"/>
          <w:szCs w:val="32"/>
          <w:lang w:eastAsia="zh-CN"/>
        </w:rPr>
        <w:t>较</w:t>
      </w:r>
      <w:r>
        <w:rPr>
          <w:rFonts w:hint="eastAsia" w:ascii="仿宋" w:hAnsi="仿宋" w:eastAsia="仿宋" w:cs="Times New Roman"/>
          <w:color w:val="000000"/>
          <w:sz w:val="32"/>
          <w:szCs w:val="32"/>
          <w:lang w:val="en-US" w:eastAsia="zh-CN"/>
        </w:rPr>
        <w:t>2018年1690.49万元增加100.72万元</w:t>
      </w:r>
      <w:r>
        <w:rPr>
          <w:rFonts w:hint="eastAsia" w:ascii="仿宋" w:hAnsi="仿宋" w:eastAsia="仿宋" w:cs="Times New Roman"/>
          <w:color w:val="000000"/>
          <w:sz w:val="32"/>
          <w:szCs w:val="32"/>
          <w:lang w:eastAsia="zh-CN"/>
        </w:rPr>
        <w:t>，增加5.96%。</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outlineLvl w:val="9"/>
        <w:rPr>
          <w:rFonts w:hint="eastAsia" w:ascii="仿宋" w:hAnsi="仿宋" w:eastAsia="仿宋"/>
          <w:color w:val="000000"/>
          <w:sz w:val="32"/>
          <w:szCs w:val="32"/>
        </w:rPr>
      </w:pPr>
    </w:p>
    <w:p>
      <w:pPr>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lang w:eastAsia="zh-CN"/>
        </w:rPr>
        <w:drawing>
          <wp:anchor distT="0" distB="0" distL="114300" distR="114300" simplePos="0" relativeHeight="251667456" behindDoc="0" locked="0" layoutInCell="1" allowOverlap="1">
            <wp:simplePos x="0" y="0"/>
            <wp:positionH relativeFrom="column">
              <wp:posOffset>-12700</wp:posOffset>
            </wp:positionH>
            <wp:positionV relativeFrom="paragraph">
              <wp:posOffset>158115</wp:posOffset>
            </wp:positionV>
            <wp:extent cx="5537200" cy="2618740"/>
            <wp:effectExtent l="4445" t="4445" r="20955"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eastAsia="zh-CN"/>
        </w:rPr>
        <w:t>1791.21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一般公共服务支出12万元，占</w:t>
      </w:r>
      <w:r>
        <w:rPr>
          <w:rFonts w:hint="eastAsia" w:ascii="仿宋" w:hAnsi="仿宋" w:eastAsia="仿宋"/>
          <w:color w:val="000000" w:themeColor="text1"/>
          <w:sz w:val="32"/>
          <w:szCs w:val="32"/>
          <w:lang w:val="en-US" w:eastAsia="zh-CN"/>
          <w14:textFill>
            <w14:solidFill>
              <w14:schemeClr w14:val="tx1"/>
            </w14:solidFill>
          </w14:textFill>
        </w:rPr>
        <w:t>1%；公共安全1491.56万元，占83%；</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支出134.16万元，占</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65.38万</w:t>
      </w:r>
      <w:r>
        <w:rPr>
          <w:rFonts w:hint="eastAsia" w:ascii="仿宋" w:hAnsi="仿宋" w:eastAsia="仿宋"/>
          <w:color w:val="000000" w:themeColor="text1"/>
          <w:sz w:val="32"/>
          <w:szCs w:val="32"/>
          <w14:textFill>
            <w14:solidFill>
              <w14:schemeClr w14:val="tx1"/>
            </w14:solidFill>
          </w14:textFill>
        </w:rPr>
        <w:t>元，占</w:t>
      </w:r>
      <w:r>
        <w:rPr>
          <w:rFonts w:hint="eastAsia" w:ascii="仿宋" w:hAnsi="仿宋" w:eastAsia="仿宋"/>
          <w:color w:val="000000" w:themeColor="text1"/>
          <w:sz w:val="32"/>
          <w:szCs w:val="32"/>
          <w:lang w:val="en-US" w:eastAsia="zh-CN"/>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88.11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71552" behindDoc="1" locked="0" layoutInCell="1" allowOverlap="1">
            <wp:simplePos x="0" y="0"/>
            <wp:positionH relativeFrom="column">
              <wp:posOffset>25400</wp:posOffset>
            </wp:positionH>
            <wp:positionV relativeFrom="paragraph">
              <wp:posOffset>441960</wp:posOffset>
            </wp:positionV>
            <wp:extent cx="5537200" cy="2372360"/>
            <wp:effectExtent l="4445" t="4445" r="20955" b="23495"/>
            <wp:wrapTight wrapText="bothSides">
              <wp:wrapPolygon>
                <wp:start x="-17" y="-40"/>
                <wp:lineTo x="-17" y="21467"/>
                <wp:lineTo x="21533" y="21467"/>
                <wp:lineTo x="21533" y="-40"/>
                <wp:lineTo x="-17" y="-4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_GB2312" w:hAnsi="仿宋" w:eastAsia="仿宋_GB2312" w:cs="宋体"/>
          <w:kern w:val="0"/>
          <w:sz w:val="32"/>
          <w:szCs w:val="32"/>
          <w:lang w:val="en-US" w:eastAsia="zh-CN" w:bidi="ar"/>
        </w:rPr>
        <w:t>1791.21</w:t>
      </w:r>
      <w:r>
        <w:rPr>
          <w:rFonts w:hint="eastAsia" w:ascii="仿宋" w:hAnsi="仿宋" w:eastAsia="仿宋"/>
          <w:color w:val="000000"/>
          <w:sz w:val="32"/>
          <w:szCs w:val="32"/>
          <w:lang w:eastAsia="zh-CN"/>
        </w:rPr>
        <w:t>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numPr>
          <w:ilvl w:val="0"/>
          <w:numId w:val="2"/>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rPr>
        <w:t>一般公共服务支出纪检监察事务</w:t>
      </w:r>
      <w:r>
        <w:rPr>
          <w:rStyle w:val="15"/>
          <w:rFonts w:hint="eastAsia" w:ascii="仿宋" w:hAnsi="仿宋" w:eastAsia="仿宋"/>
          <w:bCs/>
          <w:color w:val="000000"/>
          <w:sz w:val="32"/>
          <w:szCs w:val="32"/>
          <w:lang w:val="en-US" w:eastAsia="zh-CN"/>
        </w:rPr>
        <w:t>2011199其他纪检监察事务支出：</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12万元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3"/>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公共安全司法</w:t>
      </w:r>
    </w:p>
    <w:p>
      <w:pPr>
        <w:numPr>
          <w:numId w:val="0"/>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（1）2040601行政运行：</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1146.46万元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（2）2040602  一般行政管理事务：</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223万元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（3）2040604基层司法业务：</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27万元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（4）2040605普法宣传：</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25万元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（5）2040607法律援助：</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45.1万元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val="en-US" w:eastAsia="zh-CN"/>
        </w:rPr>
        <w:t>（6）2040609仲裁：</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25万元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3"/>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rPr>
        <w:t>社会保障和就业</w:t>
      </w:r>
    </w:p>
    <w:p>
      <w:pPr>
        <w:numPr>
          <w:numId w:val="0"/>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lang w:val="en-US" w:eastAsia="zh-CN"/>
        </w:rPr>
        <w:t>1）2080505机关事业单位基本养老保险缴费支出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105.5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5"/>
          <w:rFonts w:hint="eastAsia" w:ascii="仿宋" w:hAnsi="仿宋" w:eastAsia="仿宋"/>
          <w:b w:val="0"/>
          <w:bCs/>
          <w:color w:val="000000"/>
          <w:sz w:val="32"/>
          <w:szCs w:val="32"/>
          <w:lang w:eastAsia="zh-CN"/>
        </w:rPr>
      </w:pP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lang w:val="en-US" w:eastAsia="zh-CN"/>
        </w:rPr>
        <w:t>2）2080506机关事业单位职业年金缴费支出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8.01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5"/>
          <w:rFonts w:hint="eastAsia" w:ascii="仿宋" w:hAnsi="仿宋" w:eastAsia="仿宋"/>
          <w:b w:val="0"/>
          <w:bCs/>
          <w:color w:val="000000"/>
          <w:sz w:val="32"/>
          <w:szCs w:val="32"/>
          <w:lang w:val="en-US" w:eastAsia="zh-CN"/>
        </w:rPr>
      </w:pP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lang w:val="en-US" w:eastAsia="zh-CN"/>
        </w:rPr>
        <w:t>3）20805055其他行政事业单位离退休支出</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20.65</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r>
        <w:rPr>
          <w:rStyle w:val="15"/>
          <w:rFonts w:hint="eastAsia" w:ascii="仿宋" w:hAnsi="仿宋" w:eastAsia="仿宋"/>
          <w:b w:val="0"/>
          <w:bCs/>
          <w:color w:val="000000"/>
          <w:sz w:val="32"/>
          <w:szCs w:val="32"/>
          <w:lang w:eastAsia="zh-CN"/>
        </w:rPr>
        <w:t>。</w:t>
      </w:r>
    </w:p>
    <w:p>
      <w:pPr>
        <w:spacing w:line="600" w:lineRule="exact"/>
        <w:ind w:firstLine="640" w:firstLineChars="200"/>
        <w:rPr>
          <w:rStyle w:val="15"/>
          <w:rFonts w:hint="eastAsia" w:ascii="仿宋" w:hAnsi="仿宋" w:eastAsia="仿宋"/>
          <w:b w:val="0"/>
          <w:bCs/>
          <w:color w:val="000000"/>
          <w:sz w:val="32"/>
          <w:szCs w:val="32"/>
          <w:lang w:eastAsia="zh-CN"/>
        </w:rPr>
      </w:pPr>
      <w:r>
        <w:rPr>
          <w:rStyle w:val="15"/>
          <w:rFonts w:hint="eastAsia" w:ascii="仿宋" w:hAnsi="仿宋" w:eastAsia="仿宋"/>
          <w:b w:val="0"/>
          <w:bCs/>
          <w:color w:val="000000"/>
          <w:sz w:val="32"/>
          <w:szCs w:val="32"/>
          <w:lang w:val="en-US" w:eastAsia="zh-CN"/>
        </w:rPr>
        <w:t>4、</w:t>
      </w:r>
      <w:r>
        <w:rPr>
          <w:rFonts w:hint="eastAsia" w:ascii="仿宋" w:hAnsi="仿宋" w:eastAsia="仿宋"/>
          <w:color w:val="000000"/>
          <w:sz w:val="32"/>
          <w:szCs w:val="32"/>
          <w:lang w:val="en-US" w:eastAsia="zh-CN"/>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bCs/>
          <w:color w:val="000000" w:themeColor="text1"/>
          <w:sz w:val="32"/>
          <w:szCs w:val="32"/>
          <w:lang w:val="en-US" w:eastAsia="zh-CN"/>
          <w14:textFill>
            <w14:solidFill>
              <w14:schemeClr w14:val="tx1"/>
            </w14:solidFill>
          </w14:textFill>
        </w:rPr>
        <w:t>2011101行政单位医疗</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65.38</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w:t>
      </w:r>
      <w:r>
        <w:rPr>
          <w:rStyle w:val="15"/>
          <w:rFonts w:hint="eastAsia" w:ascii="仿宋" w:hAnsi="仿宋" w:eastAsia="仿宋"/>
          <w:b w:val="0"/>
          <w:bCs/>
          <w:color w:val="000000"/>
          <w:sz w:val="32"/>
          <w:szCs w:val="32"/>
          <w:lang w:eastAsia="zh-CN"/>
        </w:rPr>
        <w:t>完全执行预算法规定，按预算指标进行开支。</w:t>
      </w:r>
    </w:p>
    <w:p>
      <w:pPr>
        <w:spacing w:line="600" w:lineRule="exact"/>
        <w:ind w:firstLine="640" w:firstLineChars="200"/>
        <w:rPr>
          <w:rStyle w:val="15"/>
          <w:rFonts w:hint="eastAsia" w:ascii="仿宋" w:hAnsi="仿宋" w:eastAsia="仿宋"/>
          <w:b w:val="0"/>
          <w:bCs/>
          <w:color w:val="000000"/>
          <w:sz w:val="32"/>
          <w:szCs w:val="32"/>
          <w:lang w:val="en-US" w:eastAsia="zh-CN"/>
        </w:rPr>
      </w:pPr>
      <w:r>
        <w:rPr>
          <w:rFonts w:hint="eastAsia" w:ascii="仿宋" w:hAnsi="仿宋" w:eastAsia="仿宋"/>
          <w:color w:val="000000"/>
          <w:sz w:val="32"/>
          <w:szCs w:val="32"/>
          <w:lang w:val="en-US" w:eastAsia="zh-CN"/>
        </w:rPr>
        <w:t>5</w:t>
      </w:r>
      <w:r>
        <w:rPr>
          <w:rStyle w:val="15"/>
          <w:rFonts w:hint="eastAsia" w:ascii="仿宋" w:hAnsi="仿宋" w:eastAsia="仿宋"/>
          <w:b w:val="0"/>
          <w:bCs/>
          <w:color w:val="000000"/>
          <w:sz w:val="32"/>
          <w:szCs w:val="32"/>
          <w:lang w:val="en-US" w:eastAsia="zh-CN"/>
        </w:rPr>
        <w:t>、住房保障</w:t>
      </w:r>
      <w:r>
        <w:rPr>
          <w:rFonts w:hint="eastAsia" w:ascii="仿宋" w:hAnsi="仿宋" w:eastAsia="仿宋"/>
          <w:b/>
          <w:bCs/>
          <w:color w:val="000000" w:themeColor="text1"/>
          <w:sz w:val="32"/>
          <w:szCs w:val="32"/>
          <w:lang w:val="en-US" w:eastAsia="zh-CN"/>
          <w14:textFill>
            <w14:solidFill>
              <w14:schemeClr w14:val="tx1"/>
            </w14:solidFill>
          </w14:textFill>
        </w:rPr>
        <w:t>2210201住房公积金：</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88.11</w:t>
      </w:r>
      <w:r>
        <w:rPr>
          <w:rStyle w:val="15"/>
          <w:rFonts w:hint="eastAsia" w:ascii="仿宋" w:hAnsi="仿宋" w:eastAsia="仿宋"/>
          <w:b w:val="0"/>
          <w:bCs/>
          <w:color w:val="000000"/>
          <w:sz w:val="32"/>
          <w:szCs w:val="32"/>
        </w:rPr>
        <w:t>万元，完成预算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，决算数等于预算数的主要原因</w:t>
      </w:r>
      <w:r>
        <w:rPr>
          <w:rStyle w:val="15"/>
          <w:rFonts w:hint="eastAsia" w:ascii="仿宋" w:hAnsi="仿宋" w:eastAsia="仿宋"/>
          <w:b w:val="0"/>
          <w:bCs/>
          <w:color w:val="000000"/>
          <w:sz w:val="32"/>
          <w:szCs w:val="32"/>
          <w:lang w:eastAsia="zh-CN"/>
        </w:rPr>
        <w:t>完全执行预算法规定，按预算指标进行开支。</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eastAsia="zh-CN"/>
        </w:rPr>
        <w:t>1434.11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1203.33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230.79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23.39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，决算数或与预算数持平。</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18.23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75648" behindDoc="1" locked="0" layoutInCell="1" allowOverlap="1">
            <wp:simplePos x="0" y="0"/>
            <wp:positionH relativeFrom="column">
              <wp:posOffset>25400</wp:posOffset>
            </wp:positionH>
            <wp:positionV relativeFrom="paragraph">
              <wp:posOffset>62865</wp:posOffset>
            </wp:positionV>
            <wp:extent cx="5537200" cy="2372360"/>
            <wp:effectExtent l="4445" t="4445" r="20955" b="23495"/>
            <wp:wrapTight wrapText="bothSides">
              <wp:wrapPolygon>
                <wp:start x="-17" y="-40"/>
                <wp:lineTo x="-17" y="21467"/>
                <wp:lineTo x="21533" y="21467"/>
                <wp:lineTo x="21533" y="-40"/>
                <wp:lineTo x="-17" y="-4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 执法执勤用车</w:t>
      </w:r>
      <w:r>
        <w:rPr>
          <w:rFonts w:ascii="仿宋_GB2312" w:eastAsia="仿宋_GB2312"/>
          <w:color w:val="000000"/>
          <w:sz w:val="32"/>
          <w:szCs w:val="32"/>
        </w:rPr>
        <w:t>**</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18.23</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5.16</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5.16</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68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936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5.16</w:t>
      </w:r>
      <w:r>
        <w:rPr>
          <w:rFonts w:hint="eastAsia" w:ascii="仿宋_GB2312" w:eastAsia="仿宋_GB2312"/>
          <w:color w:val="000000"/>
          <w:sz w:val="32"/>
          <w:szCs w:val="32"/>
        </w:rPr>
        <w:t>万元。</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ascii="仿宋" w:hAnsi="仿宋" w:eastAsia="仿宋"/>
          <w:color w:val="000000"/>
          <w:sz w:val="32"/>
          <w:szCs w:val="32"/>
        </w:rPr>
        <w:t>**</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批次，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人，共计支出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w:t>
      </w:r>
    </w:p>
    <w:p>
      <w:pPr>
        <w:spacing w:line="600" w:lineRule="exact"/>
        <w:ind w:firstLine="640"/>
        <w:outlineLvl w:val="1"/>
        <w:rPr>
          <w:rStyle w:val="27"/>
          <w:rFonts w:ascii="黑体" w:hAnsi="黑体" w:eastAsia="黑体"/>
        </w:rPr>
      </w:pPr>
      <w:bookmarkStart w:id="46" w:name="_Toc15396610"/>
      <w:bookmarkStart w:id="47" w:name="_Toc15377218"/>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政府性基金预算拨款支出</w:t>
      </w:r>
      <w:r>
        <w:rPr>
          <w:rFonts w:hint="eastAsia" w:ascii="仿宋_GB2312" w:eastAsia="仿宋_GB2312"/>
          <w:color w:val="000000"/>
          <w:sz w:val="32"/>
          <w:szCs w:val="32"/>
          <w:lang w:eastAsia="zh-CN"/>
        </w:rPr>
        <w:t>。</w:t>
      </w:r>
    </w:p>
    <w:p>
      <w:pPr>
        <w:numPr>
          <w:ilvl w:val="0"/>
          <w:numId w:val="4"/>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ascii="仿宋_GB2312" w:eastAsia="仿宋_GB2312"/>
          <w:color w:val="000000"/>
          <w:sz w:val="32"/>
          <w:szCs w:val="32"/>
        </w:rPr>
        <w:t>**</w:t>
      </w:r>
      <w:r>
        <w:rPr>
          <w:rFonts w:hint="eastAsia" w:ascii="仿宋_GB2312" w:eastAsia="仿宋_GB2312"/>
          <w:color w:val="000000"/>
          <w:sz w:val="32"/>
          <w:szCs w:val="32"/>
        </w:rPr>
        <w:t>万元。</w:t>
      </w:r>
    </w:p>
    <w:p>
      <w:pPr>
        <w:spacing w:line="600" w:lineRule="exact"/>
        <w:ind w:firstLine="800" w:firstLineChars="250"/>
        <w:outlineLvl w:val="1"/>
        <w:rPr>
          <w:rStyle w:val="27"/>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 w:hAnsi="仿宋" w:eastAsia="仿宋"/>
          <w:color w:val="000000"/>
          <w:sz w:val="32"/>
          <w:szCs w:val="32"/>
          <w:lang w:val="en-US" w:eastAsia="zh-CN"/>
        </w:rPr>
        <w:t>230.79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w:t>
      </w:r>
      <w:r>
        <w:rPr>
          <w:rFonts w:hint="eastAsia" w:ascii="仿宋_GB2312" w:eastAsia="仿宋_GB2312"/>
          <w:color w:val="000000"/>
          <w:sz w:val="32"/>
          <w:szCs w:val="32"/>
          <w:lang w:eastAsia="zh-CN"/>
        </w:rPr>
        <w:t>年</w:t>
      </w:r>
      <w:r>
        <w:rPr>
          <w:rFonts w:hint="eastAsia" w:ascii="仿宋_GB2312" w:eastAsia="仿宋_GB2312"/>
          <w:color w:val="000000"/>
          <w:sz w:val="32"/>
          <w:szCs w:val="32"/>
          <w:lang w:val="en-US" w:eastAsia="zh-CN"/>
        </w:rPr>
        <w:t>253.35万元相比减少22.57万元，减少8.91%，主要原因节约开支</w:t>
      </w:r>
      <w:r>
        <w:rPr>
          <w:rFonts w:hint="eastAsia" w:ascii="仿宋_GB2312" w:eastAsia="仿宋_GB2312"/>
          <w:color w:val="000000"/>
          <w:sz w:val="32"/>
          <w:szCs w:val="32"/>
          <w:lang w:eastAsia="zh-CN"/>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ascii="仿宋_GB2312" w:eastAsia="仿宋_GB2312"/>
          <w:color w:val="000000"/>
          <w:sz w:val="32"/>
          <w:szCs w:val="32"/>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辆，其中：主要领导干部用车</w:t>
      </w:r>
      <w:r>
        <w:rPr>
          <w:rFonts w:ascii="仿宋_GB2312" w:eastAsia="仿宋_GB2312"/>
          <w:color w:val="000000"/>
          <w:sz w:val="32"/>
          <w:szCs w:val="32"/>
        </w:rPr>
        <w:t>**</w:t>
      </w:r>
      <w:r>
        <w:rPr>
          <w:rFonts w:hint="eastAsia" w:ascii="仿宋_GB2312" w:eastAsia="仿宋_GB2312"/>
          <w:color w:val="000000"/>
          <w:sz w:val="32"/>
          <w:szCs w:val="32"/>
        </w:rPr>
        <w:t>辆、机要通信用车</w:t>
      </w:r>
      <w:r>
        <w:rPr>
          <w:rFonts w:ascii="仿宋_GB2312" w:eastAsia="仿宋_GB2312"/>
          <w:color w:val="000000"/>
          <w:sz w:val="32"/>
          <w:szCs w:val="32"/>
        </w:rPr>
        <w:t>**</w:t>
      </w:r>
      <w:r>
        <w:rPr>
          <w:rFonts w:hint="eastAsia" w:ascii="仿宋_GB2312" w:eastAsia="仿宋_GB2312"/>
          <w:color w:val="000000"/>
          <w:sz w:val="32"/>
          <w:szCs w:val="32"/>
        </w:rPr>
        <w:t>辆、应急保障用车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行政执法</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ascii="仿宋_GB2312" w:eastAsia="仿宋_GB2312"/>
          <w:color w:val="000000"/>
          <w:sz w:val="32"/>
          <w:szCs w:val="32"/>
        </w:rPr>
        <w:t>**</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根据预算绩效管理要求，本部门（单位）在年初预算编制阶段，组织对（项目名称）开展了预算事前绩效评估，对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比较良好。</w:t>
      </w:r>
      <w:r>
        <w:rPr>
          <w:rFonts w:hint="eastAsia" w:ascii="仿宋_GB2312" w:hAnsi="仿宋_GB2312" w:eastAsia="仿宋_GB2312" w:cs="仿宋_GB2312"/>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XXX</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（1）XXXX项目</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%。通过项目实施，保障（支持、促进、提高……）。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XXXXX项目绩效目标完成情况综述。项目全年预算数XXX万元，执行数为XXX万元，完成预算的XX%。通过项目实施，保障（支持、促进、提高……）了XXXXXXX(按照项目总体目标简要描述项目成效），发现的主要问题：XXXXXXXX。下一步改进措施：XXXXXX</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80" w:lineRule="exact"/>
        <w:ind w:firstLine="640" w:firstLineChars="200"/>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具</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按计划全面完成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项目开展了绩效评价，《项目2019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6"/>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4"/>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pPr>
        <w:spacing w:line="600" w:lineRule="exact"/>
        <w:jc w:val="left"/>
        <w:outlineLvl w:val="0"/>
        <w:rPr>
          <w:rFonts w:hint="eastAsia" w:ascii="黑体" w:hAnsi="黑体" w:eastAsia="黑体" w:cs="黑体"/>
          <w:sz w:val="32"/>
          <w:szCs w:val="32"/>
        </w:rPr>
      </w:pP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部门整体支出绩效评价报告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按照《宣汉县财政局关于开展财政绩效评价工作的通知》（宣财函[2020]81号）文件相关要求，我单位及时开展了预算支出绩效自评，现将自评情况报告如下：</w:t>
      </w:r>
    </w:p>
    <w:p>
      <w:pPr>
        <w:widowControl/>
        <w:adjustRightInd w:val="0"/>
        <w:snapToGrid w:val="0"/>
        <w:spacing w:line="578" w:lineRule="exact"/>
        <w:ind w:firstLine="720"/>
        <w:jc w:val="left"/>
        <w:rPr>
          <w:rFonts w:hint="eastAsia" w:ascii="仿宋_GB2312" w:hAnsi="宋体" w:cs="宋体"/>
          <w:b/>
          <w:color w:val="000000"/>
          <w:kern w:val="0"/>
          <w:sz w:val="36"/>
          <w:szCs w:val="36"/>
          <w:shd w:val="clear" w:color="auto" w:fill="FFFFFF"/>
          <w:lang w:val="zh-CN"/>
        </w:rPr>
      </w:pPr>
      <w:r>
        <w:rPr>
          <w:rFonts w:hint="eastAsia" w:ascii="仿宋_GB2312" w:hAnsi="宋体" w:cs="宋体"/>
          <w:b/>
          <w:color w:val="000000"/>
          <w:kern w:val="0"/>
          <w:sz w:val="36"/>
          <w:szCs w:val="36"/>
          <w:shd w:val="clear" w:color="auto" w:fill="FFFFFF"/>
        </w:rPr>
        <w:t>一、</w:t>
      </w:r>
      <w:r>
        <w:rPr>
          <w:rFonts w:hint="eastAsia" w:ascii="仿宋_GB2312" w:hAnsi="宋体" w:cs="宋体"/>
          <w:b/>
          <w:color w:val="000000"/>
          <w:kern w:val="0"/>
          <w:sz w:val="36"/>
          <w:szCs w:val="36"/>
          <w:shd w:val="clear" w:color="auto" w:fill="FFFFFF"/>
          <w:lang w:val="zh-CN"/>
        </w:rPr>
        <w:t>部门（单位）概况</w:t>
      </w:r>
    </w:p>
    <w:p>
      <w:pPr>
        <w:widowControl/>
        <w:adjustRightInd w:val="0"/>
        <w:snapToGrid w:val="0"/>
        <w:spacing w:line="578" w:lineRule="exact"/>
        <w:ind w:firstLine="720"/>
        <w:jc w:val="left"/>
        <w:rPr>
          <w:rFonts w:hint="eastAsia" w:ascii="仿宋_GB2312" w:hAnsi="华文楷体" w:cs="宋体"/>
          <w:color w:val="000000"/>
          <w:kern w:val="0"/>
          <w:sz w:val="32"/>
          <w:szCs w:val="32"/>
          <w:shd w:val="clear" w:color="auto" w:fill="FFFFFF"/>
          <w:lang w:val="zh-CN"/>
        </w:rPr>
      </w:pPr>
      <w:r>
        <w:rPr>
          <w:rFonts w:hint="eastAsia" w:ascii="仿宋_GB2312" w:hAnsi="华文楷体" w:cs="宋体"/>
          <w:color w:val="000000"/>
          <w:kern w:val="0"/>
          <w:sz w:val="32"/>
          <w:szCs w:val="32"/>
          <w:shd w:val="clear" w:color="auto" w:fill="FFFFFF"/>
          <w:lang w:val="zh-CN"/>
        </w:rPr>
        <w:t>（一）机构组成。</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宣汉县司法局机构一个，独立核算机构一个。</w:t>
      </w:r>
      <w:r>
        <w:rPr>
          <w:rFonts w:hint="eastAsia" w:ascii="仿宋_GB2312" w:hAnsi="仿宋" w:eastAsia="仿宋_GB2312"/>
          <w:sz w:val="32"/>
          <w:szCs w:val="32"/>
          <w:lang w:eastAsia="zh-CN"/>
        </w:rPr>
        <w:t>政法机关人员</w:t>
      </w:r>
      <w:r>
        <w:rPr>
          <w:rFonts w:hint="eastAsia" w:ascii="仿宋_GB2312" w:hAnsi="仿宋" w:eastAsia="仿宋_GB2312"/>
          <w:sz w:val="32"/>
          <w:szCs w:val="32"/>
          <w:lang w:val="en-US" w:eastAsia="zh-CN"/>
        </w:rPr>
        <w:t>88人</w:t>
      </w:r>
      <w:r>
        <w:rPr>
          <w:rFonts w:hint="eastAsia" w:ascii="仿宋_GB2312" w:hAnsi="仿宋" w:eastAsia="仿宋_GB2312"/>
          <w:sz w:val="32"/>
          <w:szCs w:val="32"/>
        </w:rPr>
        <w:t>，</w:t>
      </w:r>
      <w:r>
        <w:rPr>
          <w:rFonts w:hint="eastAsia" w:ascii="仿宋_GB2312" w:hAnsi="仿宋" w:eastAsia="仿宋_GB2312"/>
          <w:sz w:val="32"/>
          <w:szCs w:val="32"/>
          <w:lang w:val="en-US" w:eastAsia="zh-CN"/>
        </w:rPr>
        <w:t>事业编制人员8人，合计96人。</w:t>
      </w:r>
    </w:p>
    <w:p>
      <w:pPr>
        <w:spacing w:line="560" w:lineRule="exact"/>
        <w:ind w:firstLine="640" w:firstLineChars="200"/>
        <w:rPr>
          <w:rFonts w:hint="eastAsia" w:ascii="仿宋_GB2312"/>
          <w:sz w:val="32"/>
          <w:szCs w:val="32"/>
          <w:lang w:val="zh-CN"/>
        </w:rPr>
      </w:pPr>
      <w:r>
        <w:rPr>
          <w:rFonts w:hint="eastAsia" w:ascii="仿宋_GB2312"/>
          <w:sz w:val="32"/>
          <w:szCs w:val="32"/>
          <w:lang w:val="zh-CN"/>
        </w:rPr>
        <w:t>（二）机构职能。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560" w:firstLineChars="200"/>
        <w:rPr>
          <w:rFonts w:hint="eastAsia" w:ascii="仿宋_GB2312" w:hAnsi="仿宋" w:eastAsia="仿宋_GB2312"/>
          <w:sz w:val="32"/>
          <w:szCs w:val="32"/>
        </w:rPr>
      </w:pPr>
      <w:r>
        <w:rPr>
          <w:rFonts w:hint="eastAsia" w:cs="宋体"/>
          <w:b w:val="0"/>
          <w:i w:val="0"/>
          <w:caps w:val="0"/>
          <w:color w:val="333333"/>
          <w:spacing w:val="0"/>
          <w:sz w:val="28"/>
          <w:szCs w:val="28"/>
          <w:shd w:val="clear" w:color="auto" w:fill="FFFFFF"/>
          <w:lang w:val="en-US" w:eastAsia="zh-CN"/>
        </w:rPr>
        <w:t>(</w:t>
      </w:r>
      <w:r>
        <w:rPr>
          <w:rFonts w:hint="eastAsia" w:ascii="宋体" w:hAnsi="宋体" w:eastAsia="宋体" w:cs="宋体"/>
          <w:b w:val="0"/>
          <w:i w:val="0"/>
          <w:caps w:val="0"/>
          <w:color w:val="333333"/>
          <w:spacing w:val="0"/>
          <w:sz w:val="28"/>
          <w:szCs w:val="28"/>
          <w:shd w:val="clear" w:color="auto" w:fill="FFFFFF"/>
          <w:lang w:val="en-US" w:eastAsia="zh-CN"/>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研究起草</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"https://www.baidu.com/s?wd=%E5%8F%B8%E6%B3%95%E8%A1%8C%E6%94%BF&amp;tn=44039180_cpr&amp;fenlei=mv6quAkxTZn0IZRqIHckPjm4nH00T1d9m16srAR1PWbsm16knvmd0ZwV5Hcvrjm3rH6sPfKWUMw85HfYnjn4nH6sgvPsT6KdThsqpZwYTjCEQLGCpyw9Uz4Bmy-bIi4WUvYETgN-TLwGUv3En1nYn1mdrjmL"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司法行政</w:t>
      </w:r>
      <w:r>
        <w:rPr>
          <w:rFonts w:hint="eastAsia" w:ascii="仿宋_GB2312" w:hAnsi="仿宋" w:eastAsia="仿宋_GB2312"/>
          <w:sz w:val="32"/>
          <w:szCs w:val="32"/>
        </w:rPr>
        <w:fldChar w:fldCharType="end"/>
      </w:r>
      <w:r>
        <w:rPr>
          <w:rFonts w:hint="eastAsia" w:ascii="仿宋_GB2312" w:hAnsi="仿宋" w:eastAsia="仿宋_GB2312"/>
          <w:sz w:val="32"/>
          <w:szCs w:val="32"/>
        </w:rPr>
        <w:t>方面的地方性法规、规章草案；编</w:t>
      </w:r>
      <w:r>
        <w:rPr>
          <w:rFonts w:hint="eastAsia" w:ascii="仿宋_GB2312" w:hAnsi="仿宋" w:eastAsia="仿宋_GB2312"/>
          <w:sz w:val="32"/>
          <w:szCs w:val="32"/>
          <w:lang w:eastAsia="zh-CN"/>
        </w:rPr>
        <w:t>制</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"https://www.baidu.com/s?wd=%E5%8F%B8%E6%B3%95%E8%A1%8C%E6%94%BF&amp;tn=44039180_cpr&amp;fenlei=mv6quAkxTZn0IZRqIHckPjm4nH00T1d9m16srAR1PWbsm16knvmd0ZwV5Hcvrjm3rH6sPfKWUMw85HfYnjn4nH6sgvPsT6KdThsqpZwYTjCEQLGCpyw9Uz4Bmy-bIi4WUvYETgN-TLwGUv3En1nYn1mdrjmL"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司法行政</w:t>
      </w:r>
      <w:r>
        <w:rPr>
          <w:rFonts w:hint="eastAsia" w:ascii="仿宋_GB2312" w:hAnsi="仿宋" w:eastAsia="仿宋_GB2312"/>
          <w:sz w:val="32"/>
          <w:szCs w:val="32"/>
        </w:rPr>
        <w:fldChar w:fldCharType="end"/>
      </w:r>
      <w:r>
        <w:rPr>
          <w:rFonts w:hint="eastAsia" w:ascii="仿宋_GB2312" w:hAnsi="仿宋" w:eastAsia="仿宋_GB2312"/>
          <w:sz w:val="32"/>
          <w:szCs w:val="32"/>
        </w:rPr>
        <w:t>工作的发展规划及年度计划，并监督实施。</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(2).</w:t>
      </w:r>
      <w:r>
        <w:rPr>
          <w:rFonts w:hint="eastAsia" w:ascii="仿宋_GB2312" w:hAnsi="仿宋" w:eastAsia="仿宋_GB2312"/>
          <w:sz w:val="32"/>
          <w:szCs w:val="32"/>
        </w:rPr>
        <w:t>负责组织、指导对刑满释放和解除劳动教养人员的安置帮教工作。</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(3).</w:t>
      </w:r>
      <w:r>
        <w:rPr>
          <w:rFonts w:hint="eastAsia" w:ascii="仿宋_GB2312" w:hAnsi="仿宋" w:eastAsia="仿宋_GB2312"/>
          <w:sz w:val="32"/>
          <w:szCs w:val="32"/>
        </w:rPr>
        <w:t>负</w:t>
      </w:r>
      <w:r>
        <w:rPr>
          <w:rFonts w:hint="eastAsia" w:ascii="仿宋_GB2312" w:hAnsi="仿宋" w:eastAsia="仿宋_GB2312"/>
          <w:sz w:val="32"/>
          <w:szCs w:val="32"/>
          <w:lang w:eastAsia="zh-CN"/>
        </w:rPr>
        <w:t>责</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"https://www.baidu.com/s?wd=%E5%8F%B8%E6%B3%95%E8%A1%8C%E6%94%BF&amp;tn=44039180_cpr&amp;fenlei=mv6quAkxTZn0IZRqIHckPjm4nH00T1d9m16srAR1PWbsm16knvmd0ZwV5Hcvrjm3rH6sPfKWUMw85HfYnjn4nH6sgvPsT6KdThsqpZwYTjCEQLGCpyw9Uz4Bmy-bIi4WUvYETgN-TLwGUv3En1nYn1mdrjmL"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司法行政</w:t>
      </w:r>
      <w:r>
        <w:rPr>
          <w:rFonts w:hint="eastAsia" w:ascii="仿宋_GB2312" w:hAnsi="仿宋" w:eastAsia="仿宋_GB2312"/>
          <w:sz w:val="32"/>
          <w:szCs w:val="32"/>
        </w:rPr>
        <w:fldChar w:fldCharType="end"/>
      </w:r>
      <w:r>
        <w:rPr>
          <w:rFonts w:hint="eastAsia" w:ascii="仿宋_GB2312" w:hAnsi="仿宋" w:eastAsia="仿宋_GB2312"/>
          <w:sz w:val="32"/>
          <w:szCs w:val="32"/>
        </w:rPr>
        <w:t>系统的队伍建设和思想政治工作。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right="0" w:firstLine="320" w:firstLineChars="100"/>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(4).</w:t>
      </w:r>
      <w:r>
        <w:rPr>
          <w:rFonts w:hint="eastAsia" w:ascii="仿宋_GB2312" w:hAnsi="仿宋" w:eastAsia="仿宋_GB2312"/>
          <w:sz w:val="32"/>
          <w:szCs w:val="32"/>
        </w:rPr>
        <w:t>负责管理律师、法律援助工作和公证机构及公证活动；</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(5).</w:t>
      </w:r>
      <w:r>
        <w:rPr>
          <w:rFonts w:hint="eastAsia" w:ascii="仿宋_GB2312" w:hAnsi="仿宋" w:eastAsia="仿宋_GB2312"/>
          <w:sz w:val="32"/>
          <w:szCs w:val="32"/>
        </w:rPr>
        <w:t>指导本系统业务培训工作。</w:t>
      </w:r>
      <w:r>
        <w:rPr>
          <w:rFonts w:hint="eastAsia" w:ascii="仿宋_GB2312" w:hAnsi="仿宋" w:eastAsia="仿宋_GB2312"/>
          <w:sz w:val="32"/>
          <w:szCs w:val="32"/>
        </w:rPr>
        <w:br w:type="textWrapping"/>
      </w:r>
      <w:r>
        <w:rPr>
          <w:rFonts w:hint="eastAsia" w:ascii="仿宋_GB2312" w:hAnsi="仿宋" w:eastAsia="仿宋_GB2312"/>
          <w:sz w:val="32"/>
          <w:szCs w:val="32"/>
          <w:lang w:val="en-US" w:eastAsia="zh-CN"/>
        </w:rPr>
        <w:t xml:space="preserve">  (6).</w:t>
      </w:r>
      <w:r>
        <w:rPr>
          <w:rFonts w:hint="eastAsia" w:ascii="仿宋_GB2312" w:hAnsi="仿宋" w:eastAsia="仿宋_GB2312"/>
          <w:sz w:val="32"/>
          <w:szCs w:val="32"/>
        </w:rPr>
        <w:t>负责管理人民调解工作、</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"https://www.baidu.com/s?wd=%E7%A4%BE%E5%8C%BA%E7%9F%AB%E6%AD%A3&amp;tn=44039180_cpr&amp;fenlei=mv6quAkxTZn0IZRqIHckPjm4nH00T1d9m16srAR1PWbsm16knvmd0ZwV5Hcvrjm3rH6sPfKWUMw85HfYnjn4nH6sgvPsT6KdThsqpZwYTjCEQLGCpyw9Uz4Bmy-bIi4WUvYETgN-TLwGUv3En1nYn1mdrjmL"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社区矫正</w:t>
      </w:r>
      <w:r>
        <w:rPr>
          <w:rFonts w:hint="eastAsia" w:ascii="仿宋_GB2312" w:hAnsi="仿宋" w:eastAsia="仿宋_GB2312"/>
          <w:sz w:val="32"/>
          <w:szCs w:val="32"/>
        </w:rPr>
        <w:fldChar w:fldCharType="end"/>
      </w:r>
      <w:r>
        <w:rPr>
          <w:rFonts w:hint="eastAsia" w:ascii="仿宋_GB2312" w:hAnsi="仿宋" w:eastAsia="仿宋_GB2312"/>
          <w:sz w:val="32"/>
          <w:szCs w:val="32"/>
        </w:rPr>
        <w:t>工作及司法助理员、</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"https://www.baidu.com/s?wd=%E5%9F%BA%E5%B1%82%E5%8F%B8%E6%B3%95%E6%89%80&amp;tn=44039180_cpr&amp;fenlei=mv6quAkxTZn0IZRqIHckPjm4nH00T1d9m16srAR1PWbsm16knvmd0ZwV5Hcvrjm3rH6sPfKWUMw85HfYnjn4nH6sgvPsT6KdThsqpZwYTjCEQLGCpyw9Uz4Bmy-bIi4WUvYETgN-TLwGUv3En1nYn1mdrjmL" \t "https://zhidao.baidu.com/question/_blank"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基层司法所</w:t>
      </w:r>
      <w:r>
        <w:rPr>
          <w:rFonts w:hint="eastAsia" w:ascii="仿宋_GB2312" w:hAnsi="仿宋" w:eastAsia="仿宋_GB2312"/>
          <w:sz w:val="32"/>
          <w:szCs w:val="32"/>
        </w:rPr>
        <w:fldChar w:fldCharType="end"/>
      </w:r>
      <w:r>
        <w:rPr>
          <w:rFonts w:hint="eastAsia" w:ascii="仿宋_GB2312" w:hAnsi="仿宋" w:eastAsia="仿宋_GB2312"/>
          <w:sz w:val="32"/>
          <w:szCs w:val="32"/>
        </w:rPr>
        <w:t>和基层法律服务工作。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right="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(7).</w:t>
      </w:r>
      <w:r>
        <w:rPr>
          <w:rFonts w:hint="eastAsia" w:ascii="仿宋_GB2312" w:hAnsi="仿宋" w:eastAsia="仿宋_GB2312"/>
          <w:sz w:val="32"/>
          <w:szCs w:val="32"/>
        </w:rPr>
        <w:t>负责司法行政系统的外事工作和对外宣传、交流工作</w:t>
      </w:r>
      <w:r>
        <w:rPr>
          <w:rFonts w:hint="eastAsia" w:ascii="仿宋_GB2312" w:hAnsi="仿宋" w:eastAsia="仿宋_GB2312"/>
          <w:sz w:val="32"/>
          <w:szCs w:val="32"/>
          <w:lang w:eastAsia="zh-CN"/>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639" w:leftChars="152" w:right="0" w:hanging="320" w:hangingChars="1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负责仲裁机构的登记管理工作。</w:t>
      </w:r>
    </w:p>
    <w:p>
      <w:pPr>
        <w:widowControl/>
        <w:adjustRightInd w:val="0"/>
        <w:snapToGrid w:val="0"/>
        <w:spacing w:line="578" w:lineRule="exact"/>
        <w:ind w:firstLine="720"/>
        <w:jc w:val="left"/>
        <w:rPr>
          <w:rFonts w:hint="eastAsia" w:ascii="仿宋_GB2312" w:hAnsi="华文楷体" w:cs="宋体"/>
          <w:color w:val="000000"/>
          <w:kern w:val="0"/>
          <w:sz w:val="32"/>
          <w:szCs w:val="32"/>
          <w:shd w:val="clear" w:color="auto" w:fill="FFFFFF"/>
          <w:lang w:val="zh-CN"/>
        </w:rPr>
      </w:pPr>
      <w:r>
        <w:rPr>
          <w:rFonts w:hint="eastAsia" w:ascii="仿宋_GB2312" w:hAnsi="华文楷体" w:cs="宋体"/>
          <w:color w:val="000000"/>
          <w:kern w:val="0"/>
          <w:sz w:val="32"/>
          <w:szCs w:val="32"/>
          <w:shd w:val="clear" w:color="auto" w:fill="FFFFFF"/>
          <w:lang w:val="zh-CN"/>
        </w:rPr>
        <w:t>（三）人员概况。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435" w:lineRule="atLeast"/>
        <w:ind w:left="0" w:right="0"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政法机关人员</w:t>
      </w:r>
      <w:r>
        <w:rPr>
          <w:rFonts w:hint="eastAsia" w:ascii="仿宋_GB2312" w:hAnsi="仿宋" w:eastAsia="仿宋_GB2312"/>
          <w:sz w:val="32"/>
          <w:szCs w:val="32"/>
          <w:lang w:val="en-US" w:eastAsia="zh-CN"/>
        </w:rPr>
        <w:t>88人</w:t>
      </w:r>
      <w:r>
        <w:rPr>
          <w:rFonts w:hint="eastAsia" w:ascii="仿宋_GB2312" w:hAnsi="仿宋" w:eastAsia="仿宋_GB2312"/>
          <w:sz w:val="32"/>
          <w:szCs w:val="32"/>
        </w:rPr>
        <w:t>，</w:t>
      </w:r>
      <w:r>
        <w:rPr>
          <w:rFonts w:hint="eastAsia" w:ascii="仿宋_GB2312" w:hAnsi="仿宋" w:eastAsia="仿宋_GB2312"/>
          <w:sz w:val="32"/>
          <w:szCs w:val="32"/>
          <w:lang w:val="en-US" w:eastAsia="zh-CN"/>
        </w:rPr>
        <w:t>事业编制人员8人，合计96人。</w:t>
      </w:r>
    </w:p>
    <w:p>
      <w:pPr>
        <w:widowControl/>
        <w:adjustRightInd w:val="0"/>
        <w:snapToGrid w:val="0"/>
        <w:spacing w:line="578" w:lineRule="exact"/>
        <w:ind w:firstLine="720"/>
        <w:jc w:val="left"/>
        <w:rPr>
          <w:rFonts w:hint="eastAsia" w:ascii="仿宋_GB2312" w:hAnsi="宋体" w:cs="宋体"/>
          <w:b/>
          <w:color w:val="000000"/>
          <w:kern w:val="0"/>
          <w:sz w:val="32"/>
          <w:szCs w:val="32"/>
          <w:shd w:val="clear" w:color="auto" w:fill="FFFFFF"/>
        </w:rPr>
      </w:pPr>
      <w:r>
        <w:rPr>
          <w:rFonts w:hint="eastAsia" w:ascii="仿宋_GB2312" w:hAnsi="宋体" w:cs="宋体"/>
          <w:b/>
          <w:color w:val="000000"/>
          <w:kern w:val="0"/>
          <w:sz w:val="32"/>
          <w:szCs w:val="32"/>
          <w:shd w:val="clear" w:color="auto" w:fill="FFFFFF"/>
        </w:rPr>
        <w:t>二、部门财政资金收支情况</w:t>
      </w:r>
    </w:p>
    <w:p>
      <w:pPr>
        <w:widowControl/>
        <w:adjustRightInd w:val="0"/>
        <w:snapToGrid w:val="0"/>
        <w:spacing w:line="578" w:lineRule="exact"/>
        <w:ind w:firstLine="720"/>
        <w:jc w:val="left"/>
        <w:rPr>
          <w:rFonts w:hint="eastAsia" w:ascii="仿宋_GB2312" w:hAnsi="仿宋" w:eastAsia="仿宋_GB2312" w:cs="宋体"/>
          <w:kern w:val="0"/>
          <w:sz w:val="32"/>
          <w:szCs w:val="32"/>
          <w:lang w:val="zh-CN" w:eastAsia="zh-CN" w:bidi="ar"/>
        </w:rPr>
      </w:pPr>
      <w:r>
        <w:rPr>
          <w:rFonts w:hint="eastAsia" w:ascii="仿宋_GB2312" w:hAnsi="仿宋" w:eastAsia="仿宋_GB2312" w:cs="宋体"/>
          <w:kern w:val="0"/>
          <w:sz w:val="32"/>
          <w:szCs w:val="32"/>
          <w:lang w:val="zh-CN" w:eastAsia="zh-CN" w:bidi="ar"/>
        </w:rPr>
        <w:t>（一）部门财政资金收入情况。</w:t>
      </w:r>
    </w:p>
    <w:p>
      <w:pPr>
        <w:widowControl/>
        <w:adjustRightInd w:val="0"/>
        <w:snapToGrid w:val="0"/>
        <w:spacing w:line="578" w:lineRule="exact"/>
        <w:ind w:firstLine="720"/>
        <w:jc w:val="left"/>
        <w:rPr>
          <w:rFonts w:hint="eastAsia" w:ascii="仿宋_GB2312" w:hAnsi="仿宋" w:eastAsia="仿宋_GB2312" w:cs="宋体"/>
          <w:kern w:val="0"/>
          <w:sz w:val="32"/>
          <w:szCs w:val="32"/>
          <w:lang w:val="zh-CN" w:eastAsia="zh-CN" w:bidi="ar"/>
        </w:rPr>
      </w:pPr>
      <w:r>
        <w:rPr>
          <w:rFonts w:hint="eastAsia" w:ascii="仿宋_GB2312" w:hAnsi="仿宋" w:eastAsia="仿宋_GB2312" w:cs="宋体"/>
          <w:kern w:val="0"/>
          <w:sz w:val="32"/>
          <w:szCs w:val="32"/>
          <w:lang w:val="en-US" w:eastAsia="zh-CN" w:bidi="ar"/>
        </w:rPr>
        <w:t>2019年收入总额为1791.21万元，其中当年财政拨款收入1791.21万元。</w:t>
      </w:r>
    </w:p>
    <w:p>
      <w:pPr>
        <w:widowControl/>
        <w:adjustRightInd w:val="0"/>
        <w:snapToGrid w:val="0"/>
        <w:spacing w:line="578" w:lineRule="exact"/>
        <w:ind w:firstLine="720"/>
        <w:jc w:val="left"/>
        <w:rPr>
          <w:rFonts w:hint="eastAsia" w:ascii="仿宋_GB2312" w:hAnsi="仿宋" w:eastAsia="仿宋_GB2312" w:cs="宋体"/>
          <w:kern w:val="0"/>
          <w:sz w:val="32"/>
          <w:szCs w:val="32"/>
          <w:lang w:val="zh-CN" w:eastAsia="zh-CN" w:bidi="ar"/>
        </w:rPr>
      </w:pPr>
      <w:r>
        <w:rPr>
          <w:rFonts w:hint="eastAsia" w:ascii="仿宋_GB2312" w:hAnsi="仿宋" w:eastAsia="仿宋_GB2312" w:cs="宋体"/>
          <w:kern w:val="0"/>
          <w:sz w:val="32"/>
          <w:szCs w:val="32"/>
          <w:lang w:val="zh-CN" w:eastAsia="zh-CN" w:bidi="ar"/>
        </w:rPr>
        <w:t>（二）部门财政资金支出情况。</w:t>
      </w:r>
    </w:p>
    <w:p>
      <w:pPr>
        <w:spacing w:line="560" w:lineRule="exact"/>
        <w:ind w:firstLine="640" w:firstLineChars="200"/>
        <w:rPr>
          <w:rFonts w:hint="eastAsia" w:ascii="仿宋_GB2312" w:hAnsi="仿宋" w:eastAsia="仿宋_GB2312" w:cs="宋体"/>
          <w:kern w:val="0"/>
          <w:sz w:val="32"/>
          <w:szCs w:val="32"/>
          <w:lang w:val="en-US" w:eastAsia="zh-CN" w:bidi="ar"/>
        </w:rPr>
      </w:pPr>
      <w:r>
        <w:rPr>
          <w:rFonts w:hint="eastAsia" w:ascii="仿宋_GB2312" w:hAnsi="仿宋" w:eastAsia="仿宋_GB2312" w:cs="宋体"/>
          <w:kern w:val="0"/>
          <w:sz w:val="32"/>
          <w:szCs w:val="32"/>
          <w:lang w:val="en-US" w:eastAsia="zh-CN" w:bidi="ar"/>
        </w:rPr>
        <w:t>2019年总支出1791.21万元，其中一般公共服务支出12万元，占1%；公共安全1491.56万元，占83%；社会保障和就业支出134.16万元，占7%；卫生健康支出65.38万元，占4%；住房保障支出88.11万元，占5%。</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三、部门财政支出管理情况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（一）部门决算情况</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严格按照县级部门预算编制通知和有关要求，按时完成预决算编制工作。严格按照财政局的要求认真完成</w:t>
      </w:r>
      <w:r>
        <w:rPr>
          <w:rFonts w:hint="eastAsia" w:ascii="仿宋_GB2312" w:eastAsia="仿宋_GB2312"/>
          <w:sz w:val="32"/>
          <w:szCs w:val="32"/>
        </w:rPr>
        <w:t>财政供养人员控制在预算编制以内，编制内在职人员控制率小于100%，人员控制非常好。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（二）执行管理情况。</w:t>
      </w:r>
    </w:p>
    <w:p>
      <w:pPr>
        <w:spacing w:line="560" w:lineRule="exact"/>
        <w:ind w:firstLine="640" w:firstLineChars="200"/>
        <w:rPr>
          <w:rFonts w:hint="eastAsia" w:ascii="仿宋_GB2312" w:eastAsia="仿宋_GB2312" w:cs="仿宋_GB2312"/>
          <w:color w:val="000000"/>
          <w:sz w:val="32"/>
          <w:szCs w:val="32"/>
        </w:rPr>
      </w:pPr>
      <w:r>
        <w:rPr>
          <w:rFonts w:ascii="仿宋_GB2312" w:eastAsia="仿宋_GB2312" w:cs="仿宋_GB2312"/>
          <w:color w:val="000000"/>
          <w:sz w:val="32"/>
          <w:szCs w:val="32"/>
        </w:rPr>
        <w:t>我单位</w:t>
      </w:r>
      <w:r>
        <w:rPr>
          <w:rFonts w:hint="eastAsia" w:ascii="仿宋_GB2312" w:eastAsia="仿宋_GB2312" w:cs="仿宋_GB2312"/>
          <w:color w:val="000000"/>
          <w:sz w:val="32"/>
          <w:szCs w:val="32"/>
        </w:rPr>
        <w:t>2019</w:t>
      </w:r>
      <w:r>
        <w:rPr>
          <w:rFonts w:ascii="仿宋_GB2312" w:eastAsia="仿宋_GB2312" w:cs="仿宋_GB2312"/>
          <w:color w:val="000000"/>
          <w:sz w:val="32"/>
          <w:szCs w:val="32"/>
        </w:rPr>
        <w:t>年6月、9月、11月及全年执行进度达到本部门执行进度。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（三）综合管理情况</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单位认真编制了内控制报告，并逐一落实完善，加大了内控制度建设力度，严格控制三公经费支出出，“三公”经费预算较上年减少，达到了只减不增的要求。对单位资产逐一进行核查，做到一卡一物，并做到帐实相符。我单位并将部门预算及部门决算在政府门户网站进行了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（四）整体绩效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1、部门支出绩效。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（1）行政运转保障</w:t>
      </w:r>
    </w:p>
    <w:p>
      <w:pPr>
        <w:spacing w:line="560" w:lineRule="exact"/>
        <w:ind w:firstLine="640"/>
        <w:rPr>
          <w:rFonts w:hint="eastAsia" w:ascii="仿宋_GB2312" w:eastAsia="仿宋_GB2312" w:cs="仿宋_GB2312"/>
          <w:color w:val="000000"/>
          <w:sz w:val="32"/>
          <w:szCs w:val="32"/>
        </w:rPr>
      </w:pPr>
      <w:r>
        <w:rPr>
          <w:rFonts w:ascii="仿宋_GB2312" w:eastAsia="仿宋_GB2312" w:cs="仿宋_GB2312"/>
          <w:color w:val="000000"/>
          <w:sz w:val="32"/>
          <w:szCs w:val="32"/>
        </w:rPr>
        <w:t>财政拨款安排支出主要用于保障单位正常运转、完成日常工作任务以及住房保障等相关工作。 </w:t>
      </w:r>
      <w:r>
        <w:rPr>
          <w:rFonts w:hint="eastAsia" w:ascii="仿宋_GB2312" w:eastAsia="仿宋_GB2312" w:cs="仿宋_GB2312"/>
          <w:color w:val="000000"/>
          <w:sz w:val="32"/>
          <w:szCs w:val="32"/>
        </w:rPr>
        <w:t>其中：人员经费</w:t>
      </w:r>
      <w:r>
        <w:rPr>
          <w:rFonts w:hint="eastAsia" w:ascii="仿宋_GB2312" w:hAnsi="仿宋_GB2312" w:eastAsia="仿宋_GB2312" w:cs="仿宋_GB2312"/>
          <w:sz w:val="32"/>
          <w:szCs w:val="32"/>
          <w:lang w:val="en-US" w:eastAsia="zh-CN"/>
        </w:rPr>
        <w:t>1203.33</w:t>
      </w:r>
      <w:r>
        <w:rPr>
          <w:rFonts w:hint="eastAsia" w:ascii="仿宋_GB2312"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560" w:lineRule="exact"/>
        <w:ind w:firstLine="640"/>
        <w:rPr>
          <w:rFonts w:ascii="仿宋_GB2312" w:eastAsia="仿宋_GB2312"/>
          <w:b/>
          <w:bCs/>
          <w:color w:val="000000"/>
          <w:sz w:val="32"/>
          <w:szCs w:val="32"/>
        </w:rPr>
      </w:pPr>
      <w:r>
        <w:rPr>
          <w:rFonts w:hint="eastAsia" w:ascii="仿宋_GB2312" w:eastAsia="仿宋_GB2312" w:cs="仿宋_GB2312"/>
          <w:color w:val="000000"/>
          <w:sz w:val="32"/>
          <w:szCs w:val="32"/>
        </w:rPr>
        <w:t>公用经费</w:t>
      </w:r>
      <w:r>
        <w:rPr>
          <w:rFonts w:hint="eastAsia" w:ascii="仿宋_GB2312" w:eastAsia="仿宋_GB2312" w:cs="仿宋_GB2312"/>
          <w:color w:val="000000"/>
          <w:sz w:val="32"/>
          <w:szCs w:val="32"/>
          <w:lang w:val="en-US" w:eastAsia="zh-CN"/>
        </w:rPr>
        <w:t>230.79</w:t>
      </w:r>
      <w:r>
        <w:rPr>
          <w:rFonts w:hint="eastAsia" w:ascii="仿宋_GB2312"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（2）机关厉行节约。</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我单位认真贯彻落实中央和省委省政府相关规定，厉行节约，严格控制因公出国（境）费用、会议费、车辆购置及运行费用和公务接待经费，</w:t>
      </w:r>
      <w:r>
        <w:rPr>
          <w:rFonts w:hint="eastAsia" w:ascii="仿宋_GB2312" w:hAnsi="仿宋" w:eastAsia="仿宋_GB2312" w:cs="仿宋"/>
          <w:color w:val="000000"/>
          <w:sz w:val="32"/>
          <w:szCs w:val="32"/>
        </w:rPr>
        <w:t>本单位2019年“三公”经费总额为</w:t>
      </w:r>
      <w:r>
        <w:rPr>
          <w:rFonts w:hint="eastAsia" w:ascii="仿宋_GB2312" w:hAnsi="仿宋" w:eastAsia="仿宋_GB2312" w:cs="仿宋"/>
          <w:color w:val="000000"/>
          <w:sz w:val="32"/>
          <w:szCs w:val="32"/>
          <w:lang w:val="en-US" w:eastAsia="zh-CN"/>
        </w:rPr>
        <w:t>23.39</w:t>
      </w:r>
      <w:r>
        <w:rPr>
          <w:rFonts w:hint="eastAsia" w:ascii="仿宋_GB2312" w:hAnsi="仿宋" w:eastAsia="仿宋_GB2312" w:cs="仿宋"/>
          <w:color w:val="000000"/>
          <w:sz w:val="32"/>
          <w:szCs w:val="32"/>
        </w:rPr>
        <w:t>万元：其中公务接待费</w:t>
      </w:r>
      <w:r>
        <w:rPr>
          <w:rFonts w:hint="eastAsia" w:ascii="仿宋_GB2312" w:hAnsi="仿宋" w:eastAsia="仿宋_GB2312" w:cs="仿宋"/>
          <w:color w:val="000000"/>
          <w:sz w:val="32"/>
          <w:szCs w:val="32"/>
          <w:lang w:val="en-US" w:eastAsia="zh-CN"/>
        </w:rPr>
        <w:t>5.16</w:t>
      </w:r>
      <w:r>
        <w:rPr>
          <w:rFonts w:hint="eastAsia" w:ascii="仿宋_GB2312" w:hAnsi="仿宋" w:eastAsia="仿宋_GB2312" w:cs="仿宋"/>
          <w:color w:val="000000"/>
          <w:sz w:val="32"/>
          <w:szCs w:val="32"/>
        </w:rPr>
        <w:t>万元。单位2019年末公务用车</w:t>
      </w:r>
      <w:r>
        <w:rPr>
          <w:rFonts w:hint="eastAsia" w:ascii="仿宋_GB2312" w:hAnsi="仿宋" w:eastAsia="仿宋_GB2312" w:cs="仿宋"/>
          <w:color w:val="000000"/>
          <w:sz w:val="32"/>
          <w:szCs w:val="32"/>
          <w:lang w:eastAsia="zh-CN"/>
        </w:rPr>
        <w:t>维护费</w:t>
      </w:r>
      <w:r>
        <w:rPr>
          <w:rFonts w:hint="eastAsia" w:ascii="仿宋_GB2312" w:hAnsi="仿宋" w:eastAsia="仿宋_GB2312" w:cs="仿宋"/>
          <w:color w:val="000000"/>
          <w:sz w:val="32"/>
          <w:szCs w:val="32"/>
          <w:lang w:val="en-US" w:eastAsia="zh-CN"/>
        </w:rPr>
        <w:t>18.23万元</w:t>
      </w:r>
      <w:bookmarkStart w:id="73" w:name="_GoBack"/>
      <w:bookmarkEnd w:id="73"/>
      <w:r>
        <w:rPr>
          <w:rFonts w:hint="eastAsia" w:ascii="仿宋_GB2312" w:hAnsi="仿宋" w:eastAsia="仿宋_GB2312" w:cs="仿宋"/>
          <w:color w:val="000000"/>
          <w:sz w:val="32"/>
          <w:szCs w:val="32"/>
        </w:rPr>
        <w:t>。</w:t>
      </w:r>
      <w:r>
        <w:rPr>
          <w:rFonts w:hint="eastAsia" w:ascii="仿宋_GB2312" w:eastAsia="仿宋_GB2312"/>
          <w:sz w:val="32"/>
          <w:szCs w:val="32"/>
        </w:rPr>
        <w:t>我单位本着厉行节约的原则，节约开支，规范报帐制度，较2018年三公经费无增减变化。</w:t>
      </w:r>
    </w:p>
    <w:p>
      <w:pPr>
        <w:spacing w:line="560" w:lineRule="exact"/>
        <w:ind w:firstLine="709"/>
        <w:rPr>
          <w:rFonts w:hint="eastAsia" w:ascii="仿宋_GB2312" w:eastAsia="仿宋_GB2312" w:cs="仿宋_GB2312"/>
          <w:sz w:val="32"/>
          <w:szCs w:val="32"/>
        </w:rPr>
      </w:pPr>
      <w:r>
        <w:rPr>
          <w:rFonts w:hint="eastAsia" w:ascii="仿宋_GB2312" w:eastAsia="仿宋_GB2312" w:cs="仿宋_GB2312"/>
          <w:sz w:val="32"/>
          <w:szCs w:val="32"/>
        </w:rPr>
        <w:t>（3）机关节能降耗。</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严格按照勤俭节约的原则，节约用水用电。 </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2、专项预算项目（待批复项目）支出绩效。</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（1）资金绩效分配情况。</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严格按照专项资金管理相关规定，实施绩效分配。</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（2）项目资金管理情况。</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我单位项目资金管理严格按照用款计划，分月、季度执行，按照项目资金管理办法实行专款专用。</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（3）绩效目标完成情况。</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按照年初预算项目，实施完成后使</w:t>
      </w:r>
      <w:r>
        <w:rPr>
          <w:rFonts w:hint="eastAsia" w:ascii="仿宋_GB2312" w:hAnsi="Times New Roman" w:eastAsia="仿宋_GB2312" w:cs="仿宋_GB2312"/>
          <w:kern w:val="2"/>
          <w:sz w:val="32"/>
          <w:szCs w:val="32"/>
        </w:rPr>
        <w:t>全年培训</w:t>
      </w:r>
      <w:r>
        <w:rPr>
          <w:rFonts w:ascii="仿宋_GB2312" w:hAnsi="Times New Roman" w:eastAsia="仿宋_GB2312" w:cs="仿宋_GB2312"/>
          <w:kern w:val="2"/>
          <w:sz w:val="32"/>
          <w:szCs w:val="32"/>
        </w:rPr>
        <w:t>工作达到预期目标。</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（四）财务管理情况</w:t>
      </w:r>
    </w:p>
    <w:p>
      <w:pPr>
        <w:pStyle w:val="13"/>
        <w:spacing w:before="0" w:beforeAutospacing="0" w:after="0" w:afterAutospacing="0" w:line="560" w:lineRule="exact"/>
        <w:ind w:firstLine="480"/>
        <w:jc w:val="both"/>
        <w:rPr>
          <w:rFonts w:hint="eastAsia" w:ascii="仿宋_GB2312" w:hAnsi="Times New Roman" w:eastAsia="仿宋_GB2312" w:cs="仿宋_GB2312"/>
          <w:kern w:val="2"/>
          <w:sz w:val="32"/>
          <w:szCs w:val="32"/>
        </w:rPr>
      </w:pPr>
      <w:r>
        <w:rPr>
          <w:rFonts w:ascii="仿宋_GB2312" w:hAnsi="Times New Roman" w:eastAsia="仿宋_GB2312" w:cs="仿宋_GB2312"/>
          <w:kern w:val="2"/>
          <w:sz w:val="32"/>
          <w:szCs w:val="32"/>
        </w:rPr>
        <w:t>按照岗位职责，严格执行机关财务管理制度，会计核算符合相关规定，资金专款专用，资金支付依据和开支标准合法合规，对项目资金、政府采购进行公开公示，接受群众监督。</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（五）绩效管理工作开展情况</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积极开展部门自评工作，并将评价结果运用。</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四、评价结论及建议</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（一）评价结论</w:t>
      </w:r>
    </w:p>
    <w:p>
      <w:pPr>
        <w:pStyle w:val="13"/>
        <w:spacing w:before="0" w:beforeAutospacing="0" w:after="0" w:afterAutospacing="0" w:line="560" w:lineRule="exact"/>
        <w:ind w:firstLine="480"/>
        <w:jc w:val="both"/>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 我单位</w:t>
      </w:r>
      <w:r>
        <w:rPr>
          <w:rFonts w:hint="eastAsia" w:ascii="仿宋_GB2312" w:hAnsi="Times New Roman" w:eastAsia="仿宋_GB2312" w:cs="仿宋_GB2312"/>
          <w:kern w:val="2"/>
          <w:sz w:val="32"/>
          <w:szCs w:val="32"/>
        </w:rPr>
        <w:t>2019</w:t>
      </w:r>
      <w:r>
        <w:rPr>
          <w:rFonts w:ascii="仿宋_GB2312" w:hAnsi="Times New Roman" w:eastAsia="仿宋_GB2312" w:cs="仿宋_GB2312"/>
          <w:kern w:val="2"/>
          <w:sz w:val="32"/>
          <w:szCs w:val="32"/>
        </w:rPr>
        <w:t>年部门支出与年初预算基本一致，达到预期绩效目标。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（二）存在问题。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部门整体支出的资金安排和使用上仍有不可预见性，在科学设置预算绩效指标上还需进一步加强，使之更加贴合单位工作的实际;比如说在预算执行中，有时难免会出现一些意料不到的状况，导致年底需要调剂或者追加经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（三）改进建议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1、细化预算编制工作，认真做好预算的编制。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一步加强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尽管目前三公经费的预算执行情况较好，根据厉行节约原则，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5、预算财务分析常态化。定期做好支出预算财务分析，及时对费用预算执行情况进行通报和预警，做好部门整体支出预算评价工作。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7、及时开展和财政的年度结余资金的对账工作，加强和财政的沟通，尽早取得上年结余资金结转的指标批复，以便年初相关工作的开展。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8、加强财务核算工作，提高财务的精细化管理，确保财务核算的真实、及时、准确、完整。</w:t>
      </w:r>
    </w:p>
    <w:p>
      <w:pPr>
        <w:spacing w:line="580" w:lineRule="exact"/>
        <w:rPr>
          <w:rFonts w:hint="eastAsia" w:ascii="黑体" w:hAnsi="黑体" w:eastAsia="黑体" w:cs="黑体"/>
          <w:sz w:val="32"/>
          <w:szCs w:val="32"/>
        </w:rPr>
      </w:pPr>
      <w:r>
        <w:rPr>
          <w:rFonts w:hint="eastAsia" w:ascii="黑体" w:hAnsi="黑体" w:eastAsia="黑体" w:cs="黑体"/>
          <w:sz w:val="32"/>
          <w:szCs w:val="32"/>
        </w:rPr>
        <w:br w:type="page"/>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59"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3"/>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2098" w:right="1474" w:bottom="1984" w:left="1587" w:header="851" w:footer="1332" w:gutter="0"/>
      <w:pgBorders>
        <w:top w:val="none" w:sz="0" w:space="0"/>
        <w:left w:val="none" w:sz="0" w:space="0"/>
        <w:bottom w:val="none" w:sz="0" w:space="0"/>
        <w:right w:val="none" w:sz="0" w:space="0"/>
      </w:pgBorders>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24</w:t>
                              </w:r>
                              <w:r>
                                <w:rPr>
                                  <w:rFonts w:hint="eastAsia" w:asciiTheme="majorEastAsia" w:hAnsiTheme="majorEastAsia" w:eastAsiaTheme="majorEastAsia" w:cstheme="maj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94781956"/>
                    </w:sdtPr>
                    <w:sdtContent>
                      <w:p>
                        <w:pPr>
                          <w:pStyle w:val="8"/>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24</w:t>
                        </w:r>
                        <w:r>
                          <w:rPr>
                            <w:rFonts w:hint="eastAsia" w:asciiTheme="majorEastAsia" w:hAnsiTheme="majorEastAsia" w:eastAsiaTheme="majorEastAsia" w:cstheme="majorEastAsia"/>
                            <w:sz w:val="28"/>
                            <w:szCs w:val="28"/>
                          </w:rP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02C9AFA"/>
    <w:multiLevelType w:val="singleLevel"/>
    <w:tmpl w:val="202C9AFA"/>
    <w:lvl w:ilvl="0" w:tentative="0">
      <w:start w:val="2"/>
      <w:numFmt w:val="decimal"/>
      <w:suff w:val="nothing"/>
      <w:lvlText w:val="%1、"/>
      <w:lvlJc w:val="left"/>
    </w:lvl>
  </w:abstractNum>
  <w:abstractNum w:abstractNumId="4">
    <w:nsid w:val="397795AC"/>
    <w:multiLevelType w:val="singleLevel"/>
    <w:tmpl w:val="397795AC"/>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315E8"/>
    <w:rsid w:val="04D90FB0"/>
    <w:rsid w:val="08E94D14"/>
    <w:rsid w:val="0A90266C"/>
    <w:rsid w:val="0E2874B4"/>
    <w:rsid w:val="10C055FF"/>
    <w:rsid w:val="128F344B"/>
    <w:rsid w:val="153F686E"/>
    <w:rsid w:val="16BB723D"/>
    <w:rsid w:val="240371BF"/>
    <w:rsid w:val="24D83AB0"/>
    <w:rsid w:val="24E912E7"/>
    <w:rsid w:val="27CF721A"/>
    <w:rsid w:val="28A84390"/>
    <w:rsid w:val="29FD04D3"/>
    <w:rsid w:val="2A1C7F52"/>
    <w:rsid w:val="2BD5719F"/>
    <w:rsid w:val="2BEF010F"/>
    <w:rsid w:val="319F7F4E"/>
    <w:rsid w:val="322E52F7"/>
    <w:rsid w:val="32AA51CC"/>
    <w:rsid w:val="342109E3"/>
    <w:rsid w:val="3A5D3A3E"/>
    <w:rsid w:val="3C2A62C7"/>
    <w:rsid w:val="3C2B7BE0"/>
    <w:rsid w:val="3DC925C6"/>
    <w:rsid w:val="4505435C"/>
    <w:rsid w:val="46044695"/>
    <w:rsid w:val="49E7698D"/>
    <w:rsid w:val="4A175F88"/>
    <w:rsid w:val="4B947063"/>
    <w:rsid w:val="4ECE2238"/>
    <w:rsid w:val="50474242"/>
    <w:rsid w:val="513812C3"/>
    <w:rsid w:val="58296EA9"/>
    <w:rsid w:val="5892316A"/>
    <w:rsid w:val="59365260"/>
    <w:rsid w:val="5B3C1CCC"/>
    <w:rsid w:val="5E8E6F71"/>
    <w:rsid w:val="6A8E0F30"/>
    <w:rsid w:val="6D225BF0"/>
    <w:rsid w:val="6DF776E8"/>
    <w:rsid w:val="72734D90"/>
    <w:rsid w:val="79EB7A02"/>
    <w:rsid w:val="7A9364FF"/>
    <w:rsid w:val="7AFF5F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apple-converted-space"/>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1690.49</c:v>
                </c:pt>
                <c:pt idx="1">
                  <c:v>1791.21</c:v>
                </c:pt>
              </c:numCache>
            </c:numRef>
          </c:val>
        </c:ser>
        <c:ser>
          <c:idx val="1"/>
          <c:order val="1"/>
          <c:tx>
            <c:strRef>
              <c:f>Sheet1!$C$1</c:f>
              <c:strCache>
                <c:ptCount val="1"/>
                <c:pt idx="0">
                  <c:v>总支出</c:v>
                </c:pt>
              </c:strCache>
            </c:strRef>
          </c:tx>
          <c:spPr>
            <a:solidFill>
              <a:schemeClr val="accent2"/>
            </a:solidFill>
            <a:ln>
              <a:noFill/>
            </a:ln>
            <a:effectLst/>
          </c:spPr>
          <c:invertIfNegative val="0"/>
          <c:dLbls>
            <c:dLbl>
              <c:idx val="0"/>
              <c:layout>
                <c:manualLayout>
                  <c:x val="0"/>
                  <c:y val="-0.04197405240396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44036697247706"/>
                  <c:y val="-0.03815822945815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1690.49</c:v>
                </c:pt>
                <c:pt idx="1">
                  <c:v>1791.21</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2019年收入决算结构图</a:t>
            </a:r>
          </a:p>
        </c:rich>
      </c:tx>
      <c:layout/>
      <c:overlay val="0"/>
      <c:spPr>
        <a:noFill/>
        <a:ln>
          <a:noFill/>
        </a:ln>
        <a:effectLst/>
      </c:spPr>
    </c:title>
    <c:autoTitleDeleted val="0"/>
    <c:plotArea>
      <c:layout/>
      <c:pieChart>
        <c:varyColors val="1"/>
        <c:ser>
          <c:idx val="0"/>
          <c:order val="0"/>
          <c:tx>
            <c:strRef>
              <c:f>Sheet1!$B$1</c:f>
              <c:strCache>
                <c:ptCount val="1"/>
                <c:pt idx="0">
                  <c:v>2019年收入</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dLbl>
              <c:idx val="0"/>
              <c:layout>
                <c:manualLayout>
                  <c:x val="-0.00148925462485562"/>
                  <c:y val="-0.20302044876652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一般公共预算财政拨款</c:v>
                </c:pt>
                <c:pt idx="1">
                  <c:v>政府性基金预算财政拨款</c:v>
                </c:pt>
              </c:strCache>
            </c:strRef>
          </c:cat>
          <c:val>
            <c:numRef>
              <c:f>Sheet1!$B$2:$B$3</c:f>
              <c:numCache>
                <c:formatCode>General</c:formatCode>
                <c:ptCount val="2"/>
                <c:pt idx="0">
                  <c:v>1791.21</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2019年支出决算结构图</a:t>
            </a:r>
          </a:p>
        </c:rich>
      </c:tx>
      <c:layout/>
      <c:overlay val="0"/>
      <c:spPr>
        <a:noFill/>
        <a:ln>
          <a:noFill/>
        </a:ln>
        <a:effectLst/>
      </c:spPr>
    </c:title>
    <c:autoTitleDeleted val="0"/>
    <c:plotArea>
      <c:layout/>
      <c:pieChart>
        <c:varyColors val="1"/>
        <c:ser>
          <c:idx val="0"/>
          <c:order val="0"/>
          <c:tx>
            <c:strRef>
              <c:f>Sheet1!$B$1</c:f>
              <c:strCache>
                <c:ptCount val="1"/>
                <c:pt idx="0">
                  <c:v>2019年支出</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Lbls>
            <c:dLbl>
              <c:idx val="0"/>
              <c:layout>
                <c:manualLayout>
                  <c:x val="-0.0336271159681497"/>
                  <c:y val="-0.218353058847515"/>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496559633027523"/>
                      <c:h val="0.0738758029978587"/>
                    </c:manualLayout>
                  </c15:layout>
                </c:ext>
              </c:extLst>
            </c:dLbl>
            <c:dLbl>
              <c:idx val="1"/>
              <c:layout>
                <c:manualLayout>
                  <c:x val="0.0606152298756392"/>
                  <c:y val="0.15490340563469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510321100917431"/>
                      <c:h val="0.0877944325481799"/>
                    </c:manualLayout>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1434.11</c:v>
                </c:pt>
                <c:pt idx="1">
                  <c:v>57.1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manualLayout>
          <c:layoutTarget val="inner"/>
          <c:xMode val="edge"/>
          <c:yMode val="edge"/>
          <c:x val="0.0470183486238532"/>
          <c:y val="0.381364829396325"/>
          <c:w val="0.94954128440367"/>
          <c:h val="0.552703412073491"/>
        </c:manualLayout>
      </c:layout>
      <c:barChart>
        <c:barDir val="col"/>
        <c:grouping val="clustered"/>
        <c:varyColors val="0"/>
        <c:ser>
          <c:idx val="0"/>
          <c:order val="0"/>
          <c:tx>
            <c:strRef>
              <c:f>Sheet1!$B$1</c:f>
              <c:strCache>
                <c:ptCount val="1"/>
                <c:pt idx="0">
                  <c:v>总收入</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1690.49</c:v>
                </c:pt>
                <c:pt idx="1">
                  <c:v>1791.21</c:v>
                </c:pt>
              </c:numCache>
            </c:numRef>
          </c:val>
        </c:ser>
        <c:ser>
          <c:idx val="1"/>
          <c:order val="1"/>
          <c:tx>
            <c:strRef>
              <c:f>Sheet1!$C$1</c:f>
              <c:strCache>
                <c:ptCount val="1"/>
                <c:pt idx="0">
                  <c:v>总支出</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1690.49</c:v>
                </c:pt>
                <c:pt idx="1">
                  <c:v>1791.21</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470183486238532"/>
          <c:y val="0.381364829396325"/>
          <c:w val="0.94954128440367"/>
          <c:h val="0.552703412073491"/>
        </c:manualLayout>
      </c:layout>
      <c:barChart>
        <c:barDir val="col"/>
        <c:grouping val="clustered"/>
        <c:varyColors val="0"/>
        <c:ser>
          <c:idx val="0"/>
          <c:order val="0"/>
          <c:tx>
            <c:strRef>
              <c:f>Sheet1!$B$1</c:f>
              <c:strCache>
                <c:ptCount val="1"/>
                <c:pt idx="0">
                  <c:v>一般公共预算</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1690.49</c:v>
                </c:pt>
                <c:pt idx="1">
                  <c:v>1791.21</c:v>
                </c:pt>
              </c:numCache>
            </c:numRef>
          </c:val>
        </c:ser>
        <c:ser>
          <c:idx val="1"/>
          <c:order val="1"/>
          <c:tx>
            <c:strRef>
              <c:f>Sheet1!$C$1</c:f>
              <c:strCache>
                <c:ptCount val="1"/>
                <c:pt idx="0">
                  <c:v>总支出</c:v>
                </c:pt>
              </c:strCache>
            </c:strRef>
          </c:tx>
          <c:spPr>
            <a:solidFill>
              <a:schemeClr val="accent2"/>
            </a:solidFill>
            <a:ln>
              <a:noFill/>
            </a:ln>
            <a:effectLst/>
          </c:spPr>
          <c:invertIfNegative val="0"/>
          <c:dLbls>
            <c:numFmt formatCode="General" sourceLinked="1"/>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1690.49</c:v>
                </c:pt>
                <c:pt idx="1">
                  <c:v>1791.21</c:v>
                </c:pt>
              </c:numCache>
            </c:numRef>
          </c:val>
        </c:ser>
        <c:dLbls>
          <c:showLegendKey val="0"/>
          <c:showVal val="1"/>
          <c:showCatName val="0"/>
          <c:showSerName val="0"/>
          <c:showPercent val="0"/>
          <c:showBubbleSize val="0"/>
        </c:dLbls>
        <c:gapWidth val="444"/>
        <c:overlap val="-90"/>
        <c:axId val="251198521"/>
        <c:axId val="295696160"/>
      </c:barChart>
      <c:catAx>
        <c:axId val="251198521"/>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95696160"/>
        <c:crosses val="autoZero"/>
        <c:auto val="1"/>
        <c:lblAlgn val="ctr"/>
        <c:lblOffset val="100"/>
        <c:noMultiLvlLbl val="0"/>
      </c:catAx>
      <c:valAx>
        <c:axId val="29569616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1198521"/>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dLbl>
              <c:idx val="2"/>
              <c:layout>
                <c:manualLayout>
                  <c:x val="0.0869073781714778"/>
                  <c:y val="0.2636230357359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60962887964688"/>
                  <c:y val="0.42392572085654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07410526288059"/>
                  <c:y val="0.1610281217467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一般公共服务支出</c:v>
                </c:pt>
                <c:pt idx="1">
                  <c:v>公共安全</c:v>
                </c:pt>
                <c:pt idx="2">
                  <c:v>社会保障和就业</c:v>
                </c:pt>
                <c:pt idx="3">
                  <c:v>卫生健康支出</c:v>
                </c:pt>
                <c:pt idx="4">
                  <c:v>住房保障支出</c:v>
                </c:pt>
              </c:strCache>
            </c:strRef>
          </c:cat>
          <c:val>
            <c:numRef>
              <c:f>Sheet1!$B$2:$B$6</c:f>
              <c:numCache>
                <c:formatCode>General</c:formatCode>
                <c:ptCount val="5"/>
                <c:pt idx="0">
                  <c:v>12</c:v>
                </c:pt>
                <c:pt idx="1">
                  <c:v>1491.56</c:v>
                </c:pt>
                <c:pt idx="2">
                  <c:v>134.16</c:v>
                </c:pt>
                <c:pt idx="3">
                  <c:v>65.38</c:v>
                </c:pt>
                <c:pt idx="4">
                  <c:v>88.11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2019年三公经费财政拨款支出结构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公车运行</c:v>
                </c:pt>
                <c:pt idx="1">
                  <c:v>公务接待</c:v>
                </c:pt>
              </c:strCache>
            </c:strRef>
          </c:cat>
          <c:val>
            <c:numRef>
              <c:f>Sheet1!$B$2:$B$3</c:f>
              <c:numCache>
                <c:formatCode>General</c:formatCode>
                <c:ptCount val="2"/>
                <c:pt idx="0">
                  <c:v>18.23</c:v>
                </c:pt>
                <c:pt idx="1">
                  <c:v>5.16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5</TotalTime>
  <ScaleCrop>false</ScaleCrop>
  <LinksUpToDate>false</LinksUpToDate>
  <CharactersWithSpaces>8536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2020-11-12T11:29:50Z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