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8441"/>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8442"/>
      <w:bookmarkStart w:id="7" w:name="_Toc15396598"/>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lang w:val="en-US" w:eastAsia="zh-CN"/>
        </w:rPr>
        <w:t>达州市宣汉县隘口乡卫生院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ind w:firstLine="640" w:firstLineChars="200"/>
        <w:rPr>
          <w:rFonts w:hint="eastAsia" w:ascii="仿宋" w:hAnsi="仿宋" w:eastAsia="仿宋" w:cs="仿宋"/>
          <w:sz w:val="32"/>
          <w:szCs w:val="32"/>
        </w:rPr>
      </w:pPr>
      <w:r>
        <w:rPr>
          <w:rFonts w:hint="eastAsia" w:ascii="仿宋" w:hAnsi="仿宋" w:eastAsia="仿宋"/>
          <w:sz w:val="32"/>
          <w:szCs w:val="32"/>
        </w:rPr>
        <w:t>我院始建于1958年6月。编制数12人，现有在岗职工</w:t>
      </w:r>
      <w:r>
        <w:rPr>
          <w:rFonts w:hint="eastAsia" w:ascii="仿宋" w:hAnsi="仿宋" w:eastAsia="仿宋"/>
          <w:sz w:val="32"/>
          <w:szCs w:val="32"/>
          <w:lang w:val="en-US" w:eastAsia="zh-CN"/>
        </w:rPr>
        <w:t>18</w:t>
      </w:r>
      <w:r>
        <w:rPr>
          <w:rFonts w:hint="eastAsia" w:ascii="仿宋" w:hAnsi="仿宋" w:eastAsia="仿宋"/>
          <w:sz w:val="32"/>
          <w:szCs w:val="32"/>
        </w:rPr>
        <w:t>人，其中：在编人员10员，聘用人员</w:t>
      </w:r>
      <w:r>
        <w:rPr>
          <w:rFonts w:hint="eastAsia" w:ascii="仿宋" w:hAnsi="仿宋" w:eastAsia="仿宋"/>
          <w:sz w:val="32"/>
          <w:szCs w:val="32"/>
          <w:lang w:val="en-US" w:eastAsia="zh-CN"/>
        </w:rPr>
        <w:t>8</w:t>
      </w:r>
      <w:r>
        <w:rPr>
          <w:rFonts w:hint="eastAsia" w:ascii="仿宋" w:hAnsi="仿宋" w:eastAsia="仿宋"/>
          <w:sz w:val="32"/>
          <w:szCs w:val="32"/>
        </w:rPr>
        <w:t>人，年末平均人数</w:t>
      </w:r>
      <w:r>
        <w:rPr>
          <w:rFonts w:hint="eastAsia" w:ascii="仿宋" w:hAnsi="仿宋" w:eastAsia="仿宋"/>
          <w:sz w:val="32"/>
          <w:szCs w:val="32"/>
          <w:lang w:val="en-US" w:eastAsia="zh-CN"/>
        </w:rPr>
        <w:t>18</w:t>
      </w:r>
      <w:r>
        <w:rPr>
          <w:rFonts w:hint="eastAsia" w:ascii="仿宋" w:hAnsi="仿宋" w:eastAsia="仿宋"/>
          <w:sz w:val="32"/>
          <w:szCs w:val="32"/>
        </w:rPr>
        <w:t>人，年末退休职工</w:t>
      </w:r>
      <w:r>
        <w:rPr>
          <w:rFonts w:hint="eastAsia" w:ascii="仿宋" w:hAnsi="仿宋" w:eastAsia="仿宋"/>
          <w:sz w:val="32"/>
          <w:szCs w:val="32"/>
          <w:lang w:val="en-US" w:eastAsia="zh-CN"/>
        </w:rPr>
        <w:t>4</w:t>
      </w:r>
      <w:r>
        <w:rPr>
          <w:rFonts w:hint="eastAsia" w:ascii="仿宋" w:hAnsi="仿宋" w:eastAsia="仿宋"/>
          <w:sz w:val="32"/>
          <w:szCs w:val="32"/>
        </w:rPr>
        <w:t>人，担负着全镇1.</w:t>
      </w:r>
      <w:r>
        <w:rPr>
          <w:rFonts w:hint="eastAsia" w:ascii="仿宋" w:hAnsi="仿宋" w:eastAsia="仿宋"/>
          <w:sz w:val="32"/>
          <w:szCs w:val="32"/>
          <w:lang w:val="en-US" w:eastAsia="zh-CN"/>
        </w:rPr>
        <w:t>5</w:t>
      </w:r>
      <w:r>
        <w:rPr>
          <w:rFonts w:hint="eastAsia" w:ascii="仿宋" w:hAnsi="仿宋" w:eastAsia="仿宋"/>
          <w:sz w:val="32"/>
          <w:szCs w:val="32"/>
        </w:rPr>
        <w:t>万多人的基本基疗、基本公共卫生服务工作。</w:t>
      </w:r>
      <w:r>
        <w:rPr>
          <w:rFonts w:hint="eastAsia" w:ascii="仿宋" w:hAnsi="仿宋" w:eastAsia="仿宋"/>
          <w:color w:val="3A3A3A"/>
          <w:sz w:val="32"/>
          <w:szCs w:val="32"/>
        </w:rPr>
        <w:t>宣汉县隘口乡卫生院主要职责：负责辖区内基本医疗卫生服务和基本公共卫生服务工作。培养农村卫生技术人材</w:t>
      </w:r>
      <w:r>
        <w:rPr>
          <w:rFonts w:hint="eastAsia" w:ascii="仿宋" w:hAnsi="仿宋" w:eastAsia="仿宋"/>
          <w:color w:val="3A3A3A"/>
          <w:sz w:val="32"/>
          <w:szCs w:val="32"/>
          <w:lang w:eastAsia="zh-CN"/>
        </w:rPr>
        <w:t>，</w:t>
      </w:r>
      <w:r>
        <w:rPr>
          <w:rFonts w:hint="eastAsia" w:ascii="仿宋" w:hAnsi="仿宋" w:eastAsia="仿宋"/>
          <w:color w:val="3A3A3A"/>
          <w:sz w:val="32"/>
          <w:szCs w:val="32"/>
        </w:rPr>
        <w:t>直接解决农村群众看病难、看病贵的基层医疗机构。</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主要工作任务：一是按照县卫计局要求以“家庭医生”签约服务为契机来全面推进基本公共卫生服务工作。二是狠抓医疗服务质量。三是以认真学习领会中央八项规定，规范医疗行为，提升医疗队伍的业务素质能力，忠实践行“全心全意为人民服务”的宗旨。</w:t>
      </w:r>
    </w:p>
    <w:p>
      <w:pPr>
        <w:pStyle w:val="5"/>
        <w:adjustRightInd w:val="0"/>
        <w:snapToGrid w:val="0"/>
        <w:spacing w:before="93" w:line="600" w:lineRule="exact"/>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ind w:firstLine="630" w:firstLineChars="197"/>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年，我院的卫生工作在上级领导的关心、指导下，以县卫计局卫生工作要点为重心，以开展“</w:t>
      </w:r>
      <w:bookmarkStart w:id="74" w:name="_GoBack"/>
      <w:bookmarkEnd w:id="74"/>
      <w:r>
        <w:rPr>
          <w:rFonts w:hint="eastAsia" w:ascii="仿宋_GB2312" w:hAnsi="仿宋" w:eastAsia="仿宋_GB2312"/>
          <w:sz w:val="32"/>
          <w:szCs w:val="32"/>
          <w:lang w:val="en-US" w:eastAsia="zh-CN"/>
        </w:rPr>
        <w:t>两学一做</w:t>
      </w:r>
      <w:r>
        <w:rPr>
          <w:rFonts w:hint="eastAsia" w:ascii="仿宋_GB2312" w:hAnsi="仿宋" w:eastAsia="仿宋_GB2312"/>
          <w:sz w:val="32"/>
          <w:szCs w:val="32"/>
        </w:rPr>
        <w:t>”</w:t>
      </w:r>
      <w:r>
        <w:rPr>
          <w:rFonts w:hint="eastAsia" w:ascii="仿宋_GB2312" w:hAnsi="仿宋" w:eastAsia="仿宋_GB2312"/>
          <w:sz w:val="32"/>
          <w:szCs w:val="32"/>
          <w:lang w:eastAsia="zh-CN"/>
        </w:rPr>
        <w:t>学习教育</w:t>
      </w:r>
      <w:r>
        <w:rPr>
          <w:rFonts w:hint="eastAsia" w:ascii="仿宋_GB2312" w:hAnsi="仿宋" w:eastAsia="仿宋_GB2312"/>
          <w:sz w:val="32"/>
          <w:szCs w:val="32"/>
        </w:rPr>
        <w:t>为契机，践行</w:t>
      </w:r>
      <w:r>
        <w:rPr>
          <w:rFonts w:hint="eastAsia" w:ascii="仿宋_GB2312" w:hAnsi="仿宋" w:eastAsia="仿宋_GB2312"/>
          <w:bCs/>
          <w:sz w:val="32"/>
          <w:szCs w:val="32"/>
        </w:rPr>
        <w:t>“三严三实”</w:t>
      </w:r>
      <w:r>
        <w:rPr>
          <w:rFonts w:hint="eastAsia" w:ascii="仿宋_GB2312" w:hAnsi="仿宋" w:eastAsia="仿宋_GB2312"/>
          <w:sz w:val="32"/>
          <w:szCs w:val="32"/>
        </w:rPr>
        <w:t>，认真开展了“依法治医”示范创建、“医共体建设、公共卫生服务区建设等工作，</w:t>
      </w:r>
      <w:r>
        <w:rPr>
          <w:rFonts w:hint="eastAsia" w:ascii="仿宋_GB2312" w:hAnsi="仿宋" w:eastAsia="仿宋_GB2312"/>
          <w:sz w:val="32"/>
          <w:szCs w:val="32"/>
          <w:lang w:val="en-US" w:eastAsia="zh-CN"/>
        </w:rPr>
        <w:t>居民</w:t>
      </w:r>
      <w:r>
        <w:rPr>
          <w:rFonts w:hint="eastAsia" w:ascii="仿宋_GB2312" w:hAnsi="仿宋" w:eastAsia="仿宋_GB2312"/>
          <w:sz w:val="32"/>
          <w:szCs w:val="32"/>
        </w:rPr>
        <w:t>医疗、卫生惠民、中医药工作、基本医疗服务、公共卫生均等化服务等工作常态开展，加强了人才培养、“三基知识”培训及行业作风与党风廉政建设教育，强化了内部管理，提高了科学管理水平和医疗卫生综合服务能力。</w:t>
      </w:r>
    </w:p>
    <w:p>
      <w:pPr>
        <w:ind w:firstLine="630" w:firstLineChars="197"/>
        <w:rPr>
          <w:rFonts w:hint="eastAsia" w:ascii="仿宋_GB2312" w:hAnsi="仿宋" w:eastAsia="仿宋_GB2312"/>
          <w:sz w:val="32"/>
          <w:szCs w:val="32"/>
        </w:rPr>
      </w:pPr>
      <w:r>
        <w:rPr>
          <w:rFonts w:hint="eastAsia" w:ascii="仿宋_GB2312" w:hAnsi="仿宋" w:eastAsia="仿宋_GB2312"/>
          <w:sz w:val="32"/>
          <w:szCs w:val="32"/>
        </w:rPr>
        <w:t>基本公共卫生服务工作扎实开展。居民健康档案信息录入电子建档合格率98.</w:t>
      </w:r>
      <w:r>
        <w:rPr>
          <w:rFonts w:hint="eastAsia" w:ascii="仿宋_GB2312" w:hAnsi="仿宋" w:eastAsia="仿宋_GB2312"/>
          <w:sz w:val="32"/>
          <w:szCs w:val="32"/>
          <w:lang w:val="en-US" w:eastAsia="zh-CN"/>
        </w:rPr>
        <w:t>5</w:t>
      </w:r>
      <w:r>
        <w:rPr>
          <w:rFonts w:hint="eastAsia" w:ascii="仿宋_GB2312" w:hAnsi="仿宋" w:eastAsia="仿宋_GB2312"/>
          <w:sz w:val="32"/>
          <w:szCs w:val="32"/>
        </w:rPr>
        <w:t>5%。</w:t>
      </w:r>
      <w:r>
        <w:rPr>
          <w:rFonts w:hint="eastAsia" w:ascii="仿宋_GB2312" w:hAnsi="仿宋" w:eastAsia="仿宋_GB2312" w:cs="宋体"/>
          <w:sz w:val="32"/>
          <w:szCs w:val="32"/>
        </w:rPr>
        <w:t>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今年出生儿童</w:t>
      </w:r>
      <w:r>
        <w:rPr>
          <w:rFonts w:hint="eastAsia" w:ascii="仿宋_GB2312" w:hAnsi="仿宋" w:eastAsia="仿宋_GB2312" w:cs="宋体"/>
          <w:sz w:val="32"/>
          <w:szCs w:val="32"/>
          <w:lang w:val="en-US" w:eastAsia="zh-CN"/>
        </w:rPr>
        <w:t>95</w:t>
      </w:r>
      <w:r>
        <w:rPr>
          <w:rFonts w:hint="eastAsia" w:ascii="仿宋_GB2312" w:hAnsi="仿宋" w:eastAsia="仿宋_GB2312" w:cs="宋体"/>
          <w:sz w:val="32"/>
          <w:szCs w:val="32"/>
        </w:rPr>
        <w:t>人，建立了保健手册和预防接种证，对辖区0-6岁儿童进行了免疫规划接种工作，“五苗全程”接种率达到98.</w:t>
      </w:r>
      <w:r>
        <w:rPr>
          <w:rFonts w:hint="eastAsia" w:ascii="仿宋_GB2312" w:hAnsi="仿宋" w:eastAsia="仿宋_GB2312" w:cs="宋体"/>
          <w:sz w:val="32"/>
          <w:szCs w:val="32"/>
          <w:lang w:val="en-US" w:eastAsia="zh-CN"/>
        </w:rPr>
        <w:t>8</w:t>
      </w:r>
      <w:r>
        <w:rPr>
          <w:rFonts w:hint="eastAsia" w:ascii="仿宋_GB2312" w:hAnsi="仿宋" w:eastAsia="仿宋_GB2312" w:cs="宋体"/>
          <w:sz w:val="32"/>
          <w:szCs w:val="32"/>
        </w:rPr>
        <w:t>5%</w:t>
      </w:r>
      <w:r>
        <w:rPr>
          <w:rFonts w:hint="eastAsia" w:ascii="仿宋_GB2312" w:hAnsi="仿宋" w:eastAsia="仿宋_GB2312"/>
          <w:sz w:val="32"/>
          <w:szCs w:val="32"/>
        </w:rPr>
        <w:t>。持续推进了乡村医生签约服务，共签约</w:t>
      </w:r>
      <w:r>
        <w:rPr>
          <w:rFonts w:hint="eastAsia" w:ascii="仿宋_GB2312" w:hAnsi="仿宋" w:eastAsia="仿宋_GB2312"/>
          <w:sz w:val="32"/>
          <w:szCs w:val="32"/>
          <w:lang w:val="en-US" w:eastAsia="zh-CN"/>
        </w:rPr>
        <w:t>2380</w:t>
      </w:r>
      <w:r>
        <w:rPr>
          <w:rFonts w:hint="eastAsia" w:ascii="仿宋_GB2312" w:hAnsi="仿宋" w:eastAsia="仿宋_GB2312"/>
          <w:sz w:val="32"/>
          <w:szCs w:val="32"/>
        </w:rPr>
        <w:t>户</w:t>
      </w:r>
      <w:r>
        <w:rPr>
          <w:rFonts w:hint="eastAsia" w:ascii="仿宋_GB2312" w:hAnsi="仿宋" w:eastAsia="仿宋_GB2312"/>
          <w:sz w:val="32"/>
          <w:szCs w:val="32"/>
          <w:lang w:val="en-US" w:eastAsia="zh-CN"/>
        </w:rPr>
        <w:t>13859</w:t>
      </w:r>
      <w:r>
        <w:rPr>
          <w:rFonts w:hint="eastAsia" w:ascii="仿宋_GB2312" w:hAnsi="仿宋" w:eastAsia="仿宋_GB2312"/>
          <w:sz w:val="32"/>
          <w:szCs w:val="32"/>
        </w:rPr>
        <w:t>人，签约率达98.</w:t>
      </w:r>
      <w:r>
        <w:rPr>
          <w:rFonts w:hint="eastAsia" w:ascii="仿宋_GB2312" w:hAnsi="仿宋" w:eastAsia="仿宋_GB2312"/>
          <w:sz w:val="32"/>
          <w:szCs w:val="32"/>
          <w:lang w:val="en-US" w:eastAsia="zh-CN"/>
        </w:rPr>
        <w:t>2</w:t>
      </w:r>
      <w:r>
        <w:rPr>
          <w:rFonts w:hint="eastAsia" w:ascii="仿宋_GB2312" w:hAnsi="仿宋" w:eastAsia="仿宋_GB2312"/>
          <w:sz w:val="32"/>
          <w:szCs w:val="32"/>
        </w:rPr>
        <w:t>% ，组织</w:t>
      </w:r>
      <w:r>
        <w:rPr>
          <w:rFonts w:hint="eastAsia" w:ascii="仿宋_GB2312" w:hAnsi="仿宋" w:eastAsia="仿宋_GB2312"/>
          <w:sz w:val="32"/>
          <w:szCs w:val="32"/>
          <w:lang w:val="en-US" w:eastAsia="zh-CN"/>
        </w:rPr>
        <w:t>家庭医生签约</w:t>
      </w:r>
      <w:r>
        <w:rPr>
          <w:rFonts w:hint="eastAsia" w:ascii="仿宋_GB2312" w:hAnsi="仿宋" w:eastAsia="仿宋_GB2312"/>
          <w:sz w:val="32"/>
          <w:szCs w:val="32"/>
        </w:rPr>
        <w:t>工作人员进村入户对六类重点人群进一步筛查，体检、随访与规范化管理。慢性病管理：</w:t>
      </w:r>
      <w:r>
        <w:rPr>
          <w:rFonts w:hint="eastAsia" w:ascii="仿宋_GB2312" w:hAnsi="仿宋" w:eastAsia="仿宋_GB2312" w:cs="宋体"/>
          <w:sz w:val="32"/>
          <w:szCs w:val="32"/>
        </w:rPr>
        <w:t>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患高血压</w:t>
      </w:r>
      <w:r>
        <w:rPr>
          <w:rFonts w:hint="eastAsia" w:ascii="仿宋_GB2312" w:hAnsi="仿宋" w:eastAsia="仿宋_GB2312" w:cs="宋体"/>
          <w:sz w:val="32"/>
          <w:szCs w:val="32"/>
          <w:lang w:val="en-US" w:eastAsia="zh-CN"/>
        </w:rPr>
        <w:t>558</w:t>
      </w:r>
      <w:r>
        <w:rPr>
          <w:rFonts w:hint="eastAsia" w:ascii="仿宋_GB2312" w:hAnsi="仿宋" w:eastAsia="仿宋_GB2312" w:cs="宋体"/>
          <w:sz w:val="32"/>
          <w:szCs w:val="32"/>
        </w:rPr>
        <w:t>人，随访了</w:t>
      </w:r>
      <w:r>
        <w:rPr>
          <w:rFonts w:hint="eastAsia" w:ascii="仿宋_GB2312" w:hAnsi="仿宋" w:eastAsia="仿宋_GB2312" w:cs="宋体"/>
          <w:sz w:val="32"/>
          <w:szCs w:val="32"/>
          <w:lang w:val="en-US" w:eastAsia="zh-CN"/>
        </w:rPr>
        <w:t>558</w:t>
      </w:r>
      <w:r>
        <w:rPr>
          <w:rFonts w:hint="eastAsia" w:ascii="仿宋_GB2312" w:hAnsi="仿宋" w:eastAsia="仿宋_GB2312" w:cs="宋体"/>
          <w:sz w:val="32"/>
          <w:szCs w:val="32"/>
        </w:rPr>
        <w:t>人；糖尿病</w:t>
      </w:r>
      <w:r>
        <w:rPr>
          <w:rFonts w:hint="eastAsia" w:ascii="仿宋_GB2312" w:hAnsi="仿宋" w:eastAsia="仿宋_GB2312" w:cs="宋体"/>
          <w:sz w:val="32"/>
          <w:szCs w:val="32"/>
          <w:lang w:val="en-US" w:eastAsia="zh-CN"/>
        </w:rPr>
        <w:t>98</w:t>
      </w:r>
      <w:r>
        <w:rPr>
          <w:rFonts w:hint="eastAsia" w:ascii="仿宋_GB2312" w:hAnsi="仿宋" w:eastAsia="仿宋_GB2312" w:cs="宋体"/>
          <w:sz w:val="32"/>
          <w:szCs w:val="32"/>
        </w:rPr>
        <w:t>人，随访了</w:t>
      </w:r>
      <w:r>
        <w:rPr>
          <w:rFonts w:hint="eastAsia" w:ascii="仿宋_GB2312" w:hAnsi="仿宋" w:eastAsia="仿宋_GB2312" w:cs="宋体"/>
          <w:sz w:val="32"/>
          <w:szCs w:val="32"/>
          <w:lang w:val="en-US" w:eastAsia="zh-CN"/>
        </w:rPr>
        <w:t>98</w:t>
      </w:r>
      <w:r>
        <w:rPr>
          <w:rFonts w:hint="eastAsia" w:ascii="仿宋_GB2312" w:hAnsi="仿宋" w:eastAsia="仿宋_GB2312" w:cs="宋体"/>
          <w:sz w:val="32"/>
          <w:szCs w:val="32"/>
        </w:rPr>
        <w:t>人；重性精神疾病</w:t>
      </w:r>
      <w:r>
        <w:rPr>
          <w:rFonts w:hint="eastAsia" w:ascii="仿宋_GB2312" w:hAnsi="仿宋" w:eastAsia="仿宋_GB2312" w:cs="宋体"/>
          <w:sz w:val="32"/>
          <w:szCs w:val="32"/>
          <w:lang w:val="en-US" w:eastAsia="zh-CN"/>
        </w:rPr>
        <w:t>67</w:t>
      </w:r>
      <w:r>
        <w:rPr>
          <w:rFonts w:hint="eastAsia" w:ascii="仿宋_GB2312" w:hAnsi="仿宋" w:eastAsia="仿宋_GB2312" w:cs="宋体"/>
          <w:sz w:val="32"/>
          <w:szCs w:val="32"/>
        </w:rPr>
        <w:t>人，随访了</w:t>
      </w:r>
      <w:r>
        <w:rPr>
          <w:rFonts w:hint="eastAsia" w:ascii="仿宋_GB2312" w:hAnsi="仿宋" w:eastAsia="仿宋_GB2312" w:cs="宋体"/>
          <w:sz w:val="32"/>
          <w:szCs w:val="32"/>
          <w:lang w:val="en-US" w:eastAsia="zh-CN"/>
        </w:rPr>
        <w:t>67</w:t>
      </w:r>
      <w:r>
        <w:rPr>
          <w:rFonts w:hint="eastAsia" w:ascii="仿宋_GB2312" w:hAnsi="仿宋" w:eastAsia="仿宋_GB2312" w:cs="宋体"/>
          <w:sz w:val="32"/>
          <w:szCs w:val="32"/>
        </w:rPr>
        <w:t>次，均做了健康体检和4次随访工作；为全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65岁以上老年人</w:t>
      </w:r>
      <w:r>
        <w:rPr>
          <w:rFonts w:hint="eastAsia" w:ascii="仿宋_GB2312" w:hAnsi="仿宋" w:eastAsia="仿宋_GB2312" w:cs="宋体"/>
          <w:sz w:val="32"/>
          <w:szCs w:val="32"/>
          <w:lang w:val="en-US" w:eastAsia="zh-CN"/>
        </w:rPr>
        <w:t>1547</w:t>
      </w:r>
      <w:r>
        <w:rPr>
          <w:rFonts w:hint="eastAsia" w:ascii="仿宋_GB2312" w:hAnsi="仿宋" w:eastAsia="仿宋_GB2312" w:cs="宋体"/>
          <w:sz w:val="32"/>
          <w:szCs w:val="32"/>
        </w:rPr>
        <w:t>人做了健康体检工作；为</w:t>
      </w:r>
      <w:r>
        <w:rPr>
          <w:rFonts w:hint="eastAsia" w:ascii="仿宋_GB2312" w:hAnsi="仿宋" w:eastAsia="仿宋_GB2312" w:cs="宋体"/>
          <w:sz w:val="32"/>
          <w:szCs w:val="32"/>
          <w:lang w:val="en-US" w:eastAsia="zh-CN"/>
        </w:rPr>
        <w:t>96</w:t>
      </w:r>
      <w:r>
        <w:rPr>
          <w:rFonts w:hint="eastAsia" w:ascii="仿宋_GB2312" w:hAnsi="仿宋" w:eastAsia="仿宋_GB2312" w:cs="宋体"/>
          <w:sz w:val="32"/>
          <w:szCs w:val="32"/>
        </w:rPr>
        <w:t>名孕产妇建立了保健手册，进行了5次产前随访和2次产后访视；全</w:t>
      </w:r>
      <w:r>
        <w:rPr>
          <w:rFonts w:hint="eastAsia" w:ascii="仿宋_GB2312" w:hAnsi="仿宋" w:eastAsia="仿宋_GB2312" w:cs="宋体"/>
          <w:sz w:val="32"/>
          <w:szCs w:val="32"/>
          <w:lang w:val="en-US" w:eastAsia="zh-CN"/>
        </w:rPr>
        <w:t>乡</w:t>
      </w:r>
      <w:r>
        <w:rPr>
          <w:rFonts w:hint="eastAsia" w:ascii="仿宋_GB2312" w:hAnsi="仿宋" w:eastAsia="仿宋_GB2312" w:cs="宋体"/>
          <w:sz w:val="32"/>
          <w:szCs w:val="32"/>
        </w:rPr>
        <w:t>0-6岁儿童</w:t>
      </w:r>
      <w:r>
        <w:rPr>
          <w:rFonts w:hint="eastAsia" w:ascii="仿宋_GB2312" w:hAnsi="仿宋" w:eastAsia="仿宋_GB2312" w:cs="宋体"/>
          <w:sz w:val="32"/>
          <w:szCs w:val="32"/>
          <w:lang w:val="en-US" w:eastAsia="zh-CN"/>
        </w:rPr>
        <w:t>619</w:t>
      </w:r>
      <w:r>
        <w:rPr>
          <w:rFonts w:hint="eastAsia" w:ascii="仿宋_GB2312" w:hAnsi="仿宋" w:eastAsia="仿宋_GB2312" w:cs="宋体"/>
          <w:sz w:val="32"/>
          <w:szCs w:val="32"/>
        </w:rPr>
        <w:t>人，系统管理了</w:t>
      </w:r>
      <w:r>
        <w:rPr>
          <w:rFonts w:hint="eastAsia" w:ascii="仿宋_GB2312" w:hAnsi="仿宋" w:eastAsia="仿宋_GB2312" w:cs="宋体"/>
          <w:sz w:val="32"/>
          <w:szCs w:val="32"/>
          <w:lang w:val="en-US" w:eastAsia="zh-CN"/>
        </w:rPr>
        <w:t>619</w:t>
      </w:r>
      <w:r>
        <w:rPr>
          <w:rFonts w:hint="eastAsia" w:ascii="仿宋_GB2312" w:hAnsi="仿宋" w:eastAsia="仿宋_GB2312" w:cs="宋体"/>
          <w:sz w:val="32"/>
          <w:szCs w:val="32"/>
        </w:rPr>
        <w:t>人。</w:t>
      </w:r>
      <w:r>
        <w:rPr>
          <w:rFonts w:hint="eastAsia" w:ascii="仿宋_GB2312" w:hAnsi="仿宋" w:eastAsia="仿宋_GB2312"/>
          <w:sz w:val="32"/>
          <w:szCs w:val="32"/>
        </w:rPr>
        <w:t>全年</w:t>
      </w:r>
      <w:r>
        <w:rPr>
          <w:rFonts w:hint="eastAsia" w:ascii="仿宋_GB2312" w:hAnsi="仿宋" w:eastAsia="仿宋_GB2312" w:cs="宋体"/>
          <w:sz w:val="32"/>
          <w:szCs w:val="32"/>
        </w:rPr>
        <w:t>对</w:t>
      </w:r>
      <w:r>
        <w:rPr>
          <w:rFonts w:hint="eastAsia" w:ascii="仿宋_GB2312" w:hAnsi="仿宋" w:eastAsia="仿宋_GB2312" w:cs="宋体"/>
          <w:sz w:val="32"/>
          <w:szCs w:val="32"/>
          <w:lang w:val="en-US" w:eastAsia="zh-CN"/>
        </w:rPr>
        <w:t>隘口乡中心校</w:t>
      </w:r>
      <w:r>
        <w:rPr>
          <w:rFonts w:hint="eastAsia" w:ascii="仿宋_GB2312" w:hAnsi="仿宋" w:eastAsia="仿宋_GB2312" w:cs="宋体"/>
          <w:sz w:val="32"/>
          <w:szCs w:val="32"/>
        </w:rPr>
        <w:t>进行了卫生监督管理巡查</w:t>
      </w:r>
      <w:r>
        <w:rPr>
          <w:rFonts w:hint="eastAsia" w:ascii="仿宋_GB2312" w:hAnsi="仿宋" w:eastAsia="仿宋_GB2312" w:cs="宋体"/>
          <w:sz w:val="32"/>
          <w:szCs w:val="32"/>
          <w:lang w:val="en-US" w:eastAsia="zh-CN"/>
        </w:rPr>
        <w:t>52</w:t>
      </w:r>
      <w:r>
        <w:rPr>
          <w:rFonts w:hint="eastAsia" w:ascii="仿宋_GB2312" w:hAnsi="仿宋" w:eastAsia="仿宋_GB2312" w:cs="宋体"/>
          <w:sz w:val="32"/>
          <w:szCs w:val="32"/>
        </w:rPr>
        <w:t>次，对水厂巡查了</w:t>
      </w:r>
      <w:r>
        <w:rPr>
          <w:rFonts w:hint="eastAsia" w:ascii="仿宋_GB2312" w:hAnsi="仿宋" w:eastAsia="仿宋_GB2312" w:cs="宋体"/>
          <w:sz w:val="32"/>
          <w:szCs w:val="32"/>
          <w:lang w:val="en-US" w:eastAsia="zh-CN"/>
        </w:rPr>
        <w:t>12</w:t>
      </w:r>
      <w:r>
        <w:rPr>
          <w:rFonts w:hint="eastAsia" w:ascii="仿宋_GB2312" w:hAnsi="仿宋" w:eastAsia="仿宋_GB2312" w:cs="宋体"/>
          <w:sz w:val="32"/>
          <w:szCs w:val="32"/>
        </w:rPr>
        <w:t>次，无突发公共卫生事件发生。</w:t>
      </w:r>
      <w:r>
        <w:rPr>
          <w:rFonts w:hint="eastAsia" w:ascii="仿宋_GB2312" w:hAnsi="仿宋" w:eastAsia="仿宋_GB2312"/>
          <w:sz w:val="32"/>
          <w:szCs w:val="32"/>
        </w:rPr>
        <w:t>认真落实法定传染病报告工作，无虚报、谎报、漏报现象发生，</w:t>
      </w:r>
      <w:r>
        <w:rPr>
          <w:rFonts w:hint="eastAsia" w:ascii="仿宋_GB2312" w:hAnsi="仿宋" w:eastAsia="仿宋_GB2312" w:cs="宋体"/>
          <w:sz w:val="32"/>
          <w:szCs w:val="32"/>
        </w:rPr>
        <w:t>今年</w:t>
      </w:r>
      <w:r>
        <w:rPr>
          <w:rFonts w:hint="eastAsia" w:ascii="仿宋_GB2312" w:hAnsi="仿宋" w:eastAsia="仿宋_GB2312" w:cs="宋体"/>
          <w:sz w:val="32"/>
          <w:szCs w:val="32"/>
          <w:lang w:val="en-US" w:eastAsia="zh-CN"/>
        </w:rPr>
        <w:t>无</w:t>
      </w:r>
      <w:r>
        <w:rPr>
          <w:rFonts w:hint="eastAsia" w:ascii="仿宋_GB2312" w:hAnsi="仿宋" w:eastAsia="仿宋_GB2312" w:cs="宋体"/>
          <w:sz w:val="32"/>
          <w:szCs w:val="32"/>
        </w:rPr>
        <w:t>传染病</w:t>
      </w:r>
      <w:r>
        <w:rPr>
          <w:rFonts w:hint="eastAsia" w:ascii="仿宋_GB2312" w:hAnsi="仿宋" w:eastAsia="仿宋_GB2312"/>
          <w:sz w:val="32"/>
          <w:szCs w:val="32"/>
        </w:rPr>
        <w:t>。开展了爱国卫生工作，对院内卫生死角和院外公区开展了灭鼠、灭蝇、灭蟑螂活动。对孕产妇免费发放叶酸</w:t>
      </w:r>
      <w:r>
        <w:rPr>
          <w:rFonts w:hint="eastAsia" w:ascii="仿宋_GB2312" w:hAnsi="仿宋" w:eastAsia="仿宋_GB2312"/>
          <w:sz w:val="32"/>
          <w:szCs w:val="32"/>
          <w:lang w:val="en-US" w:eastAsia="zh-CN"/>
        </w:rPr>
        <w:t>34</w:t>
      </w:r>
      <w:r>
        <w:rPr>
          <w:rFonts w:hint="eastAsia" w:ascii="仿宋_GB2312" w:hAnsi="仿宋" w:eastAsia="仿宋_GB2312"/>
          <w:sz w:val="32"/>
          <w:szCs w:val="32"/>
        </w:rPr>
        <w:t>人份。</w:t>
      </w:r>
    </w:p>
    <w:p>
      <w:pPr>
        <w:pStyle w:val="5"/>
        <w:adjustRightInd w:val="0"/>
        <w:snapToGrid w:val="0"/>
        <w:spacing w:before="93" w:line="600" w:lineRule="exact"/>
        <w:outlineLvl w:val="2"/>
        <w:rPr>
          <w:rFonts w:hint="eastAsia" w:ascii="仿宋" w:hAnsi="仿宋" w:eastAsia="仿宋"/>
          <w:bCs/>
          <w:color w:val="000000"/>
          <w:sz w:val="32"/>
          <w:szCs w:val="32"/>
        </w:rPr>
      </w:pPr>
      <w:r>
        <w:rPr>
          <w:rFonts w:hint="eastAsia" w:ascii="仿宋_GB2312" w:hAnsi="仿宋" w:eastAsia="仿宋_GB2312"/>
          <w:sz w:val="32"/>
          <w:szCs w:val="32"/>
        </w:rPr>
        <w:t>201</w:t>
      </w:r>
      <w:r>
        <w:rPr>
          <w:rFonts w:hint="eastAsia" w:hAnsi="仿宋"/>
          <w:sz w:val="32"/>
          <w:szCs w:val="32"/>
          <w:lang w:val="en-US" w:eastAsia="zh-CN"/>
        </w:rPr>
        <w:t>8</w:t>
      </w:r>
      <w:r>
        <w:rPr>
          <w:rFonts w:hint="eastAsia" w:ascii="仿宋_GB2312" w:hAnsi="仿宋" w:eastAsia="仿宋_GB2312"/>
          <w:sz w:val="32"/>
          <w:szCs w:val="32"/>
        </w:rPr>
        <w:t>年全年总收入</w:t>
      </w:r>
      <w:r>
        <w:rPr>
          <w:rFonts w:hint="eastAsia" w:hAnsi="仿宋"/>
          <w:sz w:val="32"/>
          <w:szCs w:val="32"/>
          <w:lang w:val="en-US" w:eastAsia="zh-CN"/>
        </w:rPr>
        <w:t>223.96万</w:t>
      </w:r>
      <w:r>
        <w:rPr>
          <w:rFonts w:hint="eastAsia" w:ascii="仿宋_GB2312" w:hAnsi="仿宋" w:eastAsia="仿宋_GB2312"/>
          <w:sz w:val="32"/>
          <w:szCs w:val="32"/>
        </w:rPr>
        <w:t>元，其中财政补助收入</w:t>
      </w:r>
      <w:r>
        <w:rPr>
          <w:rFonts w:hint="eastAsia" w:hAnsi="仿宋"/>
          <w:sz w:val="32"/>
          <w:szCs w:val="32"/>
          <w:lang w:val="en-US" w:eastAsia="zh-CN"/>
        </w:rPr>
        <w:t>98.67</w:t>
      </w:r>
      <w:r>
        <w:rPr>
          <w:rFonts w:hint="eastAsia" w:ascii="仿宋_GB2312" w:hAnsi="仿宋" w:eastAsia="仿宋_GB2312"/>
          <w:sz w:val="32"/>
          <w:szCs w:val="32"/>
        </w:rPr>
        <w:t>万元，业务收入</w:t>
      </w:r>
      <w:r>
        <w:rPr>
          <w:rFonts w:hint="eastAsia" w:ascii="仿宋" w:hAnsi="仿宋" w:eastAsia="仿宋"/>
          <w:color w:val="000000"/>
          <w:sz w:val="32"/>
          <w:szCs w:val="32"/>
          <w:lang w:val="en-US" w:eastAsia="zh-CN"/>
        </w:rPr>
        <w:t>125.18</w:t>
      </w:r>
      <w:r>
        <w:rPr>
          <w:rFonts w:hint="eastAsia" w:ascii="仿宋_GB2312" w:hAnsi="仿宋" w:eastAsia="仿宋_GB2312"/>
          <w:sz w:val="32"/>
          <w:szCs w:val="32"/>
        </w:rPr>
        <w:t>万元，其他收入</w:t>
      </w:r>
      <w:r>
        <w:rPr>
          <w:rFonts w:hint="eastAsia" w:hAnsi="仿宋"/>
          <w:sz w:val="32"/>
          <w:szCs w:val="32"/>
          <w:lang w:val="en-US" w:eastAsia="zh-CN"/>
        </w:rPr>
        <w:t>0.11</w:t>
      </w:r>
      <w:r>
        <w:rPr>
          <w:rFonts w:hint="eastAsia" w:ascii="仿宋_GB2312" w:hAnsi="仿宋" w:eastAsia="仿宋_GB2312"/>
          <w:sz w:val="32"/>
          <w:szCs w:val="32"/>
        </w:rPr>
        <w:t>万元。</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592" w:firstLineChars="185"/>
        <w:rPr>
          <w:rFonts w:hint="eastAsia" w:ascii="仿宋_GB2312" w:hAnsi="仿宋" w:eastAsia="仿宋_GB2312" w:cs="仿宋"/>
          <w:bCs/>
          <w:sz w:val="32"/>
          <w:szCs w:val="32"/>
        </w:rPr>
      </w:pPr>
      <w:r>
        <w:rPr>
          <w:rFonts w:hint="eastAsia" w:ascii="仿宋" w:hAnsi="仿宋" w:eastAsia="仿宋" w:cs="仿宋"/>
          <w:color w:val="000000"/>
          <w:sz w:val="32"/>
          <w:szCs w:val="32"/>
        </w:rPr>
        <w:t>我单位无下属二级单位，属</w:t>
      </w:r>
      <w:r>
        <w:rPr>
          <w:rFonts w:hint="eastAsia" w:ascii="仿宋_GB2312" w:eastAsia="仿宋_GB2312"/>
          <w:sz w:val="32"/>
          <w:szCs w:val="32"/>
          <w:lang w:val="en"/>
        </w:rPr>
        <w:t>公益一类事业单位。</w:t>
      </w:r>
      <w:r>
        <w:rPr>
          <w:rFonts w:hint="eastAsia" w:ascii="仿宋_GB2312" w:hAnsi="仿宋" w:eastAsia="仿宋_GB2312" w:cs="仿宋"/>
          <w:bCs/>
          <w:sz w:val="32"/>
          <w:szCs w:val="32"/>
        </w:rPr>
        <w:t>经中共宣汉县机构编制委员会重新核定财政全额编制</w:t>
      </w:r>
      <w:r>
        <w:rPr>
          <w:rFonts w:hint="eastAsia" w:ascii="仿宋_GB2312" w:hAnsi="仿宋" w:eastAsia="仿宋_GB2312" w:cs="仿宋"/>
          <w:bCs/>
          <w:sz w:val="32"/>
          <w:szCs w:val="32"/>
          <w:lang w:val="en-US" w:eastAsia="zh-CN"/>
        </w:rPr>
        <w:t>12</w:t>
      </w:r>
      <w:r>
        <w:rPr>
          <w:rFonts w:hint="eastAsia" w:ascii="仿宋_GB2312" w:hAnsi="仿宋" w:eastAsia="仿宋_GB2312" w:cs="仿宋"/>
          <w:bCs/>
          <w:sz w:val="32"/>
          <w:szCs w:val="32"/>
        </w:rPr>
        <w:t>人，实有在岗职工</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人（其中：在编人员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人、临聘人员</w:t>
      </w:r>
      <w:r>
        <w:rPr>
          <w:rFonts w:hint="eastAsia" w:ascii="仿宋_GB2312" w:hAnsi="仿宋" w:eastAsia="仿宋_GB2312" w:cs="仿宋"/>
          <w:bCs/>
          <w:sz w:val="32"/>
          <w:szCs w:val="32"/>
          <w:lang w:val="en-US" w:eastAsia="zh-CN"/>
        </w:rPr>
        <w:t>8</w:t>
      </w:r>
      <w:r>
        <w:rPr>
          <w:rFonts w:hint="eastAsia" w:ascii="仿宋_GB2312" w:hAnsi="仿宋" w:eastAsia="仿宋_GB2312" w:cs="仿宋"/>
          <w:bCs/>
          <w:sz w:val="32"/>
          <w:szCs w:val="32"/>
        </w:rPr>
        <w:t>人），退休人员</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人，遗属</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人。</w:t>
      </w:r>
    </w:p>
    <w:p>
      <w:pPr>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全院占地面积</w:t>
      </w:r>
      <w:r>
        <w:rPr>
          <w:rFonts w:hint="eastAsia" w:ascii="仿宋_GB2312" w:hAnsi="仿宋" w:eastAsia="仿宋_GB2312" w:cs="仿宋"/>
          <w:bCs/>
          <w:sz w:val="32"/>
          <w:szCs w:val="32"/>
          <w:lang w:val="en-US" w:eastAsia="zh-CN"/>
        </w:rPr>
        <w:t>1375</w:t>
      </w:r>
      <w:r>
        <w:rPr>
          <w:rFonts w:hint="eastAsia" w:ascii="仿宋_GB2312" w:hAnsi="仿宋" w:eastAsia="仿宋_GB2312" w:cs="仿宋"/>
          <w:bCs/>
          <w:sz w:val="32"/>
          <w:szCs w:val="32"/>
        </w:rPr>
        <w:t>平方米，建筑面积</w:t>
      </w:r>
      <w:r>
        <w:rPr>
          <w:rFonts w:hint="eastAsia" w:ascii="仿宋_GB2312" w:hAnsi="仿宋" w:eastAsia="仿宋_GB2312" w:cs="仿宋"/>
          <w:bCs/>
          <w:sz w:val="32"/>
          <w:szCs w:val="32"/>
          <w:lang w:val="en-US" w:eastAsia="zh-CN"/>
        </w:rPr>
        <w:t>2309</w:t>
      </w:r>
      <w:r>
        <w:rPr>
          <w:rFonts w:hint="eastAsia" w:ascii="仿宋_GB2312" w:hAnsi="仿宋" w:eastAsia="仿宋_GB2312" w:cs="仿宋"/>
          <w:bCs/>
          <w:sz w:val="32"/>
          <w:szCs w:val="32"/>
        </w:rPr>
        <w:t>平方米，其中：业务用房</w:t>
      </w:r>
      <w:r>
        <w:rPr>
          <w:rFonts w:hint="eastAsia" w:ascii="仿宋_GB2312" w:hAnsi="仿宋" w:eastAsia="仿宋_GB2312" w:cs="仿宋"/>
          <w:bCs/>
          <w:sz w:val="32"/>
          <w:szCs w:val="32"/>
          <w:lang w:val="en-US" w:eastAsia="zh-CN"/>
        </w:rPr>
        <w:t>1057</w:t>
      </w:r>
      <w:r>
        <w:rPr>
          <w:rFonts w:hint="eastAsia" w:ascii="仿宋_GB2312" w:hAnsi="仿宋" w:eastAsia="仿宋_GB2312" w:cs="仿宋"/>
          <w:bCs/>
          <w:sz w:val="32"/>
          <w:szCs w:val="32"/>
        </w:rPr>
        <w:t>平方米，编制床位</w:t>
      </w:r>
      <w:r>
        <w:rPr>
          <w:rFonts w:hint="eastAsia" w:ascii="仿宋_GB2312" w:hAnsi="仿宋" w:eastAsia="仿宋_GB2312" w:cs="仿宋"/>
          <w:bCs/>
          <w:sz w:val="32"/>
          <w:szCs w:val="32"/>
          <w:lang w:val="en-US" w:eastAsia="zh-CN"/>
        </w:rPr>
        <w:t>20</w:t>
      </w:r>
      <w:r>
        <w:rPr>
          <w:rFonts w:hint="eastAsia" w:ascii="仿宋_GB2312" w:hAnsi="仿宋" w:eastAsia="仿宋_GB2312" w:cs="仿宋"/>
          <w:bCs/>
          <w:sz w:val="32"/>
          <w:szCs w:val="32"/>
        </w:rPr>
        <w:t>张，实际开放床位</w:t>
      </w:r>
      <w:r>
        <w:rPr>
          <w:rFonts w:hint="eastAsia" w:ascii="仿宋_GB2312" w:hAnsi="仿宋" w:eastAsia="仿宋_GB2312" w:cs="仿宋"/>
          <w:bCs/>
          <w:sz w:val="32"/>
          <w:szCs w:val="32"/>
          <w:lang w:val="en-US" w:eastAsia="zh-CN"/>
        </w:rPr>
        <w:t>23</w:t>
      </w:r>
      <w:r>
        <w:rPr>
          <w:rFonts w:hint="eastAsia" w:ascii="仿宋_GB2312" w:hAnsi="仿宋" w:eastAsia="仿宋_GB2312" w:cs="仿宋"/>
          <w:bCs/>
          <w:sz w:val="32"/>
          <w:szCs w:val="32"/>
        </w:rPr>
        <w:t>张。院内分为门诊、住院、医技、行后、公共卫生五大科组。目前开展了常见病、突发病、呼吸、消化、泌尿、心血管、</w:t>
      </w:r>
      <w:r>
        <w:rPr>
          <w:rFonts w:hint="eastAsia" w:ascii="仿宋_GB2312" w:hAnsi="仿宋" w:eastAsia="仿宋_GB2312" w:cs="仿宋"/>
          <w:bCs/>
          <w:sz w:val="32"/>
          <w:szCs w:val="32"/>
          <w:lang w:val="en-US" w:eastAsia="zh-CN"/>
        </w:rPr>
        <w:t>普</w:t>
      </w:r>
      <w:r>
        <w:rPr>
          <w:rFonts w:hint="eastAsia" w:ascii="仿宋_GB2312" w:hAnsi="仿宋" w:eastAsia="仿宋_GB2312" w:cs="仿宋"/>
          <w:bCs/>
          <w:sz w:val="32"/>
          <w:szCs w:val="32"/>
        </w:rPr>
        <w:t>外科等的诊治及预防保健工作。</w:t>
      </w:r>
    </w:p>
    <w:p>
      <w:pPr>
        <w:pStyle w:val="2"/>
        <w:ind w:right="440"/>
        <w:jc w:val="both"/>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Pr>
        <w:widowControl/>
        <w:ind w:firstLine="640" w:firstLineChars="200"/>
        <w:jc w:val="left"/>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277.39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53.43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财政拨款、医疗收入同时增加。</w:t>
      </w:r>
    </w:p>
    <w:p>
      <w:pPr>
        <w:spacing w:line="600" w:lineRule="exac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pStyle w:val="23"/>
        <w:numPr>
          <w:ilvl w:val="0"/>
          <w:numId w:val="0"/>
        </w:numPr>
        <w:spacing w:line="600" w:lineRule="exact"/>
        <w:outlineLvl w:val="1"/>
        <w:rPr>
          <w:rFonts w:hint="eastAsia" w:ascii="黑体" w:hAnsi="黑体" w:eastAsia="黑体"/>
          <w:color w:val="000000"/>
          <w:sz w:val="32"/>
          <w:szCs w:val="32"/>
          <w:lang w:val="en-US" w:eastAsia="zh-CN"/>
        </w:rPr>
      </w:pPr>
      <w:bookmarkStart w:id="26" w:name="_Toc15377206"/>
      <w:bookmarkStart w:id="27" w:name="_Toc15396604"/>
    </w:p>
    <w:p>
      <w:pPr>
        <w:pStyle w:val="23"/>
        <w:numPr>
          <w:ilvl w:val="0"/>
          <w:numId w:val="0"/>
        </w:numPr>
        <w:spacing w:line="600" w:lineRule="exact"/>
        <w:outlineLvl w:val="1"/>
        <w:rPr>
          <w:rStyle w:val="25"/>
          <w:rFonts w:ascii="黑体" w:hAnsi="黑体" w:eastAsia="黑体"/>
          <w:b w:val="0"/>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171450</wp:posOffset>
            </wp:positionV>
            <wp:extent cx="5270500" cy="1925320"/>
            <wp:effectExtent l="5080" t="4445" r="20320" b="1333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277.39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39.15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168.68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60.8</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118745</wp:posOffset>
            </wp:positionH>
            <wp:positionV relativeFrom="paragraph">
              <wp:posOffset>218440</wp:posOffset>
            </wp:positionV>
            <wp:extent cx="5270500" cy="1924050"/>
            <wp:effectExtent l="4445" t="4445" r="20955" b="14605"/>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277.39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277.39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rPr>
          <w:rStyle w:val="25"/>
          <w:rFonts w:ascii="黑体" w:hAnsi="黑体" w:eastAsia="黑体"/>
          <w:b w:val="0"/>
        </w:rPr>
      </w:pPr>
      <w:r>
        <w:drawing>
          <wp:anchor distT="0" distB="0" distL="114300" distR="114300" simplePos="0" relativeHeight="251661312" behindDoc="0" locked="0" layoutInCell="1" allowOverlap="1">
            <wp:simplePos x="0" y="0"/>
            <wp:positionH relativeFrom="column">
              <wp:posOffset>128270</wp:posOffset>
            </wp:positionH>
            <wp:positionV relativeFrom="paragraph">
              <wp:posOffset>-43180</wp:posOffset>
            </wp:positionV>
            <wp:extent cx="4841240" cy="1858645"/>
            <wp:effectExtent l="4445" t="4445" r="12065" b="2286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8" w:name="_Toc15377208"/>
      <w:bookmarkStart w:id="29" w:name="_Toc15396606"/>
      <w:r>
        <w:rPr>
          <w:rFonts w:hint="eastAsia"/>
          <w:lang w:val="en-US" w:eastAsia="zh-CN"/>
        </w:rPr>
        <w:t xml:space="preserve">     </w:t>
      </w: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9.14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财政拨款收入增加。</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420" w:firstLineChars="200"/>
        <w:outlineLvl w:val="1"/>
        <w:rPr>
          <w:rStyle w:val="25"/>
          <w:rFonts w:ascii="黑体" w:hAnsi="黑体" w:eastAsia="黑体"/>
          <w:b w:val="0"/>
        </w:rPr>
      </w:pPr>
      <w:bookmarkStart w:id="30" w:name="_Toc15396607"/>
      <w:bookmarkStart w:id="31" w:name="_Toc15377209"/>
      <w:r>
        <w:drawing>
          <wp:anchor distT="0" distB="0" distL="114300" distR="114300" simplePos="0" relativeHeight="251662336" behindDoc="0" locked="0" layoutInCell="1" allowOverlap="1">
            <wp:simplePos x="0" y="0"/>
            <wp:positionH relativeFrom="column">
              <wp:posOffset>71120</wp:posOffset>
            </wp:positionH>
            <wp:positionV relativeFrom="paragraph">
              <wp:posOffset>287020</wp:posOffset>
            </wp:positionV>
            <wp:extent cx="5270500" cy="2116455"/>
            <wp:effectExtent l="4445" t="4445" r="20955" b="12700"/>
            <wp:wrapSquare wrapText="bothSides"/>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lang w:val="en-US" w:eastAsia="zh-CN"/>
        </w:rPr>
        <w:t xml:space="preserve"> </w: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39.15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9.14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财政拨款收入增加。</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rPr>
          <w:rFonts w:ascii="仿宋" w:hAnsi="仿宋" w:eastAsia="仿宋"/>
          <w:b/>
          <w:color w:val="000000"/>
          <w:sz w:val="32"/>
          <w:szCs w:val="32"/>
        </w:rPr>
      </w:pPr>
      <w:bookmarkStart w:id="33" w:name="_Toc15377211"/>
      <w:r>
        <w:drawing>
          <wp:anchor distT="0" distB="0" distL="114300" distR="114300" simplePos="0" relativeHeight="251663360" behindDoc="0" locked="0" layoutInCell="1" allowOverlap="1">
            <wp:simplePos x="0" y="0"/>
            <wp:positionH relativeFrom="column">
              <wp:posOffset>13970</wp:posOffset>
            </wp:positionH>
            <wp:positionV relativeFrom="paragraph">
              <wp:posOffset>128270</wp:posOffset>
            </wp:positionV>
            <wp:extent cx="5270500" cy="2019935"/>
            <wp:effectExtent l="4445" t="4445" r="20955" b="13970"/>
            <wp:wrapSquare wrapText="bothSides"/>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lang w:val="en-US" w:eastAsia="zh-CN"/>
        </w:rPr>
        <w:t xml:space="preserve">     </w:t>
      </w:r>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108.6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38.67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69.93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rPr>
          <w:rFonts w:ascii="仿宋" w:hAnsi="仿宋" w:eastAsia="仿宋"/>
          <w:b/>
          <w:color w:val="000000"/>
          <w:sz w:val="32"/>
          <w:szCs w:val="32"/>
        </w:rPr>
      </w:pPr>
      <w:r>
        <w:drawing>
          <wp:anchor distT="0" distB="0" distL="114300" distR="114300" simplePos="0" relativeHeight="251664384" behindDoc="0" locked="0" layoutInCell="1" allowOverlap="1">
            <wp:simplePos x="0" y="0"/>
            <wp:positionH relativeFrom="column">
              <wp:posOffset>52705</wp:posOffset>
            </wp:positionH>
            <wp:positionV relativeFrom="paragraph">
              <wp:posOffset>185420</wp:posOffset>
            </wp:positionV>
            <wp:extent cx="5270500" cy="1790700"/>
            <wp:effectExtent l="4445" t="4445" r="20955" b="14605"/>
            <wp:wrapSquare wrapText="bothSides"/>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4" w:name="_Toc15377212"/>
      <w:r>
        <w:rPr>
          <w:rFonts w:hint="eastAsia"/>
          <w:lang w:val="en-US" w:eastAsia="zh-CN"/>
        </w:rPr>
        <w:t xml:space="preserve">     </w:t>
      </w:r>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7213"/>
      <w:bookmarkStart w:id="36" w:name="_Toc15378460"/>
      <w:bookmarkStart w:id="37"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108.6万元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
          <w:bCs w:val="0"/>
          <w:color w:val="000000"/>
          <w:sz w:val="32"/>
          <w:szCs w:val="32"/>
        </w:rPr>
        <w:t>其他行政事业单位离退休支出</w:t>
      </w:r>
      <w:r>
        <w:rPr>
          <w:rStyle w:val="14"/>
          <w:rFonts w:hint="eastAsia" w:ascii="仿宋" w:hAnsi="仿宋" w:eastAsia="仿宋"/>
          <w:b/>
          <w:bCs w:val="0"/>
          <w:color w:val="000000"/>
          <w:sz w:val="32"/>
          <w:szCs w:val="32"/>
          <w:lang w:eastAsia="zh-CN"/>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38.67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医疗卫生与计划生育（类）基层医疗卫生机构（款）乡镇卫生院（项）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39.24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其他基层医疗卫生机构支出</w:t>
      </w:r>
      <w:r>
        <w:rPr>
          <w:rStyle w:val="14"/>
          <w:rFonts w:hint="eastAsia" w:ascii="仿宋" w:hAnsi="仿宋" w:eastAsia="仿宋"/>
          <w:b/>
          <w:bCs w:val="0"/>
          <w:color w:val="000000"/>
          <w:sz w:val="32"/>
          <w:szCs w:val="32"/>
          <w:lang w:eastAsia="zh-CN"/>
        </w:rPr>
        <w:t>（项）：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18.78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公共卫生</w:t>
      </w:r>
      <w:r>
        <w:rPr>
          <w:rStyle w:val="14"/>
          <w:rFonts w:hint="eastAsia" w:ascii="仿宋" w:hAnsi="仿宋" w:eastAsia="仿宋"/>
          <w:b/>
          <w:bCs w:val="0"/>
          <w:color w:val="000000"/>
          <w:sz w:val="32"/>
          <w:szCs w:val="32"/>
          <w:lang w:eastAsia="zh-CN"/>
        </w:rPr>
        <w:t>（款）基本公共卫生服务（项）：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50.51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rPr>
        <w:t>行政事业单位医疗</w:t>
      </w:r>
      <w:r>
        <w:rPr>
          <w:rStyle w:val="14"/>
          <w:rFonts w:hint="eastAsia" w:ascii="仿宋" w:hAnsi="仿宋" w:eastAsia="仿宋"/>
          <w:b/>
          <w:bCs w:val="0"/>
          <w:color w:val="000000"/>
          <w:sz w:val="32"/>
          <w:szCs w:val="32"/>
          <w:lang w:eastAsia="zh-CN"/>
        </w:rPr>
        <w:t>（款）事业单位医疗（项）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0.07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firstLineChars="200"/>
        <w:outlineLvl w:val="1"/>
        <w:rPr>
          <w:rStyle w:val="25"/>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38.6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5.34万元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14.66万元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18.18万元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0.07万元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0.41万元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1.5万元。</w:t>
      </w:r>
      <w:r>
        <w:rPr>
          <w:rFonts w:hint="eastAsia" w:ascii="仿宋" w:hAnsi="仿宋" w:eastAsia="仿宋"/>
          <w:color w:val="000000"/>
          <w:sz w:val="32"/>
          <w:szCs w:val="32"/>
        </w:rPr>
        <w:t>　　</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68.43</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7.63万元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12.87万元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0.62万元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3.95万元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0.6万元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8.47万元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0.3万元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专用材料费10.38万元、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19.61万元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0.68万元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3.31万元。</w:t>
      </w:r>
    </w:p>
    <w:p>
      <w:pPr>
        <w:spacing w:line="600" w:lineRule="exact"/>
        <w:ind w:firstLine="640" w:firstLineChars="20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0.68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lang w:eastAsia="zh-CN"/>
        </w:rPr>
        <w:t>属</w:t>
      </w:r>
      <w:r>
        <w:rPr>
          <w:rFonts w:hint="eastAsia" w:ascii="仿宋_GB2312" w:eastAsia="仿宋_GB2312"/>
          <w:color w:val="000000"/>
          <w:sz w:val="32"/>
          <w:szCs w:val="32"/>
        </w:rPr>
        <w:t>于</w:t>
      </w:r>
      <w:r>
        <w:rPr>
          <w:rFonts w:hint="eastAsia" w:ascii="仿宋_GB2312" w:eastAsia="仿宋_GB2312"/>
          <w:color w:val="000000"/>
          <w:sz w:val="32"/>
          <w:szCs w:val="32"/>
          <w:lang w:eastAsia="zh-CN"/>
        </w:rPr>
        <w:t>医疗救护专用车辆</w:t>
      </w:r>
      <w:r>
        <w:rPr>
          <w:rFonts w:hint="eastAsia" w:ascii="仿宋_GB2312" w:eastAsia="仿宋_GB2312"/>
          <w:color w:val="000000"/>
          <w:sz w:val="32"/>
          <w:szCs w:val="32"/>
        </w:rPr>
        <w:t>燃料费、维修费、过路过桥费、保险费等支出</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rPr>
          <w:rFonts w:ascii="仿宋_GB2312" w:eastAsia="仿宋_GB2312"/>
          <w:color w:val="000000"/>
          <w:sz w:val="32"/>
          <w:szCs w:val="32"/>
        </w:rPr>
      </w:pPr>
      <w:r>
        <w:drawing>
          <wp:anchor distT="0" distB="0" distL="114300" distR="114300" simplePos="0" relativeHeight="251665408" behindDoc="0" locked="0" layoutInCell="1" allowOverlap="1">
            <wp:simplePos x="0" y="0"/>
            <wp:positionH relativeFrom="column">
              <wp:posOffset>137795</wp:posOffset>
            </wp:positionH>
            <wp:positionV relativeFrom="paragraph">
              <wp:posOffset>119380</wp:posOffset>
            </wp:positionV>
            <wp:extent cx="5270500" cy="1963420"/>
            <wp:effectExtent l="4445" t="4445" r="20955" b="13335"/>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lang w:val="en-US" w:eastAsia="zh-CN"/>
        </w:rPr>
        <w:t xml:space="preserve">      </w:t>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，医疗救护专用车</w:t>
      </w:r>
      <w:r>
        <w:rPr>
          <w:rFonts w:hint="eastAsia" w:ascii="仿宋_GB2312" w:eastAsia="仿宋_GB2312"/>
          <w:color w:val="000000"/>
          <w:sz w:val="32"/>
          <w:szCs w:val="32"/>
          <w:lang w:val="en-US" w:eastAsia="zh-CN"/>
        </w:rPr>
        <w:t>1辆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万元。主要用于主要用于医疗救护、下村居民免费体检等所需的救护车燃料费、维修费、过路过桥费、保险费等支出。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320" w:firstLineChars="100"/>
        <w:outlineLvl w:val="1"/>
        <w:rPr>
          <w:rStyle w:val="25"/>
          <w:rFonts w:ascii="黑体" w:hAnsi="黑体" w:eastAsia="黑体"/>
        </w:rPr>
      </w:pPr>
      <w:bookmarkStart w:id="44" w:name="_Toc15377218"/>
      <w:bookmarkStart w:id="45"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6" w:name="_Toc15377219"/>
      <w:bookmarkStart w:id="47" w:name="_Toc15396611"/>
      <w:r>
        <w:rPr>
          <w:rStyle w:val="25"/>
          <w:rFonts w:hint="eastAsia" w:ascii="黑体" w:hAnsi="黑体" w:eastAsia="黑体"/>
          <w:b w:val="0"/>
          <w:lang w:val="en-US" w:eastAsia="zh-CN"/>
        </w:rPr>
        <w:t>九、</w:t>
      </w:r>
      <w:r>
        <w:rPr>
          <w:rStyle w:val="25"/>
          <w:rFonts w:hint="eastAsia" w:ascii="黑体" w:hAnsi="黑体" w:eastAsia="黑体"/>
          <w:b w:val="0"/>
        </w:rPr>
        <w:t>国有资本经营预算支出决算情况说明</w:t>
      </w:r>
      <w:bookmarkEnd w:id="46"/>
      <w:bookmarkEnd w:id="47"/>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w:t>
      </w:r>
      <w:r>
        <w:rPr>
          <w:rFonts w:hint="eastAsia" w:ascii="仿宋_GB2312" w:eastAsia="仿宋_GB2312"/>
          <w:color w:val="000000"/>
          <w:sz w:val="32"/>
          <w:szCs w:val="32"/>
          <w:lang w:eastAsia="zh-CN"/>
        </w:rPr>
        <w:t>。</w:t>
      </w:r>
    </w:p>
    <w:p>
      <w:pPr>
        <w:pStyle w:val="23"/>
        <w:numPr>
          <w:ilvl w:val="0"/>
          <w:numId w:val="1"/>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2"/>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重大公共卫生、国家级贫困县医疗服务能力提升</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 w:hAnsi="仿宋" w:eastAsia="仿宋" w:cs="仿宋"/>
          <w:i w:val="0"/>
          <w:caps w:val="0"/>
          <w:color w:val="000000"/>
          <w:spacing w:val="0"/>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，完成预算数</w:t>
      </w:r>
      <w:r>
        <w:rPr>
          <w:rFonts w:hint="eastAsia" w:ascii="仿宋" w:hAnsi="仿宋" w:eastAsia="仿宋"/>
          <w:color w:val="000000"/>
          <w:sz w:val="32"/>
          <w:szCs w:val="32"/>
          <w:lang w:val="en-US" w:eastAsia="zh-CN"/>
        </w:rPr>
        <w:t>100%，</w:t>
      </w:r>
      <w:r>
        <w:rPr>
          <w:rFonts w:hint="eastAsia" w:ascii="仿宋" w:hAnsi="仿宋" w:eastAsia="仿宋" w:cs="仿宋"/>
          <w:i w:val="0"/>
          <w:caps w:val="0"/>
          <w:color w:val="000000"/>
          <w:spacing w:val="0"/>
          <w:sz w:val="32"/>
          <w:szCs w:val="32"/>
        </w:rPr>
        <w:t>保障</w:t>
      </w:r>
      <w:r>
        <w:rPr>
          <w:rFonts w:hint="eastAsia" w:ascii="仿宋" w:hAnsi="仿宋" w:eastAsia="仿宋" w:cs="仿宋"/>
          <w:i w:val="0"/>
          <w:caps w:val="0"/>
          <w:color w:val="000000"/>
          <w:spacing w:val="0"/>
          <w:sz w:val="32"/>
          <w:szCs w:val="32"/>
          <w:lang w:eastAsia="zh-CN"/>
        </w:rPr>
        <w:t>了</w:t>
      </w:r>
      <w:r>
        <w:rPr>
          <w:rFonts w:hint="eastAsia" w:ascii="仿宋" w:hAnsi="仿宋" w:eastAsia="仿宋" w:cs="仿宋"/>
          <w:i w:val="0"/>
          <w:caps w:val="0"/>
          <w:color w:val="000000"/>
          <w:spacing w:val="0"/>
          <w:sz w:val="32"/>
          <w:szCs w:val="32"/>
        </w:rPr>
        <w:t>单位正常运转的日常支出，包括基本工资、津贴补贴等人员经费以及办公费、印刷费、水电费、办公设备购置等日常公用经费。</w:t>
      </w:r>
    </w:p>
    <w:p>
      <w:pPr>
        <w:spacing w:line="580" w:lineRule="exact"/>
        <w:ind w:firstLine="642" w:firstLineChars="200"/>
        <w:rPr>
          <w:rFonts w:hint="eastAsia" w:ascii="仿宋" w:hAnsi="仿宋" w:eastAsia="仿宋" w:cs="楷体_GB2312"/>
          <w:b/>
          <w:bCs/>
          <w:sz w:val="32"/>
          <w:szCs w:val="32"/>
        </w:rPr>
      </w:pPr>
    </w:p>
    <w:p>
      <w:pPr>
        <w:spacing w:line="580" w:lineRule="exact"/>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年度无项目。</w:t>
      </w:r>
    </w:p>
    <w:p>
      <w:pPr>
        <w:spacing w:line="600" w:lineRule="exact"/>
        <w:ind w:firstLine="640" w:firstLineChars="200"/>
        <w:outlineLvl w:val="1"/>
        <w:rPr>
          <w:rStyle w:val="25"/>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rPr>
          <w:rFonts w:hint="eastAsia" w:ascii="仿宋_GB2312" w:eastAsia="仿宋_GB2312"/>
          <w:color w:val="000000"/>
          <w:sz w:val="32"/>
          <w:szCs w:val="32"/>
        </w:rPr>
      </w:pPr>
      <w:bookmarkStart w:id="51" w:name="_Toc15377223"/>
      <w:r>
        <w:rPr>
          <w:rFonts w:hint="eastAsia" w:ascii="仿宋_GB2312" w:eastAsia="仿宋_GB2312"/>
          <w:color w:val="000000"/>
          <w:sz w:val="32"/>
          <w:szCs w:val="32"/>
        </w:rPr>
        <w:t>本单位不属于行政单位，无机关运行经费发生。</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bookmarkStart w:id="52" w:name="_Toc15377224"/>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themeColor="text1"/>
          <w:sz w:val="32"/>
          <w:szCs w:val="32"/>
          <w:lang w:eastAsia="zh-CN"/>
          <w14:textFill>
            <w14:solidFill>
              <w14:schemeClr w14:val="tx1"/>
            </w14:solidFill>
          </w14:textFill>
        </w:rPr>
        <w:t>医疗救护，</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2"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hint="eastAsia" w:ascii="黑体" w:hAnsi="黑体" w:eastAsia="黑体" w:cs="方正小标宋简体"/>
          <w:sz w:val="36"/>
          <w:szCs w:val="36"/>
        </w:rPr>
      </w:pPr>
      <w:bookmarkStart w:id="58" w:name="_Toc15396616"/>
      <w:r>
        <w:rPr>
          <w:rFonts w:hint="eastAsia" w:ascii="黑体" w:hAnsi="黑体" w:eastAsia="黑体" w:cs="方正小标宋简体"/>
          <w:sz w:val="36"/>
          <w:szCs w:val="36"/>
          <w:lang w:val="en-US" w:eastAsia="zh-CN"/>
        </w:rPr>
        <w:t>宣汉县隘口乡卫生院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（一）机构组成。</w:t>
      </w:r>
    </w:p>
    <w:p>
      <w:pPr>
        <w:spacing w:line="450" w:lineRule="atLeast"/>
        <w:ind w:firstLine="755" w:firstLineChars="236"/>
        <w:rPr>
          <w:rFonts w:hint="eastAsia" w:ascii="仿宋_GB2312" w:hAnsi="仿宋" w:eastAsia="仿宋_GB2312" w:cs="仿宋"/>
          <w:bCs/>
          <w:sz w:val="32"/>
          <w:szCs w:val="32"/>
        </w:rPr>
      </w:pPr>
      <w:r>
        <w:rPr>
          <w:rFonts w:hint="eastAsia" w:ascii="仿宋" w:hAnsi="仿宋" w:eastAsia="仿宋" w:cs="仿宋_GB2312"/>
          <w:sz w:val="32"/>
          <w:szCs w:val="32"/>
          <w:lang w:eastAsia="zh-CN"/>
        </w:rPr>
        <w:t>宣汉县</w:t>
      </w:r>
      <w:r>
        <w:rPr>
          <w:rFonts w:hint="eastAsia" w:ascii="仿宋" w:hAnsi="仿宋" w:eastAsia="仿宋" w:cs="仿宋_GB2312"/>
          <w:sz w:val="32"/>
          <w:szCs w:val="32"/>
          <w:lang w:val="en-US" w:eastAsia="zh-CN"/>
        </w:rPr>
        <w:t>隘口乡</w:t>
      </w:r>
      <w:r>
        <w:rPr>
          <w:rFonts w:hint="eastAsia" w:ascii="仿宋" w:hAnsi="仿宋" w:eastAsia="仿宋" w:cs="仿宋_GB2312"/>
          <w:sz w:val="32"/>
          <w:szCs w:val="32"/>
          <w:lang w:eastAsia="zh-CN"/>
        </w:rPr>
        <w:t>卫生院系宣汉县卫生健康局下属基层医疗卫生机构。</w:t>
      </w:r>
      <w:r>
        <w:rPr>
          <w:rFonts w:hint="eastAsia" w:ascii="仿宋_GB2312" w:hAnsi="仿宋" w:eastAsia="仿宋_GB2312" w:cs="仿宋"/>
          <w:bCs/>
          <w:sz w:val="32"/>
          <w:szCs w:val="32"/>
        </w:rPr>
        <w:t>院内分为门诊、住院、医技、行后、公共卫生五大科组。目前开展了常见病、突发病、呼吸、消化、泌尿、心血管、神经系统、外科等的诊治及预防保健工作。</w:t>
      </w:r>
    </w:p>
    <w:p>
      <w:pPr>
        <w:numPr>
          <w:ilvl w:val="0"/>
          <w:numId w:val="4"/>
        </w:num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450" w:lineRule="atLeast"/>
        <w:ind w:firstLine="960" w:firstLineChars="300"/>
        <w:rPr>
          <w:rFonts w:hint="eastAsia" w:ascii="仿宋" w:hAnsi="仿宋" w:eastAsia="仿宋" w:cs="仿宋"/>
          <w:bCs/>
          <w:sz w:val="32"/>
          <w:szCs w:val="32"/>
        </w:rPr>
      </w:pPr>
      <w:r>
        <w:rPr>
          <w:rFonts w:hint="eastAsia" w:ascii="仿宋" w:hAnsi="仿宋" w:eastAsia="仿宋" w:cs="仿宋_GB2312"/>
          <w:sz w:val="32"/>
          <w:szCs w:val="32"/>
          <w:lang w:eastAsia="zh-CN"/>
        </w:rPr>
        <w:t>我院</w:t>
      </w:r>
      <w:r>
        <w:rPr>
          <w:rFonts w:hint="eastAsia" w:ascii="仿宋" w:hAnsi="仿宋" w:eastAsia="仿宋" w:cs="仿宋"/>
          <w:bCs/>
          <w:sz w:val="32"/>
          <w:szCs w:val="32"/>
        </w:rPr>
        <w:t>是一所集</w:t>
      </w:r>
      <w:r>
        <w:rPr>
          <w:rFonts w:hint="eastAsia" w:ascii="仿宋" w:hAnsi="仿宋" w:eastAsia="仿宋" w:cs="仿宋"/>
          <w:sz w:val="32"/>
          <w:szCs w:val="32"/>
        </w:rPr>
        <w:t>是一所集医疗、预防、保健、教学、急救、医保为一体的一级</w:t>
      </w:r>
      <w:r>
        <w:rPr>
          <w:rFonts w:hint="eastAsia" w:ascii="仿宋" w:hAnsi="仿宋" w:eastAsia="仿宋" w:cs="仿宋"/>
          <w:sz w:val="32"/>
          <w:szCs w:val="32"/>
          <w:lang w:val="en-US" w:eastAsia="zh-CN"/>
        </w:rPr>
        <w:t>乙</w:t>
      </w:r>
      <w:r>
        <w:rPr>
          <w:rFonts w:hint="eastAsia" w:ascii="仿宋" w:hAnsi="仿宋" w:eastAsia="仿宋" w:cs="仿宋"/>
          <w:sz w:val="32"/>
          <w:szCs w:val="32"/>
        </w:rPr>
        <w:t>等综合性卫生院</w:t>
      </w:r>
      <w:r>
        <w:rPr>
          <w:rFonts w:hint="eastAsia" w:ascii="仿宋" w:hAnsi="仿宋" w:eastAsia="仿宋" w:cs="仿宋"/>
          <w:bCs/>
          <w:sz w:val="32"/>
          <w:szCs w:val="32"/>
        </w:rPr>
        <w:t>。担负着辖区1</w:t>
      </w:r>
      <w:r>
        <w:rPr>
          <w:rFonts w:hint="eastAsia" w:ascii="仿宋" w:hAnsi="仿宋" w:eastAsia="仿宋" w:cs="仿宋"/>
          <w:bCs/>
          <w:sz w:val="32"/>
          <w:szCs w:val="32"/>
          <w:lang w:val="en-US" w:eastAsia="zh-CN"/>
        </w:rPr>
        <w:t>.5</w:t>
      </w:r>
      <w:r>
        <w:rPr>
          <w:rFonts w:hint="eastAsia" w:ascii="仿宋" w:hAnsi="仿宋" w:eastAsia="仿宋" w:cs="仿宋"/>
          <w:bCs/>
          <w:sz w:val="32"/>
          <w:szCs w:val="32"/>
        </w:rPr>
        <w:t>万余人的基本医疗、基本公共卫生服务工作。</w:t>
      </w:r>
      <w:r>
        <w:rPr>
          <w:rFonts w:hint="eastAsia" w:ascii="仿宋" w:hAnsi="仿宋" w:eastAsia="仿宋" w:cs="仿宋"/>
          <w:bCs/>
          <w:sz w:val="32"/>
          <w:szCs w:val="32"/>
          <w:lang w:eastAsia="zh-CN"/>
        </w:rPr>
        <w:t>是一所集基本医疗、基本公共卫生服务为一体的综合性一级</w:t>
      </w:r>
      <w:r>
        <w:rPr>
          <w:rFonts w:hint="eastAsia" w:ascii="仿宋" w:hAnsi="仿宋" w:eastAsia="仿宋" w:cs="仿宋"/>
          <w:bCs/>
          <w:sz w:val="32"/>
          <w:szCs w:val="32"/>
          <w:lang w:val="en-US" w:eastAsia="zh-CN"/>
        </w:rPr>
        <w:t>乙</w:t>
      </w:r>
      <w:r>
        <w:rPr>
          <w:rFonts w:hint="eastAsia" w:ascii="仿宋" w:hAnsi="仿宋" w:eastAsia="仿宋" w:cs="仿宋"/>
          <w:bCs/>
          <w:sz w:val="32"/>
          <w:szCs w:val="32"/>
          <w:lang w:eastAsia="zh-CN"/>
        </w:rPr>
        <w:t>等卫生院。</w:t>
      </w:r>
      <w:r>
        <w:rPr>
          <w:rFonts w:hint="eastAsia" w:ascii="仿宋" w:hAnsi="仿宋" w:eastAsia="仿宋" w:cs="仿宋"/>
          <w:bCs/>
          <w:sz w:val="32"/>
          <w:szCs w:val="32"/>
          <w:lang w:val="en-US" w:eastAsia="zh-CN"/>
        </w:rPr>
        <w:t>2</w:t>
      </w:r>
      <w:r>
        <w:rPr>
          <w:rFonts w:hint="eastAsia" w:ascii="仿宋" w:hAnsi="仿宋" w:eastAsia="仿宋" w:cs="仿宋"/>
          <w:bCs/>
          <w:sz w:val="32"/>
          <w:szCs w:val="32"/>
        </w:rPr>
        <w:t>01</w:t>
      </w:r>
      <w:r>
        <w:rPr>
          <w:rFonts w:hint="eastAsia" w:ascii="仿宋" w:hAnsi="仿宋" w:eastAsia="仿宋" w:cs="仿宋"/>
          <w:bCs/>
          <w:sz w:val="32"/>
          <w:szCs w:val="32"/>
          <w:lang w:val="en-US" w:eastAsia="zh-CN"/>
        </w:rPr>
        <w:t>9</w:t>
      </w:r>
      <w:r>
        <w:rPr>
          <w:rFonts w:hint="eastAsia" w:ascii="仿宋" w:hAnsi="仿宋" w:eastAsia="仿宋" w:cs="仿宋"/>
          <w:bCs/>
          <w:sz w:val="32"/>
          <w:szCs w:val="32"/>
        </w:rPr>
        <w:t>年度一是主要开展基本公共卫生</w:t>
      </w:r>
      <w:r>
        <w:rPr>
          <w:rFonts w:hint="eastAsia" w:ascii="仿宋" w:hAnsi="仿宋" w:eastAsia="仿宋" w:cs="仿宋"/>
          <w:bCs/>
          <w:sz w:val="32"/>
          <w:szCs w:val="32"/>
          <w:lang w:eastAsia="zh-CN"/>
        </w:rPr>
        <w:t>服务</w:t>
      </w:r>
      <w:r>
        <w:rPr>
          <w:rFonts w:hint="eastAsia" w:ascii="仿宋" w:hAnsi="仿宋" w:eastAsia="仿宋" w:cs="仿宋"/>
          <w:bCs/>
          <w:sz w:val="32"/>
          <w:szCs w:val="32"/>
        </w:rPr>
        <w:t>和</w:t>
      </w:r>
      <w:r>
        <w:rPr>
          <w:rFonts w:hint="eastAsia" w:ascii="仿宋" w:hAnsi="仿宋" w:eastAsia="仿宋" w:cs="仿宋"/>
          <w:bCs/>
          <w:sz w:val="32"/>
          <w:szCs w:val="32"/>
          <w:lang w:val="en-US" w:eastAsia="zh-CN"/>
        </w:rPr>
        <w:t>家庭医生</w:t>
      </w:r>
      <w:r>
        <w:rPr>
          <w:rFonts w:hint="eastAsia" w:ascii="仿宋" w:hAnsi="仿宋" w:eastAsia="仿宋" w:cs="仿宋"/>
          <w:bCs/>
          <w:sz w:val="32"/>
          <w:szCs w:val="32"/>
        </w:rPr>
        <w:t>签约服务工作；二是狠抓医疗服务质量和中医药服务能力提升工作；三是狠抓党风廉政建设</w:t>
      </w:r>
      <w:r>
        <w:rPr>
          <w:rFonts w:hint="eastAsia" w:ascii="仿宋" w:hAnsi="仿宋" w:eastAsia="仿宋" w:cs="仿宋"/>
          <w:bCs/>
          <w:sz w:val="32"/>
          <w:szCs w:val="32"/>
          <w:lang w:eastAsia="zh-CN"/>
        </w:rPr>
        <w:t>和健康扶贫</w:t>
      </w:r>
      <w:r>
        <w:rPr>
          <w:rFonts w:hint="eastAsia" w:ascii="仿宋" w:hAnsi="仿宋" w:eastAsia="仿宋" w:cs="仿宋"/>
          <w:bCs/>
          <w:sz w:val="32"/>
          <w:szCs w:val="32"/>
        </w:rPr>
        <w:t>工作。四是着力打造与宣汉县</w:t>
      </w:r>
      <w:r>
        <w:rPr>
          <w:rFonts w:hint="eastAsia" w:ascii="仿宋" w:hAnsi="仿宋" w:eastAsia="仿宋" w:cs="仿宋"/>
          <w:bCs/>
          <w:sz w:val="32"/>
          <w:szCs w:val="32"/>
          <w:lang w:eastAsia="zh-CN"/>
        </w:rPr>
        <w:t>中</w:t>
      </w:r>
      <w:r>
        <w:rPr>
          <w:rFonts w:hint="eastAsia" w:ascii="仿宋" w:hAnsi="仿宋" w:eastAsia="仿宋" w:cs="仿宋"/>
          <w:bCs/>
          <w:sz w:val="32"/>
          <w:szCs w:val="32"/>
        </w:rPr>
        <w:t>医院医供体提升我院内涵</w:t>
      </w:r>
      <w:r>
        <w:rPr>
          <w:rFonts w:hint="eastAsia" w:ascii="仿宋" w:hAnsi="仿宋" w:eastAsia="仿宋" w:cs="仿宋"/>
          <w:bCs/>
          <w:sz w:val="32"/>
          <w:szCs w:val="32"/>
          <w:lang w:eastAsia="zh-CN"/>
        </w:rPr>
        <w:t>和服务能力</w:t>
      </w:r>
      <w:r>
        <w:rPr>
          <w:rFonts w:hint="eastAsia" w:ascii="仿宋" w:hAnsi="仿宋" w:eastAsia="仿宋" w:cs="仿宋"/>
          <w:bCs/>
          <w:sz w:val="32"/>
          <w:szCs w:val="32"/>
        </w:rPr>
        <w:t>建设。</w:t>
      </w:r>
    </w:p>
    <w:p>
      <w:p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（三）人员概况。</w:t>
      </w:r>
    </w:p>
    <w:p>
      <w:pPr>
        <w:spacing w:line="450" w:lineRule="atLeast"/>
        <w:ind w:firstLine="755" w:firstLineChars="236"/>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eastAsia="zh-CN"/>
        </w:rPr>
        <w:t>我院</w:t>
      </w:r>
      <w:r>
        <w:rPr>
          <w:rFonts w:hint="eastAsia" w:ascii="仿宋" w:hAnsi="仿宋" w:eastAsia="仿宋" w:cs="Times New Roman"/>
          <w:kern w:val="2"/>
          <w:sz w:val="32"/>
          <w:szCs w:val="32"/>
          <w:lang w:val="en-US" w:eastAsia="zh-CN" w:bidi="ar"/>
        </w:rPr>
        <w:t>编制人数12人，2019年末在岗职工18人，其中：在编人员10人，聘用人员8人（其中聘用专业技术人员8人），退休职工4人，享受遗嘱补助人员2人。</w:t>
      </w:r>
    </w:p>
    <w:p>
      <w:pPr>
        <w:numPr>
          <w:ilvl w:val="0"/>
          <w:numId w:val="5"/>
        </w:numPr>
        <w:spacing w:line="580" w:lineRule="exact"/>
        <w:ind w:firstLine="640" w:firstLineChars="200"/>
        <w:rPr>
          <w:rFonts w:ascii="黑体" w:hAnsi="黑体" w:eastAsia="黑体" w:cs="黑体"/>
          <w:sz w:val="32"/>
          <w:szCs w:val="32"/>
        </w:rPr>
      </w:pPr>
      <w:r>
        <w:rPr>
          <w:rFonts w:ascii="黑体" w:hAnsi="黑体" w:eastAsia="黑体" w:cs="黑体"/>
          <w:sz w:val="32"/>
          <w:szCs w:val="32"/>
        </w:rPr>
        <w:t>部门财政资金收支情况</w:t>
      </w:r>
    </w:p>
    <w:p>
      <w:pPr>
        <w:numPr>
          <w:ilvl w:val="0"/>
          <w:numId w:val="0"/>
        </w:numPr>
        <w:spacing w:line="580" w:lineRule="exact"/>
        <w:ind w:firstLine="960" w:firstLineChars="300"/>
        <w:rPr>
          <w:rFonts w:hint="eastAsia" w:ascii="黑体" w:hAnsi="黑体" w:eastAsia="仿宋" w:cs="黑体"/>
          <w:sz w:val="32"/>
          <w:szCs w:val="32"/>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一</w:t>
      </w:r>
      <w:r>
        <w:rPr>
          <w:rFonts w:hint="eastAsia" w:ascii="仿宋" w:hAnsi="仿宋" w:eastAsia="仿宋" w:cs="仿宋_GB2312"/>
          <w:sz w:val="32"/>
          <w:szCs w:val="32"/>
          <w:lang w:eastAsia="zh-CN"/>
        </w:rPr>
        <w:t>）</w:t>
      </w:r>
      <w:r>
        <w:rPr>
          <w:rFonts w:ascii="仿宋" w:hAnsi="仿宋" w:eastAsia="仿宋" w:cs="仿宋_GB2312"/>
          <w:sz w:val="32"/>
          <w:szCs w:val="32"/>
        </w:rPr>
        <w:t>部门财政资金支出情况</w:t>
      </w:r>
      <w:r>
        <w:rPr>
          <w:rFonts w:hint="eastAsia" w:ascii="仿宋" w:hAnsi="仿宋" w:eastAsia="仿宋" w:cs="仿宋_GB2312"/>
          <w:sz w:val="32"/>
          <w:szCs w:val="32"/>
          <w:lang w:eastAsia="zh-CN"/>
        </w:rPr>
        <w:t>。</w:t>
      </w:r>
    </w:p>
    <w:p>
      <w:pPr>
        <w:spacing w:line="600" w:lineRule="exact"/>
        <w:ind w:firstLine="640" w:firstLineChars="200"/>
        <w:outlineLvl w:val="1"/>
        <w:rPr>
          <w:rFonts w:hint="eastAsia" w:ascii="仿宋" w:hAnsi="仿宋" w:eastAsia="仿宋" w:cs="仿宋_GB2312"/>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w:t>
      </w:r>
      <w:r>
        <w:rPr>
          <w:rFonts w:hint="eastAsia" w:ascii="仿宋" w:hAnsi="仿宋" w:eastAsia="仿宋"/>
          <w:color w:val="000000"/>
          <w:sz w:val="32"/>
          <w:szCs w:val="32"/>
          <w:lang w:val="en-US" w:eastAsia="zh-CN"/>
        </w:rPr>
        <w:t>财政</w:t>
      </w:r>
      <w:r>
        <w:rPr>
          <w:rFonts w:hint="eastAsia" w:ascii="仿宋" w:hAnsi="仿宋" w:eastAsia="仿宋"/>
          <w:color w:val="000000"/>
          <w:sz w:val="32"/>
          <w:szCs w:val="32"/>
        </w:rPr>
        <w:t>收入合计</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numPr>
          <w:ilvl w:val="0"/>
          <w:numId w:val="0"/>
        </w:numPr>
        <w:spacing w:line="580" w:lineRule="exact"/>
        <w:ind w:leftChars="236"/>
        <w:rPr>
          <w:rFonts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ascii="仿宋" w:hAnsi="仿宋" w:eastAsia="仿宋" w:cs="仿宋_GB2312"/>
          <w:sz w:val="32"/>
          <w:szCs w:val="32"/>
        </w:rPr>
        <w:t>部门财政资金支出情况。</w:t>
      </w:r>
    </w:p>
    <w:p>
      <w:pPr>
        <w:spacing w:line="600" w:lineRule="exact"/>
        <w:ind w:firstLine="640"/>
        <w:rPr>
          <w:rFonts w:hint="eastAsia" w:ascii="仿宋" w:hAnsi="仿宋" w:eastAsia="仿宋"/>
          <w:color w:val="000000"/>
          <w:sz w:val="32"/>
          <w:szCs w:val="32"/>
          <w:shd w:val="pct10" w:color="auto" w:fill="FFFFFF"/>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w:t>
      </w:r>
      <w:r>
        <w:rPr>
          <w:rFonts w:hint="eastAsia" w:ascii="仿宋" w:hAnsi="仿宋" w:eastAsia="仿宋"/>
          <w:color w:val="000000"/>
          <w:sz w:val="32"/>
          <w:szCs w:val="32"/>
          <w:lang w:val="en-US" w:eastAsia="zh-CN"/>
        </w:rPr>
        <w:t>财政</w:t>
      </w:r>
      <w:r>
        <w:rPr>
          <w:rFonts w:hint="eastAsia" w:ascii="仿宋" w:hAnsi="仿宋" w:eastAsia="仿宋"/>
          <w:color w:val="000000"/>
          <w:sz w:val="32"/>
          <w:szCs w:val="32"/>
        </w:rPr>
        <w:t>支出合计</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按预算管理要求制定了</w:t>
      </w:r>
      <w:r>
        <w:rPr>
          <w:rFonts w:hint="eastAsia" w:ascii="仿宋_GB2312" w:eastAsia="仿宋_GB2312"/>
          <w:color w:val="000000"/>
          <w:sz w:val="32"/>
          <w:szCs w:val="32"/>
          <w:lang w:val="en-US" w:eastAsia="zh-CN"/>
        </w:rPr>
        <w:t>2019年</w:t>
      </w:r>
      <w:r>
        <w:rPr>
          <w:rFonts w:hint="eastAsia" w:ascii="仿宋_GB2312" w:eastAsia="仿宋_GB2312"/>
          <w:color w:val="000000"/>
          <w:sz w:val="32"/>
          <w:szCs w:val="32"/>
          <w:lang w:eastAsia="zh-CN"/>
        </w:rPr>
        <w:t>预算绩效目标，准确编制年度预算，加强了预算支出控制，预算</w:t>
      </w:r>
      <w:r>
        <w:rPr>
          <w:rFonts w:hint="eastAsia" w:ascii="仿宋_GB2312" w:eastAsia="仿宋_GB2312"/>
          <w:color w:val="000000"/>
          <w:sz w:val="32"/>
          <w:szCs w:val="32"/>
        </w:rPr>
        <w:t>绩效目标动态</w:t>
      </w:r>
      <w:r>
        <w:rPr>
          <w:rFonts w:hint="eastAsia" w:ascii="仿宋_GB2312" w:eastAsia="仿宋_GB2312"/>
          <w:color w:val="000000"/>
          <w:sz w:val="32"/>
          <w:szCs w:val="32"/>
          <w:lang w:eastAsia="zh-CN"/>
        </w:rPr>
        <w:t>调整，严格按照年初预算执行预算支出，</w:t>
      </w:r>
      <w:r>
        <w:rPr>
          <w:rFonts w:hint="eastAsia" w:ascii="仿宋_GB2312" w:eastAsia="仿宋_GB2312"/>
          <w:color w:val="000000"/>
          <w:sz w:val="32"/>
          <w:szCs w:val="32"/>
          <w:lang w:val="en-US" w:eastAsia="zh-CN"/>
        </w:rPr>
        <w:t>2019年预算基本支出</w:t>
      </w:r>
      <w:r>
        <w:rPr>
          <w:rFonts w:hint="eastAsia" w:ascii="仿宋" w:hAnsi="仿宋" w:eastAsia="仿宋"/>
          <w:color w:val="000000"/>
          <w:sz w:val="32"/>
          <w:szCs w:val="32"/>
          <w:lang w:val="en-US" w:eastAsia="zh-CN"/>
        </w:rPr>
        <w:t>108.6</w:t>
      </w:r>
      <w:r>
        <w:rPr>
          <w:rFonts w:hint="eastAsia" w:ascii="仿宋_GB2312" w:eastAsia="仿宋_GB2312"/>
          <w:color w:val="000000"/>
          <w:sz w:val="32"/>
          <w:szCs w:val="32"/>
          <w:lang w:val="en-US" w:eastAsia="zh-CN"/>
        </w:rPr>
        <w:t>万元，2019年实际完成预算基本支出</w:t>
      </w:r>
      <w:r>
        <w:rPr>
          <w:rFonts w:hint="eastAsia" w:ascii="仿宋" w:hAnsi="仿宋" w:eastAsia="仿宋"/>
          <w:color w:val="000000"/>
          <w:sz w:val="32"/>
          <w:szCs w:val="32"/>
          <w:lang w:val="en-US" w:eastAsia="zh-CN"/>
        </w:rPr>
        <w:t>108.6</w:t>
      </w:r>
      <w:r>
        <w:rPr>
          <w:rFonts w:hint="eastAsia" w:ascii="仿宋_GB2312" w:eastAsia="仿宋_GB2312"/>
          <w:color w:val="000000"/>
          <w:sz w:val="32"/>
          <w:szCs w:val="32"/>
          <w:lang w:val="en-US" w:eastAsia="zh-CN"/>
        </w:rPr>
        <w:t>万元，无违规使用记录。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_GB2312"/>
          <w:sz w:val="32"/>
          <w:szCs w:val="32"/>
          <w:lang w:eastAsia="zh-CN"/>
        </w:rPr>
        <w:t>本年度专项预算重大公共卫生专项</w:t>
      </w:r>
      <w:r>
        <w:rPr>
          <w:rFonts w:hint="eastAsia" w:ascii="仿宋" w:hAnsi="仿宋" w:eastAsia="仿宋" w:cs="仿宋_GB2312"/>
          <w:sz w:val="32"/>
          <w:szCs w:val="32"/>
          <w:lang w:val="en-US" w:eastAsia="zh-CN"/>
        </w:rPr>
        <w:t>0万元，严格按照项目资金使用范围，项目实施流程完成项目建设。重大公共卫生项目：</w:t>
      </w:r>
      <w:r>
        <w:rPr>
          <w:rFonts w:hint="eastAsia" w:ascii="仿宋" w:hAnsi="仿宋" w:eastAsia="仿宋" w:cs="仿宋"/>
          <w:color w:val="000000"/>
          <w:sz w:val="32"/>
          <w:szCs w:val="32"/>
          <w:lang w:eastAsia="zh-CN"/>
        </w:rPr>
        <w:t>培训临床医护人员</w:t>
      </w:r>
      <w:r>
        <w:rPr>
          <w:rFonts w:hint="eastAsia" w:ascii="仿宋" w:hAnsi="仿宋" w:eastAsia="仿宋" w:cs="仿宋"/>
          <w:color w:val="000000"/>
          <w:sz w:val="32"/>
          <w:szCs w:val="32"/>
          <w:lang w:val="en-US" w:eastAsia="zh-CN"/>
        </w:rPr>
        <w:t>0人，规范理疗室0平方米，医疗设备、购置理疗床、病床0张，使用重大公共卫生专项资金0万元。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本年度部门通过整体支出绩效评价质量、绩效目标自评公开，规范了预算管理，提高了资金使用效率，保障单位人员经费、单位运转等基本支出，项目支出规范运行。</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通过整体支出绩效评价，规范了预算管理，严格按照财经法规和制度使用、管理资金，提高了资金使用效率。</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（二）</w:t>
      </w:r>
      <w:r>
        <w:rPr>
          <w:rFonts w:ascii="仿宋" w:hAnsi="仿宋" w:eastAsia="仿宋" w:cs="仿宋_GB2312"/>
          <w:sz w:val="32"/>
          <w:szCs w:val="32"/>
        </w:rPr>
        <w:t>存在问题。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一是执行中期评估不力，二是绩效目标动态监控不到位，三是内部控制制度有待于进一步完善，四是</w:t>
      </w:r>
      <w:r>
        <w:rPr>
          <w:rFonts w:hint="eastAsia" w:ascii="仿宋_GB2312" w:hAnsi="仿宋_GB2312" w:eastAsia="仿宋_GB2312" w:cs="仿宋_GB2312"/>
          <w:color w:val="000000"/>
          <w:sz w:val="32"/>
          <w:szCs w:val="32"/>
        </w:rPr>
        <w:t>评价结果应用不到位,五是履职成效不高，没有达到规范的效果</w:t>
      </w:r>
      <w:r>
        <w:rPr>
          <w:rFonts w:hint="eastAsia" w:ascii="仿宋_GB2312" w:eastAsia="仿宋_GB2312"/>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一是认真抓好中期评估执行力度，认真执行中期评估，二是实行绩效目标动态监控，完善绩效目标动态监控制度，三是进一步健全完善内部控制制度，并强化内部控制制度执行力度，四是充分运用绩效评价结果进行质量监督，根据绩效评估结果提出整改意见并落到实处，五是各职能科室履职尽责，</w:t>
      </w:r>
      <w:r>
        <w:rPr>
          <w:rFonts w:hint="eastAsia" w:ascii="仿宋_GB2312" w:hAnsi="仿宋_GB2312" w:eastAsia="仿宋_GB2312" w:cs="仿宋_GB2312"/>
          <w:color w:val="000000"/>
          <w:sz w:val="32"/>
          <w:szCs w:val="32"/>
        </w:rPr>
        <w:t>对存在不合理的、需要改进提高的工作方法、管理措施、监督力度，进行进一步提升和规范，</w:t>
      </w:r>
      <w:r>
        <w:rPr>
          <w:rFonts w:hint="eastAsia" w:ascii="仿宋_GB2312" w:eastAsia="仿宋_GB2312"/>
          <w:color w:val="000000"/>
          <w:sz w:val="32"/>
          <w:szCs w:val="32"/>
        </w:rPr>
        <w:t>确保整体支出绩效评价做出实效</w:t>
      </w:r>
      <w:r>
        <w:rPr>
          <w:rFonts w:hint="eastAsia" w:ascii="仿宋_GB2312" w:eastAsia="仿宋_GB2312"/>
          <w:color w:val="000000"/>
          <w:sz w:val="32"/>
          <w:szCs w:val="32"/>
          <w:lang w:eastAsia="zh-CN"/>
        </w:rPr>
        <w:t>。</w:t>
      </w:r>
      <w:bookmarkStart w:id="59" w:name="_Toc15396617"/>
    </w:p>
    <w:p>
      <w:pPr>
        <w:spacing w:line="580" w:lineRule="exact"/>
        <w:ind w:firstLine="640" w:firstLineChars="200"/>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宣汉县</w:t>
      </w:r>
      <w:r>
        <w:rPr>
          <w:rFonts w:hint="eastAsia" w:ascii="黑体" w:hAnsi="黑体" w:eastAsia="黑体" w:cs="方正小标宋简体"/>
          <w:sz w:val="44"/>
          <w:szCs w:val="44"/>
          <w:lang w:val="en-US" w:eastAsia="zh-CN"/>
        </w:rPr>
        <w:t>隘口乡</w:t>
      </w:r>
      <w:r>
        <w:rPr>
          <w:rFonts w:hint="eastAsia" w:ascii="黑体" w:hAnsi="黑体" w:eastAsia="黑体" w:cs="方正小标宋简体"/>
          <w:sz w:val="44"/>
          <w:szCs w:val="44"/>
          <w:lang w:eastAsia="zh-CN"/>
        </w:rPr>
        <w:t>卫生院</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w:t>
      </w:r>
    </w:p>
    <w:p>
      <w:pPr>
        <w:spacing w:line="580" w:lineRule="exact"/>
        <w:ind w:firstLine="640" w:firstLineChars="200"/>
        <w:rPr>
          <w:rFonts w:hint="eastAsia" w:ascii="仿宋" w:hAnsi="仿宋"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lang w:val="en-US" w:eastAsia="zh-CN"/>
        </w:rPr>
        <w:t>0万元，共0</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jc w:val="center"/>
        <w:rPr>
          <w:rFonts w:hint="eastAsia"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9</w:t>
      </w:r>
      <w:r>
        <w:rPr>
          <w:rFonts w:hint="eastAsia" w:ascii="黑体" w:hAnsi="黑体" w:eastAsia="黑体"/>
          <w:color w:val="000000"/>
          <w:sz w:val="32"/>
          <w:szCs w:val="32"/>
        </w:rPr>
        <w:t>年部门</w:t>
      </w:r>
      <w:r>
        <w:rPr>
          <w:rFonts w:hint="eastAsia" w:ascii="黑体" w:hAnsi="黑体" w:eastAsia="黑体"/>
          <w:color w:val="000000"/>
          <w:sz w:val="32"/>
          <w:szCs w:val="32"/>
          <w:lang w:eastAsia="zh-CN"/>
        </w:rPr>
        <w:t>项目</w:t>
      </w:r>
      <w:r>
        <w:rPr>
          <w:rFonts w:hint="eastAsia" w:ascii="黑体" w:hAnsi="黑体" w:eastAsia="黑体"/>
          <w:color w:val="000000"/>
          <w:sz w:val="32"/>
          <w:szCs w:val="32"/>
        </w:rPr>
        <w:t>支出绩效评价得分表</w:t>
      </w:r>
    </w:p>
    <w:tbl>
      <w:tblPr>
        <w:tblStyle w:val="12"/>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eastAsia="永中黑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永中黑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永中黑体" w:cs="宋体"/>
                <w:color w:val="000000"/>
                <w:kern w:val="0"/>
                <w:sz w:val="20"/>
                <w:szCs w:val="20"/>
              </w:rPr>
            </w:pPr>
            <w:r>
              <w:rPr>
                <w:rFonts w:hint="eastAsia" w:ascii="宋体" w:hAnsi="宋体" w:cs="宋体"/>
                <w:color w:val="000000"/>
                <w:kern w:val="0"/>
                <w:sz w:val="20"/>
                <w:szCs w:val="20"/>
              </w:rPr>
              <w:t>4</w:t>
            </w:r>
          </w:p>
        </w:tc>
      </w:tr>
    </w:tbl>
    <w:p>
      <w:pPr>
        <w:spacing w:line="580" w:lineRule="exact"/>
        <w:ind w:firstLine="320" w:firstLineChars="1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本单位</w:t>
      </w:r>
      <w:r>
        <w:rPr>
          <w:rFonts w:hint="eastAsia" w:ascii="仿宋" w:hAnsi="仿宋" w:eastAsia="仿宋" w:cs="仿宋_GB2312"/>
          <w:sz w:val="32"/>
          <w:szCs w:val="32"/>
          <w:lang w:val="en-US" w:eastAsia="zh-CN"/>
        </w:rPr>
        <w:t>2018年项目是为了满足人民群众日益增长的医疗服务需求，对于进一步提升单位的服务能力，履行基本医疗、基本公共卫生服务两大服务功能，提供了人才、设备保障。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fill="FFFFFF"/>
          <w:lang w:eastAsia="zh-CN"/>
        </w:rPr>
        <w:t>本单位</w:t>
      </w:r>
      <w:r>
        <w:rPr>
          <w:rFonts w:hint="eastAsia" w:ascii="仿宋" w:hAnsi="仿宋" w:eastAsia="仿宋" w:cs="仿宋"/>
          <w:i w:val="0"/>
          <w:caps w:val="0"/>
          <w:color w:val="000000"/>
          <w:spacing w:val="0"/>
          <w:sz w:val="32"/>
          <w:szCs w:val="32"/>
          <w:shd w:val="clear" w:fill="FFFFFF"/>
        </w:rPr>
        <w:t>项目采取项目工作领导小组负责制，全体成员积极配合、通力合作。项目工作领导小组负责协调相关工作</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项目实施及资金管理。</w:t>
      </w:r>
      <w:r>
        <w:rPr>
          <w:rFonts w:hint="eastAsia" w:ascii="仿宋" w:hAnsi="仿宋" w:eastAsia="仿宋" w:cs="仿宋"/>
          <w:i w:val="0"/>
          <w:caps w:val="0"/>
          <w:color w:val="000000"/>
          <w:spacing w:val="0"/>
          <w:sz w:val="32"/>
          <w:szCs w:val="32"/>
          <w:shd w:val="clear" w:fill="FFFFFF"/>
          <w:lang w:eastAsia="zh-CN"/>
        </w:rPr>
        <w:t>严格按照项目下达资金额度、资金使用范围实施，本年度项目预算资金</w:t>
      </w:r>
      <w:r>
        <w:rPr>
          <w:rFonts w:hint="eastAsia" w:ascii="仿宋" w:hAnsi="仿宋" w:eastAsia="仿宋" w:cs="仿宋"/>
          <w:i w:val="0"/>
          <w:caps w:val="0"/>
          <w:color w:val="000000"/>
          <w:spacing w:val="0"/>
          <w:sz w:val="32"/>
          <w:szCs w:val="32"/>
          <w:shd w:val="clear" w:fill="FFFFFF"/>
          <w:lang w:val="en-US" w:eastAsia="zh-CN"/>
        </w:rPr>
        <w:t>0万元，完成项目支出0万元，完成预算数100%。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重大公共卫生项目：无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一是执行中期评估</w:t>
      </w:r>
      <w:r>
        <w:rPr>
          <w:rFonts w:hint="eastAsia" w:ascii="仿宋_GB2312" w:eastAsia="仿宋_GB2312"/>
          <w:color w:val="000000"/>
          <w:sz w:val="32"/>
          <w:szCs w:val="32"/>
          <w:lang w:eastAsia="zh-CN"/>
        </w:rPr>
        <w:t>、</w:t>
      </w:r>
      <w:r>
        <w:rPr>
          <w:rFonts w:hint="eastAsia" w:ascii="仿宋_GB2312" w:eastAsia="仿宋_GB2312"/>
          <w:color w:val="000000"/>
          <w:sz w:val="32"/>
          <w:szCs w:val="32"/>
        </w:rPr>
        <w:t>绩效目标动态监控</w:t>
      </w:r>
      <w:r>
        <w:rPr>
          <w:rFonts w:hint="eastAsia" w:ascii="仿宋_GB2312" w:eastAsia="仿宋_GB2312"/>
          <w:color w:val="000000"/>
          <w:sz w:val="32"/>
          <w:szCs w:val="32"/>
          <w:lang w:eastAsia="zh-CN"/>
        </w:rPr>
        <w:t>有待于加强</w:t>
      </w:r>
      <w:r>
        <w:rPr>
          <w:rFonts w:hint="eastAsia" w:ascii="仿宋_GB2312" w:eastAsia="仿宋_GB2312"/>
          <w:color w:val="000000"/>
          <w:sz w:val="32"/>
          <w:szCs w:val="32"/>
        </w:rPr>
        <w:t>，</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是内部控制制度有待于进一步完善，</w:t>
      </w:r>
      <w:r>
        <w:rPr>
          <w:rFonts w:hint="eastAsia" w:ascii="仿宋_GB2312" w:eastAsia="仿宋_GB2312"/>
          <w:color w:val="000000"/>
          <w:sz w:val="32"/>
          <w:szCs w:val="32"/>
          <w:lang w:eastAsia="zh-CN"/>
        </w:rPr>
        <w:t>三</w:t>
      </w:r>
      <w:r>
        <w:rPr>
          <w:rFonts w:hint="eastAsia" w:ascii="仿宋_GB2312" w:eastAsia="仿宋_GB2312"/>
          <w:color w:val="000000"/>
          <w:sz w:val="32"/>
          <w:szCs w:val="32"/>
        </w:rPr>
        <w:t>是</w:t>
      </w:r>
      <w:r>
        <w:rPr>
          <w:rFonts w:hint="eastAsia" w:ascii="仿宋_GB2312" w:hAnsi="仿宋_GB2312" w:eastAsia="仿宋_GB2312" w:cs="仿宋_GB2312"/>
          <w:color w:val="000000"/>
          <w:sz w:val="32"/>
          <w:szCs w:val="32"/>
        </w:rPr>
        <w:t>评价结果应用没有达到规范的效果</w:t>
      </w:r>
      <w:r>
        <w:rPr>
          <w:rFonts w:hint="eastAsia" w:ascii="仿宋_GB2312" w:eastAsia="仿宋_GB2312"/>
          <w:color w:val="000000"/>
          <w:sz w:val="32"/>
          <w:szCs w:val="32"/>
        </w:rPr>
        <w:t>。</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autoSpaceDE w:val="0"/>
        <w:autoSpaceDN w:val="0"/>
        <w:adjustRightInd w:val="0"/>
        <w:spacing w:line="600" w:lineRule="exact"/>
        <w:ind w:firstLine="640" w:firstLineChars="200"/>
        <w:jc w:val="left"/>
        <w:rPr>
          <w:rFonts w:hint="eastAsia" w:ascii="仿宋_GB2312" w:eastAsia="仿宋_GB2312"/>
          <w:b/>
          <w:color w:val="000000"/>
          <w:sz w:val="32"/>
          <w:szCs w:val="32"/>
        </w:rPr>
      </w:pPr>
      <w:bookmarkStart w:id="60" w:name="_Toc15396618"/>
      <w:r>
        <w:rPr>
          <w:rFonts w:hint="eastAsia" w:ascii="仿宋_GB2312" w:eastAsia="仿宋_GB2312"/>
          <w:color w:val="000000"/>
          <w:sz w:val="32"/>
          <w:szCs w:val="32"/>
          <w:lang w:eastAsia="zh-CN"/>
        </w:rPr>
        <w:t>一是</w:t>
      </w:r>
      <w:r>
        <w:rPr>
          <w:rFonts w:hint="eastAsia" w:ascii="仿宋_GB2312" w:eastAsia="仿宋_GB2312"/>
          <w:color w:val="000000"/>
          <w:sz w:val="32"/>
          <w:szCs w:val="32"/>
        </w:rPr>
        <w:t>完善绩效目标动态监控制度，</w:t>
      </w:r>
      <w:r>
        <w:rPr>
          <w:rFonts w:hint="eastAsia" w:ascii="仿宋_GB2312" w:eastAsia="仿宋_GB2312"/>
          <w:color w:val="000000"/>
          <w:sz w:val="32"/>
          <w:szCs w:val="32"/>
          <w:lang w:eastAsia="zh-CN"/>
        </w:rPr>
        <w:t>加强</w:t>
      </w:r>
      <w:r>
        <w:rPr>
          <w:rFonts w:hint="eastAsia" w:ascii="仿宋_GB2312" w:eastAsia="仿宋_GB2312"/>
          <w:color w:val="000000"/>
          <w:sz w:val="32"/>
          <w:szCs w:val="32"/>
        </w:rPr>
        <w:t>中期评估执行力度</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是进一步健全完善内部控制制度</w:t>
      </w:r>
      <w:r>
        <w:rPr>
          <w:rFonts w:hint="eastAsia" w:ascii="仿宋_GB2312" w:eastAsia="仿宋_GB2312"/>
          <w:color w:val="000000"/>
          <w:sz w:val="32"/>
          <w:szCs w:val="32"/>
          <w:lang w:eastAsia="zh-CN"/>
        </w:rPr>
        <w:t>并落到实处。三</w:t>
      </w:r>
      <w:r>
        <w:rPr>
          <w:rFonts w:hint="eastAsia" w:ascii="仿宋_GB2312" w:eastAsia="仿宋_GB2312"/>
          <w:color w:val="000000"/>
          <w:sz w:val="32"/>
          <w:szCs w:val="32"/>
        </w:rPr>
        <w:t>是充分运用绩效评价结果进行质量监督，根据绩效评估结果提出整改意见并落到实处，</w:t>
      </w:r>
      <w:r>
        <w:rPr>
          <w:rFonts w:hint="eastAsia" w:ascii="仿宋_GB2312" w:hAnsi="仿宋_GB2312" w:eastAsia="仿宋_GB2312" w:cs="仿宋_GB2312"/>
          <w:color w:val="000000"/>
          <w:sz w:val="32"/>
          <w:szCs w:val="32"/>
        </w:rPr>
        <w:t>对存在不合理的、改进提高的工作方法、管理措施、监督力度，</w:t>
      </w:r>
      <w:r>
        <w:rPr>
          <w:rFonts w:hint="eastAsia" w:ascii="仿宋_GB2312" w:eastAsia="仿宋_GB2312"/>
          <w:color w:val="000000"/>
          <w:sz w:val="32"/>
          <w:szCs w:val="32"/>
        </w:rPr>
        <w:t>确保</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支出绩效评价做出实效。</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永中黑体">
    <w:altName w:val="方正黑体_GBK"/>
    <w:panose1 w:val="02010600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C3927"/>
    <w:multiLevelType w:val="singleLevel"/>
    <w:tmpl w:val="DF9C3927"/>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65A8F8E5"/>
    <w:multiLevelType w:val="singleLevel"/>
    <w:tmpl w:val="65A8F8E5"/>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3F23"/>
    <w:rsid w:val="00B77EA6"/>
    <w:rsid w:val="00B81598"/>
    <w:rsid w:val="00B841F1"/>
    <w:rsid w:val="00B944D6"/>
    <w:rsid w:val="00BB4DF0"/>
    <w:rsid w:val="00BC289F"/>
    <w:rsid w:val="00BC5361"/>
    <w:rsid w:val="00BC5460"/>
    <w:rsid w:val="00BC6B50"/>
    <w:rsid w:val="00BD0E25"/>
    <w:rsid w:val="00BD309D"/>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915AE"/>
    <w:rsid w:val="01290649"/>
    <w:rsid w:val="01E83EAA"/>
    <w:rsid w:val="023962D4"/>
    <w:rsid w:val="02686310"/>
    <w:rsid w:val="029A0858"/>
    <w:rsid w:val="02EE07DC"/>
    <w:rsid w:val="034E38AB"/>
    <w:rsid w:val="040831F8"/>
    <w:rsid w:val="052E78A4"/>
    <w:rsid w:val="05663DB1"/>
    <w:rsid w:val="05EF3E90"/>
    <w:rsid w:val="062F0AEC"/>
    <w:rsid w:val="063F27D8"/>
    <w:rsid w:val="06506D14"/>
    <w:rsid w:val="067B3EEC"/>
    <w:rsid w:val="06A3623C"/>
    <w:rsid w:val="06B24B78"/>
    <w:rsid w:val="06F30AEA"/>
    <w:rsid w:val="073361BD"/>
    <w:rsid w:val="076B62E2"/>
    <w:rsid w:val="077B5FD1"/>
    <w:rsid w:val="079846F6"/>
    <w:rsid w:val="0815576B"/>
    <w:rsid w:val="0826550E"/>
    <w:rsid w:val="08414E17"/>
    <w:rsid w:val="08D47C03"/>
    <w:rsid w:val="08E86B85"/>
    <w:rsid w:val="091F7FC8"/>
    <w:rsid w:val="092B290F"/>
    <w:rsid w:val="098441A9"/>
    <w:rsid w:val="09BD5018"/>
    <w:rsid w:val="0A1A05CD"/>
    <w:rsid w:val="0AC1426D"/>
    <w:rsid w:val="0AF4154F"/>
    <w:rsid w:val="0AFA1B82"/>
    <w:rsid w:val="0AFE09A2"/>
    <w:rsid w:val="0B69522F"/>
    <w:rsid w:val="0B8724D5"/>
    <w:rsid w:val="0B924D79"/>
    <w:rsid w:val="0B9E09C1"/>
    <w:rsid w:val="0BC5096B"/>
    <w:rsid w:val="0BF567AC"/>
    <w:rsid w:val="0C7107FA"/>
    <w:rsid w:val="0C9074D2"/>
    <w:rsid w:val="0C9B680C"/>
    <w:rsid w:val="0CB20CF9"/>
    <w:rsid w:val="0D0224D1"/>
    <w:rsid w:val="0D3D198C"/>
    <w:rsid w:val="0DA0396B"/>
    <w:rsid w:val="0DC3586E"/>
    <w:rsid w:val="0E4402CD"/>
    <w:rsid w:val="0E690869"/>
    <w:rsid w:val="0E6D6401"/>
    <w:rsid w:val="0EA2743F"/>
    <w:rsid w:val="0EF9143E"/>
    <w:rsid w:val="0F08693B"/>
    <w:rsid w:val="0FF640A3"/>
    <w:rsid w:val="100E2E95"/>
    <w:rsid w:val="101A1502"/>
    <w:rsid w:val="10451DEA"/>
    <w:rsid w:val="104B67F9"/>
    <w:rsid w:val="10C055FF"/>
    <w:rsid w:val="11850C4A"/>
    <w:rsid w:val="12341280"/>
    <w:rsid w:val="12C835C2"/>
    <w:rsid w:val="13A17BE5"/>
    <w:rsid w:val="13AF625C"/>
    <w:rsid w:val="14197149"/>
    <w:rsid w:val="14FC60CB"/>
    <w:rsid w:val="153B259A"/>
    <w:rsid w:val="156F443A"/>
    <w:rsid w:val="15AE2657"/>
    <w:rsid w:val="16143185"/>
    <w:rsid w:val="163C2DE0"/>
    <w:rsid w:val="16BB723D"/>
    <w:rsid w:val="16E33E47"/>
    <w:rsid w:val="173F0980"/>
    <w:rsid w:val="178868ED"/>
    <w:rsid w:val="17894C08"/>
    <w:rsid w:val="17DA5E80"/>
    <w:rsid w:val="17F5569F"/>
    <w:rsid w:val="18005BB8"/>
    <w:rsid w:val="185E500A"/>
    <w:rsid w:val="18F1401F"/>
    <w:rsid w:val="19106926"/>
    <w:rsid w:val="19E5686F"/>
    <w:rsid w:val="19FE0B28"/>
    <w:rsid w:val="1A9140C8"/>
    <w:rsid w:val="1B90760A"/>
    <w:rsid w:val="1BDA5151"/>
    <w:rsid w:val="1BF61C44"/>
    <w:rsid w:val="1C0F464C"/>
    <w:rsid w:val="1C58568F"/>
    <w:rsid w:val="1D186223"/>
    <w:rsid w:val="1D225CF7"/>
    <w:rsid w:val="1D512370"/>
    <w:rsid w:val="1D78443D"/>
    <w:rsid w:val="1E28286E"/>
    <w:rsid w:val="1EBC16FE"/>
    <w:rsid w:val="1EF61774"/>
    <w:rsid w:val="1F0B27FF"/>
    <w:rsid w:val="1F310EE3"/>
    <w:rsid w:val="1F784643"/>
    <w:rsid w:val="1FCF44F3"/>
    <w:rsid w:val="2096032B"/>
    <w:rsid w:val="21890957"/>
    <w:rsid w:val="224D24F1"/>
    <w:rsid w:val="22A858A2"/>
    <w:rsid w:val="22C34244"/>
    <w:rsid w:val="22DF6E52"/>
    <w:rsid w:val="22EB2121"/>
    <w:rsid w:val="23560D4B"/>
    <w:rsid w:val="240371BF"/>
    <w:rsid w:val="24C03088"/>
    <w:rsid w:val="25334758"/>
    <w:rsid w:val="258257AD"/>
    <w:rsid w:val="25A87834"/>
    <w:rsid w:val="25AF10C6"/>
    <w:rsid w:val="25B67CEF"/>
    <w:rsid w:val="25B72313"/>
    <w:rsid w:val="25CD1837"/>
    <w:rsid w:val="25E7043B"/>
    <w:rsid w:val="26952512"/>
    <w:rsid w:val="26DF734A"/>
    <w:rsid w:val="27281047"/>
    <w:rsid w:val="27522CE7"/>
    <w:rsid w:val="280A5656"/>
    <w:rsid w:val="281158FB"/>
    <w:rsid w:val="28366939"/>
    <w:rsid w:val="28EE49E1"/>
    <w:rsid w:val="29353A58"/>
    <w:rsid w:val="29AF139A"/>
    <w:rsid w:val="29B37C22"/>
    <w:rsid w:val="29BB6D46"/>
    <w:rsid w:val="29DA59CF"/>
    <w:rsid w:val="29DA5E69"/>
    <w:rsid w:val="29FD04D3"/>
    <w:rsid w:val="2A2F488C"/>
    <w:rsid w:val="2AE50647"/>
    <w:rsid w:val="2B0E2BF0"/>
    <w:rsid w:val="2B683DD0"/>
    <w:rsid w:val="2B774476"/>
    <w:rsid w:val="2B8E1CFD"/>
    <w:rsid w:val="2C3C2C18"/>
    <w:rsid w:val="2C631647"/>
    <w:rsid w:val="2CBC2227"/>
    <w:rsid w:val="2D14676D"/>
    <w:rsid w:val="2D351479"/>
    <w:rsid w:val="2D740C52"/>
    <w:rsid w:val="2D831519"/>
    <w:rsid w:val="2D861A38"/>
    <w:rsid w:val="2DAF724C"/>
    <w:rsid w:val="2DB55D93"/>
    <w:rsid w:val="2E771889"/>
    <w:rsid w:val="2EB345BC"/>
    <w:rsid w:val="2F1F1732"/>
    <w:rsid w:val="2F1F7D03"/>
    <w:rsid w:val="30140A7A"/>
    <w:rsid w:val="30966983"/>
    <w:rsid w:val="31110346"/>
    <w:rsid w:val="31650E11"/>
    <w:rsid w:val="316F20D5"/>
    <w:rsid w:val="319F7F4E"/>
    <w:rsid w:val="31BF4E3E"/>
    <w:rsid w:val="322131F2"/>
    <w:rsid w:val="32217809"/>
    <w:rsid w:val="322F666E"/>
    <w:rsid w:val="33431101"/>
    <w:rsid w:val="334E3A7E"/>
    <w:rsid w:val="33E65C22"/>
    <w:rsid w:val="34935B37"/>
    <w:rsid w:val="35252D81"/>
    <w:rsid w:val="353A082F"/>
    <w:rsid w:val="35670D23"/>
    <w:rsid w:val="35881A67"/>
    <w:rsid w:val="358B001A"/>
    <w:rsid w:val="35DD13F7"/>
    <w:rsid w:val="364B18CA"/>
    <w:rsid w:val="368565FD"/>
    <w:rsid w:val="36FA1A1E"/>
    <w:rsid w:val="37525257"/>
    <w:rsid w:val="37B32F1A"/>
    <w:rsid w:val="37CD5C7A"/>
    <w:rsid w:val="380D716B"/>
    <w:rsid w:val="38432AEC"/>
    <w:rsid w:val="384E36E1"/>
    <w:rsid w:val="38E4029D"/>
    <w:rsid w:val="39745AFC"/>
    <w:rsid w:val="397D0D24"/>
    <w:rsid w:val="399661AF"/>
    <w:rsid w:val="39A26EC5"/>
    <w:rsid w:val="39D31727"/>
    <w:rsid w:val="3A42783E"/>
    <w:rsid w:val="3A4F7C21"/>
    <w:rsid w:val="3A594B0C"/>
    <w:rsid w:val="3A60534E"/>
    <w:rsid w:val="3A6D1759"/>
    <w:rsid w:val="3A9F7CDA"/>
    <w:rsid w:val="3B004005"/>
    <w:rsid w:val="3B9D6850"/>
    <w:rsid w:val="3BE55432"/>
    <w:rsid w:val="3C0D4B42"/>
    <w:rsid w:val="3C1176F9"/>
    <w:rsid w:val="3C7632CA"/>
    <w:rsid w:val="3CEB44AE"/>
    <w:rsid w:val="3CEF5873"/>
    <w:rsid w:val="3CFA1ED8"/>
    <w:rsid w:val="3D126FB7"/>
    <w:rsid w:val="3D9361BF"/>
    <w:rsid w:val="3E876DC5"/>
    <w:rsid w:val="3E9D4902"/>
    <w:rsid w:val="3EE92341"/>
    <w:rsid w:val="3FEF5B49"/>
    <w:rsid w:val="404D125E"/>
    <w:rsid w:val="409C02C5"/>
    <w:rsid w:val="40BC244B"/>
    <w:rsid w:val="410C7A1B"/>
    <w:rsid w:val="41446CBD"/>
    <w:rsid w:val="4244792B"/>
    <w:rsid w:val="428B7837"/>
    <w:rsid w:val="428C14B0"/>
    <w:rsid w:val="42A12D8A"/>
    <w:rsid w:val="42FA73BC"/>
    <w:rsid w:val="435B7AD9"/>
    <w:rsid w:val="435F1166"/>
    <w:rsid w:val="4469285F"/>
    <w:rsid w:val="44BA7D91"/>
    <w:rsid w:val="45976544"/>
    <w:rsid w:val="45B37835"/>
    <w:rsid w:val="45C018A1"/>
    <w:rsid w:val="45D12C3A"/>
    <w:rsid w:val="45D3785E"/>
    <w:rsid w:val="45DB197B"/>
    <w:rsid w:val="45E878C8"/>
    <w:rsid w:val="46306AFD"/>
    <w:rsid w:val="463B3680"/>
    <w:rsid w:val="465F409F"/>
    <w:rsid w:val="46D871FD"/>
    <w:rsid w:val="46DF6D39"/>
    <w:rsid w:val="46E13200"/>
    <w:rsid w:val="471E186B"/>
    <w:rsid w:val="47BA764D"/>
    <w:rsid w:val="483844BA"/>
    <w:rsid w:val="483C1E5A"/>
    <w:rsid w:val="483F5734"/>
    <w:rsid w:val="4857467C"/>
    <w:rsid w:val="48FB01D6"/>
    <w:rsid w:val="49DE2FE3"/>
    <w:rsid w:val="4A153B57"/>
    <w:rsid w:val="4A4A1B7F"/>
    <w:rsid w:val="4A65169C"/>
    <w:rsid w:val="4A900CF8"/>
    <w:rsid w:val="4AA00F36"/>
    <w:rsid w:val="4AC753E4"/>
    <w:rsid w:val="4B513273"/>
    <w:rsid w:val="4B591E72"/>
    <w:rsid w:val="4B8700FC"/>
    <w:rsid w:val="4C09285A"/>
    <w:rsid w:val="4C1669B7"/>
    <w:rsid w:val="4C7E2B5A"/>
    <w:rsid w:val="4D137D20"/>
    <w:rsid w:val="4D4C1D33"/>
    <w:rsid w:val="4D6E50DD"/>
    <w:rsid w:val="4DCD0C5E"/>
    <w:rsid w:val="4DDD54E9"/>
    <w:rsid w:val="4E786116"/>
    <w:rsid w:val="4EA22A81"/>
    <w:rsid w:val="4ED711CD"/>
    <w:rsid w:val="4F140760"/>
    <w:rsid w:val="4F6420BB"/>
    <w:rsid w:val="4F7E4BDD"/>
    <w:rsid w:val="4FD2009C"/>
    <w:rsid w:val="50376FA3"/>
    <w:rsid w:val="50400C4C"/>
    <w:rsid w:val="51576599"/>
    <w:rsid w:val="51582AA9"/>
    <w:rsid w:val="51851078"/>
    <w:rsid w:val="51B37249"/>
    <w:rsid w:val="51DF70FD"/>
    <w:rsid w:val="52051BC6"/>
    <w:rsid w:val="52803E56"/>
    <w:rsid w:val="547271B7"/>
    <w:rsid w:val="547A008A"/>
    <w:rsid w:val="547B0334"/>
    <w:rsid w:val="548D04DF"/>
    <w:rsid w:val="54940163"/>
    <w:rsid w:val="54B333FA"/>
    <w:rsid w:val="55275535"/>
    <w:rsid w:val="55981047"/>
    <w:rsid w:val="55BE7442"/>
    <w:rsid w:val="55E339A7"/>
    <w:rsid w:val="56654E8A"/>
    <w:rsid w:val="569E41A1"/>
    <w:rsid w:val="56A4230F"/>
    <w:rsid w:val="56C052B9"/>
    <w:rsid w:val="57B67AB3"/>
    <w:rsid w:val="57D27A26"/>
    <w:rsid w:val="57F33191"/>
    <w:rsid w:val="57FC41F9"/>
    <w:rsid w:val="58395262"/>
    <w:rsid w:val="584A4877"/>
    <w:rsid w:val="585135BF"/>
    <w:rsid w:val="585260DC"/>
    <w:rsid w:val="58F32D21"/>
    <w:rsid w:val="59B22F2A"/>
    <w:rsid w:val="59FE56D6"/>
    <w:rsid w:val="5A49319D"/>
    <w:rsid w:val="5A605281"/>
    <w:rsid w:val="5A743B1C"/>
    <w:rsid w:val="5AC64888"/>
    <w:rsid w:val="5B525857"/>
    <w:rsid w:val="5B9E6976"/>
    <w:rsid w:val="5BFA6552"/>
    <w:rsid w:val="5C1E42F7"/>
    <w:rsid w:val="5C2D4F9B"/>
    <w:rsid w:val="5C9C0FA3"/>
    <w:rsid w:val="5CD824B8"/>
    <w:rsid w:val="5D776B1D"/>
    <w:rsid w:val="5DA13D9B"/>
    <w:rsid w:val="5DB116FD"/>
    <w:rsid w:val="5E0B3076"/>
    <w:rsid w:val="5E595B1C"/>
    <w:rsid w:val="5E7E1255"/>
    <w:rsid w:val="5ED520C4"/>
    <w:rsid w:val="5EF55643"/>
    <w:rsid w:val="5F0E2D45"/>
    <w:rsid w:val="5F28098E"/>
    <w:rsid w:val="5F3A6EF6"/>
    <w:rsid w:val="5F6956E8"/>
    <w:rsid w:val="5F8E2DCE"/>
    <w:rsid w:val="5F917611"/>
    <w:rsid w:val="5FC451CC"/>
    <w:rsid w:val="60D94777"/>
    <w:rsid w:val="6210107F"/>
    <w:rsid w:val="623134EA"/>
    <w:rsid w:val="62735297"/>
    <w:rsid w:val="628B5C64"/>
    <w:rsid w:val="62AD260C"/>
    <w:rsid w:val="62C2084E"/>
    <w:rsid w:val="634226DD"/>
    <w:rsid w:val="63937923"/>
    <w:rsid w:val="63D11930"/>
    <w:rsid w:val="63E531BC"/>
    <w:rsid w:val="63FE6FC3"/>
    <w:rsid w:val="64550EF4"/>
    <w:rsid w:val="64682C8A"/>
    <w:rsid w:val="665F4AB2"/>
    <w:rsid w:val="66733380"/>
    <w:rsid w:val="66816029"/>
    <w:rsid w:val="66CC6C85"/>
    <w:rsid w:val="671970FB"/>
    <w:rsid w:val="672F64EA"/>
    <w:rsid w:val="67AF14D1"/>
    <w:rsid w:val="67CC1572"/>
    <w:rsid w:val="67D44469"/>
    <w:rsid w:val="68130B04"/>
    <w:rsid w:val="684975C6"/>
    <w:rsid w:val="6864752C"/>
    <w:rsid w:val="68BC4B95"/>
    <w:rsid w:val="68C31F5C"/>
    <w:rsid w:val="68DB195B"/>
    <w:rsid w:val="68F22322"/>
    <w:rsid w:val="69002C56"/>
    <w:rsid w:val="69341750"/>
    <w:rsid w:val="695A5388"/>
    <w:rsid w:val="6A657887"/>
    <w:rsid w:val="6AA334D6"/>
    <w:rsid w:val="6AF543C8"/>
    <w:rsid w:val="6B2E6D62"/>
    <w:rsid w:val="6B4E799D"/>
    <w:rsid w:val="6B56582A"/>
    <w:rsid w:val="6BA61A9A"/>
    <w:rsid w:val="6C195EDD"/>
    <w:rsid w:val="6C54304C"/>
    <w:rsid w:val="6C5B0A1C"/>
    <w:rsid w:val="6C670EF2"/>
    <w:rsid w:val="6C765612"/>
    <w:rsid w:val="6CAA5564"/>
    <w:rsid w:val="6CD56062"/>
    <w:rsid w:val="6DAA5E7E"/>
    <w:rsid w:val="6DCB1FA9"/>
    <w:rsid w:val="6DE641DA"/>
    <w:rsid w:val="6E0560C1"/>
    <w:rsid w:val="6E650D6C"/>
    <w:rsid w:val="6EA74BAC"/>
    <w:rsid w:val="6EB547AE"/>
    <w:rsid w:val="6EED4871"/>
    <w:rsid w:val="6F362279"/>
    <w:rsid w:val="6F57517B"/>
    <w:rsid w:val="6F8E75DC"/>
    <w:rsid w:val="70560D87"/>
    <w:rsid w:val="70F26573"/>
    <w:rsid w:val="70FD2E6C"/>
    <w:rsid w:val="715D2AE5"/>
    <w:rsid w:val="717F74BD"/>
    <w:rsid w:val="71B956BF"/>
    <w:rsid w:val="71FE11EF"/>
    <w:rsid w:val="72700A27"/>
    <w:rsid w:val="728922F8"/>
    <w:rsid w:val="72A03BCB"/>
    <w:rsid w:val="72C52A6C"/>
    <w:rsid w:val="74014771"/>
    <w:rsid w:val="74125F5F"/>
    <w:rsid w:val="74164347"/>
    <w:rsid w:val="747E77D3"/>
    <w:rsid w:val="749537DC"/>
    <w:rsid w:val="74B004C4"/>
    <w:rsid w:val="74DC614F"/>
    <w:rsid w:val="74E16D20"/>
    <w:rsid w:val="75481988"/>
    <w:rsid w:val="75E70ED7"/>
    <w:rsid w:val="762274FB"/>
    <w:rsid w:val="7633242D"/>
    <w:rsid w:val="767D5C52"/>
    <w:rsid w:val="768C3C3C"/>
    <w:rsid w:val="769E0741"/>
    <w:rsid w:val="76C4522E"/>
    <w:rsid w:val="77D13C18"/>
    <w:rsid w:val="781B09A8"/>
    <w:rsid w:val="78765879"/>
    <w:rsid w:val="78774A07"/>
    <w:rsid w:val="78C731B6"/>
    <w:rsid w:val="79165914"/>
    <w:rsid w:val="79246B7A"/>
    <w:rsid w:val="79616359"/>
    <w:rsid w:val="7963744F"/>
    <w:rsid w:val="799727A9"/>
    <w:rsid w:val="79DF677F"/>
    <w:rsid w:val="7A17632B"/>
    <w:rsid w:val="7A1B21AF"/>
    <w:rsid w:val="7A1D62DA"/>
    <w:rsid w:val="7A3767E2"/>
    <w:rsid w:val="7A547005"/>
    <w:rsid w:val="7A5C1BAA"/>
    <w:rsid w:val="7A770594"/>
    <w:rsid w:val="7A7A438C"/>
    <w:rsid w:val="7A8F4ADD"/>
    <w:rsid w:val="7B0A3B7E"/>
    <w:rsid w:val="7B9A4645"/>
    <w:rsid w:val="7BCD3D67"/>
    <w:rsid w:val="7BE5395C"/>
    <w:rsid w:val="7C00187D"/>
    <w:rsid w:val="7C084752"/>
    <w:rsid w:val="7CF82765"/>
    <w:rsid w:val="7D6864E0"/>
    <w:rsid w:val="7DCA71B6"/>
    <w:rsid w:val="7E156D10"/>
    <w:rsid w:val="7E19309C"/>
    <w:rsid w:val="7E677409"/>
    <w:rsid w:val="7EA740AA"/>
    <w:rsid w:val="7EAD3CDE"/>
    <w:rsid w:val="7EFA0D31"/>
    <w:rsid w:val="7F142E4B"/>
    <w:rsid w:val="7F230FE4"/>
    <w:rsid w:val="7F24035A"/>
    <w:rsid w:val="7F9A587A"/>
    <w:rsid w:val="7FA8220F"/>
    <w:rsid w:val="7FD07A25"/>
    <w:rsid w:val="7FE16A13"/>
    <w:rsid w:val="F6E607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48915662650602"/>
          <c:y val="0.18476821192053"/>
          <c:w val="0.908602409638554"/>
          <c:h val="0.625033112582781"/>
        </c:manualLayout>
      </c:layout>
      <c:barChart>
        <c:barDir val="col"/>
        <c:grouping val="clustered"/>
        <c:varyColors val="false"/>
        <c:ser>
          <c:idx val="0"/>
          <c:order val="0"/>
          <c:tx>
            <c:strRef>
              <c:f>Sheet1!$B$1</c:f>
              <c:strCache>
                <c:ptCount val="1"/>
                <c:pt idx="0">
                  <c:v>2018年</c:v>
                </c:pt>
              </c:strCache>
            </c:strRef>
          </c:tx>
          <c:spPr>
            <a:solidFill>
              <a:srgbClr val="00B0F0"/>
            </a:solidFill>
            <a:ln>
              <a:solidFill>
                <a:prstClr val="black"/>
              </a:solidFill>
              <a:prstDash val="sysDot"/>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收入决算</c:v>
                </c:pt>
                <c:pt idx="1">
                  <c:v>支出决算</c:v>
                </c:pt>
              </c:strCache>
            </c:strRef>
          </c:cat>
          <c:val>
            <c:numRef>
              <c:f>Sheet1!$B$2:$B$3</c:f>
              <c:numCache>
                <c:formatCode>General</c:formatCode>
                <c:ptCount val="2"/>
                <c:pt idx="0">
                  <c:v>223.96</c:v>
                </c:pt>
                <c:pt idx="1">
                  <c:v>223.96</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收入决算</c:v>
                </c:pt>
                <c:pt idx="1">
                  <c:v>支出决算</c:v>
                </c:pt>
              </c:strCache>
            </c:strRef>
          </c:cat>
          <c:val>
            <c:numRef>
              <c:f>Sheet1!$C$2:$C$3</c:f>
              <c:numCache>
                <c:formatCode>General</c:formatCode>
                <c:ptCount val="2"/>
                <c:pt idx="0">
                  <c:v>277.39</c:v>
                </c:pt>
                <c:pt idx="1">
                  <c:v>277.39</c:v>
                </c:pt>
              </c:numCache>
            </c:numRef>
          </c:val>
        </c:ser>
        <c:ser>
          <c:idx val="2"/>
          <c:order val="2"/>
          <c:tx>
            <c:strRef>
              <c:f>Sheet1!#REF!</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收入决算</c:v>
                </c:pt>
                <c:pt idx="1">
                  <c:v>支出决算</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545728565"/>
        <c:axId val="744662405"/>
      </c:barChart>
      <c:catAx>
        <c:axId val="54572856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4662405"/>
        <c:crosses val="autoZero"/>
        <c:auto val="true"/>
        <c:lblAlgn val="ctr"/>
        <c:lblOffset val="100"/>
        <c:noMultiLvlLbl val="false"/>
      </c:catAx>
      <c:valAx>
        <c:axId val="744662405"/>
        <c:scaling>
          <c:orientation val="minMax"/>
        </c:scaling>
        <c:delete val="false"/>
        <c:axPos val="l"/>
        <c:majorGridlines>
          <c:spPr>
            <a:ln w="9525" cap="flat" cmpd="sng" algn="ctr">
              <a:solidFill>
                <a:schemeClr val="tx1">
                  <a:lumMod val="15000"/>
                  <a:lumOff val="85000"/>
                </a:schemeClr>
              </a:solidFill>
              <a:prstDash val="sysDot"/>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5728565"/>
        <c:crosses val="autoZero"/>
        <c:crossBetween val="between"/>
      </c:valAx>
      <c:spPr>
        <a:noFill/>
        <a:ln>
          <a:solidFill>
            <a:prstClr val="black"/>
          </a:solidFill>
          <a:prstDash val="sysDot"/>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2019年收入决算</c:v>
                </c:pt>
              </c:strCache>
            </c:strRef>
          </c:tx>
          <c:spPr/>
          <c:explosion val="0"/>
          <c:dPt>
            <c:idx val="0"/>
            <c:bubble3D val="false"/>
            <c:spPr>
              <a:gradFill>
                <a:gsLst>
                  <a:gs pos="0">
                    <a:srgbClr val="7B32B2"/>
                  </a:gs>
                  <a:gs pos="100000">
                    <a:srgbClr val="401A5D"/>
                  </a:gs>
                </a:gsLst>
                <a:lin scaled="false"/>
              </a:gradFill>
              <a:ln w="19050">
                <a:solidFill>
                  <a:schemeClr val="lt1"/>
                </a:solidFill>
              </a:ln>
              <a:effectLst/>
            </c:spPr>
          </c:dPt>
          <c:dPt>
            <c:idx val="1"/>
            <c:bubble3D val="false"/>
            <c:spPr>
              <a:solidFill>
                <a:srgbClr val="FFFF00"/>
              </a:solidFill>
              <a:ln w="19050">
                <a:solidFill>
                  <a:schemeClr val="lt1"/>
                </a:solidFill>
              </a:ln>
              <a:effectLst/>
            </c:spPr>
          </c:dPt>
          <c:dPt>
            <c:idx val="2"/>
            <c:bubble3D val="false"/>
            <c:spPr>
              <a:solidFill>
                <a:srgbClr val="FF0000"/>
              </a:solidFill>
              <a:ln w="19050">
                <a:solidFill>
                  <a:schemeClr val="lt1"/>
                </a:solidFill>
              </a:ln>
              <a:effectLst/>
            </c:spPr>
          </c:dPt>
          <c:dLbls>
            <c:dLbl>
              <c:idx val="0"/>
              <c:layout>
                <c:manualLayout>
                  <c:x val="-0.173923787000314"/>
                  <c:y val="0.062143264376324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98448529956371"/>
                  <c:y val="-0.078076361737697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6.48049880234339e-5"/>
                  <c:y val="0.18682899887607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solidFill>
                <a:srgbClr val="00B0F0"/>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108.6</c:v>
                </c:pt>
                <c:pt idx="1">
                  <c:v>168.68</c:v>
                </c:pt>
                <c:pt idx="2">
                  <c:v>0.11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2019年支出决算</c:v>
                </c:pt>
              </c:strCache>
            </c:strRef>
          </c:tx>
          <c:spPr/>
          <c:explosion val="0"/>
          <c:dPt>
            <c:idx val="0"/>
            <c:bubble3D val="false"/>
            <c:spPr>
              <a:gradFill>
                <a:gsLst>
                  <a:gs pos="0">
                    <a:srgbClr val="7B32B2"/>
                  </a:gs>
                  <a:gs pos="100000">
                    <a:srgbClr val="401A5D"/>
                  </a:gs>
                </a:gsLst>
                <a:lin scaled="false"/>
              </a:gradFill>
              <a:ln w="19050">
                <a:solidFill>
                  <a:schemeClr val="lt1"/>
                </a:solidFill>
              </a:ln>
              <a:effectLst/>
            </c:spPr>
          </c:dPt>
          <c:dLbls>
            <c:spPr>
              <a:solidFill>
                <a:srgbClr val="00B0F0"/>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基本支出 </c:v>
                </c:pt>
              </c:strCache>
            </c:strRef>
          </c:cat>
          <c:val>
            <c:numRef>
              <c:f>Sheet1!$B$2</c:f>
              <c:numCache>
                <c:formatCode>General</c:formatCode>
                <c:ptCount val="1"/>
                <c:pt idx="0">
                  <c:v>277.39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98.67</c:v>
                </c:pt>
                <c:pt idx="1">
                  <c:v>98.67</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108.6</c:v>
                </c:pt>
                <c:pt idx="1">
                  <c:v>108.6</c:v>
                </c:pt>
              </c:numCache>
            </c:numRef>
          </c:val>
        </c:ser>
        <c:ser>
          <c:idx val="2"/>
          <c:order val="2"/>
          <c:tx>
            <c:strRef>
              <c:f>Sheet1!#REF!</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720454847"/>
        <c:axId val="687008799"/>
      </c:barChart>
      <c:catAx>
        <c:axId val="72045484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87008799"/>
        <c:crosses val="autoZero"/>
        <c:auto val="true"/>
        <c:lblAlgn val="ctr"/>
        <c:lblOffset val="100"/>
        <c:noMultiLvlLbl val="false"/>
      </c:catAx>
      <c:valAx>
        <c:axId val="68700879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045484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2018年</c:v>
                </c:pt>
              </c:strCache>
            </c:strRef>
          </c:tx>
          <c:spPr>
            <a:solidFill>
              <a:srgbClr val="00B0F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c:v>
                </c:pt>
              </c:strCache>
            </c:strRef>
          </c:cat>
          <c:val>
            <c:numRef>
              <c:f>Sheet1!$B$2</c:f>
              <c:numCache>
                <c:formatCode>General</c:formatCode>
                <c:ptCount val="1"/>
                <c:pt idx="0">
                  <c:v>98.67</c:v>
                </c:pt>
              </c:numCache>
            </c:numRef>
          </c:val>
        </c:ser>
        <c:ser>
          <c:idx val="1"/>
          <c:order val="1"/>
          <c:tx>
            <c:strRef>
              <c:f>Sheet1!$C$1</c:f>
              <c:strCache>
                <c:ptCount val="1"/>
                <c:pt idx="0">
                  <c:v>2019年</c:v>
                </c:pt>
              </c:strCache>
            </c:strRef>
          </c:tx>
          <c:spPr>
            <a:solidFill>
              <a:srgbClr val="FFC00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c:v>
                </c:pt>
              </c:strCache>
            </c:strRef>
          </c:cat>
          <c:val>
            <c:numRef>
              <c:f>Sheet1!$C$2</c:f>
              <c:numCache>
                <c:formatCode>General</c:formatCode>
                <c:ptCount val="1"/>
                <c:pt idx="0">
                  <c:v>108.6</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财政拨款支出</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720454847"/>
        <c:axId val="687008799"/>
      </c:barChart>
      <c:catAx>
        <c:axId val="72045484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87008799"/>
        <c:crosses val="autoZero"/>
        <c:auto val="true"/>
        <c:lblAlgn val="ctr"/>
        <c:lblOffset val="100"/>
        <c:noMultiLvlLbl val="false"/>
      </c:catAx>
      <c:valAx>
        <c:axId val="68700879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045484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2019年财政拨款支出</c:v>
                </c:pt>
              </c:strCache>
            </c:strRef>
          </c:tx>
          <c:spPr>
            <a:solidFill>
              <a:srgbClr val="FF0000"/>
            </a:solidFill>
          </c:spPr>
          <c:explosion val="0"/>
          <c:dPt>
            <c:idx val="0"/>
            <c:bubble3D val="false"/>
            <c:spPr>
              <a:solidFill>
                <a:srgbClr val="00B0F0"/>
              </a:solidFill>
              <a:ln w="19050">
                <a:solidFill>
                  <a:schemeClr val="lt1"/>
                </a:solidFill>
              </a:ln>
              <a:effectLst/>
            </c:spPr>
          </c:dPt>
          <c:dPt>
            <c:idx val="1"/>
            <c:bubble3D val="false"/>
            <c:spPr>
              <a:solidFill>
                <a:srgbClr val="FF00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社会保障和就业</c:v>
                </c:pt>
                <c:pt idx="1">
                  <c:v>医疗卫生支出</c:v>
                </c:pt>
              </c:strCache>
            </c:strRef>
          </c:cat>
          <c:val>
            <c:numRef>
              <c:f>Sheet1!$B$2:$B$3</c:f>
              <c:numCache>
                <c:formatCode>General</c:formatCode>
                <c:ptCount val="2"/>
                <c:pt idx="0">
                  <c:v>38.67</c:v>
                </c:pt>
                <c:pt idx="1">
                  <c:v>69.93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2019年“三公”经费财政拨款支出决算</c:v>
                </c:pt>
              </c:strCache>
            </c:strRef>
          </c:tx>
          <c:spPr>
            <a:solidFill>
              <a:srgbClr val="FF0000"/>
            </a:solidFill>
          </c:spPr>
          <c:explosion val="0"/>
          <c:dPt>
            <c:idx val="0"/>
            <c:bubble3D val="false"/>
            <c:spPr>
              <a:solidFill>
                <a:srgbClr val="00B0F0"/>
              </a:solidFill>
              <a:ln w="19050">
                <a:solidFill>
                  <a:schemeClr val="lt1"/>
                </a:solidFill>
              </a:ln>
              <a:effectLst/>
            </c:spPr>
          </c:dPt>
          <c:dPt>
            <c:idx val="1"/>
            <c:bubble3D val="false"/>
            <c:spPr>
              <a:solidFill>
                <a:srgbClr val="FF0000"/>
              </a:solidFill>
              <a:ln w="19050">
                <a:solidFill>
                  <a:schemeClr val="lt1"/>
                </a:solidFill>
              </a:ln>
              <a:effectLst/>
            </c:spPr>
          </c:dPt>
          <c:dPt>
            <c:idx val="2"/>
            <c:bubble3D val="false"/>
            <c:spPr>
              <a:solidFill>
                <a:srgbClr val="FF00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因公出国（境）费支出决算</c:v>
                </c:pt>
                <c:pt idx="1">
                  <c:v>公务用车购置及运行维护费支出决算</c:v>
                </c:pt>
                <c:pt idx="2">
                  <c:v>公务接待费支出决算</c:v>
                </c:pt>
              </c:strCache>
            </c:strRef>
          </c:cat>
          <c:val>
            <c:numRef>
              <c:f>Sheet1!$B$2:$B$4</c:f>
              <c:numCache>
                <c:formatCode>General</c:formatCode>
                <c:ptCount val="3"/>
                <c:pt idx="0">
                  <c:v>0</c:v>
                </c:pt>
                <c:pt idx="1">
                  <c:v>0.68</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2022-03-04T17:06:25Z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42E1F7FEE78E45FA8712B0CA7246211C</vt:lpwstr>
  </property>
</Properties>
</file>