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《宣汉县“十四五”工业和信息化发展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规划（送审稿）》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草案解读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贯彻落实国家制造强国、四川制造强省和达州制造强市战略决策部署，</w:t>
      </w:r>
      <w:r>
        <w:rPr>
          <w:rFonts w:hint="default" w:ascii="Times New Roman" w:hAnsi="Times New Roman" w:eastAsia="仿宋" w:cs="Times New Roman"/>
          <w:sz w:val="32"/>
          <w:szCs w:val="32"/>
        </w:rPr>
        <w:t>加快推动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全县工业和信息化</w:t>
      </w:r>
      <w:r>
        <w:rPr>
          <w:rFonts w:hint="default" w:ascii="Times New Roman" w:hAnsi="Times New Roman" w:eastAsia="仿宋" w:cs="Times New Roman"/>
          <w:sz w:val="32"/>
          <w:szCs w:val="32"/>
        </w:rPr>
        <w:t>发展，按照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</w:rPr>
        <w:t>委、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</w:rPr>
        <w:t>政府工作安排，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县经信</w:t>
      </w:r>
      <w:r>
        <w:rPr>
          <w:rFonts w:hint="default" w:ascii="Times New Roman" w:hAnsi="Times New Roman" w:eastAsia="仿宋" w:cs="Times New Roman"/>
          <w:sz w:val="32"/>
          <w:szCs w:val="32"/>
        </w:rPr>
        <w:t>局牵头编制了《宣汉县“十四五”工业和信息化发展规划（送审稿）》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（以下简称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规划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一、起草背景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工业是国民经济的主导产业，信息化是产业优化升级和实现现代化的关键环节。经过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全县上下多年努力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" w:cs="Times New Roman"/>
          <w:sz w:val="32"/>
          <w:szCs w:val="32"/>
        </w:rPr>
        <w:t>县工业和信息化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步入了发展快车道，从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2016年起县域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规上工业增加值增速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年年位列全市第一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但与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发达</w:t>
      </w:r>
      <w:r>
        <w:rPr>
          <w:rFonts w:hint="default" w:ascii="Times New Roman" w:hAnsi="Times New Roman" w:eastAsia="仿宋" w:cs="Times New Roman"/>
          <w:sz w:val="32"/>
          <w:szCs w:val="32"/>
        </w:rPr>
        <w:t>地区相比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，县域工业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无论是规模体量还是质量效益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都还</w:t>
      </w:r>
      <w:r>
        <w:rPr>
          <w:rFonts w:hint="default" w:ascii="Times New Roman" w:hAnsi="Times New Roman" w:eastAsia="仿宋" w:cs="Times New Roman"/>
          <w:sz w:val="32"/>
          <w:szCs w:val="32"/>
        </w:rPr>
        <w:t>存在较大差距。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“十四五”时期是全面建成小康社会，开启全面建设社会主义现代化新征程的第一个五年。站在新征程的起点上，全面绘制“十四五”工业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和信息化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发展蓝图，对推动工业高质量发展具有重大意义。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2021年12月，省经信厅发布了《四川省“十四五”制造业高质量发展规划》，提出建设“3+4+4+N”现代制造业新体系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（打造电子信息、重大装备制造和特色消费品3个世界级产业集群，建设先进材料、能源化工、汽车产业研发制造和医药健康4个全国重要的产业基地，改造提升机械、轻工、冶金、建材4个传统优势制造业和加快发展战略性新兴产业、培育若干未来产业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今年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1月，市政府印发了《达州市“十四五”制造业高质量发展规划》，提出构建“双轮驱动、多点支撑”总体布局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（以达州高新区、达州东部经开区为核心引擎，推动各县市区错位发展、竞相发展，其中推动宣汉加快培育锂钾产业园、微玻纤新材料产业园，以天然气硫磺、微玻纤新材料、锂钾综合开发、铜基新材料为重点推进资源高效开发、延链发展，快速建成全国新能源新材料综合利用示范区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和“3+3+N”现代制造业产业体系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（以能源化工、新材料、农产品加工3大千亿产业集群和电子信息、智能装备制造、轻纺服饰3大五百亿产业集群为主导，同步发展医药健康、绿色建材等N个百亿产业集群）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2021年8月，县委、县政府印发了《关于实施“工业强县”战略的意见》，明确提出：到2025年，成功打造“133”现代产业集群，规上工业总产值突破2200亿元，实现规上工业增加值800亿元以上，建成全国新能源新材料综合利用示范区。同年9月，县第十四届党代会报告提出，做大做强“天然气硫磺、微玻纤、金属新材料、锂钾综合利用”四大支柱产业，延伸发展“现代钢铁、玻璃灯饰、建筑建材”三大产业，着力构建“4+3”现代工业新格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省市“十四五”制造业高质量发展规划和县委、县政府关于实施“工业强县”战略决策部署为《规划》编制提供了遵循。落实县委、县政府决策部署并细化发展目标、优化空间布局、绘制发展图谱、建议保障措施等，是规划编制的主要任务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起草过程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县委县政府高度重视《规划》编制，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2020年10月印发了《宣汉县“十四五”规划编制工作方案》（宣府办〔2020〕71号），明确将《宣汉县“十四五”工业和信息化发展规划》纳入全县经济和社会发展重点专项规划清单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。根据县委、县政府“十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五”规划编制工作要求，我局成立了由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主要领导担任组长的规划编制工作领导小组，设立了规划编制工作组，推进《规划》编制工作。编制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组通过深入各产业园区、工业企业实地调研走访等方式，对全县工业和信息化发展现状和发展需求等进行了摸排统计，掌握了第一手资料，并结合市县“三会”精神和国家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省市县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出台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的相关规划文本反复修改规划的整体框架和主要内容，于20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形成了初稿。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初稿完成后，我局先后组织局机关各股室先后2次召开专题座谈会讨论、研究，会后及时根据讨论意见修改完善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形成征求意见稿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2021年12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月1日，我局将征求意见稿通过党政网传至县级相关部门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（单位）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广泛征求意见，得到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普光经开区管委会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微玻办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锂钾办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煤安中心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等部门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（单位）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的大力支持，收集到相关意见50余条。在此基础上，局党组召开专题会议研究，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在吸收相关部门（单位）修改建议的基础上进一步提出修改意见，根据会议精神，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编制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组对《规划》进行了修改完善，形成了本次会议审议的送审稿。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《规划》主要内容包括发展环境、发展思路、产业发展重点、信息化建设、重点工程和保障措施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个部分。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第一部分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（第一章）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为发展背景。主要总结了“十三五”工业经济取得的成就，分析了“十四五”时期工业发展形势。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第二部分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（第二章）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为总体思路、发展原则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、产业布局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和战略目标。从谋全局、管长远的角度出发，提出了“十四五”时期全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工业发展的战略定位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、发展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原则、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产业布局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和奋斗目标，明确了工业发展的重点方向。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第三部分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（第三至六章）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为产业发展重点。主要立足我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现有产业基础，依托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宣汉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比较优势，围绕“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全国新能源新材料综合利用示范区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”建设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和“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”产业集群打造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聚力发展千亿级锂钾综合利用产业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加快发展三个三百亿级新兴产业，提质发展三个百亿级延伸产业，整合发展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N个十亿级潜力产业，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构建具有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宣汉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特色的现代工业体系，打造高质量发展新格局。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第四部分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（第七章）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信息化建设规划板块。主要从夯实数字基础设施、提升工业互联能力、发展智慧城市、推动两化融合发展、构建数字经济发展高地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5个方面进行了规划设计。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第五部分（第八章）为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重点工程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。紧紧围绕产业发展重点，从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创新引领、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市场主体培育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生产要素保障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招商引资提质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开放合作深化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绿色低碳生产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个方面，实施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，推进全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工业高端化、绿色化、智能化、集约化、融合化发展。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部分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（第九章）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为保障措施。为确保《规划》中各项任务能够落地并取得实效，从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组织领导、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建立产业链长制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加强检测评价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个方面提出了保障措施，确保规划顺利实施。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HorizontalSpacing w:val="210"/>
  <w:drawingGridVerticalSpacing w:val="290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NzBmNzE1ZmRiOTA4YzYzYWQzNjlkYmYyZmU0NjMifQ=="/>
  </w:docVars>
  <w:rsids>
    <w:rsidRoot w:val="00EB088B"/>
    <w:rsid w:val="00014482"/>
    <w:rsid w:val="0001662E"/>
    <w:rsid w:val="000552BE"/>
    <w:rsid w:val="00072C66"/>
    <w:rsid w:val="00086E15"/>
    <w:rsid w:val="00092B83"/>
    <w:rsid w:val="000B0C30"/>
    <w:rsid w:val="00131194"/>
    <w:rsid w:val="001F775E"/>
    <w:rsid w:val="002A79C8"/>
    <w:rsid w:val="00343960"/>
    <w:rsid w:val="0036551A"/>
    <w:rsid w:val="00501677"/>
    <w:rsid w:val="005A7BCA"/>
    <w:rsid w:val="007159DC"/>
    <w:rsid w:val="0074516D"/>
    <w:rsid w:val="007B24C6"/>
    <w:rsid w:val="008424EE"/>
    <w:rsid w:val="008A5AAB"/>
    <w:rsid w:val="008A78EA"/>
    <w:rsid w:val="00981519"/>
    <w:rsid w:val="00987F1D"/>
    <w:rsid w:val="00A435A6"/>
    <w:rsid w:val="00A45544"/>
    <w:rsid w:val="00A47E1D"/>
    <w:rsid w:val="00A640BA"/>
    <w:rsid w:val="00A81ABC"/>
    <w:rsid w:val="00AE277C"/>
    <w:rsid w:val="00AF15E0"/>
    <w:rsid w:val="00BB039F"/>
    <w:rsid w:val="00BC041C"/>
    <w:rsid w:val="00BC499E"/>
    <w:rsid w:val="00BC7B18"/>
    <w:rsid w:val="00BD535E"/>
    <w:rsid w:val="00BE4750"/>
    <w:rsid w:val="00C5590A"/>
    <w:rsid w:val="00C66DB6"/>
    <w:rsid w:val="00CD23D6"/>
    <w:rsid w:val="00E06021"/>
    <w:rsid w:val="00E458AA"/>
    <w:rsid w:val="00EB088B"/>
    <w:rsid w:val="00F8257E"/>
    <w:rsid w:val="00FA0705"/>
    <w:rsid w:val="00FA3E3A"/>
    <w:rsid w:val="00FB3813"/>
    <w:rsid w:val="00FC7274"/>
    <w:rsid w:val="00FF7800"/>
    <w:rsid w:val="02A70258"/>
    <w:rsid w:val="03300D99"/>
    <w:rsid w:val="03A042C8"/>
    <w:rsid w:val="063E7FDE"/>
    <w:rsid w:val="067869CB"/>
    <w:rsid w:val="09115B9A"/>
    <w:rsid w:val="09436826"/>
    <w:rsid w:val="096E4AB1"/>
    <w:rsid w:val="0993433C"/>
    <w:rsid w:val="09BD105B"/>
    <w:rsid w:val="0A3761A0"/>
    <w:rsid w:val="0A537422"/>
    <w:rsid w:val="0B860EB1"/>
    <w:rsid w:val="0C985340"/>
    <w:rsid w:val="0D3934C1"/>
    <w:rsid w:val="0D850AB0"/>
    <w:rsid w:val="0D9D1628"/>
    <w:rsid w:val="0DE6762A"/>
    <w:rsid w:val="0FC24B59"/>
    <w:rsid w:val="10636BF4"/>
    <w:rsid w:val="1095472F"/>
    <w:rsid w:val="10E751CB"/>
    <w:rsid w:val="120F0E0A"/>
    <w:rsid w:val="12970F71"/>
    <w:rsid w:val="13085C87"/>
    <w:rsid w:val="147F6EB0"/>
    <w:rsid w:val="185D2F9A"/>
    <w:rsid w:val="19E95DED"/>
    <w:rsid w:val="1A692E8B"/>
    <w:rsid w:val="1AF90320"/>
    <w:rsid w:val="1CA9353A"/>
    <w:rsid w:val="1CCC127F"/>
    <w:rsid w:val="1D2E13A9"/>
    <w:rsid w:val="1E115E48"/>
    <w:rsid w:val="1E3E386E"/>
    <w:rsid w:val="1FA106F8"/>
    <w:rsid w:val="227249BC"/>
    <w:rsid w:val="22D877B3"/>
    <w:rsid w:val="22E8038B"/>
    <w:rsid w:val="237C1A0C"/>
    <w:rsid w:val="2391516D"/>
    <w:rsid w:val="2409047A"/>
    <w:rsid w:val="25733DFD"/>
    <w:rsid w:val="270E4B47"/>
    <w:rsid w:val="276500BD"/>
    <w:rsid w:val="28351460"/>
    <w:rsid w:val="29622DD0"/>
    <w:rsid w:val="2A8915EB"/>
    <w:rsid w:val="2B222596"/>
    <w:rsid w:val="2D153F69"/>
    <w:rsid w:val="2EF5549C"/>
    <w:rsid w:val="30C54012"/>
    <w:rsid w:val="310361B6"/>
    <w:rsid w:val="31492919"/>
    <w:rsid w:val="321B6EA1"/>
    <w:rsid w:val="3236068C"/>
    <w:rsid w:val="3250327B"/>
    <w:rsid w:val="32867865"/>
    <w:rsid w:val="34A23731"/>
    <w:rsid w:val="34F164B9"/>
    <w:rsid w:val="34FB772A"/>
    <w:rsid w:val="3655366D"/>
    <w:rsid w:val="370C3F50"/>
    <w:rsid w:val="377976B8"/>
    <w:rsid w:val="39093368"/>
    <w:rsid w:val="3AA008D1"/>
    <w:rsid w:val="3AEE0B9D"/>
    <w:rsid w:val="3BA1126C"/>
    <w:rsid w:val="3C18344C"/>
    <w:rsid w:val="3C852DEC"/>
    <w:rsid w:val="3C8A1D79"/>
    <w:rsid w:val="3CDA19DC"/>
    <w:rsid w:val="3D4F1769"/>
    <w:rsid w:val="3E6E73FF"/>
    <w:rsid w:val="3F3D74FE"/>
    <w:rsid w:val="3F4A3CAD"/>
    <w:rsid w:val="4258753F"/>
    <w:rsid w:val="42872A90"/>
    <w:rsid w:val="42E109D3"/>
    <w:rsid w:val="43B0415C"/>
    <w:rsid w:val="45386863"/>
    <w:rsid w:val="45CB6609"/>
    <w:rsid w:val="46D36999"/>
    <w:rsid w:val="46E800BC"/>
    <w:rsid w:val="473860EE"/>
    <w:rsid w:val="474B3B23"/>
    <w:rsid w:val="48BB3B7C"/>
    <w:rsid w:val="49F20116"/>
    <w:rsid w:val="4AD15B75"/>
    <w:rsid w:val="4B332E3D"/>
    <w:rsid w:val="4C0E303F"/>
    <w:rsid w:val="4C520360"/>
    <w:rsid w:val="4CFB26D5"/>
    <w:rsid w:val="4E081BC8"/>
    <w:rsid w:val="4F4B3CF4"/>
    <w:rsid w:val="4FBD2DEE"/>
    <w:rsid w:val="5143416F"/>
    <w:rsid w:val="515B7336"/>
    <w:rsid w:val="54FD73F9"/>
    <w:rsid w:val="557D501F"/>
    <w:rsid w:val="55A461F0"/>
    <w:rsid w:val="562049E6"/>
    <w:rsid w:val="56377D24"/>
    <w:rsid w:val="56556C86"/>
    <w:rsid w:val="56607C88"/>
    <w:rsid w:val="57C87729"/>
    <w:rsid w:val="59477BE0"/>
    <w:rsid w:val="59FC0F6A"/>
    <w:rsid w:val="5C323F0E"/>
    <w:rsid w:val="5C54324E"/>
    <w:rsid w:val="5E5F15F9"/>
    <w:rsid w:val="5E920F61"/>
    <w:rsid w:val="5EF57055"/>
    <w:rsid w:val="5F143125"/>
    <w:rsid w:val="60833A08"/>
    <w:rsid w:val="608A23C7"/>
    <w:rsid w:val="61D94A0C"/>
    <w:rsid w:val="63161C90"/>
    <w:rsid w:val="6428671F"/>
    <w:rsid w:val="64623F64"/>
    <w:rsid w:val="64AB0390"/>
    <w:rsid w:val="64E026E3"/>
    <w:rsid w:val="650325A3"/>
    <w:rsid w:val="6514079B"/>
    <w:rsid w:val="66AB3F83"/>
    <w:rsid w:val="67896ED4"/>
    <w:rsid w:val="678B7CC5"/>
    <w:rsid w:val="6A006968"/>
    <w:rsid w:val="6A6432E1"/>
    <w:rsid w:val="6B5338CB"/>
    <w:rsid w:val="6BE741CA"/>
    <w:rsid w:val="6C4A2A88"/>
    <w:rsid w:val="6C661592"/>
    <w:rsid w:val="6CC42E3D"/>
    <w:rsid w:val="6E322764"/>
    <w:rsid w:val="6F233ADA"/>
    <w:rsid w:val="710535E8"/>
    <w:rsid w:val="71946BA2"/>
    <w:rsid w:val="7317306D"/>
    <w:rsid w:val="736A04DC"/>
    <w:rsid w:val="74D67722"/>
    <w:rsid w:val="74EC73F1"/>
    <w:rsid w:val="751678CE"/>
    <w:rsid w:val="77E65CBD"/>
    <w:rsid w:val="78253852"/>
    <w:rsid w:val="78436C2C"/>
    <w:rsid w:val="78E16B44"/>
    <w:rsid w:val="794E7636"/>
    <w:rsid w:val="79AA7760"/>
    <w:rsid w:val="79B03055"/>
    <w:rsid w:val="7A2F79C3"/>
    <w:rsid w:val="7A547EB3"/>
    <w:rsid w:val="7A9910D5"/>
    <w:rsid w:val="7AD1051F"/>
    <w:rsid w:val="7AD35254"/>
    <w:rsid w:val="7B986208"/>
    <w:rsid w:val="7CE82EC5"/>
    <w:rsid w:val="7DAD4D36"/>
    <w:rsid w:val="7E7C227A"/>
    <w:rsid w:val="7EED169F"/>
    <w:rsid w:val="7F603A4A"/>
    <w:rsid w:val="7F907027"/>
    <w:rsid w:val="B9F22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sasu</Company>
  <Pages>5</Pages>
  <Words>2340</Words>
  <Characters>2391</Characters>
  <Lines>20</Lines>
  <Paragraphs>5</Paragraphs>
  <TotalTime>3</TotalTime>
  <ScaleCrop>false</ScaleCrop>
  <LinksUpToDate>false</LinksUpToDate>
  <CharactersWithSpaces>2391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2021-08-16T16:16:00Z</dcterms:created>
  <dc:creator>wuxiaam</dc:creator>
  <cp:lastModifiedBy>仁可女青</cp:lastModifiedBy>
  <cp:lastPrinted>2021-11-16T12:21:00Z</cp:lastPrinted>
  <dcterms:modified xsi:type="dcterms:W3CDTF">2022-05-07T10:58:17Z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2052-11.1.0.10161</vt:lpwstr>
  </property>
  <property fmtid="{D5CDD505-2E9C-101B-9397-08002B2CF9AE}" pid="4" name="ICV">
    <vt:lpwstr>0FAAE36998BB4884A133223E0A0D9B2C</vt:lpwstr>
  </property>
</Properties>
</file>