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7193"/>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ind w:firstLine="1040" w:firstLineChars="200"/>
        <w:outlineLvl w:val="0"/>
        <w:rPr>
          <w:rFonts w:ascii="方正小标宋简体" w:hAnsi="宋体" w:eastAsia="方正小标宋简体"/>
          <w:color w:val="000000"/>
          <w:sz w:val="52"/>
          <w:szCs w:val="52"/>
        </w:rPr>
      </w:pPr>
      <w:bookmarkStart w:id="6" w:name="_Toc15396598"/>
      <w:bookmarkStart w:id="7" w:name="_Toc15377426"/>
      <w:bookmarkStart w:id="8" w:name="_Toc15396476"/>
      <w:bookmarkStart w:id="9" w:name="_Toc15377194"/>
      <w:bookmarkStart w:id="10" w:name="_Toc15378442"/>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rPr>
        <w:t>宣汉县黄金镇卫生院</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部门决算</w:t>
      </w:r>
      <w:bookmarkEnd w:id="6"/>
      <w:bookmarkEnd w:id="7"/>
      <w:bookmarkEnd w:id="8"/>
      <w:bookmarkEnd w:id="9"/>
      <w:bookmarkEnd w:id="10"/>
      <w:bookmarkEnd w:id="11"/>
      <w:r>
        <w:rPr>
          <w:rFonts w:hint="eastAsia" w:ascii="方正小标宋简体" w:hAnsi="宋体" w:eastAsia="方正小标宋简体"/>
          <w:color w:val="000000"/>
          <w:sz w:val="52"/>
          <w:szCs w:val="52"/>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公开时间：2019年9月5日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ascii="仿宋" w:hAnsi="仿宋" w:eastAsia="仿宋" w:cs="仿宋"/>
          <w:bCs/>
          <w:sz w:val="30"/>
          <w:szCs w:val="30"/>
        </w:rPr>
      </w:pPr>
      <w:bookmarkStart w:id="16" w:name="_Toc15378445"/>
      <w:bookmarkStart w:id="17" w:name="_Toc15377198"/>
      <w:r>
        <w:rPr>
          <w:rFonts w:hint="eastAsia" w:ascii="仿宋" w:hAnsi="仿宋" w:eastAsia="仿宋"/>
          <w:bCs/>
          <w:color w:val="000000"/>
          <w:sz w:val="32"/>
          <w:szCs w:val="32"/>
        </w:rPr>
        <w:t>（一）主要职能。</w:t>
      </w:r>
      <w:r>
        <w:rPr>
          <w:rFonts w:hint="eastAsia" w:ascii="仿宋" w:hAnsi="仿宋" w:eastAsia="仿宋" w:cs="仿宋"/>
          <w:sz w:val="32"/>
          <w:szCs w:val="32"/>
        </w:rPr>
        <w:t>宣汉县黄金镇卫生院主要职责：我始建于1958年9月，是一所集门诊、住院治疗、预防保健为一体的综合性乙等卫生院。担负着辖区3万余人及周边近4万人的基本医疗、基本公共卫生服务。院内分为门诊、住院、预防保健、医技、行后五大科组。医院内设（14）个科室（内科、外科、妇产科、放射科、检验科、B超室、财务科、办公室、护理室、理疗科、麻醉科、药房、体外碎石科、皮肤科）。目前开展了常见病、多发病、呼吸、消化、泌尿、心血管、神经系统、外科等的诊治及基本公共卫生服务工作。</w:t>
      </w:r>
      <w:r>
        <w:rPr>
          <w:rFonts w:hint="eastAsia" w:ascii="仿宋" w:hAnsi="仿宋" w:eastAsia="仿宋" w:cs="仿宋"/>
          <w:bCs/>
          <w:sz w:val="30"/>
          <w:szCs w:val="30"/>
        </w:rPr>
        <w:t>我院经中共宣汉县很机构编制委员会重新核定财政全额编制22人，</w:t>
      </w:r>
      <w:r>
        <w:rPr>
          <w:rFonts w:hint="eastAsia" w:ascii="仿宋" w:hAnsi="仿宋" w:eastAsia="仿宋" w:cs="仿宋"/>
          <w:sz w:val="30"/>
          <w:szCs w:val="30"/>
        </w:rPr>
        <w:t>本年实有人员总数29人，其中：在职在编人数19人，在职临聘人数10人，退休人员数5人，享受</w:t>
      </w:r>
      <w:r>
        <w:rPr>
          <w:rFonts w:hint="eastAsia" w:ascii="仿宋" w:hAnsi="仿宋" w:eastAsia="仿宋" w:cs="仿宋"/>
          <w:bCs/>
          <w:sz w:val="30"/>
          <w:szCs w:val="30"/>
        </w:rPr>
        <w:t>遗属补助1人。</w:t>
      </w:r>
    </w:p>
    <w:bookmarkEnd w:id="16"/>
    <w:bookmarkEnd w:id="17"/>
    <w:p>
      <w:pPr>
        <w:spacing w:line="450" w:lineRule="atLeast"/>
        <w:ind w:firstLine="600"/>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450" w:lineRule="atLeast"/>
        <w:ind w:firstLine="600"/>
        <w:rPr>
          <w:rFonts w:ascii="仿宋" w:hAnsi="仿宋" w:eastAsia="仿宋" w:cs="仿宋"/>
          <w:sz w:val="32"/>
          <w:szCs w:val="32"/>
        </w:rPr>
      </w:pPr>
      <w:r>
        <w:rPr>
          <w:rFonts w:hint="eastAsia" w:ascii="仿宋" w:hAnsi="仿宋" w:eastAsia="仿宋" w:cs="仿宋"/>
          <w:sz w:val="32"/>
          <w:szCs w:val="32"/>
        </w:rPr>
        <w:t>2018年度一是主要开展基本医疗服务、基本公共卫生和家庭医生签约服务工作；二是加强职工的自身专业技能的培训，提高服务技术，狠抓医疗服务质量和中医药服务能力提升工作；使我院基本公共卫生和医疗业务取得很大成绩，三是继续加强中央八项规定，规范医疗行为，提升职工的综合素质，提升医院形象，忠实践行“全心全意为人民服务”的宗旨。三是开展脱贫攻坚、健康扶贫工作以及建档立卡户帮扶工作，确保全县整体脱帽。</w:t>
      </w:r>
    </w:p>
    <w:p>
      <w:pPr>
        <w:ind w:firstLine="640" w:firstLineChars="200"/>
        <w:rPr>
          <w:rFonts w:ascii="仿宋" w:hAnsi="仿宋" w:eastAsia="仿宋" w:cs="仿宋"/>
          <w:bCs/>
          <w:color w:val="000000"/>
          <w:sz w:val="32"/>
          <w:szCs w:val="32"/>
        </w:rPr>
      </w:pPr>
      <w:r>
        <w:rPr>
          <w:rFonts w:hint="eastAsia" w:ascii="仿宋" w:hAnsi="仿宋" w:eastAsia="仿宋" w:cs="仿宋"/>
          <w:sz w:val="32"/>
          <w:szCs w:val="32"/>
        </w:rPr>
        <w:t>2018实际开放床位40张，实际占有总床日9012床日，住院治疗1502人次，开展门急诊治疗32656人次。</w:t>
      </w:r>
    </w:p>
    <w:p>
      <w:pPr>
        <w:pStyle w:val="3"/>
        <w:rPr>
          <w:rStyle w:val="25"/>
          <w:rFonts w:hint="eastAsia"/>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bookmarkStart w:id="73" w:name="_GoBack"/>
      <w:bookmarkEnd w:id="73"/>
    </w:p>
    <w:p>
      <w:pPr>
        <w:pStyle w:val="5"/>
        <w:adjustRightInd w:val="0"/>
        <w:snapToGrid w:val="0"/>
        <w:spacing w:before="93"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黄金镇卫生院属于一级预算单位，无下级预算单位。</w:t>
      </w:r>
    </w:p>
    <w:p>
      <w:pPr>
        <w:pStyle w:val="5"/>
        <w:spacing w:before="93" w:line="450" w:lineRule="atLeast"/>
        <w:jc w:val="left"/>
        <w:rPr>
          <w:rFonts w:ascii="仿宋" w:hAnsi="仿宋" w:eastAsia="仿宋" w:cs="仿宋"/>
          <w:color w:val="000000"/>
          <w:sz w:val="32"/>
          <w:szCs w:val="32"/>
        </w:rPr>
      </w:pPr>
      <w:r>
        <w:rPr>
          <w:rFonts w:hint="eastAsia" w:ascii="仿宋" w:hAnsi="仿宋" w:eastAsia="仿宋" w:cs="仿宋"/>
          <w:sz w:val="32"/>
          <w:szCs w:val="32"/>
        </w:rPr>
        <w:t>从行政区划上看黄金镇辖区两个居委会，8个行政村。负责辖区宣传贯彻执行医疗卫生制度和法律法规；负责辖区卫生站医疗业务技术指导和传达主管局的事务要求。</w:t>
      </w:r>
    </w:p>
    <w:p>
      <w:pPr>
        <w:widowControl/>
        <w:ind w:firstLine="1760" w:firstLineChars="400"/>
        <w:jc w:val="left"/>
        <w:rPr>
          <w:rFonts w:ascii="黑体" w:hAnsi="黑体" w:eastAsia="黑体"/>
          <w:color w:val="000000"/>
          <w:sz w:val="44"/>
          <w:szCs w:val="44"/>
        </w:rPr>
      </w:pPr>
      <w:bookmarkStart w:id="22" w:name="_Toc15377204"/>
      <w:bookmarkStart w:id="23" w:name="_Toc15396602"/>
    </w:p>
    <w:p>
      <w:pPr>
        <w:widowControl/>
        <w:ind w:firstLine="1760" w:firstLineChars="400"/>
        <w:jc w:val="left"/>
        <w:rPr>
          <w:rFonts w:ascii="黑体" w:hAnsi="黑体" w:eastAsia="黑体"/>
          <w:color w:val="000000"/>
          <w:sz w:val="56"/>
          <w:szCs w:val="56"/>
        </w:rPr>
      </w:pPr>
      <w:r>
        <w:rPr>
          <w:rFonts w:hint="eastAsia" w:ascii="黑体" w:hAnsi="黑体" w:eastAsia="黑体"/>
          <w:color w:val="000000"/>
          <w:sz w:val="44"/>
          <w:szCs w:val="44"/>
        </w:rPr>
        <w:t>第二部分</w:t>
      </w:r>
      <w:r>
        <w:rPr>
          <w:rFonts w:hint="eastAsia" w:ascii="黑体" w:hAnsi="黑体" w:eastAsia="黑体"/>
          <w:color w:val="000000"/>
          <w:sz w:val="56"/>
          <w:szCs w:val="56"/>
        </w:rPr>
        <w:t xml:space="preserve"> </w:t>
      </w:r>
    </w:p>
    <w:p>
      <w:pPr>
        <w:widowControl/>
        <w:ind w:firstLine="440" w:firstLineChars="100"/>
        <w:jc w:val="left"/>
        <w:rPr>
          <w:rStyle w:val="24"/>
          <w:rFonts w:ascii="黑体" w:hAnsi="黑体" w:eastAsia="黑体"/>
          <w:b w:val="0"/>
          <w:bCs w:val="0"/>
        </w:rPr>
      </w:pP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2018年度收入总计693.23万元。与2017年</w:t>
      </w:r>
      <w:r>
        <w:rPr>
          <w:rFonts w:hint="eastAsia" w:ascii="楷体_GB2312" w:eastAsia="楷体_GB2312"/>
          <w:color w:val="000000"/>
          <w:sz w:val="32"/>
          <w:szCs w:val="32"/>
        </w:rPr>
        <w:t>1017.87万元</w:t>
      </w:r>
      <w:r>
        <w:rPr>
          <w:rFonts w:hint="eastAsia" w:ascii="仿宋" w:hAnsi="仿宋" w:eastAsia="仿宋"/>
          <w:color w:val="000000"/>
          <w:sz w:val="32"/>
          <w:szCs w:val="32"/>
        </w:rPr>
        <w:t>相比，收入减少324.64万元，支出总计693.23元与2017年</w:t>
      </w:r>
      <w:r>
        <w:rPr>
          <w:rFonts w:hint="eastAsia" w:ascii="楷体_GB2312" w:eastAsia="楷体_GB2312"/>
          <w:color w:val="000000"/>
          <w:sz w:val="32"/>
          <w:szCs w:val="32"/>
        </w:rPr>
        <w:t>1017.87万元</w:t>
      </w:r>
      <w:r>
        <w:rPr>
          <w:rFonts w:hint="eastAsia" w:ascii="仿宋" w:hAnsi="仿宋" w:eastAsia="仿宋"/>
          <w:color w:val="000000"/>
          <w:sz w:val="32"/>
          <w:szCs w:val="32"/>
        </w:rPr>
        <w:t>减少324.64万元，增长</w:t>
      </w:r>
      <w:r>
        <w:rPr>
          <w:rFonts w:ascii="仿宋" w:hAnsi="仿宋" w:eastAsia="仿宋"/>
          <w:color w:val="000000"/>
          <w:sz w:val="32"/>
          <w:szCs w:val="32"/>
        </w:rPr>
        <w:t>/</w:t>
      </w:r>
      <w:r>
        <w:rPr>
          <w:rFonts w:hint="eastAsia" w:ascii="仿宋" w:hAnsi="仿宋" w:eastAsia="仿宋"/>
          <w:color w:val="000000"/>
          <w:sz w:val="32"/>
          <w:szCs w:val="32"/>
        </w:rPr>
        <w:t>下降31.89</w:t>
      </w:r>
      <w:r>
        <w:rPr>
          <w:rFonts w:ascii="仿宋" w:hAnsi="仿宋" w:eastAsia="仿宋"/>
          <w:color w:val="000000"/>
          <w:sz w:val="32"/>
          <w:szCs w:val="32"/>
        </w:rPr>
        <w:t>%</w:t>
      </w:r>
      <w:r>
        <w:rPr>
          <w:rFonts w:hint="eastAsia" w:ascii="仿宋" w:hAnsi="仿宋" w:eastAsia="仿宋"/>
          <w:color w:val="000000"/>
          <w:sz w:val="32"/>
          <w:szCs w:val="32"/>
        </w:rPr>
        <w:t>。主要变动原因是2018年主要精力抓基本公共卫生服务工作，门诊、住院病人相应减少231.55万元。财政补助收入比2017年相比减少了93.09万元。</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8年本年收入合计693.23万元，其中：一般公共预算财政拨款收入166.66万元，占24.04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；事业收入526.57万元，占75.95</w:t>
      </w:r>
      <w:r>
        <w:rPr>
          <w:rFonts w:ascii="仿宋" w:hAnsi="仿宋" w:eastAsia="仿宋"/>
          <w:color w:val="000000"/>
          <w:sz w:val="32"/>
          <w:szCs w:val="32"/>
        </w:rPr>
        <w:t>%</w:t>
      </w:r>
      <w:r>
        <w:rPr>
          <w:rFonts w:hint="eastAsia" w:ascii="仿宋" w:hAnsi="仿宋" w:eastAsia="仿宋"/>
          <w:color w:val="000000"/>
          <w:sz w:val="32"/>
          <w:szCs w:val="32"/>
        </w:rPr>
        <w:t>；经营其他收入0.44万元，占0.06</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8年本年支出合计693.24万元，其中：基本支出684.74万元，占98.77</w:t>
      </w:r>
      <w:r>
        <w:rPr>
          <w:rFonts w:ascii="仿宋" w:hAnsi="仿宋" w:eastAsia="仿宋"/>
          <w:color w:val="000000"/>
          <w:sz w:val="32"/>
          <w:szCs w:val="32"/>
        </w:rPr>
        <w:t>%</w:t>
      </w:r>
      <w:r>
        <w:rPr>
          <w:rFonts w:hint="eastAsia" w:ascii="仿宋" w:hAnsi="仿宋" w:eastAsia="仿宋"/>
          <w:color w:val="000000"/>
          <w:sz w:val="32"/>
          <w:szCs w:val="32"/>
        </w:rPr>
        <w:t>；项目支出8.5万元，占1.23</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8年财政拨款收、支总计166.66万元。与</w:t>
      </w:r>
      <w:r>
        <w:rPr>
          <w:rFonts w:ascii="仿宋" w:hAnsi="仿宋" w:eastAsia="仿宋"/>
          <w:color w:val="000000"/>
          <w:sz w:val="32"/>
          <w:szCs w:val="32"/>
        </w:rPr>
        <w:t>201</w:t>
      </w:r>
      <w:r>
        <w:rPr>
          <w:rFonts w:hint="eastAsia" w:ascii="仿宋" w:hAnsi="仿宋" w:eastAsia="仿宋"/>
          <w:color w:val="000000"/>
          <w:sz w:val="32"/>
          <w:szCs w:val="32"/>
        </w:rPr>
        <w:t>7年259.75相比，财政拨款收、支总计各减少93.09万元，下降35.83</w:t>
      </w:r>
      <w:r>
        <w:rPr>
          <w:rFonts w:ascii="仿宋" w:hAnsi="仿宋" w:eastAsia="仿宋"/>
          <w:color w:val="000000"/>
          <w:sz w:val="32"/>
          <w:szCs w:val="32"/>
        </w:rPr>
        <w:t>%</w:t>
      </w:r>
      <w:r>
        <w:rPr>
          <w:rFonts w:hint="eastAsia" w:ascii="仿宋" w:hAnsi="仿宋" w:eastAsia="仿宋"/>
          <w:color w:val="000000"/>
          <w:sz w:val="32"/>
          <w:szCs w:val="32"/>
        </w:rPr>
        <w:t>。主要变动原因是财政补助减少。</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8年一般公共预算财政拨款支出166.66万元，占本年支出合计的24.04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7年相比，一般公共预算财政拨款减少93.09万元，下降35.83</w:t>
      </w:r>
      <w:r>
        <w:rPr>
          <w:rFonts w:ascii="仿宋" w:hAnsi="仿宋" w:eastAsia="仿宋"/>
          <w:color w:val="000000"/>
          <w:sz w:val="32"/>
          <w:szCs w:val="32"/>
        </w:rPr>
        <w:t>%</w:t>
      </w:r>
      <w:r>
        <w:rPr>
          <w:rFonts w:hint="eastAsia" w:ascii="仿宋" w:hAnsi="仿宋" w:eastAsia="仿宋"/>
          <w:color w:val="000000"/>
          <w:sz w:val="32"/>
          <w:szCs w:val="32"/>
        </w:rPr>
        <w:t>。主要变动原因是财政补助减少。</w:t>
      </w:r>
      <w:r>
        <w:rPr>
          <w:rFonts w:hint="eastAsia" w:ascii="仿宋" w:hAnsi="仿宋" w:eastAsia="仿宋"/>
          <w:color w:val="000000" w:themeColor="text1"/>
          <w:sz w:val="32"/>
          <w:szCs w:val="32"/>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政拨款支出166.66万元，主要用于以下方面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支出3.04万元，占1.82</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；医疗卫生支出163.62万元，占98.18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2018年般公共预算支出决算数为166.66</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预算166.66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社会保障和就业（类）行政事业单位离退休（款）其他行政事业离退休支出（项）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支出决算为3.04万元，完成预算100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25"/>
          <w:rFonts w:hint="eastAsia"/>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w:t>
      </w:r>
      <w:r>
        <w:rPr>
          <w:rStyle w:val="14"/>
          <w:rFonts w:hint="eastAsia" w:ascii="楷体_GB2312" w:eastAsia="楷体_GB2312"/>
          <w:b w:val="0"/>
          <w:color w:val="000000"/>
          <w:sz w:val="32"/>
          <w:szCs w:val="32"/>
        </w:rPr>
        <w:t>医疗卫生与计划生育（类）基层医疗卫生机构（款）乡镇卫生院（项）:</w:t>
      </w:r>
      <w:r>
        <w:rPr>
          <w:rFonts w:hint="eastAsia" w:ascii="楷体_GB2312" w:eastAsia="楷体_GB2312"/>
          <w:color w:val="000000"/>
          <w:sz w:val="32"/>
          <w:szCs w:val="32"/>
        </w:rPr>
        <w:t>2018年决算数为61.51万元，预算调整数61.51万元，完成预算100%。</w:t>
      </w:r>
      <w:r>
        <w:rPr>
          <w:rStyle w:val="14"/>
          <w:rFonts w:hint="eastAsia" w:ascii="楷体_GB2312" w:eastAsia="楷体_GB2312"/>
          <w:b w:val="0"/>
          <w:color w:val="000000"/>
          <w:sz w:val="32"/>
          <w:szCs w:val="32"/>
        </w:rPr>
        <w:t>其他基层医疗卫生机构支出（项）:</w:t>
      </w:r>
      <w:r>
        <w:rPr>
          <w:rFonts w:hint="eastAsia" w:ascii="楷体_GB2312" w:eastAsia="楷体_GB2312"/>
          <w:color w:val="000000"/>
          <w:sz w:val="32"/>
          <w:szCs w:val="32"/>
        </w:rPr>
        <w:t>2018年决算数为37.66万元，完成预算100%。</w:t>
      </w:r>
      <w:r>
        <w:rPr>
          <w:rStyle w:val="14"/>
          <w:rFonts w:hint="eastAsia" w:ascii="楷体_GB2312" w:eastAsia="楷体_GB2312"/>
          <w:b w:val="0"/>
          <w:color w:val="000000"/>
          <w:sz w:val="32"/>
          <w:szCs w:val="32"/>
        </w:rPr>
        <w:t>公共卫生（款）基本公共卫生服务（项）:</w:t>
      </w:r>
      <w:r>
        <w:rPr>
          <w:rFonts w:hint="eastAsia" w:ascii="楷体_GB2312" w:eastAsia="楷体_GB2312"/>
          <w:color w:val="000000"/>
          <w:sz w:val="32"/>
          <w:szCs w:val="32"/>
        </w:rPr>
        <w:t>2018年决算数为102.2万元，完成预算100%。</w:t>
      </w:r>
      <w:r>
        <w:rPr>
          <w:rStyle w:val="14"/>
          <w:rFonts w:hint="eastAsia" w:ascii="楷体_GB2312" w:eastAsia="楷体_GB2312"/>
          <w:b w:val="0"/>
          <w:color w:val="000000"/>
          <w:sz w:val="32"/>
          <w:szCs w:val="32"/>
        </w:rPr>
        <w:t>医疗保障（款）事业单位医疗（项）:</w:t>
      </w:r>
      <w:r>
        <w:rPr>
          <w:rFonts w:hint="eastAsia" w:ascii="楷体_GB2312" w:eastAsia="楷体_GB2312"/>
          <w:color w:val="000000"/>
          <w:sz w:val="32"/>
          <w:szCs w:val="32"/>
        </w:rPr>
        <w:t>2018年决算数为0.09万元，完成预算100%。</w:t>
      </w:r>
      <w:r>
        <w:rPr>
          <w:rFonts w:hint="eastAsia" w:ascii="仿宋_GB2312" w:eastAsia="仿宋_GB2312"/>
          <w:color w:val="000000"/>
          <w:sz w:val="32"/>
          <w:szCs w:val="32"/>
        </w:rPr>
        <w:br w:type="textWrapping"/>
      </w:r>
      <w:bookmarkStart w:id="40" w:name="_Toc15377214"/>
      <w:bookmarkStart w:id="41" w:name="_Toc15396608"/>
      <w:r>
        <w:rPr>
          <w:rFonts w:hint="eastAsia" w:ascii="仿宋_GB2312" w:eastAsia="仿宋_GB2312"/>
          <w:color w:val="000000"/>
          <w:sz w:val="32"/>
          <w:szCs w:val="32"/>
        </w:rPr>
        <w:t xml:space="preserve">  </w:t>
      </w: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8年一般公共预算财政拨款基本支出166.66万元，其中：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人员经费90.28万元，主要包括：基本工资45.63万元、津贴补贴5.60万元、绩效工资8.8、机关事业单位基本养老保险缴费8.0万元、其他社会保障缴费9.95万元、其他工资福利支出9.26、抚恤金3.04万元。</w:t>
      </w:r>
      <w:r>
        <w:rPr>
          <w:rFonts w:ascii="仿宋" w:hAnsi="仿宋" w:eastAsia="仿宋"/>
          <w:color w:val="000000"/>
          <w:sz w:val="32"/>
          <w:szCs w:val="32"/>
        </w:rPr>
        <w:br w:type="textWrapping"/>
      </w:r>
      <w:r>
        <w:rPr>
          <w:rFonts w:hint="eastAsia" w:ascii="仿宋" w:hAnsi="仿宋" w:eastAsia="仿宋"/>
          <w:color w:val="000000"/>
          <w:sz w:val="32"/>
          <w:szCs w:val="32"/>
        </w:rPr>
        <w:t>　　公用经费76.38万元，主要包括：办公费8.65万元、水费0.19万元、电费0.29万元、专用材料费4.06万元，劳务费44.38万元、公务用车运行维护费1.85万元（救护车）、其他商品和服务支出16.96万元等.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_GB2312" w:eastAsia="仿宋_GB2312"/>
          <w:color w:val="333333"/>
          <w:sz w:val="32"/>
          <w:szCs w:val="32"/>
        </w:rPr>
      </w:pPr>
      <w:r>
        <w:rPr>
          <w:rFonts w:hint="eastAsia" w:ascii="仿宋_GB2312" w:eastAsia="仿宋_GB2312"/>
          <w:color w:val="333333"/>
          <w:sz w:val="32"/>
          <w:szCs w:val="32"/>
        </w:rPr>
        <w:t>2018年度没有使用财政拨款预算出国出境等费用，也没有预算使用公务接待费，也没有将财政拨款使用于出国出境及公务接待经费。</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8年末现有特种专业技术用车1台。根据该车使用范围，方便患者就医服务，预算维护运行经费1.85万元。</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_GB2312" w:eastAsia="仿宋_GB2312"/>
          <w:color w:val="333333"/>
          <w:sz w:val="32"/>
          <w:szCs w:val="32"/>
        </w:rPr>
      </w:pPr>
      <w:r>
        <w:rPr>
          <w:rFonts w:hint="eastAsia" w:ascii="仿宋_GB2312" w:eastAsia="仿宋_GB2312"/>
          <w:color w:val="333333"/>
          <w:sz w:val="32"/>
          <w:szCs w:val="32"/>
        </w:rPr>
        <w:t>1、2018年度没有使用财政拨款预算出国出境等费用，也没有预算使用公务接待费，也没有将财政拨款使用于出国出境及公务接待经费。</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1.85万元,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减少1.47万元，增长387</w:t>
      </w:r>
      <w:r>
        <w:rPr>
          <w:rFonts w:ascii="仿宋_GB2312" w:eastAsia="仿宋_GB2312"/>
          <w:color w:val="000000"/>
          <w:sz w:val="32"/>
          <w:szCs w:val="32"/>
        </w:rPr>
        <w:t>%</w:t>
      </w:r>
      <w:r>
        <w:rPr>
          <w:rFonts w:hint="eastAsia" w:ascii="仿宋_GB2312" w:eastAsia="仿宋_GB2312"/>
          <w:color w:val="000000"/>
          <w:sz w:val="32"/>
          <w:szCs w:val="32"/>
        </w:rPr>
        <w:t>。主要原因是2018年救护车转运送病人次数增多，在分摊业务支出和财政补助收入核算分摊较去年增多。</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p>
    <w:p>
      <w:pPr>
        <w:spacing w:line="600" w:lineRule="exact"/>
        <w:ind w:firstLine="640"/>
        <w:rPr>
          <w:rFonts w:ascii="黑体" w:eastAsia="黑体"/>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1.85万元。主要用于接转运病人等所需的公务用车燃料费、维修费、过路过桥费、保险费等支出。</w:t>
      </w: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1.绩效目标管理情况。</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按照预算绩效管理要求，本部门对2018年一般公共预算项目支出开展了绩效目标管理，共编制绩效目标1个，涉及财政资金166.66万元，覆盖率达到100%。</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2.部门整体支出绩效自评开展情况。</w:t>
      </w:r>
    </w:p>
    <w:p>
      <w:pPr>
        <w:spacing w:line="60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按照预算绩效管理要求，本部门对2018年整体支出开展绩效自评，自评得分92分，存在的问题：一是执行中期评估不到位扣1分，二是资产管理信息化1分，三是内部制度健全完整程度不高扣1分，四是评价结果应用不到位扣1分，五是履职成效不高，没有达到规范的效果，扣4分。下一步改进措施：一是加强中期评估的执行力度，认真执行好中期评估，二是及时进行绩效目标的动态监控，三是高质量的完善内部制度建设，四是充分运用评价结果行质量监督，根据评价结果提出改进措施并落到实处，五是提高绩效评价质量，认真执行绩效监控，按照内部制度制度要求，依照相关流程提高履职成效。结合绩效评价结果，对存在不合理的、需要改进提高的工作方法、管理措施、监督力度，进行进一步提升和规范。</w:t>
      </w:r>
    </w:p>
    <w:p>
      <w:pPr>
        <w:ind w:firstLine="960" w:firstLineChars="300"/>
        <w:rPr>
          <w:rFonts w:ascii="黑体" w:hAnsi="黑体" w:eastAsia="黑体"/>
          <w:color w:val="000000"/>
          <w:sz w:val="32"/>
          <w:szCs w:val="32"/>
        </w:rPr>
      </w:pPr>
      <w:r>
        <w:rPr>
          <w:rFonts w:hint="eastAsia" w:ascii="黑体" w:hAnsi="黑体" w:eastAsia="黑体"/>
          <w:color w:val="000000"/>
          <w:sz w:val="32"/>
          <w:szCs w:val="32"/>
        </w:rPr>
        <w:t>2018年部门整体支出绩效评价得分表</w:t>
      </w:r>
    </w:p>
    <w:tbl>
      <w:tblPr>
        <w:tblStyle w:val="12"/>
        <w:tblW w:w="9498" w:type="dxa"/>
        <w:tblInd w:w="-176" w:type="dxa"/>
        <w:tblLayout w:type="fixed"/>
        <w:tblCellMar>
          <w:top w:w="0" w:type="dxa"/>
          <w:left w:w="108" w:type="dxa"/>
          <w:bottom w:w="0" w:type="dxa"/>
          <w:right w:w="108" w:type="dxa"/>
        </w:tblCellMar>
      </w:tblPr>
      <w:tblGrid>
        <w:gridCol w:w="1702"/>
        <w:gridCol w:w="2268"/>
        <w:gridCol w:w="3402"/>
        <w:gridCol w:w="2126"/>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bl>
    <w:p>
      <w:pPr>
        <w:rPr>
          <w:color w:val="000000"/>
        </w:rPr>
      </w:pPr>
    </w:p>
    <w:p>
      <w:pPr>
        <w:spacing w:line="600" w:lineRule="atLeast"/>
        <w:ind w:firstLine="642" w:firstLineChars="200"/>
        <w:rPr>
          <w:rFonts w:ascii="仿宋_GB2312" w:eastAsia="仿宋_GB2312"/>
          <w:b/>
          <w:color w:val="000000"/>
          <w:sz w:val="32"/>
          <w:szCs w:val="32"/>
        </w:rPr>
      </w:pP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本部门在2018年度部门决算中反映“重大公共卫生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1个项目绩效目标实际完成情况。（本单位部门项目绩效目标个数在1个以上的，选取5个项目进行公开，目标个数在1个以下的，全部进行公开，公开内容包括完成情况综述和完成情况表）。</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公共卫生项目绩效目标完成情况综述。项目全年预算数8.5万元，执行数为8.5万元，完成预算的100%。通过项目实施，该项目主要用于基本公共卫生健康教育宣传阵地、宣传资料建设。通过该项目实施，我镇安装了全彩色LED健康宣传显示屏，制作了健康教育宣传专题片，在为辖区群众健康教育知识宣传，国家医疗保障及健康扶贫方面政策宣传起到积极作用。</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宣汉县黄金镇卫生院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仿宋_GB2312" w:cs="宋体"/>
                <w:color w:val="000000"/>
                <w:sz w:val="24"/>
              </w:rPr>
            </w:pPr>
            <w:r>
              <w:rPr>
                <w:rFonts w:hint="eastAsia" w:ascii="仿宋_GB2312" w:hAnsi="仿宋_GB2312" w:eastAsia="仿宋_GB2312" w:cs="仿宋_GB2312"/>
                <w:sz w:val="32"/>
                <w:szCs w:val="32"/>
              </w:rPr>
              <w:t>预算数8.5万元。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执行数为8.5万元，完成预算的100%。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该项目主要用于基本公共卫生健康教育宣传阵地、宣传资料建设。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安装了全彩色LED健康宣传显示屏，制作了健康教育宣传专题片，在为辖区群众健康教育知识宣传，国家医疗保障及健康扶贫方面政策宣传起到积极作用。</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rPr>
          <w:rFonts w:hint="eastAsia"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本部门按要求对2018年部门整体支出绩效评价情况开展自评，《宣汉县黄金镇卫生院部门2018年部门整体支出绩效评价报告》见附件。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本部门自行组织对重大公共卫生项目开展了绩效评价，《宣汉县黄金镇卫生院项目2018年绩效评价报告》见附件。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autoSpaceDE w:val="0"/>
        <w:autoSpaceDN w:val="0"/>
        <w:adjustRightInd w:val="0"/>
        <w:spacing w:line="600" w:lineRule="exact"/>
        <w:ind w:firstLine="963" w:firstLineChars="300"/>
        <w:jc w:val="left"/>
        <w:rPr>
          <w:rFonts w:ascii="仿宋_GB2312" w:eastAsia="仿宋_GB2312"/>
          <w:color w:val="000000"/>
          <w:sz w:val="32"/>
          <w:szCs w:val="32"/>
        </w:rPr>
      </w:pPr>
      <w:r>
        <w:rPr>
          <w:rFonts w:hint="eastAsia" w:ascii="仿宋_GB2312" w:eastAsia="仿宋_GB2312"/>
          <w:b/>
          <w:color w:val="000000"/>
          <w:sz w:val="32"/>
          <w:szCs w:val="32"/>
        </w:rPr>
        <w:t xml:space="preserve"> </w:t>
      </w:r>
      <w:r>
        <w:rPr>
          <w:rFonts w:hint="eastAsia" w:ascii="仿宋_GB2312" w:eastAsia="仿宋_GB2312"/>
          <w:color w:val="000000"/>
          <w:sz w:val="32"/>
          <w:szCs w:val="32"/>
        </w:rPr>
        <w:t>1、截至2018年12月31日，本单位无公有车辆，只有用于医疗救护的救护车1台。</w:t>
      </w:r>
    </w:p>
    <w:p>
      <w:pPr>
        <w:spacing w:line="600" w:lineRule="exact"/>
        <w:ind w:firstLine="640"/>
        <w:rPr>
          <w:rFonts w:ascii="仿宋" w:hAnsi="仿宋" w:eastAsia="仿宋"/>
          <w:b/>
          <w:color w:val="000000"/>
          <w:sz w:val="32"/>
          <w:szCs w:val="32"/>
        </w:rPr>
      </w:pPr>
      <w:r>
        <w:rPr>
          <w:rFonts w:hint="eastAsia" w:ascii="仿宋_GB2312" w:eastAsia="仿宋_GB2312"/>
          <w:color w:val="000000"/>
          <w:sz w:val="32"/>
          <w:szCs w:val="32"/>
        </w:rPr>
        <w:t>2、</w:t>
      </w:r>
      <w:r>
        <w:rPr>
          <w:rFonts w:hint="eastAsia" w:ascii="仿宋_GB2312" w:hAnsi="仿宋" w:eastAsia="仿宋_GB2312" w:cs="仿宋"/>
          <w:color w:val="000000"/>
          <w:sz w:val="32"/>
          <w:szCs w:val="32"/>
        </w:rPr>
        <w:t>本说明数据来源于决算数据。决算数据从软件提取自动转换为万元，因四舍五入的原因，说明中数据稍有逻辑出入。</w:t>
      </w:r>
    </w:p>
    <w:p>
      <w:pPr>
        <w:numPr>
          <w:ilvl w:val="0"/>
          <w:numId w:val="5"/>
        </w:numPr>
        <w:spacing w:line="600" w:lineRule="exact"/>
        <w:ind w:firstLine="662" w:firstLineChars="150"/>
        <w:jc w:val="center"/>
        <w:outlineLvl w:val="0"/>
        <w:rPr>
          <w:rStyle w:val="24"/>
          <w:rFonts w:ascii="黑体" w:hAnsi="黑体" w:eastAsia="黑体"/>
          <w:b w:val="0"/>
        </w:rPr>
      </w:pPr>
      <w:bookmarkStart w:id="52" w:name="_Toc15396613"/>
      <w:bookmarkStart w:id="53"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hint="eastAsia"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center"/>
        <w:outlineLvl w:val="0"/>
        <w:rPr>
          <w:rStyle w:val="24"/>
        </w:rPr>
      </w:pPr>
    </w:p>
    <w:p>
      <w:pPr>
        <w:pStyle w:val="3"/>
        <w:rPr>
          <w:rStyle w:val="24"/>
          <w:rFonts w:ascii="仿宋" w:hAnsi="仿宋" w:eastAsia="仿宋"/>
          <w:b w:val="0"/>
          <w:bCs w:val="0"/>
          <w:sz w:val="32"/>
          <w:szCs w:val="32"/>
        </w:rPr>
      </w:pPr>
      <w:bookmarkStart w:id="56" w:name="_Toc15396615"/>
      <w:r>
        <w:rPr>
          <w:rStyle w:val="24"/>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6"/>
          <w:szCs w:val="36"/>
        </w:rPr>
      </w:pPr>
      <w:bookmarkStart w:id="57" w:name="_Toc15396616"/>
      <w:r>
        <w:rPr>
          <w:rFonts w:hint="eastAsia" w:ascii="黑体" w:hAnsi="黑体" w:eastAsia="黑体" w:cs="方正小标宋简体"/>
          <w:sz w:val="36"/>
          <w:szCs w:val="36"/>
        </w:rPr>
        <w:t>宣汉县黄金镇部门2018年部门整体支出绩效</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评价报告</w:t>
      </w:r>
      <w:bookmarkEnd w:id="57"/>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r>
        <w:rPr>
          <w:rFonts w:hint="eastAsia" w:ascii="楷体_GB2312" w:hAnsi="仿宋" w:eastAsia="楷体_GB2312" w:cs="仿宋"/>
          <w:sz w:val="32"/>
          <w:szCs w:val="32"/>
        </w:rPr>
        <w:t>宣汉县黄金镇卫生院主要职责：我始建于1958年9月，是一所集门诊、住院治疗、预防保健为一体的综合性乙等卫生院。担负着辖区3万余人及周边近4万人的基本医疗、基本公共卫生服务。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
          <w:sz w:val="32"/>
          <w:szCs w:val="32"/>
        </w:rPr>
        <w:t>担负着辖区3万余人及周边近4万人的基本医疗、基本公共卫生服务。院内分为门诊、住院、预防保健、医技、行后五大科组。医院内设（14）个科室（内科、外科、妇产科、放射科、检验科、B超室、财务科、办公室、护理室、理疗科、麻醉科、药房、体外碎石科、皮肤科）。目前开展了常见病、多发病、呼吸、消化、泌尿、心血管、神经系统、外科等的诊治及基本公共卫生服务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
          <w:bCs/>
          <w:sz w:val="30"/>
          <w:szCs w:val="30"/>
        </w:rPr>
        <w:t>财政全额编制22人，</w:t>
      </w:r>
      <w:r>
        <w:rPr>
          <w:rFonts w:hint="eastAsia" w:ascii="仿宋" w:hAnsi="仿宋" w:eastAsia="仿宋" w:cs="仿宋"/>
          <w:sz w:val="30"/>
          <w:szCs w:val="30"/>
        </w:rPr>
        <w:t>本年实有人员总数29人，其中：在职在编人数19人，在职临聘人数10人，退休人员数5人，享受</w:t>
      </w:r>
      <w:r>
        <w:rPr>
          <w:rFonts w:hint="eastAsia" w:ascii="仿宋" w:hAnsi="仿宋" w:eastAsia="仿宋" w:cs="仿宋"/>
          <w:bCs/>
          <w:sz w:val="30"/>
          <w:szCs w:val="30"/>
        </w:rPr>
        <w:t>遗属补助1人。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outlineLvl w:val="1"/>
        <w:rPr>
          <w:rFonts w:ascii="仿宋" w:hAnsi="仿宋" w:eastAsia="仿宋" w:cs="仿宋_GB2312"/>
          <w:sz w:val="32"/>
          <w:szCs w:val="32"/>
        </w:rPr>
      </w:pPr>
      <w:r>
        <w:rPr>
          <w:rFonts w:ascii="仿宋" w:hAnsi="仿宋" w:eastAsia="仿宋" w:cs="仿宋_GB2312"/>
          <w:sz w:val="32"/>
          <w:szCs w:val="32"/>
        </w:rPr>
        <w:t>（一）部门财政资金收入情况</w:t>
      </w:r>
      <w:r>
        <w:rPr>
          <w:rFonts w:hint="eastAsia" w:ascii="仿宋" w:hAnsi="仿宋" w:eastAsia="仿宋" w:cs="仿宋_GB2312"/>
          <w:sz w:val="32"/>
          <w:szCs w:val="32"/>
        </w:rPr>
        <w:t>：</w:t>
      </w:r>
      <w:r>
        <w:rPr>
          <w:rFonts w:ascii="仿宋" w:hAnsi="仿宋" w:eastAsia="仿宋"/>
          <w:color w:val="000000"/>
          <w:sz w:val="32"/>
          <w:szCs w:val="32"/>
        </w:rPr>
        <w:t>201</w:t>
      </w:r>
      <w:r>
        <w:rPr>
          <w:rFonts w:hint="eastAsia" w:ascii="仿宋" w:hAnsi="仿宋" w:eastAsia="仿宋"/>
          <w:color w:val="000000"/>
          <w:sz w:val="32"/>
          <w:szCs w:val="32"/>
        </w:rPr>
        <w:t>8年本年收入合计693.23万元，其中：一般公共预算财政拨款收入166.66万元，占24.04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；事业收入526.57万元，占75.95</w:t>
      </w:r>
      <w:r>
        <w:rPr>
          <w:rFonts w:ascii="仿宋" w:hAnsi="仿宋" w:eastAsia="仿宋"/>
          <w:color w:val="000000"/>
          <w:sz w:val="32"/>
          <w:szCs w:val="32"/>
        </w:rPr>
        <w:t>%</w:t>
      </w:r>
      <w:r>
        <w:rPr>
          <w:rFonts w:hint="eastAsia" w:ascii="仿宋" w:hAnsi="仿宋" w:eastAsia="仿宋"/>
          <w:color w:val="000000"/>
          <w:sz w:val="32"/>
          <w:szCs w:val="32"/>
        </w:rPr>
        <w:t>；经营其他收入0.44万元，占0.06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r>
        <w:rPr>
          <w:rFonts w:ascii="仿宋" w:hAnsi="仿宋" w:eastAsia="仿宋" w:cs="仿宋_GB2312"/>
          <w:sz w:val="32"/>
          <w:szCs w:val="32"/>
        </w:rPr>
        <w:t>（二）部门财政资金支出情况</w:t>
      </w:r>
      <w:r>
        <w:rPr>
          <w:rFonts w:hint="eastAsia" w:ascii="仿宋" w:hAnsi="仿宋" w:eastAsia="仿宋" w:cs="仿宋_GB2312"/>
          <w:sz w:val="32"/>
          <w:szCs w:val="32"/>
        </w:rPr>
        <w:t>：</w:t>
      </w:r>
      <w:r>
        <w:rPr>
          <w:rFonts w:ascii="仿宋" w:hAnsi="仿宋" w:eastAsia="仿宋"/>
          <w:color w:val="000000"/>
          <w:sz w:val="32"/>
          <w:szCs w:val="32"/>
        </w:rPr>
        <w:t>201</w:t>
      </w:r>
      <w:r>
        <w:rPr>
          <w:rFonts w:hint="eastAsia" w:ascii="仿宋" w:hAnsi="仿宋" w:eastAsia="仿宋"/>
          <w:color w:val="000000"/>
          <w:sz w:val="32"/>
          <w:szCs w:val="32"/>
        </w:rPr>
        <w:t>8年本年支出合计693.24万元，其中：基本支出684.74万元，占98.77</w:t>
      </w:r>
      <w:r>
        <w:rPr>
          <w:rFonts w:ascii="仿宋" w:hAnsi="仿宋" w:eastAsia="仿宋"/>
          <w:color w:val="000000"/>
          <w:sz w:val="32"/>
          <w:szCs w:val="32"/>
        </w:rPr>
        <w:t>%</w:t>
      </w:r>
      <w:r>
        <w:rPr>
          <w:rFonts w:hint="eastAsia" w:ascii="仿宋" w:hAnsi="仿宋" w:eastAsia="仿宋"/>
          <w:color w:val="000000"/>
          <w:sz w:val="32"/>
          <w:szCs w:val="32"/>
        </w:rPr>
        <w:t>；项目支出8.5万元，占1.23</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320" w:firstLineChars="1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600" w:lineRule="atLeast"/>
        <w:ind w:firstLine="640" w:firstLineChars="200"/>
        <w:rPr>
          <w:rFonts w:ascii="仿宋_GB2312" w:eastAsia="仿宋_GB2312"/>
          <w:color w:val="000000"/>
          <w:sz w:val="32"/>
          <w:szCs w:val="32"/>
        </w:rPr>
      </w:pPr>
      <w:r>
        <w:rPr>
          <w:rFonts w:ascii="仿宋" w:hAnsi="仿宋" w:eastAsia="仿宋" w:cs="仿宋_GB2312"/>
          <w:sz w:val="32"/>
          <w:szCs w:val="32"/>
        </w:rPr>
        <w:t>（一）部门预算管理。</w:t>
      </w:r>
      <w:r>
        <w:rPr>
          <w:rFonts w:hint="eastAsia" w:ascii="仿宋_GB2312" w:eastAsia="仿宋_GB2312"/>
          <w:color w:val="000000"/>
          <w:sz w:val="32"/>
          <w:szCs w:val="32"/>
        </w:rPr>
        <w:t>按照预算绩效管理要求，本部门对2018年一般公共预算项目支出开展了绩效目标管理，共编制绩效目标1个，涉及财政资金166.66万元，覆盖率达到100%。</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2.部门整体支出绩效自评开展情况。</w:t>
      </w:r>
    </w:p>
    <w:p>
      <w:pPr>
        <w:spacing w:line="60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按照预算绩效管理要求，本部门对2018年整体支出开展绩效自评，自评得分92分，存在的问题：一是执行中期评估不到位扣1分，二是资产管理信息化1分，三是内部制度健全完整程度不高扣1分，四是评价结果应用不到位扣1分，五是履职成效不高，没有达到规范的效果，扣4分。下一步改进措施：一是加强中期评估的执行力度，认真执行好中期评估，二是及时进行绩效目标的动态监控，三是高质量的完善内部制度建设，四是充分运用评价结果行质量监督，根据评价结果提出改进措施并落到实处，五是提高绩效评价质量，认真执行绩效监控，按照内部制度制度要求，依照相关流程提高履职成效。结合绩效评价结果，对存在不合理的、需要改进提高的工作方法、管理措施、监督力度，进行进一步提升和规范.</w:t>
      </w:r>
    </w:p>
    <w:p>
      <w:pPr>
        <w:spacing w:line="600" w:lineRule="atLeast"/>
        <w:rPr>
          <w:rFonts w:ascii="仿宋_GB2312" w:eastAsia="仿宋_GB2312"/>
          <w:b/>
          <w:color w:val="000000"/>
          <w:sz w:val="32"/>
          <w:szCs w:val="32"/>
        </w:rPr>
      </w:pPr>
      <w:r>
        <w:rPr>
          <w:rFonts w:ascii="仿宋" w:hAnsi="仿宋" w:eastAsia="仿宋" w:cs="仿宋_GB2312"/>
          <w:sz w:val="32"/>
          <w:szCs w:val="32"/>
        </w:rPr>
        <w:t>（三）结果应用情况。</w:t>
      </w:r>
    </w:p>
    <w:p>
      <w:pPr>
        <w:jc w:val="center"/>
        <w:rPr>
          <w:rFonts w:ascii="黑体" w:hAnsi="黑体" w:eastAsia="黑体"/>
          <w:color w:val="000000"/>
          <w:sz w:val="32"/>
          <w:szCs w:val="32"/>
        </w:rPr>
      </w:pPr>
      <w:r>
        <w:rPr>
          <w:rFonts w:hint="eastAsia" w:ascii="黑体" w:hAnsi="黑体" w:eastAsia="黑体"/>
          <w:color w:val="000000"/>
          <w:sz w:val="32"/>
          <w:szCs w:val="32"/>
        </w:rPr>
        <w:t>2018年部门整体支出绩效评价得分表</w:t>
      </w:r>
    </w:p>
    <w:tbl>
      <w:tblPr>
        <w:tblStyle w:val="12"/>
        <w:tblW w:w="9498" w:type="dxa"/>
        <w:tblInd w:w="-176" w:type="dxa"/>
        <w:tblLayout w:type="fixed"/>
        <w:tblCellMar>
          <w:top w:w="0" w:type="dxa"/>
          <w:left w:w="108" w:type="dxa"/>
          <w:bottom w:w="0" w:type="dxa"/>
          <w:right w:w="108" w:type="dxa"/>
        </w:tblCellMar>
      </w:tblPr>
      <w:tblGrid>
        <w:gridCol w:w="1702"/>
        <w:gridCol w:w="2268"/>
        <w:gridCol w:w="3402"/>
        <w:gridCol w:w="2126"/>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w:t>
      </w:r>
      <w:r>
        <w:rPr>
          <w:rFonts w:hint="eastAsia" w:ascii="仿宋_GB2312" w:eastAsia="仿宋_GB2312"/>
          <w:color w:val="000000"/>
          <w:sz w:val="32"/>
          <w:szCs w:val="32"/>
        </w:rPr>
        <w:t>本部门对2018年整体支出开展绩效自评，自评得分92分。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_GB2312" w:eastAsia="仿宋_GB2312"/>
          <w:color w:val="000000"/>
          <w:sz w:val="32"/>
          <w:szCs w:val="32"/>
        </w:rPr>
        <w:t>：一是执行中期评估不到位扣1分，二是资产管理信息化1分，三是内部制度健全完整程度不高扣1分，四是评价结果应用不到位扣1分，五是履职成效不高，没有达到规范的效果，扣4分。</w:t>
      </w:r>
    </w:p>
    <w:p>
      <w:pPr>
        <w:spacing w:line="600" w:lineRule="atLeast"/>
        <w:ind w:firstLine="640" w:firstLineChars="200"/>
        <w:rPr>
          <w:rFonts w:ascii="仿宋_GB2312" w:eastAsia="仿宋_GB2312"/>
          <w:b/>
          <w:color w:val="000000"/>
          <w:sz w:val="32"/>
          <w:szCs w:val="32"/>
        </w:rPr>
      </w:pPr>
      <w:r>
        <w:rPr>
          <w:rFonts w:ascii="仿宋" w:hAnsi="仿宋" w:eastAsia="仿宋" w:cs="仿宋_GB2312"/>
          <w:sz w:val="32"/>
          <w:szCs w:val="32"/>
        </w:rPr>
        <w:t>（三）改进建议</w:t>
      </w:r>
      <w:r>
        <w:rPr>
          <w:rFonts w:hint="eastAsia" w:ascii="仿宋" w:hAnsi="仿宋" w:eastAsia="仿宋" w:cs="仿宋_GB2312"/>
          <w:sz w:val="32"/>
          <w:szCs w:val="32"/>
        </w:rPr>
        <w:t>：</w:t>
      </w:r>
      <w:r>
        <w:rPr>
          <w:rFonts w:hint="eastAsia" w:ascii="仿宋_GB2312" w:eastAsia="仿宋_GB2312"/>
          <w:color w:val="000000"/>
          <w:sz w:val="32"/>
          <w:szCs w:val="32"/>
        </w:rPr>
        <w:t>一是加强中期评估的执行力度，认真执行好中期评估，二是及时进行绩效目标的动态监控，三是高质量的完善内部制度建设，四是充分运用评价结果行质量监督，根据评价结果提出改进措施并落到实处，五是提高绩效评价质量，认真执行绩效监控，按照内部制度制度要求，依照相关流程提高履职成效。结合绩效评价结果，对存在不合理的、需要改进提高的工作方法、管理措施、监督力度，进行进一步提升和规范。</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58" w:name="_Toc15396617"/>
      <w:r>
        <w:rPr>
          <w:rStyle w:val="24"/>
          <w:rFonts w:hint="eastAsia" w:ascii="仿宋" w:hAnsi="仿宋" w:eastAsia="仿宋"/>
          <w:b w:val="0"/>
          <w:bCs w:val="0"/>
          <w:sz w:val="32"/>
          <w:szCs w:val="32"/>
        </w:rPr>
        <w:t>附件2</w:t>
      </w:r>
      <w:bookmarkEnd w:id="58"/>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2018年宣汉县黄金镇卫生院项目支出绩效</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专项预算管理。</w:t>
      </w:r>
      <w:r>
        <w:rPr>
          <w:rFonts w:hint="eastAsia" w:ascii="仿宋_GB2312" w:hAnsi="仿宋_GB2312" w:eastAsia="仿宋_GB2312" w:cs="仿宋_GB2312"/>
          <w:sz w:val="32"/>
          <w:szCs w:val="32"/>
        </w:rPr>
        <w:t xml:space="preserve"> 本部门在2018年度部门决算中反映“重大公共卫生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1个项目绩效目标实际完成情况。（本单位部门项目绩效目标个数在1个以上的。</w:t>
      </w: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评价结论</w:t>
      </w:r>
      <w:r>
        <w:rPr>
          <w:rFonts w:hint="eastAsia" w:ascii="仿宋_GB2312" w:hAnsi="仿宋_GB2312" w:eastAsia="仿宋_GB2312" w:cs="仿宋_GB2312"/>
          <w:sz w:val="32"/>
          <w:szCs w:val="32"/>
        </w:rPr>
        <w:t>项目全年预算数8.5万元，执行数为8.5万元，完成预算的100%。通过项目实施，该项目主要用于基本公共卫生健康教育宣传阵地、宣传资料建设。通过该项目实施，我镇安装了全彩色LED健康宣传显示屏，制作了健康教育宣传专题片，在为辖区群众健康教育知识宣传，国家医疗保障及健康扶贫方面政策宣传起到积极作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w:t>
      </w:r>
      <w:r>
        <w:rPr>
          <w:rFonts w:hint="eastAsia" w:ascii="仿宋" w:hAnsi="仿宋" w:eastAsia="仿宋" w:cs="仿宋_GB2312"/>
          <w:sz w:val="32"/>
          <w:szCs w:val="32"/>
        </w:rPr>
        <w:t>；该项目符合国家</w:t>
      </w:r>
      <w:r>
        <w:rPr>
          <w:rFonts w:ascii="仿宋" w:hAnsi="仿宋" w:eastAsia="仿宋" w:cs="仿宋_GB2312"/>
          <w:sz w:val="32"/>
          <w:szCs w:val="32"/>
        </w:rPr>
        <w:t>政策依据，</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w:t>
      </w:r>
      <w:r>
        <w:rPr>
          <w:rFonts w:ascii="仿宋" w:hAnsi="仿宋" w:eastAsia="仿宋" w:cs="仿宋_GB2312"/>
          <w:sz w:val="32"/>
          <w:szCs w:val="32"/>
        </w:rPr>
        <w:t>资金分配管理的科学合理性</w:t>
      </w:r>
      <w:r>
        <w:rPr>
          <w:rFonts w:hint="eastAsia" w:ascii="仿宋" w:hAnsi="仿宋" w:eastAsia="仿宋" w:cs="仿宋_GB2312"/>
          <w:sz w:val="32"/>
          <w:szCs w:val="32"/>
        </w:rPr>
        <w:t>，</w:t>
      </w:r>
      <w:r>
        <w:rPr>
          <w:rFonts w:ascii="仿宋" w:hAnsi="仿宋" w:eastAsia="仿宋" w:cs="仿宋_GB2312"/>
          <w:sz w:val="32"/>
          <w:szCs w:val="32"/>
        </w:rPr>
        <w:t>资金使用情况</w:t>
      </w:r>
      <w:r>
        <w:rPr>
          <w:rFonts w:hint="eastAsia" w:ascii="仿宋" w:hAnsi="仿宋" w:eastAsia="仿宋" w:cs="仿宋_GB2312"/>
          <w:sz w:val="32"/>
          <w:szCs w:val="32"/>
        </w:rPr>
        <w:t>及</w:t>
      </w:r>
      <w:r>
        <w:rPr>
          <w:rFonts w:ascii="仿宋" w:hAnsi="仿宋" w:eastAsia="仿宋" w:cs="仿宋_GB2312"/>
          <w:sz w:val="32"/>
          <w:szCs w:val="32"/>
        </w:rPr>
        <w:t>管理的科学规范</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宣汉县很黄金镇卫生院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仿宋_GB2312" w:cs="宋体"/>
                <w:color w:val="000000"/>
                <w:sz w:val="24"/>
              </w:rPr>
            </w:pPr>
            <w:r>
              <w:rPr>
                <w:rFonts w:hint="eastAsia" w:ascii="仿宋_GB2312" w:hAnsi="仿宋_GB2312" w:eastAsia="仿宋_GB2312" w:cs="仿宋_GB2312"/>
                <w:sz w:val="32"/>
                <w:szCs w:val="32"/>
              </w:rPr>
              <w:t>预算数8.5万元。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执行数为8.5万元，完成预算的100%。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该项目主要用于基本公共卫生健康教育宣传阵地、宣传资料建设。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abs>
                <w:tab w:val="left" w:pos="312"/>
              </w:tabs>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安装了全彩色LED健康宣传显示屏，制作了健康教育宣传专题片，在为辖区群众健康教育知识宣传，国家医疗保障及健康扶贫方面政策宣传起到积极作用。</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rPr>
        <w:t>：项目绩效评价体系不完善。</w:t>
      </w:r>
    </w:p>
    <w:p>
      <w:pPr>
        <w:spacing w:line="600" w:lineRule="atLeast"/>
        <w:ind w:firstLine="640" w:firstLineChars="200"/>
        <w:rPr>
          <w:rFonts w:ascii="仿宋_GB2312" w:eastAsia="仿宋_GB2312"/>
          <w:b/>
          <w:color w:val="000000"/>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仿宋_GB2312"/>
          <w:sz w:val="32"/>
          <w:szCs w:val="32"/>
        </w:rPr>
        <w:t>：我院今后将</w:t>
      </w:r>
      <w:r>
        <w:rPr>
          <w:rFonts w:hint="eastAsia" w:ascii="仿宋_GB2312" w:eastAsia="仿宋_GB2312"/>
          <w:color w:val="000000"/>
          <w:sz w:val="32"/>
          <w:szCs w:val="32"/>
        </w:rPr>
        <w:t>认真执行绩效监控，按照内部制度制度要求，依照相关流程提高履职成效。结合绩效评价结果，对存在不合理的、需要改进提高的工作方法、管理措施、监督力度，进行进一步提升和规范。</w:t>
      </w:r>
    </w:p>
    <w:p>
      <w:pPr>
        <w:spacing w:line="580" w:lineRule="exact"/>
        <w:ind w:firstLine="640" w:firstLineChars="200"/>
        <w:rPr>
          <w:rStyle w:val="24"/>
          <w:rFonts w:ascii="仿宋" w:hAnsi="仿宋" w:eastAsia="仿宋" w:cs="仿宋_GB2312"/>
          <w:b w:val="0"/>
          <w:bCs w:val="0"/>
          <w:kern w:val="2"/>
          <w:sz w:val="32"/>
          <w:szCs w:val="32"/>
        </w:rPr>
      </w:pPr>
    </w:p>
    <w:p>
      <w:pPr>
        <w:spacing w:line="600" w:lineRule="exact"/>
        <w:jc w:val="center"/>
        <w:outlineLvl w:val="0"/>
        <w:rPr>
          <w:rFonts w:ascii="黑体" w:hAnsi="黑体" w:eastAsia="黑体"/>
          <w:color w:val="000000"/>
          <w:sz w:val="44"/>
          <w:szCs w:val="44"/>
        </w:rPr>
      </w:pPr>
      <w:bookmarkStart w:id="59"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4"/>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rPr>
            <w:rFonts w:hint="eastAsia"/>
          </w:rPr>
        </w:pPr>
        <w:r>
          <w:fldChar w:fldCharType="begin"/>
        </w:r>
        <w:r>
          <w:instrText xml:space="preserve">PAGE   \* MERGEFORMAT</w:instrText>
        </w:r>
        <w:r>
          <w:fldChar w:fldCharType="separate"/>
        </w:r>
        <w:r>
          <w:rPr>
            <w:rFonts w:hint="eastAsia"/>
            <w:lang w:val="zh-CN"/>
          </w:rPr>
          <w:t>16</w:t>
        </w:r>
        <w:r>
          <w:fldChar w:fldCharType="end"/>
        </w:r>
      </w:p>
    </w:sdtContent>
  </w:sdt>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272"/>
    <w:rsid w:val="00065F8F"/>
    <w:rsid w:val="000768F2"/>
    <w:rsid w:val="0009184B"/>
    <w:rsid w:val="0009593C"/>
    <w:rsid w:val="000A501A"/>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41FE6"/>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2F60"/>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A5351"/>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D55BA"/>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893568"/>
    <w:rsid w:val="05164C65"/>
    <w:rsid w:val="06D3395D"/>
    <w:rsid w:val="079314D4"/>
    <w:rsid w:val="0AB21CA1"/>
    <w:rsid w:val="0AED64AF"/>
    <w:rsid w:val="0F69787C"/>
    <w:rsid w:val="10C055FF"/>
    <w:rsid w:val="123A2A46"/>
    <w:rsid w:val="16BB723D"/>
    <w:rsid w:val="208B43BC"/>
    <w:rsid w:val="20CE62BA"/>
    <w:rsid w:val="240371BF"/>
    <w:rsid w:val="288D66B8"/>
    <w:rsid w:val="29FD04D3"/>
    <w:rsid w:val="2CA642EC"/>
    <w:rsid w:val="31651DDB"/>
    <w:rsid w:val="319F7F4E"/>
    <w:rsid w:val="32543AB9"/>
    <w:rsid w:val="32A37B8F"/>
    <w:rsid w:val="336A333C"/>
    <w:rsid w:val="38C9412B"/>
    <w:rsid w:val="39387730"/>
    <w:rsid w:val="3CB65B62"/>
    <w:rsid w:val="42320550"/>
    <w:rsid w:val="444B8462"/>
    <w:rsid w:val="46B45E2E"/>
    <w:rsid w:val="48AB6338"/>
    <w:rsid w:val="4CCA17D4"/>
    <w:rsid w:val="4E096973"/>
    <w:rsid w:val="505D6D63"/>
    <w:rsid w:val="519F3719"/>
    <w:rsid w:val="55044749"/>
    <w:rsid w:val="55B34439"/>
    <w:rsid w:val="5BDA7424"/>
    <w:rsid w:val="61506125"/>
    <w:rsid w:val="61DC456C"/>
    <w:rsid w:val="65164C7A"/>
    <w:rsid w:val="68560E99"/>
    <w:rsid w:val="68E03A52"/>
    <w:rsid w:val="6C355CFD"/>
    <w:rsid w:val="6CA0346E"/>
    <w:rsid w:val="6E9C1FE8"/>
    <w:rsid w:val="71FF22A9"/>
    <w:rsid w:val="76332D1D"/>
    <w:rsid w:val="79C85E35"/>
    <w:rsid w:val="7A9203C9"/>
    <w:rsid w:val="7D496B45"/>
    <w:rsid w:val="7F8E68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1808</Words>
  <Characters>10311</Characters>
  <Lines>85</Lines>
  <Paragraphs>24</Paragraphs>
  <TotalTime>11</TotalTime>
  <ScaleCrop>false</ScaleCrop>
  <LinksUpToDate>false</LinksUpToDate>
  <CharactersWithSpaces>12095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2022-02-22T17:28:08Z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