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476"/>
      <w:bookmarkStart w:id="7" w:name="_Toc15378442"/>
      <w:bookmarkStart w:id="8" w:name="_Toc15377194"/>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宣汉县天宝乡卫生院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08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4</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7</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10</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hint="eastAsia" w:ascii="仿宋_GB2312" w:eastAsia="仿宋_GB2312"/>
          <w:sz w:val="32"/>
          <w:szCs w:val="32"/>
          <w:lang w:val="en"/>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_GB2312" w:eastAsia="仿宋_GB2312"/>
          <w:sz w:val="32"/>
          <w:szCs w:val="32"/>
          <w:lang w:val="en"/>
        </w:rPr>
        <w:t>我院现有在职职工</w:t>
      </w:r>
      <w:r>
        <w:rPr>
          <w:rFonts w:hint="eastAsia" w:ascii="仿宋_GB2312" w:eastAsia="仿宋_GB2312"/>
          <w:sz w:val="32"/>
          <w:szCs w:val="32"/>
          <w:lang w:val="en-US" w:eastAsia="zh-CN"/>
        </w:rPr>
        <w:t>10</w:t>
      </w:r>
      <w:r>
        <w:rPr>
          <w:rFonts w:hint="eastAsia" w:ascii="仿宋_GB2312" w:eastAsia="仿宋_GB2312"/>
          <w:sz w:val="32"/>
          <w:szCs w:val="32"/>
          <w:lang w:val="en"/>
        </w:rPr>
        <w:t>人（其中在编在岗人员</w:t>
      </w:r>
      <w:r>
        <w:rPr>
          <w:rFonts w:hint="eastAsia" w:ascii="仿宋_GB2312" w:eastAsia="仿宋_GB2312"/>
          <w:sz w:val="32"/>
          <w:szCs w:val="32"/>
          <w:lang w:val="en-US" w:eastAsia="zh-CN"/>
        </w:rPr>
        <w:t>5</w:t>
      </w:r>
      <w:r>
        <w:rPr>
          <w:rFonts w:hint="eastAsia" w:ascii="仿宋_GB2312" w:eastAsia="仿宋_GB2312"/>
          <w:sz w:val="32"/>
          <w:szCs w:val="32"/>
          <w:lang w:val="en"/>
        </w:rPr>
        <w:t>人，临聘人员</w:t>
      </w:r>
      <w:r>
        <w:rPr>
          <w:rFonts w:hint="eastAsia" w:ascii="仿宋_GB2312" w:eastAsia="仿宋_GB2312"/>
          <w:sz w:val="32"/>
          <w:szCs w:val="32"/>
          <w:lang w:val="en-US" w:eastAsia="zh-CN"/>
        </w:rPr>
        <w:t>5</w:t>
      </w:r>
      <w:r>
        <w:rPr>
          <w:rFonts w:hint="eastAsia" w:ascii="仿宋_GB2312" w:eastAsia="仿宋_GB2312"/>
          <w:sz w:val="32"/>
          <w:szCs w:val="32"/>
          <w:lang w:val="en"/>
        </w:rPr>
        <w:t>人），退休职工</w:t>
      </w:r>
      <w:r>
        <w:rPr>
          <w:rFonts w:hint="eastAsia" w:ascii="仿宋_GB2312" w:eastAsia="仿宋_GB2312"/>
          <w:sz w:val="32"/>
          <w:szCs w:val="32"/>
          <w:lang w:val="en-US" w:eastAsia="zh-CN"/>
        </w:rPr>
        <w:t>1</w:t>
      </w:r>
      <w:r>
        <w:rPr>
          <w:rFonts w:hint="eastAsia" w:ascii="仿宋_GB2312" w:eastAsia="仿宋_GB2312"/>
          <w:sz w:val="32"/>
          <w:szCs w:val="32"/>
          <w:lang w:val="en"/>
        </w:rPr>
        <w:t>人，遗嘱</w:t>
      </w:r>
      <w:r>
        <w:rPr>
          <w:rFonts w:hint="eastAsia" w:ascii="仿宋_GB2312" w:eastAsia="仿宋_GB2312"/>
          <w:sz w:val="32"/>
          <w:szCs w:val="32"/>
          <w:lang w:val="en-US" w:eastAsia="zh-CN"/>
        </w:rPr>
        <w:t>1</w:t>
      </w:r>
      <w:r>
        <w:rPr>
          <w:rFonts w:hint="eastAsia" w:ascii="仿宋_GB2312" w:eastAsia="仿宋_GB2312"/>
          <w:sz w:val="32"/>
          <w:szCs w:val="32"/>
          <w:lang w:val="en"/>
        </w:rPr>
        <w:t>人，开放病床</w:t>
      </w:r>
      <w:r>
        <w:rPr>
          <w:rFonts w:hint="eastAsia" w:ascii="仿宋_GB2312" w:eastAsia="仿宋_GB2312"/>
          <w:sz w:val="32"/>
          <w:szCs w:val="32"/>
          <w:lang w:val="en-US" w:eastAsia="zh-CN"/>
        </w:rPr>
        <w:t>23</w:t>
      </w:r>
      <w:r>
        <w:rPr>
          <w:rFonts w:hint="eastAsia" w:ascii="仿宋_GB2312" w:eastAsia="仿宋_GB2312"/>
          <w:sz w:val="32"/>
          <w:szCs w:val="32"/>
          <w:lang w:val="en"/>
        </w:rPr>
        <w:t>张。是医保和新农合定点医院。担负着辖区居民的防病、治病重任，是集医药医疗、急救、预防、保健、康复于一体的</w:t>
      </w:r>
      <w:r>
        <w:rPr>
          <w:rFonts w:hint="eastAsia" w:ascii="仿宋" w:hAnsi="仿宋" w:eastAsia="仿宋"/>
          <w:sz w:val="32"/>
          <w:szCs w:val="32"/>
        </w:rPr>
        <w:t>的一级</w:t>
      </w:r>
      <w:r>
        <w:rPr>
          <w:rFonts w:hint="eastAsia" w:ascii="仿宋" w:hAnsi="仿宋" w:eastAsia="仿宋"/>
          <w:sz w:val="32"/>
          <w:szCs w:val="32"/>
          <w:lang w:eastAsia="zh-CN"/>
        </w:rPr>
        <w:t>甲</w:t>
      </w:r>
      <w:r>
        <w:rPr>
          <w:rFonts w:hint="eastAsia" w:ascii="仿宋" w:hAnsi="仿宋" w:eastAsia="仿宋"/>
          <w:sz w:val="32"/>
          <w:szCs w:val="32"/>
        </w:rPr>
        <w:t>等医院</w:t>
      </w:r>
      <w:r>
        <w:rPr>
          <w:rFonts w:hint="eastAsia" w:ascii="仿宋" w:hAnsi="仿宋" w:eastAsia="仿宋"/>
          <w:sz w:val="32"/>
          <w:szCs w:val="32"/>
          <w:lang w:eastAsia="zh-CN"/>
        </w:rPr>
        <w:t>，也</w:t>
      </w:r>
      <w:r>
        <w:rPr>
          <w:rFonts w:hint="eastAsia" w:ascii="仿宋_GB2312" w:eastAsia="仿宋_GB2312"/>
          <w:sz w:val="32"/>
          <w:szCs w:val="32"/>
          <w:lang w:val="en"/>
        </w:rPr>
        <w:t>是医保和新农合定点医院。并起着全辖区卫生事业的龙头带动作用。</w:t>
      </w:r>
      <w:r>
        <w:rPr>
          <w:rFonts w:hint="eastAsia" w:ascii="仿宋_GB2312" w:eastAsia="仿宋_GB2312"/>
          <w:sz w:val="32"/>
          <w:szCs w:val="32"/>
          <w:lang w:val="en" w:eastAsia="zh-CN"/>
        </w:rPr>
        <w:t>辖区共</w:t>
      </w:r>
      <w:r>
        <w:rPr>
          <w:rFonts w:hint="eastAsia" w:ascii="仿宋_GB2312" w:eastAsia="仿宋_GB2312"/>
          <w:sz w:val="32"/>
          <w:szCs w:val="32"/>
          <w:lang w:val="en-US" w:eastAsia="zh-CN"/>
        </w:rPr>
        <w:t>7个村卫生室，全镇总人口0.7002万人，财政基本公共卫生计算服务人口6574人。</w:t>
      </w:r>
    </w:p>
    <w:p>
      <w:pPr>
        <w:ind w:firstLine="640" w:firstLineChars="200"/>
        <w:rPr>
          <w:rFonts w:hint="eastAsia" w:ascii="仿宋_GB2312" w:eastAsia="仿宋_GB2312"/>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r>
        <w:rPr>
          <w:rFonts w:hint="eastAsia" w:ascii="仿宋_GB2312" w:eastAsia="仿宋_GB2312"/>
          <w:bCs/>
          <w:sz w:val="32"/>
          <w:szCs w:val="32"/>
          <w:lang w:eastAsia="zh-CN"/>
        </w:rPr>
        <w:t>一是</w:t>
      </w:r>
      <w:r>
        <w:rPr>
          <w:rFonts w:hint="eastAsia" w:ascii="仿宋_GB2312" w:eastAsia="仿宋_GB2312"/>
          <w:bCs/>
          <w:sz w:val="32"/>
          <w:szCs w:val="32"/>
        </w:rPr>
        <w:t>不断加强管理，强化内涵建设，切实重抓医疗质量和安全管理，发展人才先行，不断优化病区环境</w:t>
      </w:r>
      <w:r>
        <w:rPr>
          <w:rFonts w:hint="eastAsia" w:ascii="仿宋_GB2312" w:eastAsia="仿宋_GB2312"/>
          <w:sz w:val="32"/>
          <w:szCs w:val="32"/>
        </w:rPr>
        <w:t>，打造让患者舒心、满意的家庭式病房，病人满意度不断提升。</w:t>
      </w:r>
      <w:r>
        <w:rPr>
          <w:rFonts w:hint="eastAsia" w:ascii="仿宋_GB2312" w:eastAsia="仿宋_GB2312"/>
          <w:sz w:val="32"/>
          <w:szCs w:val="32"/>
          <w:lang w:eastAsia="zh-CN"/>
        </w:rPr>
        <w:t>二是</w:t>
      </w:r>
      <w:r>
        <w:rPr>
          <w:rFonts w:hint="eastAsia" w:ascii="仿宋_GB2312" w:eastAsia="仿宋_GB2312"/>
          <w:bCs/>
          <w:sz w:val="32"/>
          <w:szCs w:val="32"/>
        </w:rPr>
        <w:t>不断加强基础设施建设</w:t>
      </w:r>
      <w:r>
        <w:rPr>
          <w:rFonts w:hint="eastAsia" w:ascii="仿宋_GB2312" w:eastAsia="仿宋_GB2312"/>
          <w:sz w:val="32"/>
          <w:szCs w:val="32"/>
        </w:rPr>
        <w:t>，</w:t>
      </w:r>
      <w:r>
        <w:rPr>
          <w:rFonts w:hint="eastAsia" w:ascii="仿宋_GB2312" w:eastAsia="仿宋_GB2312"/>
          <w:sz w:val="32"/>
          <w:szCs w:val="32"/>
          <w:lang w:eastAsia="zh-CN"/>
        </w:rPr>
        <w:t>集中打造中医诊疗区、三</w:t>
      </w:r>
      <w:r>
        <w:rPr>
          <w:rFonts w:hint="eastAsia" w:ascii="仿宋_GB2312" w:eastAsia="仿宋_GB2312"/>
          <w:sz w:val="32"/>
          <w:szCs w:val="32"/>
          <w:lang w:val="en-US" w:eastAsia="zh-CN"/>
        </w:rPr>
        <w:t>是污水处理设施、医疗废物处理间、</w:t>
      </w:r>
      <w:r>
        <w:rPr>
          <w:rFonts w:hint="eastAsia" w:ascii="仿宋_GB2312" w:eastAsia="仿宋_GB2312"/>
          <w:sz w:val="32"/>
          <w:szCs w:val="32"/>
        </w:rPr>
        <w:t>医院</w:t>
      </w:r>
      <w:r>
        <w:rPr>
          <w:rFonts w:hint="eastAsia" w:ascii="仿宋_GB2312" w:eastAsia="仿宋_GB2312"/>
          <w:sz w:val="32"/>
          <w:szCs w:val="32"/>
          <w:lang w:eastAsia="zh-CN"/>
        </w:rPr>
        <w:t>院坝整治</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完善了病房的改造及医院环境的改善，真正做到“住院环境花园式、病房宾馆式、服务人性化”。</w:t>
      </w:r>
      <w:r>
        <w:rPr>
          <w:rFonts w:hint="eastAsia" w:ascii="仿宋_GB2312" w:eastAsia="仿宋_GB2312"/>
          <w:sz w:val="32"/>
          <w:szCs w:val="32"/>
          <w:lang w:eastAsia="zh-CN"/>
        </w:rPr>
        <w:t>四是争取到财政资金，全力打造</w:t>
      </w:r>
      <w:r>
        <w:rPr>
          <w:rFonts w:hint="eastAsia" w:ascii="仿宋_GB2312" w:eastAsia="仿宋_GB2312"/>
          <w:sz w:val="32"/>
          <w:szCs w:val="32"/>
          <w:lang w:val="en-US" w:eastAsia="zh-CN"/>
        </w:rPr>
        <w:t>DR室打造及设备采购中。</w:t>
      </w:r>
      <w:r>
        <w:rPr>
          <w:rFonts w:hint="eastAsia" w:ascii="仿宋_GB2312" w:eastAsia="仿宋_GB2312"/>
          <w:sz w:val="32"/>
          <w:szCs w:val="32"/>
        </w:rPr>
        <w:t>圆满完成城乡环境治理工作，</w:t>
      </w:r>
      <w:r>
        <w:rPr>
          <w:rFonts w:hint="eastAsia" w:ascii="仿宋_GB2312" w:eastAsia="仿宋_GB2312"/>
          <w:bCs/>
          <w:sz w:val="32"/>
          <w:szCs w:val="32"/>
        </w:rPr>
        <w:t>高度重视安全维稳信访工作</w:t>
      </w:r>
      <w:r>
        <w:rPr>
          <w:rFonts w:hint="eastAsia" w:ascii="仿宋_GB2312" w:eastAsia="仿宋_GB2312"/>
          <w:sz w:val="32"/>
          <w:szCs w:val="32"/>
        </w:rPr>
        <w:t>，</w:t>
      </w:r>
      <w:r>
        <w:rPr>
          <w:rFonts w:hint="eastAsia" w:ascii="仿宋_GB2312" w:eastAsia="仿宋_GB2312"/>
          <w:bCs/>
          <w:sz w:val="32"/>
          <w:szCs w:val="32"/>
        </w:rPr>
        <w:t>中医工作持续推进</w:t>
      </w:r>
      <w:r>
        <w:rPr>
          <w:rFonts w:hint="eastAsia" w:ascii="仿宋_GB2312" w:eastAsia="仿宋_GB2312"/>
          <w:sz w:val="32"/>
          <w:szCs w:val="32"/>
        </w:rPr>
        <w:t>。</w:t>
      </w:r>
    </w:p>
    <w:p>
      <w:pPr>
        <w:ind w:firstLine="640" w:firstLineChars="200"/>
        <w:rPr>
          <w:rFonts w:hint="eastAsia" w:ascii="仿宋" w:hAnsi="仿宋" w:eastAsia="仿宋_GB2312"/>
          <w:sz w:val="32"/>
          <w:szCs w:val="32"/>
          <w:lang w:val="en-US" w:eastAsia="zh-CN"/>
        </w:rPr>
      </w:pPr>
      <w:r>
        <w:rPr>
          <w:rFonts w:hint="eastAsia" w:ascii="仿宋_GB2312" w:eastAsia="仿宋_GB2312"/>
          <w:sz w:val="32"/>
          <w:szCs w:val="32"/>
        </w:rPr>
        <w:t>公共卫生坚持“关口前移、重心下沉、主动出击、防患于未然”的工作原则。</w:t>
      </w:r>
      <w:r>
        <w:rPr>
          <w:rFonts w:hint="eastAsia" w:ascii="仿宋" w:hAnsi="仿宋" w:eastAsia="仿宋" w:cs="仿宋"/>
          <w:sz w:val="32"/>
          <w:szCs w:val="32"/>
        </w:rPr>
        <w:t>一是按照县卫计局要求以“家庭医生”签约服务为契机全面推进基本公共卫生服务工作。二是狠抓医疗服务质量</w:t>
      </w:r>
      <w:r>
        <w:rPr>
          <w:rFonts w:hint="eastAsia" w:ascii="仿宋" w:hAnsi="仿宋" w:eastAsia="仿宋" w:cs="仿宋"/>
          <w:sz w:val="32"/>
          <w:szCs w:val="32"/>
          <w:lang w:eastAsia="zh-CN"/>
        </w:rPr>
        <w:t>和安全</w:t>
      </w:r>
      <w:r>
        <w:rPr>
          <w:rFonts w:hint="eastAsia" w:ascii="仿宋" w:hAnsi="仿宋" w:eastAsia="仿宋" w:cs="仿宋"/>
          <w:sz w:val="32"/>
          <w:szCs w:val="32"/>
        </w:rPr>
        <w:t>。三是以认真学习领会中央</w:t>
      </w:r>
      <w:bookmarkStart w:id="75" w:name="_GoBack"/>
      <w:bookmarkEnd w:id="75"/>
      <w:r>
        <w:rPr>
          <w:rFonts w:hint="eastAsia" w:ascii="仿宋" w:hAnsi="仿宋" w:eastAsia="仿宋" w:cs="仿宋"/>
          <w:sz w:val="32"/>
          <w:szCs w:val="32"/>
        </w:rPr>
        <w:t>八项规定，规范医疗行为，提升医疗队伍的业务素质能力，忠实践行“全心全意为人民服务”的宗旨。</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年我院诊疗人次</w:t>
      </w:r>
      <w:r>
        <w:rPr>
          <w:rFonts w:hint="eastAsia" w:ascii="仿宋" w:hAnsi="仿宋" w:eastAsia="仿宋"/>
          <w:sz w:val="32"/>
          <w:szCs w:val="32"/>
          <w:lang w:val="en-US" w:eastAsia="zh-CN"/>
        </w:rPr>
        <w:t>3652</w:t>
      </w:r>
      <w:r>
        <w:rPr>
          <w:rFonts w:hint="eastAsia" w:ascii="仿宋" w:hAnsi="仿宋" w:eastAsia="仿宋"/>
          <w:sz w:val="32"/>
          <w:szCs w:val="32"/>
        </w:rPr>
        <w:t>人次，收治住院病人</w:t>
      </w:r>
      <w:r>
        <w:rPr>
          <w:rFonts w:hint="eastAsia" w:ascii="仿宋" w:hAnsi="仿宋" w:eastAsia="仿宋"/>
          <w:sz w:val="32"/>
          <w:szCs w:val="32"/>
          <w:lang w:val="en-US" w:eastAsia="zh-CN"/>
        </w:rPr>
        <w:t>310</w:t>
      </w:r>
      <w:r>
        <w:rPr>
          <w:rFonts w:hint="eastAsia" w:ascii="仿宋" w:hAnsi="仿宋" w:eastAsia="仿宋"/>
          <w:sz w:val="32"/>
          <w:szCs w:val="32"/>
        </w:rPr>
        <w:t>人次，实现医疗收入</w:t>
      </w:r>
      <w:r>
        <w:rPr>
          <w:rFonts w:hint="eastAsia" w:ascii="仿宋" w:hAnsi="仿宋" w:eastAsia="仿宋"/>
          <w:sz w:val="32"/>
          <w:szCs w:val="32"/>
          <w:lang w:val="en-US" w:eastAsia="zh-CN"/>
        </w:rPr>
        <w:t>55.83</w:t>
      </w:r>
      <w:r>
        <w:rPr>
          <w:rFonts w:hint="eastAsia" w:ascii="仿宋" w:hAnsi="仿宋" w:eastAsia="仿宋"/>
          <w:sz w:val="32"/>
          <w:szCs w:val="32"/>
        </w:rPr>
        <w:t>元；居民健康建档人数</w:t>
      </w:r>
      <w:r>
        <w:rPr>
          <w:rFonts w:hint="eastAsia" w:ascii="仿宋" w:hAnsi="仿宋" w:eastAsia="仿宋"/>
          <w:sz w:val="32"/>
          <w:szCs w:val="32"/>
          <w:lang w:val="en-US" w:eastAsia="zh-CN"/>
        </w:rPr>
        <w:t>7002</w:t>
      </w:r>
      <w:r>
        <w:rPr>
          <w:rFonts w:hint="eastAsia" w:ascii="仿宋" w:hAnsi="仿宋" w:eastAsia="仿宋"/>
          <w:sz w:val="32"/>
          <w:szCs w:val="32"/>
        </w:rPr>
        <w:t>人，电子建档人数为</w:t>
      </w:r>
      <w:r>
        <w:rPr>
          <w:rFonts w:hint="eastAsia" w:ascii="仿宋" w:hAnsi="仿宋" w:eastAsia="仿宋"/>
          <w:sz w:val="32"/>
          <w:szCs w:val="32"/>
          <w:lang w:val="en-US" w:eastAsia="zh-CN"/>
        </w:rPr>
        <w:t>7002</w:t>
      </w:r>
      <w:r>
        <w:rPr>
          <w:rFonts w:hint="eastAsia" w:ascii="仿宋" w:hAnsi="仿宋" w:eastAsia="仿宋"/>
          <w:sz w:val="32"/>
          <w:szCs w:val="32"/>
        </w:rPr>
        <w:t>人，健康知识讲座受益人数达</w:t>
      </w:r>
      <w:r>
        <w:rPr>
          <w:rFonts w:hint="eastAsia" w:ascii="仿宋" w:hAnsi="仿宋" w:eastAsia="仿宋"/>
          <w:sz w:val="32"/>
          <w:szCs w:val="32"/>
          <w:lang w:val="en-US" w:eastAsia="zh-CN"/>
        </w:rPr>
        <w:t>6574</w:t>
      </w:r>
      <w:r>
        <w:rPr>
          <w:rFonts w:hint="eastAsia" w:ascii="仿宋" w:hAnsi="仿宋" w:eastAsia="仿宋"/>
          <w:sz w:val="32"/>
          <w:szCs w:val="32"/>
        </w:rPr>
        <w:t>人次</w:t>
      </w:r>
      <w:r>
        <w:rPr>
          <w:rFonts w:hint="eastAsia" w:ascii="仿宋_GB2312" w:hAnsi="仿宋" w:eastAsia="仿宋_GB2312"/>
          <w:sz w:val="32"/>
          <w:szCs w:val="32"/>
        </w:rPr>
        <w:t>。</w:t>
      </w:r>
      <w:r>
        <w:rPr>
          <w:rFonts w:hint="eastAsia" w:ascii="仿宋_GB2312" w:hAnsi="仿宋" w:eastAsia="仿宋_GB2312"/>
          <w:sz w:val="32"/>
          <w:szCs w:val="32"/>
          <w:lang w:eastAsia="zh-CN"/>
        </w:rPr>
        <w:t>健康扶贫工作三个一批信息录入全面完成，</w:t>
      </w:r>
      <w:r>
        <w:rPr>
          <w:rFonts w:hint="eastAsia" w:ascii="仿宋_GB2312" w:hAnsi="仿宋" w:eastAsia="仿宋_GB2312"/>
          <w:sz w:val="32"/>
          <w:szCs w:val="32"/>
          <w:lang w:val="en-US" w:eastAsia="zh-CN"/>
        </w:rPr>
        <w:t>2019年大病救治12人，慢病签约603人，重病兜底8人。</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640" w:firstLineChars="200"/>
        <w:rPr>
          <w:rFonts w:ascii="仿宋" w:hAnsi="仿宋" w:eastAsia="仿宋"/>
          <w:color w:val="000000"/>
          <w:sz w:val="32"/>
          <w:szCs w:val="32"/>
        </w:rPr>
      </w:pPr>
      <w:r>
        <w:rPr>
          <w:rFonts w:hint="eastAsia" w:ascii="仿宋_GB2312" w:eastAsia="仿宋_GB2312"/>
          <w:sz w:val="32"/>
          <w:szCs w:val="32"/>
          <w:lang w:val="en"/>
        </w:rPr>
        <w:t>201</w:t>
      </w:r>
      <w:r>
        <w:rPr>
          <w:rFonts w:hint="eastAsia" w:ascii="仿宋_GB2312" w:eastAsia="仿宋_GB2312"/>
          <w:sz w:val="32"/>
          <w:szCs w:val="32"/>
          <w:lang w:val="en-US" w:eastAsia="zh-CN"/>
        </w:rPr>
        <w:t>9</w:t>
      </w:r>
      <w:r>
        <w:rPr>
          <w:rFonts w:hint="eastAsia" w:ascii="仿宋_GB2312" w:eastAsia="仿宋_GB2312"/>
          <w:sz w:val="32"/>
          <w:szCs w:val="32"/>
          <w:lang w:val="en"/>
        </w:rPr>
        <w:t>年我院部门决算公开单位1个，其中公益一类事业单位1个。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napToGrid w:val="0"/>
        <w:spacing w:line="520" w:lineRule="exact"/>
        <w:ind w:firstLine="660"/>
        <w:rPr>
          <w:rFonts w:hint="eastAsia" w:ascii="仿宋_GB2312" w:hAnsi="仿宋" w:eastAsia="宋体"/>
          <w:b/>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228.32</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233.43万元</w:t>
      </w:r>
      <w:r>
        <w:rPr>
          <w:rFonts w:hint="eastAsia" w:ascii="仿宋" w:hAnsi="仿宋" w:eastAsia="仿宋"/>
          <w:color w:val="000000"/>
          <w:sz w:val="32"/>
          <w:szCs w:val="32"/>
        </w:rPr>
        <w:t>、支总计各减少</w:t>
      </w:r>
      <w:r>
        <w:rPr>
          <w:rFonts w:hint="eastAsia" w:ascii="仿宋" w:hAnsi="仿宋" w:eastAsia="仿宋"/>
          <w:color w:val="000000"/>
          <w:sz w:val="32"/>
          <w:szCs w:val="32"/>
          <w:lang w:val="en-US" w:eastAsia="zh-CN"/>
        </w:rPr>
        <w:t>5.11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2.18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宋体" w:hAnsi="宋体"/>
          <w:b w:val="0"/>
          <w:bCs/>
          <w:sz w:val="32"/>
          <w:szCs w:val="32"/>
          <w:lang w:val="en-US" w:eastAsia="zh-CN"/>
        </w:rPr>
        <w:t>主要增加放射科建设</w:t>
      </w:r>
      <w:r>
        <w:rPr>
          <w:rFonts w:hint="eastAsia" w:ascii="宋体" w:hAnsi="宋体"/>
          <w:b/>
          <w:sz w:val="32"/>
          <w:szCs w:val="32"/>
          <w:lang w:val="en-US" w:eastAsia="zh-CN"/>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drawing>
          <wp:anchor distT="0" distB="0" distL="114300" distR="114300" simplePos="0" relativeHeight="251658240" behindDoc="0" locked="0" layoutInCell="1" allowOverlap="1">
            <wp:simplePos x="0" y="0"/>
            <wp:positionH relativeFrom="column">
              <wp:posOffset>209550</wp:posOffset>
            </wp:positionH>
            <wp:positionV relativeFrom="paragraph">
              <wp:posOffset>70485</wp:posOffset>
            </wp:positionV>
            <wp:extent cx="4794250" cy="3231515"/>
            <wp:effectExtent l="4445" t="4445" r="20955"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228.32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172.48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75.54</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55.83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24.56</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drawing>
          <wp:anchor distT="0" distB="0" distL="114300" distR="114300" simplePos="0" relativeHeight="251659264" behindDoc="0" locked="0" layoutInCell="1" allowOverlap="1">
            <wp:simplePos x="0" y="0"/>
            <wp:positionH relativeFrom="column">
              <wp:posOffset>436245</wp:posOffset>
            </wp:positionH>
            <wp:positionV relativeFrom="paragraph">
              <wp:posOffset>137795</wp:posOffset>
            </wp:positionV>
            <wp:extent cx="4310380" cy="2893695"/>
            <wp:effectExtent l="4445" t="5080" r="9525" b="1587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228.32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128.32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56.21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43.79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rPr>
        <w:drawing>
          <wp:anchor distT="0" distB="0" distL="114300" distR="114300" simplePos="0" relativeHeight="251661312" behindDoc="0" locked="0" layoutInCell="1" allowOverlap="1">
            <wp:simplePos x="0" y="0"/>
            <wp:positionH relativeFrom="column">
              <wp:posOffset>360045</wp:posOffset>
            </wp:positionH>
            <wp:positionV relativeFrom="paragraph">
              <wp:posOffset>515620</wp:posOffset>
            </wp:positionV>
            <wp:extent cx="4310380" cy="2657475"/>
            <wp:effectExtent l="4445" t="5080" r="9525" b="444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FF0000"/>
          <w:sz w:val="32"/>
          <w:szCs w:val="32"/>
        </w:rPr>
        <w:t>四、财</w:t>
      </w:r>
      <w:r>
        <w:rPr>
          <w:rStyle w:val="25"/>
          <w:rFonts w:hint="eastAsia" w:ascii="黑体" w:hAnsi="黑体" w:eastAsia="黑体"/>
          <w:b w:val="0"/>
          <w:color w:val="FF0000"/>
        </w:rPr>
        <w:t>政拨款收入支出决算总体情况说明</w:t>
      </w:r>
      <w:bookmarkEnd w:id="30"/>
      <w:bookmarkEnd w:id="31"/>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172.48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73.45万元，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年财政拨款收、支相比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 xml:space="preserve"> 了99.03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66.69</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放射科建设项目的增加</w: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olor w:val="000000"/>
          <w:sz w:val="32"/>
          <w:szCs w:val="32"/>
          <w:lang w:eastAsia="zh-CN"/>
        </w:rPr>
        <w:drawing>
          <wp:anchor distT="0" distB="0" distL="114300" distR="114300" simplePos="0" relativeHeight="251680768" behindDoc="0" locked="0" layoutInCell="1" allowOverlap="1">
            <wp:simplePos x="0" y="0"/>
            <wp:positionH relativeFrom="column">
              <wp:posOffset>233045</wp:posOffset>
            </wp:positionH>
            <wp:positionV relativeFrom="paragraph">
              <wp:posOffset>585470</wp:posOffset>
            </wp:positionV>
            <wp:extent cx="4794250" cy="3513455"/>
            <wp:effectExtent l="4445" t="4445" r="20955" b="635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172.48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75.54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增加了</w:t>
      </w:r>
      <w:r>
        <w:rPr>
          <w:rFonts w:hint="eastAsia" w:ascii="仿宋" w:hAnsi="仿宋" w:eastAsia="仿宋"/>
          <w:color w:val="000000"/>
          <w:sz w:val="32"/>
          <w:szCs w:val="32"/>
          <w:lang w:val="en-US" w:eastAsia="zh-CN"/>
        </w:rPr>
        <w:t>99.03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66.69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eastAsia="仿宋"/>
          <w:sz w:val="32"/>
          <w:szCs w:val="40"/>
          <w:lang w:eastAsia="zh-CN"/>
        </w:rPr>
        <w:t>放射科建设项目</w:t>
      </w: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b/>
          <w:color w:val="000000"/>
          <w:sz w:val="32"/>
          <w:szCs w:val="32"/>
        </w:rPr>
      </w:pPr>
      <w:bookmarkStart w:id="35" w:name="_Toc15377211"/>
      <w:r>
        <w:rPr>
          <w:rFonts w:hint="eastAsia" w:ascii="黑体" w:hAnsi="黑体" w:eastAsia="黑体"/>
          <w:color w:val="000000"/>
          <w:sz w:val="32"/>
          <w:szCs w:val="32"/>
          <w:lang w:eastAsia="zh-CN"/>
        </w:rPr>
        <w:drawing>
          <wp:anchor distT="0" distB="0" distL="114300" distR="114300" simplePos="0" relativeHeight="251667456" behindDoc="0" locked="0" layoutInCell="1" allowOverlap="1">
            <wp:simplePos x="0" y="0"/>
            <wp:positionH relativeFrom="column">
              <wp:posOffset>290830</wp:posOffset>
            </wp:positionH>
            <wp:positionV relativeFrom="paragraph">
              <wp:posOffset>125730</wp:posOffset>
            </wp:positionV>
            <wp:extent cx="4794250" cy="3092450"/>
            <wp:effectExtent l="4445" t="4445" r="20955" b="825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172.48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172.48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bCs/>
          <w:color w:val="000000" w:themeColor="text1"/>
          <w:sz w:val="32"/>
          <w:szCs w:val="32"/>
          <w:lang w:val="en-US" w:eastAsia="zh-CN"/>
          <w14:textFill>
            <w14:solidFill>
              <w14:schemeClr w14:val="tx1"/>
            </w14:solidFill>
          </w14:textFill>
        </w:rPr>
        <w:t>0</w:t>
      </w:r>
      <w:r>
        <w:rPr>
          <w:rFonts w:hint="eastAsia" w:ascii="仿宋" w:hAnsi="仿宋" w:eastAsia="仿宋"/>
          <w:b/>
          <w:bCs/>
          <w:color w:val="000000" w:themeColor="text1"/>
          <w:sz w:val="32"/>
          <w:szCs w:val="32"/>
          <w14:textFill>
            <w14:solidFill>
              <w14:schemeClr w14:val="tx1"/>
            </w14:solidFill>
          </w14:textFill>
        </w:rPr>
        <w:t>万元，占</w:t>
      </w:r>
      <w:r>
        <w:rPr>
          <w:rFonts w:hint="eastAsia" w:ascii="仿宋" w:hAnsi="仿宋" w:eastAsia="仿宋"/>
          <w:b/>
          <w:bCs/>
          <w:color w:val="000000" w:themeColor="text1"/>
          <w:sz w:val="32"/>
          <w:szCs w:val="32"/>
          <w:lang w:val="en-US" w:eastAsia="zh-CN"/>
          <w14:textFill>
            <w14:solidFill>
              <w14:schemeClr w14:val="tx1"/>
            </w14:solidFill>
          </w14:textFill>
        </w:rPr>
        <w:t>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3.29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b/>
          <w:bCs/>
          <w:color w:val="000000" w:themeColor="text1"/>
          <w:sz w:val="32"/>
          <w:szCs w:val="32"/>
          <w:lang w:val="en-US" w:eastAsia="zh-CN"/>
          <w14:textFill>
            <w14:solidFill>
              <w14:schemeClr w14:val="tx1"/>
            </w14:solidFill>
          </w14:textFill>
        </w:rPr>
        <w:t>69.19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40.11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项目支出</w:t>
      </w:r>
      <w:r>
        <w:rPr>
          <w:rFonts w:hint="eastAsia" w:ascii="仿宋" w:hAnsi="仿宋" w:eastAsia="仿宋"/>
          <w:color w:val="000000" w:themeColor="text1"/>
          <w:sz w:val="32"/>
          <w:szCs w:val="32"/>
          <w:lang w:val="en-US" w:eastAsia="zh-CN"/>
          <w14:textFill>
            <w14:solidFill>
              <w14:schemeClr w14:val="tx1"/>
            </w14:solidFill>
          </w14:textFill>
        </w:rPr>
        <w:t>100万元，占57.99%</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sz w:val="32"/>
          <w:szCs w:val="32"/>
        </w:rPr>
        <w:t>（图6：一般公共预算财政拨款支出决算结构）（饼状图）</w:t>
      </w:r>
    </w:p>
    <w:p>
      <w:pPr>
        <w:spacing w:line="600" w:lineRule="exact"/>
        <w:ind w:firstLine="640"/>
        <w:rPr>
          <w:rFonts w:ascii="仿宋" w:hAnsi="仿宋" w:eastAsia="仿宋"/>
          <w:b/>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r>
        <w:rPr>
          <w:rFonts w:hint="eastAsia" w:ascii="黑体" w:hAnsi="黑体" w:eastAsia="黑体"/>
          <w:color w:val="000000"/>
          <w:sz w:val="32"/>
          <w:szCs w:val="32"/>
        </w:rPr>
        <w:drawing>
          <wp:anchor distT="0" distB="0" distL="114300" distR="114300" simplePos="0" relativeHeight="251688960" behindDoc="0" locked="0" layoutInCell="1" allowOverlap="1">
            <wp:simplePos x="0" y="0"/>
            <wp:positionH relativeFrom="column">
              <wp:posOffset>547370</wp:posOffset>
            </wp:positionH>
            <wp:positionV relativeFrom="paragraph">
              <wp:posOffset>-480695</wp:posOffset>
            </wp:positionV>
            <wp:extent cx="4310380" cy="2657475"/>
            <wp:effectExtent l="4445" t="5080" r="9525" b="444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w:t>
      </w:r>
      <w:r>
        <w:rPr>
          <w:rFonts w:hint="eastAsia" w:ascii="仿宋" w:hAnsi="仿宋" w:eastAsia="仿宋"/>
          <w:b/>
          <w:color w:val="000000" w:themeColor="text1"/>
          <w:sz w:val="32"/>
          <w:szCs w:val="32"/>
          <w:lang w:val="en-US"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172.48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Fonts w:hint="eastAsia" w:ascii="仿宋_GB2312" w:eastAsia="仿宋_GB2312"/>
          <w:color w:val="000000"/>
          <w:sz w:val="32"/>
          <w:szCs w:val="32"/>
        </w:rPr>
        <w:t>医疗卫生与计划生育支出</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172.48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_GB2312" w:eastAsia="仿宋_GB2312"/>
          <w:color w:val="000000"/>
          <w:sz w:val="32"/>
          <w:szCs w:val="32"/>
        </w:rPr>
        <w:t>医疗保障</w:t>
      </w:r>
      <w:r>
        <w:rPr>
          <w:rStyle w:val="14"/>
          <w:rFonts w:hint="eastAsia" w:ascii="仿宋" w:hAnsi="仿宋" w:eastAsia="仿宋"/>
          <w:bCs/>
          <w:color w:val="000000"/>
          <w:sz w:val="32"/>
          <w:szCs w:val="32"/>
        </w:rPr>
        <w:t>（款）</w:t>
      </w:r>
      <w:r>
        <w:rPr>
          <w:rStyle w:val="14"/>
          <w:rFonts w:hint="eastAsia" w:ascii="仿宋_GB2312" w:eastAsia="仿宋_GB2312"/>
          <w:color w:val="000000"/>
          <w:sz w:val="32"/>
          <w:szCs w:val="32"/>
        </w:rPr>
        <w:t>乡镇卫生院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3.29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69.19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，项目支出</w:t>
      </w:r>
      <w:r>
        <w:rPr>
          <w:rStyle w:val="14"/>
          <w:rFonts w:hint="eastAsia" w:ascii="仿宋" w:hAnsi="仿宋" w:eastAsia="仿宋"/>
          <w:b w:val="0"/>
          <w:bCs/>
          <w:color w:val="000000"/>
          <w:sz w:val="32"/>
          <w:szCs w:val="32"/>
          <w:lang w:val="en-US" w:eastAsia="zh-CN"/>
        </w:rPr>
        <w:t>100万元，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172.48</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26.52</w:t>
      </w:r>
      <w:r>
        <w:rPr>
          <w:rFonts w:hint="eastAsia" w:ascii="仿宋" w:hAnsi="仿宋" w:eastAsia="仿宋"/>
          <w:color w:val="auto"/>
          <w:sz w:val="32"/>
          <w:szCs w:val="32"/>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45.96</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w:t>
      </w:r>
      <w:r>
        <w:rPr>
          <w:rFonts w:hint="eastAsia" w:ascii="仿宋" w:hAnsi="仿宋" w:eastAsia="仿宋"/>
          <w:color w:val="000000"/>
          <w:sz w:val="32"/>
          <w:szCs w:val="32"/>
          <w14:textFill>
            <w14:gradFill>
              <w14:gsLst>
                <w14:gs w14:pos="0">
                  <w14:srgbClr w14:val="E30000"/>
                </w14:gs>
                <w14:gs w14:pos="100000">
                  <w14:srgbClr w14:val="760303"/>
                </w14:gs>
              </w14:gsLst>
              <w14:lin w14:scaled="false"/>
            </w14:gradFill>
          </w14:textFill>
        </w:rPr>
        <w:t>算为</w:t>
      </w:r>
      <w:r>
        <w:rPr>
          <w:rFonts w:hint="eastAsia" w:ascii="仿宋" w:hAnsi="仿宋" w:eastAsia="仿宋"/>
          <w:color w:val="000000"/>
          <w:sz w:val="32"/>
          <w:szCs w:val="32"/>
          <w:lang w:val="en-US" w:eastAsia="zh-CN"/>
          <w14:textFill>
            <w14:gradFill>
              <w14:gsLst>
                <w14:gs w14:pos="0">
                  <w14:srgbClr w14:val="E30000"/>
                </w14:gs>
                <w14:gs w14:pos="100000">
                  <w14:srgbClr w14:val="760303"/>
                </w14:gs>
              </w14:gsLst>
              <w14:lin w14:scaled="false"/>
            </w14:gradFill>
          </w14:textFill>
        </w:rPr>
        <w:t>0.52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79744" behindDoc="0" locked="0" layoutInCell="1" allowOverlap="1">
            <wp:simplePos x="0" y="0"/>
            <wp:positionH relativeFrom="column">
              <wp:posOffset>307975</wp:posOffset>
            </wp:positionH>
            <wp:positionV relativeFrom="paragraph">
              <wp:posOffset>175260</wp:posOffset>
            </wp:positionV>
            <wp:extent cx="4709795" cy="2572385"/>
            <wp:effectExtent l="4445" t="4445" r="1016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万元。主要用于医疗救护及基本公共卫生服务下村体检及“3+X”团队服务等所需的公务用车燃料费、维修费、过路过桥费、保险费等支出。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0.52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等同</w:t>
      </w:r>
      <w:r>
        <w:rPr>
          <w:rFonts w:hint="eastAsia" w:ascii="仿宋_GB2312" w:eastAsia="仿宋_GB2312"/>
          <w:color w:val="000000"/>
          <w:sz w:val="32"/>
          <w:szCs w:val="32"/>
          <w:lang w:val="en-US" w:eastAsia="zh-CN"/>
        </w:rPr>
        <w:t>，其原因是接待各项检查</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88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418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0.52</w:t>
      </w:r>
      <w:r>
        <w:rPr>
          <w:rFonts w:hint="eastAsia" w:ascii="仿宋_GB2312" w:eastAsia="仿宋_GB2312"/>
          <w:color w:val="000000"/>
          <w:sz w:val="32"/>
          <w:szCs w:val="32"/>
        </w:rPr>
        <w:t>万元，具体内容包括：上级部门检查指导工作公务接待，各类医疗业务单位相互学习交流工作接待等。其中：</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hint="eastAsia" w:ascii="仿宋_GB2312" w:eastAsia="仿宋_GB2312"/>
          <w:color w:val="000000"/>
          <w:sz w:val="32"/>
          <w:szCs w:val="32"/>
          <w:lang w:val="en-US"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0.52</w:t>
      </w:r>
      <w:r>
        <w:rPr>
          <w:rFonts w:hint="eastAsia" w:ascii="仿宋_GB2312" w:eastAsia="仿宋_GB2312"/>
          <w:color w:val="000000"/>
          <w:sz w:val="32"/>
          <w:szCs w:val="32"/>
        </w:rPr>
        <w:t>万元，主要用于上级部门检查指导工作公务接待，各类医疗业务单位相互学习交流工作接待等</w:t>
      </w:r>
      <w:r>
        <w:rPr>
          <w:rFonts w:hint="eastAsia" w:ascii="仿宋_GB2312" w:eastAsia="仿宋_GB2312"/>
          <w:color w:val="000000"/>
          <w:sz w:val="32"/>
          <w:szCs w:val="32"/>
          <w:lang w:eastAsia="zh-CN"/>
        </w:rPr>
        <w:t>。</w:t>
      </w:r>
    </w:p>
    <w:p>
      <w:pPr>
        <w:spacing w:line="600" w:lineRule="exact"/>
        <w:outlineLvl w:val="1"/>
        <w:rPr>
          <w:rStyle w:val="25"/>
          <w:rFonts w:ascii="黑体" w:hAnsi="黑体" w:eastAsia="黑体"/>
        </w:rPr>
      </w:pPr>
      <w:bookmarkStart w:id="46" w:name="_Toc15396610"/>
      <w:bookmarkStart w:id="47" w:name="_Toc15377218"/>
      <w:r>
        <w:rPr>
          <w:rFonts w:hint="eastAsia" w:ascii="黑体" w:eastAsia="黑体"/>
          <w:color w:val="000000"/>
          <w:sz w:val="32"/>
          <w:szCs w:val="32"/>
          <w:lang w:val="en-US" w:eastAsia="zh-CN"/>
        </w:rPr>
        <w:t xml:space="preserve">    </w:t>
      </w: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宣汉县天宝乡卫生院</w:t>
      </w:r>
      <w:r>
        <w:rPr>
          <w:rFonts w:hint="eastAsia" w:ascii="仿宋_GB2312" w:eastAsia="仿宋_GB2312"/>
          <w:color w:val="000000"/>
          <w:sz w:val="32"/>
          <w:szCs w:val="32"/>
        </w:rPr>
        <w:t>运行经费支出</w:t>
      </w:r>
      <w:r>
        <w:rPr>
          <w:rFonts w:hint="eastAsia" w:ascii="仿宋_GB2312" w:eastAsia="仿宋_GB2312"/>
          <w:color w:val="000000"/>
          <w:sz w:val="32"/>
          <w:szCs w:val="32"/>
          <w:lang w:val="en-US" w:eastAsia="zh-CN"/>
        </w:rPr>
        <w:t>228.32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5.11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2.18</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部分指标滚如下年。</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highlight w:val="none"/>
        </w:rPr>
      </w:pPr>
      <w:bookmarkStart w:id="53" w:name="_Toc15377223"/>
      <w:r>
        <w:rPr>
          <w:rFonts w:hint="eastAsia" w:ascii="仿宋" w:hAnsi="仿宋" w:eastAsia="仿宋"/>
          <w:b/>
          <w:color w:val="000000"/>
          <w:sz w:val="32"/>
          <w:szCs w:val="32"/>
          <w:highlight w:val="none"/>
        </w:rPr>
        <w:t>（二）政府采购支出情况</w:t>
      </w:r>
      <w:bookmarkEnd w:id="53"/>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hint="eastAsia" w:ascii="仿宋_GB2312" w:eastAsia="仿宋_GB2312"/>
          <w:color w:val="000000"/>
          <w:sz w:val="32"/>
          <w:szCs w:val="32"/>
          <w:highlight w:val="none"/>
          <w:lang w:eastAsia="zh-CN"/>
        </w:rPr>
        <w:t>政府</w:t>
      </w:r>
      <w:r>
        <w:rPr>
          <w:rFonts w:hint="eastAsia" w:ascii="仿宋_GB2312" w:eastAsia="仿宋_GB2312"/>
          <w:color w:val="000000"/>
          <w:sz w:val="32"/>
          <w:szCs w:val="32"/>
          <w:highlight w:val="none"/>
        </w:rPr>
        <w:t>采购支出总额</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占政府采购支出总额的</w:t>
      </w:r>
      <w:r>
        <w:rPr>
          <w:rFonts w:hint="eastAsia" w:ascii="仿宋_GB2312" w:eastAsia="仿宋_GB2312"/>
          <w:color w:val="000000"/>
          <w:sz w:val="32"/>
          <w:szCs w:val="32"/>
          <w:highlight w:val="none"/>
          <w:lang w:val="en-US" w:eastAsia="zh-CN"/>
        </w:rPr>
        <w:t>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天宝乡卫生院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台</w:t>
      </w:r>
      <w:r>
        <w:rPr>
          <w:rFonts w:hint="eastAsia" w:ascii="仿宋_GB2312" w:eastAsia="仿宋_GB2312"/>
          <w:color w:val="000000" w:themeColor="text1"/>
          <w:sz w:val="32"/>
          <w:szCs w:val="32"/>
          <w:lang w:eastAsia="zh-CN"/>
          <w14:textFill>
            <w14:solidFill>
              <w14:schemeClr w14:val="tx1"/>
            </w14:solidFill>
          </w14:textFill>
        </w:rPr>
        <w:t>为</w:t>
      </w:r>
      <w:r>
        <w:rPr>
          <w:rFonts w:hint="eastAsia" w:ascii="仿宋_GB2312" w:eastAsia="仿宋_GB2312"/>
          <w:color w:val="000000" w:themeColor="text1"/>
          <w:sz w:val="32"/>
          <w:szCs w:val="32"/>
          <w:lang w:val="en-US" w:eastAsia="zh-CN"/>
          <w14:textFill>
            <w14:solidFill>
              <w14:schemeClr w14:val="tx1"/>
            </w14:solidFill>
          </w14:textFill>
        </w:rPr>
        <w:t>DR</w:t>
      </w:r>
      <w:r>
        <w:rPr>
          <w:rFonts w:hint="eastAsia" w:ascii="仿宋_GB2312" w:eastAsia="仿宋_GB2312"/>
          <w:color w:val="000000"/>
          <w:sz w:val="32"/>
          <w:szCs w:val="32"/>
        </w:rPr>
        <w:t>。</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天宝乡卫生院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DR室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按照上级安排部署，认真开展此项目，正在进行中。</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val="en-US" w:eastAsia="zh-CN"/>
        </w:rPr>
        <w:t>DR室打造及采购设备共计1个</w:t>
      </w:r>
      <w:r>
        <w:rPr>
          <w:rFonts w:hint="eastAsia" w:ascii="仿宋_GB2312" w:hAnsi="仿宋_GB2312" w:eastAsia="仿宋_GB2312" w:cs="仿宋_GB2312"/>
          <w:sz w:val="32"/>
          <w:szCs w:val="32"/>
        </w:rPr>
        <w:t>项目绩效目标实际完成情况。</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DR室打造及采购DR设备</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通过项目实施，提高了我院的医疗服务质量。</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DR室打造及设备采购</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宣汉县天宝乡卫生院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天宝乡卫生院</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2"/>
        <w:tblW w:w="19820" w:type="dxa"/>
        <w:tblInd w:w="0" w:type="dxa"/>
        <w:shd w:val="clear" w:color="auto" w:fill="auto"/>
        <w:tblLayout w:type="fixed"/>
        <w:tblCellMar>
          <w:top w:w="0" w:type="dxa"/>
          <w:left w:w="0" w:type="dxa"/>
          <w:bottom w:w="0" w:type="dxa"/>
          <w:right w:w="0" w:type="dxa"/>
        </w:tblCellMar>
      </w:tblPr>
      <w:tblGrid>
        <w:gridCol w:w="927"/>
        <w:gridCol w:w="1172"/>
        <w:gridCol w:w="240"/>
        <w:gridCol w:w="2623"/>
        <w:gridCol w:w="1530"/>
        <w:gridCol w:w="1065"/>
        <w:gridCol w:w="1140"/>
        <w:gridCol w:w="1800"/>
        <w:gridCol w:w="1800"/>
        <w:gridCol w:w="7523"/>
      </w:tblGrid>
      <w:tr>
        <w:tblPrEx>
          <w:tblCellMar>
            <w:top w:w="0" w:type="dxa"/>
            <w:left w:w="0" w:type="dxa"/>
            <w:bottom w:w="0" w:type="dxa"/>
            <w:right w:w="0" w:type="dxa"/>
          </w:tblCellMar>
        </w:tblPrEx>
        <w:trPr>
          <w:gridAfter w:val="1"/>
          <w:wAfter w:w="7523" w:type="dxa"/>
          <w:trHeight w:val="405" w:hRule="atLeast"/>
        </w:trPr>
        <w:tc>
          <w:tcPr>
            <w:tcW w:w="12297" w:type="dxa"/>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gridAfter w:val="1"/>
          <w:wAfter w:w="7523" w:type="dxa"/>
          <w:trHeight w:val="312" w:hRule="atLeast"/>
        </w:trPr>
        <w:tc>
          <w:tcPr>
            <w:tcW w:w="9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财决公开03表</w:t>
            </w:r>
          </w:p>
        </w:tc>
      </w:tr>
      <w:tr>
        <w:tblPrEx>
          <w:tblCellMar>
            <w:top w:w="0" w:type="dxa"/>
            <w:left w:w="0" w:type="dxa"/>
            <w:bottom w:w="0" w:type="dxa"/>
            <w:right w:w="0" w:type="dxa"/>
          </w:tblCellMar>
        </w:tblPrEx>
        <w:trPr>
          <w:gridAfter w:val="1"/>
          <w:wAfter w:w="7523" w:type="dxa"/>
          <w:trHeight w:val="255" w:hRule="atLeast"/>
        </w:trPr>
        <w:tc>
          <w:tcPr>
            <w:tcW w:w="209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部门：四川省达州市宣汉县天宝乡卫生院（本级）</w:t>
            </w: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kern w:val="2"/>
                <w:sz w:val="20"/>
                <w:szCs w:val="20"/>
                <w:u w:val="none"/>
                <w:lang w:val="en-US" w:eastAsia="zh-CN" w:bidi="ar-SA"/>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623"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3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6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4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23" w:type="dxa"/>
          <w:trHeight w:val="312" w:hRule="atLeast"/>
        </w:trPr>
        <w:tc>
          <w:tcPr>
            <w:tcW w:w="233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7523" w:type="dxa"/>
          <w:trHeight w:val="308" w:hRule="atLeast"/>
        </w:trPr>
        <w:tc>
          <w:tcPr>
            <w:tcW w:w="92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117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4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62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gridAfter w:val="1"/>
          <w:wAfter w:w="7523" w:type="dxa"/>
          <w:trHeight w:val="308" w:hRule="atLeast"/>
        </w:trPr>
        <w:tc>
          <w:tcPr>
            <w:tcW w:w="92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2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228.32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128.32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219.39</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119.39</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182.49</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82.49</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乡镇卫生院</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171.62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其他基层医疗卫生机构支出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36.88</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基本公共卫生服务</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36.88</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36.88</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7523" w:type="dxa"/>
          <w:trHeight w:val="308" w:hRule="atLeast"/>
        </w:trPr>
        <w:tc>
          <w:tcPr>
            <w:tcW w:w="233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982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注：本表以“万元”为金额单位（保留两位小数），反映部门本年度各项支出情况。</w:t>
            </w:r>
          </w:p>
        </w:tc>
      </w:tr>
    </w:tbl>
    <w:p>
      <w:pPr>
        <w:spacing w:line="580" w:lineRule="exact"/>
        <w:rPr>
          <w:rFonts w:hint="eastAsia" w:ascii="仿宋_GB2312" w:hAnsi="仿宋_GB2312" w:eastAsia="仿宋_GB2312" w:cs="仿宋_GB2312"/>
          <w:sz w:val="32"/>
          <w:szCs w:val="32"/>
        </w:rPr>
        <w:sectPr>
          <w:pgSz w:w="16838" w:h="11906" w:orient="landscape"/>
          <w:pgMar w:top="1800" w:right="1440" w:bottom="1800" w:left="1440" w:header="851" w:footer="992" w:gutter="0"/>
          <w:pgNumType w:start="1"/>
          <w:cols w:space="425" w:num="1"/>
          <w:titlePg/>
          <w:docGrid w:type="lines" w:linePitch="312" w:charSpace="0"/>
        </w:sectPr>
      </w:pPr>
    </w:p>
    <w:p>
      <w:pPr>
        <w:spacing w:line="600" w:lineRule="exact"/>
        <w:jc w:val="center"/>
        <w:rPr>
          <w:rFonts w:hint="eastAsia" w:ascii="方正小标宋简体" w:hAnsi="宋体" w:eastAsia="方正小标宋简体"/>
          <w:color w:val="000000"/>
          <w:kern w:val="0"/>
          <w:sz w:val="44"/>
          <w:szCs w:val="44"/>
        </w:rPr>
      </w:pPr>
    </w:p>
    <w:p>
      <w:pPr>
        <w:spacing w:line="600" w:lineRule="exact"/>
        <w:jc w:val="center"/>
        <w:rPr>
          <w:rFonts w:hint="eastAsia" w:ascii="方正小标宋简体" w:hAnsi="宋体" w:eastAsia="方正小标宋简体"/>
          <w:color w:val="000000"/>
          <w:kern w:val="0"/>
          <w:sz w:val="44"/>
          <w:szCs w:val="44"/>
          <w:lang w:val="en-US" w:eastAsia="zh-CN"/>
        </w:rPr>
      </w:pPr>
      <w:r>
        <w:rPr>
          <w:rFonts w:hint="eastAsia" w:ascii="方正小标宋简体" w:hAnsi="宋体" w:eastAsia="方正小标宋简体"/>
          <w:color w:val="000000"/>
          <w:kern w:val="0"/>
          <w:sz w:val="44"/>
          <w:szCs w:val="44"/>
          <w:lang w:val="en-US" w:eastAsia="zh-CN"/>
        </w:rPr>
        <w:t>DR建设及采购设备</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1．天宝乡卫生院在该项目管理为主体责任单位。</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2．项目立项、资金申报的依据：宣财社【</w:t>
      </w:r>
      <w:r>
        <w:rPr>
          <w:rFonts w:hint="eastAsia" w:ascii="仿宋_GB2312" w:hAnsi="宋体" w:eastAsia="仿宋_GB2312"/>
          <w:sz w:val="32"/>
          <w:szCs w:val="32"/>
          <w:lang w:val="en-US" w:eastAsia="zh-CN"/>
        </w:rPr>
        <w:t>2019</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89号文件关于下达2019年基层医疗卫生机构县级财政综合补助的通知</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3．该项目资金下达</w:t>
      </w:r>
      <w:r>
        <w:rPr>
          <w:rFonts w:hint="eastAsia" w:ascii="仿宋_GB2312" w:hAnsi="宋体" w:eastAsia="仿宋_GB2312"/>
          <w:sz w:val="32"/>
          <w:szCs w:val="32"/>
          <w:lang w:val="en-US" w:eastAsia="zh-CN"/>
        </w:rPr>
        <w:t>2019年基层医疗卫生机构县级财政综合补助资金中</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4．资金分配的原则：用于打造</w:t>
      </w:r>
      <w:r>
        <w:rPr>
          <w:rFonts w:hint="eastAsia" w:ascii="仿宋_GB2312" w:hAnsi="宋体" w:eastAsia="仿宋_GB2312"/>
          <w:sz w:val="32"/>
          <w:szCs w:val="32"/>
          <w:lang w:val="en-US" w:eastAsia="zh-CN"/>
        </w:rPr>
        <w:t>DR室建设、购买DR设备及彩超设备</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1．项目主要内容：打造</w:t>
      </w:r>
      <w:r>
        <w:rPr>
          <w:rFonts w:hint="eastAsia" w:ascii="仿宋_GB2312" w:hAnsi="宋体" w:eastAsia="仿宋_GB2312"/>
          <w:sz w:val="32"/>
          <w:szCs w:val="32"/>
          <w:lang w:val="en-US" w:eastAsia="zh-CN"/>
        </w:rPr>
        <w:t>DR室、购买DR设备及彩超设备</w:t>
      </w:r>
      <w:r>
        <w:rPr>
          <w:rFonts w:hint="eastAsia" w:ascii="仿宋_GB2312" w:hAnsi="宋体" w:eastAsia="仿宋_GB2312"/>
          <w:sz w:val="32"/>
          <w:szCs w:val="32"/>
          <w:lang w:val="zh-CN"/>
        </w:rPr>
        <w:t>。</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zh-CN"/>
        </w:rPr>
        <w:t>2．</w:t>
      </w:r>
      <w:r>
        <w:rPr>
          <w:rFonts w:hint="eastAsia" w:ascii="仿宋_GB2312" w:hAnsi="宋体" w:eastAsia="仿宋_GB2312"/>
          <w:sz w:val="32"/>
          <w:szCs w:val="32"/>
          <w:lang w:val="en-US" w:eastAsia="zh-CN"/>
        </w:rPr>
        <w:t>DR室正在打造中，DR设备及彩超已竞标。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3．分析评价申报内容是与实际相符，申报目标是合理可行。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说明项目资金在宣汉县财政局申报、审批后；在宣汉县卫健局进行项目审批：财政局下划款项后，进行</w:t>
      </w:r>
      <w:r>
        <w:rPr>
          <w:rFonts w:hint="eastAsia" w:ascii="仿宋_GB2312" w:hAnsi="宋体" w:eastAsia="仿宋_GB2312"/>
          <w:sz w:val="32"/>
          <w:szCs w:val="32"/>
          <w:lang w:val="en-US" w:eastAsia="zh-CN"/>
        </w:rPr>
        <w:t>DR室打造、DR及彩超设备购买</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楷体_GB2312" w:hAnsi="宋体" w:eastAsia="楷体_GB2312"/>
          <w:sz w:val="32"/>
          <w:szCs w:val="32"/>
          <w:lang w:val="en-US" w:eastAsia="zh-CN"/>
        </w:rPr>
      </w:pPr>
      <w:r>
        <w:rPr>
          <w:rFonts w:hint="eastAsia" w:ascii="楷体_GB2312" w:hAnsi="宋体" w:eastAsia="楷体_GB2312"/>
          <w:sz w:val="32"/>
          <w:szCs w:val="32"/>
          <w:lang w:val="zh-CN"/>
        </w:rPr>
        <w:t>1．资金来源：根据宣财社【</w:t>
      </w:r>
      <w:r>
        <w:rPr>
          <w:rFonts w:hint="eastAsia" w:ascii="楷体_GB2312" w:hAnsi="宋体" w:eastAsia="楷体_GB2312"/>
          <w:sz w:val="32"/>
          <w:szCs w:val="32"/>
          <w:lang w:val="en-US" w:eastAsia="zh-CN"/>
        </w:rPr>
        <w:t>2019</w:t>
      </w:r>
      <w:r>
        <w:rPr>
          <w:rFonts w:hint="eastAsia" w:ascii="楷体_GB2312" w:hAnsi="宋体" w:eastAsia="楷体_GB2312"/>
          <w:sz w:val="32"/>
          <w:szCs w:val="32"/>
          <w:lang w:val="zh-CN"/>
        </w:rPr>
        <w:t>】</w:t>
      </w:r>
      <w:r>
        <w:rPr>
          <w:rFonts w:hint="eastAsia" w:ascii="楷体_GB2312" w:hAnsi="宋体" w:eastAsia="楷体_GB2312"/>
          <w:sz w:val="32"/>
          <w:szCs w:val="32"/>
          <w:lang w:val="en-US" w:eastAsia="zh-CN"/>
        </w:rPr>
        <w:t>89号文件通知，</w:t>
      </w:r>
      <w:r>
        <w:rPr>
          <w:rFonts w:hint="eastAsia" w:ascii="仿宋_GB2312" w:hAnsi="宋体" w:eastAsia="仿宋_GB2312"/>
          <w:sz w:val="32"/>
          <w:szCs w:val="32"/>
          <w:lang w:val="en-US" w:eastAsia="zh-CN"/>
        </w:rPr>
        <w:t>下达2019年基层医疗卫生机构县级财政综合补助。</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sz w:val="32"/>
          <w:szCs w:val="32"/>
          <w:lang w:val="zh-CN"/>
        </w:rPr>
        <w:t>2．资金到位。根据宣财社【</w:t>
      </w:r>
      <w:r>
        <w:rPr>
          <w:rFonts w:hint="eastAsia" w:ascii="楷体_GB2312" w:hAnsi="宋体" w:eastAsia="楷体_GB2312"/>
          <w:sz w:val="32"/>
          <w:szCs w:val="32"/>
          <w:lang w:val="en-US" w:eastAsia="zh-CN"/>
        </w:rPr>
        <w:t>2019</w:t>
      </w:r>
      <w:r>
        <w:rPr>
          <w:rFonts w:hint="eastAsia" w:ascii="楷体_GB2312" w:hAnsi="宋体" w:eastAsia="楷体_GB2312"/>
          <w:sz w:val="32"/>
          <w:szCs w:val="32"/>
          <w:lang w:val="zh-CN"/>
        </w:rPr>
        <w:t>】</w:t>
      </w:r>
      <w:r>
        <w:rPr>
          <w:rFonts w:hint="eastAsia" w:ascii="楷体_GB2312" w:hAnsi="宋体" w:eastAsia="楷体_GB2312"/>
          <w:sz w:val="32"/>
          <w:szCs w:val="32"/>
          <w:lang w:val="en-US" w:eastAsia="zh-CN"/>
        </w:rPr>
        <w:t>89号文件通知，</w:t>
      </w:r>
      <w:r>
        <w:rPr>
          <w:rFonts w:hint="eastAsia" w:ascii="仿宋_GB2312" w:hAnsi="宋体" w:eastAsia="仿宋_GB2312"/>
          <w:sz w:val="32"/>
          <w:szCs w:val="32"/>
          <w:lang w:val="en-US" w:eastAsia="zh-CN"/>
        </w:rPr>
        <w:t>下达2019年基层医疗卫生机构县级财政综合补助，资金已全部到位。</w:t>
      </w:r>
    </w:p>
    <w:p>
      <w:pPr>
        <w:adjustRightInd w:val="0"/>
        <w:snapToGrid w:val="0"/>
        <w:spacing w:line="600" w:lineRule="exact"/>
        <w:ind w:firstLine="720"/>
        <w:rPr>
          <w:rFonts w:hint="default" w:ascii="楷体_GB2312" w:hAnsi="宋体" w:eastAsia="楷体_GB2312"/>
          <w:sz w:val="32"/>
          <w:szCs w:val="32"/>
          <w:lang w:val="en-US" w:eastAsia="zh-CN"/>
        </w:rPr>
      </w:pPr>
      <w:r>
        <w:rPr>
          <w:rFonts w:hint="eastAsia" w:ascii="楷体_GB2312" w:hAnsi="宋体" w:eastAsia="楷体_GB2312"/>
          <w:sz w:val="32"/>
          <w:szCs w:val="32"/>
          <w:lang w:val="zh-CN"/>
        </w:rPr>
        <w:t>3．资金使用：</w:t>
      </w:r>
      <w:r>
        <w:rPr>
          <w:rFonts w:hint="eastAsia" w:ascii="楷体_GB2312" w:hAnsi="宋体" w:eastAsia="楷体_GB2312"/>
          <w:sz w:val="32"/>
          <w:szCs w:val="32"/>
          <w:lang w:val="en-US" w:eastAsia="zh-CN"/>
        </w:rPr>
        <w:t>DR室</w:t>
      </w:r>
      <w:r>
        <w:rPr>
          <w:rFonts w:hint="eastAsia" w:ascii="楷体_GB2312" w:hAnsi="宋体" w:eastAsia="楷体_GB2312"/>
          <w:sz w:val="32"/>
          <w:szCs w:val="32"/>
          <w:lang w:val="zh-CN"/>
        </w:rPr>
        <w:t>建设正在进行中，已预支部分资金；</w:t>
      </w:r>
      <w:r>
        <w:rPr>
          <w:rFonts w:hint="eastAsia" w:ascii="楷体_GB2312" w:hAnsi="宋体" w:eastAsia="楷体_GB2312"/>
          <w:sz w:val="32"/>
          <w:szCs w:val="32"/>
          <w:lang w:val="en-US" w:eastAsia="zh-CN"/>
        </w:rPr>
        <w:t>DR设备及彩超已通过竞标。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5"/>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numPr>
          <w:ilvl w:val="0"/>
          <w:numId w:val="0"/>
        </w:numPr>
        <w:adjustRightInd w:val="0"/>
        <w:snapToGrid w:val="0"/>
        <w:spacing w:line="600" w:lineRule="exact"/>
        <w:rPr>
          <w:rFonts w:hint="default" w:ascii="楷体_GB2312" w:hAnsi="宋体" w:eastAsia="楷体_GB2312"/>
          <w:b w:val="0"/>
          <w:bCs/>
          <w:sz w:val="32"/>
          <w:szCs w:val="32"/>
          <w:lang w:val="en-US" w:eastAsia="zh-CN"/>
        </w:rPr>
      </w:pPr>
      <w:r>
        <w:rPr>
          <w:rFonts w:hint="eastAsia" w:ascii="楷体_GB2312" w:hAnsi="宋体" w:eastAsia="楷体_GB2312"/>
          <w:b/>
          <w:sz w:val="32"/>
          <w:szCs w:val="32"/>
          <w:lang w:val="en-US" w:eastAsia="zh-CN"/>
        </w:rPr>
        <w:t xml:space="preserve">     </w:t>
      </w:r>
      <w:r>
        <w:rPr>
          <w:rFonts w:hint="eastAsia" w:ascii="楷体_GB2312" w:hAnsi="宋体" w:eastAsia="楷体_GB2312"/>
          <w:b w:val="0"/>
          <w:bCs/>
          <w:sz w:val="32"/>
          <w:szCs w:val="32"/>
          <w:lang w:val="en-US" w:eastAsia="zh-CN"/>
        </w:rPr>
        <w:t>申请财政资金-卫生健康局申请相应项目-竞标-实施</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本说明数据来源于决算数据。决算数据从软件提取自动转换为万元，因四舍五入原因，说明中数据稍有逻辑出入</w:t>
      </w: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rPr>
      </w:pPr>
      <w:bookmarkStart w:id="60" w:name="_Toc15396616"/>
      <w:r>
        <w:rPr>
          <w:rFonts w:hint="eastAsia" w:ascii="黑体" w:hAnsi="黑体" w:eastAsia="黑体" w:cs="方正小标宋简体"/>
          <w:sz w:val="36"/>
          <w:szCs w:val="36"/>
        </w:rPr>
        <w:t>宣汉县</w:t>
      </w:r>
      <w:r>
        <w:rPr>
          <w:rFonts w:hint="eastAsia" w:ascii="黑体" w:hAnsi="黑体" w:eastAsia="黑体" w:cs="方正小标宋简体"/>
          <w:sz w:val="36"/>
          <w:szCs w:val="36"/>
          <w:lang w:val="en-US" w:eastAsia="zh-CN"/>
        </w:rPr>
        <w:t>天宝乡</w:t>
      </w:r>
      <w:r>
        <w:rPr>
          <w:rFonts w:hint="eastAsia" w:ascii="黑体" w:hAnsi="黑体" w:eastAsia="黑体" w:cs="方正小标宋简体"/>
          <w:sz w:val="36"/>
          <w:szCs w:val="36"/>
        </w:rPr>
        <w:t>卫生院201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部门整体支出绩效评价报告</w:t>
      </w:r>
      <w:bookmarkEnd w:id="60"/>
    </w:p>
    <w:p>
      <w:pPr>
        <w:spacing w:line="580" w:lineRule="exact"/>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eastAsia="仿宋_GB2312"/>
          <w:sz w:val="32"/>
          <w:szCs w:val="32"/>
          <w:lang w:val="en-US" w:eastAsia="zh-CN"/>
        </w:rPr>
        <w:t>天宝乡</w:t>
      </w:r>
      <w:r>
        <w:rPr>
          <w:rFonts w:hint="eastAsia" w:ascii="仿宋_GB2312" w:eastAsia="仿宋_GB2312"/>
          <w:sz w:val="32"/>
          <w:szCs w:val="32"/>
        </w:rPr>
        <w:t>卫生院属一级预算公益一类事业单位，</w:t>
      </w:r>
      <w:r>
        <w:rPr>
          <w:rFonts w:hint="eastAsia" w:ascii="仿宋_GB2312" w:hAnsi="宋体" w:eastAsia="仿宋_GB2312" w:cs="宋体"/>
          <w:sz w:val="32"/>
          <w:szCs w:val="32"/>
        </w:rPr>
        <w:t>执行基层医疗卫生机构会计制度。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w:t>
      </w:r>
    </w:p>
    <w:p>
      <w:pPr>
        <w:ind w:firstLine="627" w:firstLineChars="196"/>
        <w:rPr>
          <w:rFonts w:ascii="仿宋_GB2312" w:hAnsi="宋体" w:eastAsia="仿宋_GB2312"/>
          <w:sz w:val="32"/>
          <w:szCs w:val="32"/>
        </w:rPr>
      </w:pPr>
      <w:r>
        <w:rPr>
          <w:rFonts w:hint="eastAsia" w:ascii="仿宋_GB2312" w:hAnsi="宋体"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卫生院主要以基本公共卫生服务、一般医疗服务为主全面开展各项工作。卫生院设立了内科、外科、</w:t>
      </w:r>
      <w:r>
        <w:rPr>
          <w:rFonts w:hint="eastAsia" w:ascii="仿宋_GB2312" w:hAnsi="宋体" w:eastAsia="仿宋_GB2312"/>
          <w:sz w:val="32"/>
          <w:szCs w:val="32"/>
          <w:lang w:val="en-US" w:eastAsia="zh-CN"/>
        </w:rPr>
        <w:t>儿科、</w:t>
      </w:r>
      <w:r>
        <w:rPr>
          <w:rFonts w:hint="eastAsia" w:ascii="仿宋_GB2312" w:hAnsi="宋体" w:eastAsia="仿宋_GB2312"/>
          <w:sz w:val="32"/>
          <w:szCs w:val="32"/>
        </w:rPr>
        <w:t>中医科、防保站、居民健康档案室、医保办公室等科室，开展了检验、B超、等辅助科室。</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 w:hAnsi="仿宋" w:eastAsia="仿宋" w:cs="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宣汉县</w:t>
      </w:r>
      <w:r>
        <w:rPr>
          <w:rFonts w:hint="eastAsia" w:ascii="仿宋_GB2312" w:hAnsi="宋体" w:eastAsia="仿宋_GB2312"/>
          <w:sz w:val="32"/>
          <w:szCs w:val="32"/>
          <w:lang w:val="en-US" w:eastAsia="zh-CN"/>
        </w:rPr>
        <w:t>天宝乡</w:t>
      </w:r>
      <w:r>
        <w:rPr>
          <w:rFonts w:hint="eastAsia" w:ascii="仿宋_GB2312" w:hAnsi="宋体" w:eastAsia="仿宋_GB2312"/>
          <w:sz w:val="32"/>
          <w:szCs w:val="32"/>
        </w:rPr>
        <w:t>卫生院</w:t>
      </w:r>
      <w:r>
        <w:rPr>
          <w:rFonts w:hint="eastAsia" w:ascii="仿宋_GB2312" w:eastAsia="仿宋_GB2312"/>
          <w:sz w:val="32"/>
          <w:szCs w:val="32"/>
        </w:rPr>
        <w:t>核定编制数</w:t>
      </w:r>
      <w:r>
        <w:rPr>
          <w:rFonts w:hint="eastAsia" w:ascii="仿宋_GB2312" w:eastAsia="仿宋_GB2312"/>
          <w:sz w:val="32"/>
          <w:szCs w:val="32"/>
          <w:lang w:val="en-US" w:eastAsia="zh-CN"/>
        </w:rPr>
        <w:t>12</w:t>
      </w:r>
      <w:r>
        <w:rPr>
          <w:rFonts w:hint="eastAsia" w:ascii="仿宋_GB2312" w:eastAsia="仿宋_GB2312"/>
          <w:sz w:val="32"/>
          <w:szCs w:val="32"/>
        </w:rPr>
        <w:t>人。</w:t>
      </w:r>
      <w:r>
        <w:rPr>
          <w:rFonts w:hint="eastAsia" w:ascii="仿宋_GB2312" w:hAnsi="宋体" w:eastAsia="仿宋_GB2312"/>
          <w:sz w:val="32"/>
          <w:szCs w:val="32"/>
        </w:rPr>
        <w:t>现有在职职工</w:t>
      </w:r>
      <w:r>
        <w:rPr>
          <w:rFonts w:hint="eastAsia" w:ascii="仿宋_GB2312" w:hAnsi="宋体" w:eastAsia="仿宋_GB2312"/>
          <w:sz w:val="32"/>
          <w:szCs w:val="32"/>
          <w:lang w:val="en-US" w:eastAsia="zh-CN"/>
        </w:rPr>
        <w:t>10</w:t>
      </w:r>
      <w:r>
        <w:rPr>
          <w:rFonts w:hint="eastAsia" w:ascii="仿宋_GB2312" w:hAnsi="宋体" w:eastAsia="仿宋_GB2312"/>
          <w:sz w:val="32"/>
          <w:szCs w:val="32"/>
        </w:rPr>
        <w:t>人，在编人员</w:t>
      </w:r>
      <w:r>
        <w:rPr>
          <w:rFonts w:hint="eastAsia" w:ascii="仿宋_GB2312" w:hAnsi="宋体" w:eastAsia="仿宋_GB2312"/>
          <w:sz w:val="32"/>
          <w:szCs w:val="32"/>
          <w:lang w:val="en-US" w:eastAsia="zh-CN"/>
        </w:rPr>
        <w:t>5</w:t>
      </w:r>
      <w:r>
        <w:rPr>
          <w:rFonts w:hint="eastAsia" w:ascii="仿宋_GB2312" w:hAnsi="宋体" w:eastAsia="仿宋_GB2312"/>
          <w:sz w:val="32"/>
          <w:szCs w:val="32"/>
        </w:rPr>
        <w:t>人，退休人员1人已纳入社会保障管理。卫生技术人员</w:t>
      </w:r>
      <w:r>
        <w:rPr>
          <w:rFonts w:hint="eastAsia" w:ascii="仿宋_GB2312" w:hAnsi="宋体" w:eastAsia="仿宋_GB2312"/>
          <w:sz w:val="32"/>
          <w:szCs w:val="32"/>
          <w:lang w:val="en-US" w:eastAsia="zh-CN"/>
        </w:rPr>
        <w:t>9</w:t>
      </w:r>
      <w:r>
        <w:rPr>
          <w:rFonts w:hint="eastAsia" w:ascii="仿宋_GB2312" w:hAnsi="宋体" w:eastAsia="仿宋_GB2312"/>
          <w:sz w:val="32"/>
          <w:szCs w:val="32"/>
        </w:rPr>
        <w:t>人，</w:t>
      </w:r>
      <w:r>
        <w:rPr>
          <w:rFonts w:hint="eastAsia" w:ascii="仿宋_GB2312" w:hAnsi="宋体" w:eastAsia="仿宋_GB2312"/>
          <w:sz w:val="32"/>
          <w:szCs w:val="32"/>
          <w:lang w:eastAsia="zh-CN"/>
        </w:rPr>
        <w:t>本院人员少，一人身兼多职，</w:t>
      </w:r>
      <w:r>
        <w:rPr>
          <w:rFonts w:hint="eastAsia" w:ascii="仿宋_GB2312" w:hAnsi="宋体" w:eastAsia="仿宋_GB2312"/>
          <w:sz w:val="32"/>
          <w:szCs w:val="32"/>
        </w:rPr>
        <w:t>其中从事公共卫生人员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人，管理人员1人，财会人员</w:t>
      </w:r>
      <w:r>
        <w:rPr>
          <w:rFonts w:hint="eastAsia" w:ascii="仿宋_GB2312" w:hAnsi="宋体" w:eastAsia="仿宋_GB2312"/>
          <w:sz w:val="32"/>
          <w:szCs w:val="32"/>
          <w:lang w:val="en-US" w:eastAsia="zh-CN"/>
        </w:rPr>
        <w:t>1</w:t>
      </w:r>
      <w:r>
        <w:rPr>
          <w:rFonts w:hint="eastAsia" w:ascii="仿宋_GB2312" w:hAnsi="宋体" w:eastAsia="仿宋_GB2312"/>
          <w:sz w:val="32"/>
          <w:szCs w:val="32"/>
        </w:rPr>
        <w:t>人，内科</w:t>
      </w:r>
      <w:r>
        <w:rPr>
          <w:rFonts w:hint="eastAsia" w:ascii="仿宋_GB2312" w:hAnsi="宋体" w:eastAsia="仿宋_GB2312"/>
          <w:sz w:val="32"/>
          <w:szCs w:val="32"/>
          <w:lang w:val="en-US" w:eastAsia="zh-CN"/>
        </w:rPr>
        <w:t>2</w:t>
      </w:r>
      <w:r>
        <w:rPr>
          <w:rFonts w:hint="eastAsia" w:ascii="仿宋_GB2312" w:hAnsi="宋体" w:eastAsia="仿宋_GB2312"/>
          <w:sz w:val="32"/>
          <w:szCs w:val="32"/>
        </w:rPr>
        <w:t>人，，中医科</w:t>
      </w:r>
      <w:r>
        <w:rPr>
          <w:rFonts w:hint="eastAsia" w:ascii="仿宋_GB2312" w:hAnsi="宋体" w:eastAsia="仿宋_GB2312"/>
          <w:sz w:val="32"/>
          <w:szCs w:val="32"/>
          <w:lang w:val="en-US" w:eastAsia="zh-CN"/>
        </w:rPr>
        <w:t>1</w:t>
      </w:r>
      <w:r>
        <w:rPr>
          <w:rFonts w:hint="eastAsia" w:ascii="仿宋_GB2312" w:hAnsi="宋体" w:eastAsia="仿宋_GB2312"/>
          <w:sz w:val="32"/>
          <w:szCs w:val="32"/>
        </w:rPr>
        <w:t>人，护理工作</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人，辅助科室B超，检验，各1人。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年财政拨款收入</w:t>
      </w:r>
      <w:r>
        <w:rPr>
          <w:rFonts w:hint="eastAsia" w:ascii="仿宋_GB2312" w:hAnsi="仿宋" w:eastAsia="仿宋_GB2312"/>
          <w:sz w:val="32"/>
          <w:szCs w:val="32"/>
          <w:lang w:val="en-US" w:eastAsia="zh-CN"/>
        </w:rPr>
        <w:t>172.48</w:t>
      </w:r>
      <w:r>
        <w:rPr>
          <w:rFonts w:hint="eastAsia" w:ascii="仿宋_GB2312" w:hAnsi="仿宋" w:eastAsia="仿宋_GB2312"/>
          <w:sz w:val="32"/>
          <w:szCs w:val="32"/>
        </w:rPr>
        <w:t>万元，支出</w:t>
      </w:r>
      <w:r>
        <w:rPr>
          <w:rFonts w:hint="eastAsia" w:ascii="仿宋_GB2312" w:hAnsi="仿宋" w:eastAsia="仿宋_GB2312"/>
          <w:sz w:val="32"/>
          <w:szCs w:val="32"/>
          <w:lang w:val="en-US" w:eastAsia="zh-CN"/>
        </w:rPr>
        <w:t>172.48</w:t>
      </w:r>
      <w:r>
        <w:rPr>
          <w:rFonts w:hint="eastAsia" w:ascii="仿宋_GB2312" w:hAnsi="仿宋" w:eastAsia="仿宋_GB2312"/>
          <w:sz w:val="32"/>
          <w:szCs w:val="32"/>
        </w:rPr>
        <w:t>万元，其中：基本公共卫生服务支出</w:t>
      </w:r>
      <w:r>
        <w:rPr>
          <w:rFonts w:hint="eastAsia" w:ascii="仿宋_GB2312" w:hAnsi="仿宋" w:eastAsia="仿宋_GB2312"/>
          <w:sz w:val="32"/>
          <w:szCs w:val="32"/>
          <w:lang w:val="en-US" w:eastAsia="zh-CN"/>
        </w:rPr>
        <w:t>36.88</w:t>
      </w:r>
      <w:r>
        <w:rPr>
          <w:rFonts w:hint="eastAsia" w:ascii="仿宋_GB2312" w:hAnsi="仿宋" w:eastAsia="仿宋_GB2312"/>
          <w:sz w:val="32"/>
          <w:szCs w:val="32"/>
        </w:rPr>
        <w:t>万元，</w:t>
      </w:r>
      <w:r>
        <w:rPr>
          <w:rFonts w:hint="eastAsia" w:ascii="仿宋_GB2312" w:hAnsi="仿宋" w:eastAsia="仿宋_GB2312"/>
          <w:sz w:val="32"/>
          <w:szCs w:val="32"/>
          <w:lang w:eastAsia="zh-CN"/>
        </w:rPr>
        <w:t>社会保障和就业支出</w:t>
      </w:r>
      <w:r>
        <w:rPr>
          <w:rFonts w:hint="eastAsia" w:ascii="仿宋_GB2312" w:hAnsi="仿宋" w:eastAsia="仿宋_GB2312"/>
          <w:sz w:val="32"/>
          <w:szCs w:val="32"/>
          <w:lang w:val="en-US" w:eastAsia="zh-CN"/>
        </w:rPr>
        <w:t>5.49万元，卫生健康支出119.39万元，住房保障金3.44万元，行政事业支出0.02万元。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年度本单位一如既往重视决算管理，严格编制要求，科学编制预算，严格执行决算编制内容。同时，本单位不断强化内控管理、资产管理、绩效管理，不断丰富和完善相关制度，坚决做到“更加规范、更加高效、更加便利” ，将财务管理与日常事务紧密结合，全力做好保障工作。</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F662D"/>
    <w:multiLevelType w:val="singleLevel"/>
    <w:tmpl w:val="9F3F662D"/>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DD0115"/>
    <w:multiLevelType w:val="singleLevel"/>
    <w:tmpl w:val="FFDD0115"/>
    <w:lvl w:ilvl="0" w:tentative="0">
      <w:start w:val="1"/>
      <w:numFmt w:val="decimal"/>
      <w:lvlText w:val="%1."/>
      <w:lvlJc w:val="left"/>
      <w:pPr>
        <w:tabs>
          <w:tab w:val="left" w:pos="312"/>
        </w:tabs>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8055F40"/>
    <w:multiLevelType w:val="singleLevel"/>
    <w:tmpl w:val="18055F40"/>
    <w:lvl w:ilvl="0" w:tentative="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64EB"/>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8B7E0A"/>
    <w:rsid w:val="01CD565D"/>
    <w:rsid w:val="03BB0FAE"/>
    <w:rsid w:val="04760E50"/>
    <w:rsid w:val="08B6667F"/>
    <w:rsid w:val="0C56327E"/>
    <w:rsid w:val="0C765FFA"/>
    <w:rsid w:val="0CBF7435"/>
    <w:rsid w:val="0D9D2FAA"/>
    <w:rsid w:val="0DB26BF2"/>
    <w:rsid w:val="0E1924B6"/>
    <w:rsid w:val="0FDE13DF"/>
    <w:rsid w:val="10A066F0"/>
    <w:rsid w:val="10C055FF"/>
    <w:rsid w:val="1106232B"/>
    <w:rsid w:val="112948A9"/>
    <w:rsid w:val="11DA3D21"/>
    <w:rsid w:val="11EF6C12"/>
    <w:rsid w:val="13CC05A1"/>
    <w:rsid w:val="14097886"/>
    <w:rsid w:val="14B5577E"/>
    <w:rsid w:val="157F281D"/>
    <w:rsid w:val="16BB723D"/>
    <w:rsid w:val="19E81EFE"/>
    <w:rsid w:val="19F5530F"/>
    <w:rsid w:val="1B8A1379"/>
    <w:rsid w:val="1E0F7C21"/>
    <w:rsid w:val="1F8C305E"/>
    <w:rsid w:val="223D4343"/>
    <w:rsid w:val="22EB58F3"/>
    <w:rsid w:val="23C22E31"/>
    <w:rsid w:val="240371BF"/>
    <w:rsid w:val="2643465D"/>
    <w:rsid w:val="292D5216"/>
    <w:rsid w:val="29FD04D3"/>
    <w:rsid w:val="2A675CA6"/>
    <w:rsid w:val="2AEE7970"/>
    <w:rsid w:val="2C2F09B1"/>
    <w:rsid w:val="2DCC0324"/>
    <w:rsid w:val="2FBB27D3"/>
    <w:rsid w:val="313D4503"/>
    <w:rsid w:val="314D27C7"/>
    <w:rsid w:val="319F7F4E"/>
    <w:rsid w:val="31B50670"/>
    <w:rsid w:val="32DC5420"/>
    <w:rsid w:val="338F715E"/>
    <w:rsid w:val="339C29C2"/>
    <w:rsid w:val="343C7DEB"/>
    <w:rsid w:val="369863F9"/>
    <w:rsid w:val="37254E14"/>
    <w:rsid w:val="38785412"/>
    <w:rsid w:val="38945101"/>
    <w:rsid w:val="38F47320"/>
    <w:rsid w:val="39125C01"/>
    <w:rsid w:val="39E53C40"/>
    <w:rsid w:val="3F827E0F"/>
    <w:rsid w:val="407104FE"/>
    <w:rsid w:val="414250AC"/>
    <w:rsid w:val="472B526B"/>
    <w:rsid w:val="473B662F"/>
    <w:rsid w:val="47F31600"/>
    <w:rsid w:val="487F7CCF"/>
    <w:rsid w:val="48AB6338"/>
    <w:rsid w:val="494E776A"/>
    <w:rsid w:val="4BE56F75"/>
    <w:rsid w:val="4C691EE8"/>
    <w:rsid w:val="4DA43D1E"/>
    <w:rsid w:val="4DA9410E"/>
    <w:rsid w:val="4E36313E"/>
    <w:rsid w:val="4F931976"/>
    <w:rsid w:val="51972E84"/>
    <w:rsid w:val="522C6C0C"/>
    <w:rsid w:val="53317499"/>
    <w:rsid w:val="53C03A90"/>
    <w:rsid w:val="55B13850"/>
    <w:rsid w:val="55F2332E"/>
    <w:rsid w:val="59435517"/>
    <w:rsid w:val="5A0574A2"/>
    <w:rsid w:val="5A49513B"/>
    <w:rsid w:val="5AAC7503"/>
    <w:rsid w:val="5C53145F"/>
    <w:rsid w:val="5CC8174A"/>
    <w:rsid w:val="5DA95ED3"/>
    <w:rsid w:val="5E7E0AC6"/>
    <w:rsid w:val="5F550F5C"/>
    <w:rsid w:val="6037770A"/>
    <w:rsid w:val="60AF3986"/>
    <w:rsid w:val="60F73490"/>
    <w:rsid w:val="61D25663"/>
    <w:rsid w:val="61E11456"/>
    <w:rsid w:val="636C0690"/>
    <w:rsid w:val="64987523"/>
    <w:rsid w:val="66170866"/>
    <w:rsid w:val="66C02B08"/>
    <w:rsid w:val="68E03A52"/>
    <w:rsid w:val="6A9B6021"/>
    <w:rsid w:val="6CDF3230"/>
    <w:rsid w:val="6D392F61"/>
    <w:rsid w:val="6E67461D"/>
    <w:rsid w:val="6F2A37A0"/>
    <w:rsid w:val="72C32377"/>
    <w:rsid w:val="74025526"/>
    <w:rsid w:val="74401C8A"/>
    <w:rsid w:val="75000F22"/>
    <w:rsid w:val="754B0FB6"/>
    <w:rsid w:val="759143B7"/>
    <w:rsid w:val="775D05E8"/>
    <w:rsid w:val="78B75DEB"/>
    <w:rsid w:val="79C24C4F"/>
    <w:rsid w:val="7CE551D2"/>
    <w:rsid w:val="7ECF39D3"/>
    <w:rsid w:val="7F6F10C8"/>
    <w:rsid w:val="7FDFC7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713377483443709"/>
          <c:y val="0.260561996462959"/>
          <c:w val="0.899523178807947"/>
          <c:h val="0.647357044606013"/>
        </c:manualLayout>
      </c:layout>
      <c:barChart>
        <c:barDir val="col"/>
        <c:grouping val="clustered"/>
        <c:varyColors val="false"/>
        <c:ser>
          <c:idx val="0"/>
          <c:order val="0"/>
          <c:tx>
            <c:strRef>
              <c:f>Sheet1!$B$1</c:f>
              <c:strCache>
                <c:ptCount val="1"/>
                <c:pt idx="0">
                  <c:v>收入</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233.43</c:v>
                </c:pt>
                <c:pt idx="1">
                  <c:v>228.32</c:v>
                </c:pt>
              </c:numCache>
            </c:numRef>
          </c:val>
        </c:ser>
        <c:ser>
          <c:idx val="1"/>
          <c:order val="1"/>
          <c:tx>
            <c:strRef>
              <c:f>Sheet1!$C$1</c:f>
              <c:strCache>
                <c:ptCount val="1"/>
                <c:pt idx="0">
                  <c:v>支出</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233.43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233.43</c:v>
                </c:pt>
                <c:pt idx="1">
                  <c:v>228.32</c:v>
                </c:pt>
              </c:numCache>
            </c:numRef>
          </c:val>
        </c:ser>
        <c:dLbls>
          <c:showLegendKey val="false"/>
          <c:showVal val="true"/>
          <c:showCatName val="false"/>
          <c:showSerName val="false"/>
          <c:showPercent val="false"/>
          <c:showBubbleSize val="false"/>
        </c:dLbls>
        <c:gapWidth val="164"/>
        <c:overlap val="0"/>
        <c:axId val="45449985"/>
        <c:axId val="694479141"/>
      </c:barChart>
      <c:lineChart>
        <c:grouping val="standard"/>
        <c:varyColors val="false"/>
        <c:ser>
          <c:idx val="2"/>
          <c:order val="2"/>
          <c:tx>
            <c:strRef>
              <c:f>Sheet1!$D$1</c:f>
              <c:strCache>
                <c:ptCount val="1"/>
                <c:pt idx="0">
                  <c:v>增加减少</c:v>
                </c:pt>
              </c:strCache>
            </c:strRef>
          </c:tx>
          <c:spPr>
            <a:ln w="28575" cap="rnd">
              <a:solidFill>
                <a:schemeClr val="accent3"/>
              </a:solidFill>
              <a:round/>
            </a:ln>
            <a:effectLst>
              <a:innerShdw blurRad="114300">
                <a:schemeClr val="accent3"/>
              </a:innerShdw>
            </a:effectLst>
          </c:spPr>
          <c:marker>
            <c:symbol val="none"/>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Sheet1!$D$2:$D$3</c:f>
              <c:numCache>
                <c:formatCode>General</c:formatCode>
                <c:ptCount val="2"/>
                <c:pt idx="1">
                  <c:v>5.11</c:v>
                </c:pt>
              </c:numCache>
            </c:numRef>
          </c:val>
          <c:smooth val="false"/>
        </c:ser>
        <c:ser>
          <c:idx val="3"/>
          <c:order val="3"/>
          <c:tx>
            <c:strRef>
              <c:f>Sheet1!$E$1</c:f>
              <c:strCache>
                <c:ptCount val="1"/>
                <c:pt idx="0">
                  <c:v>增长下降</c:v>
                </c:pt>
              </c:strCache>
            </c:strRef>
          </c:tx>
          <c:spPr>
            <a:ln w="28575" cap="rnd">
              <a:solidFill>
                <a:schemeClr val="accent4"/>
              </a:solidFill>
              <a:round/>
            </a:ln>
            <a:effectLst>
              <a:innerShdw blurRad="114300">
                <a:schemeClr val="accent4"/>
              </a:innerShdw>
            </a:effectLst>
          </c:spPr>
          <c:marker>
            <c:symbol val="none"/>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Sheet1!$E$2:$E$3</c:f>
              <c:numCache>
                <c:formatCode>General</c:formatCode>
                <c:ptCount val="2"/>
                <c:pt idx="1">
                  <c:v>2.18</c:v>
                </c:pt>
              </c:numCache>
            </c:numRef>
          </c:val>
          <c:smooth val="false"/>
        </c:ser>
        <c:dLbls>
          <c:showLegendKey val="false"/>
          <c:showVal val="true"/>
          <c:showCatName val="false"/>
          <c:showSerName val="false"/>
          <c:showPercent val="false"/>
          <c:showBubbleSize val="false"/>
        </c:dLbls>
        <c:marker val="false"/>
        <c:smooth val="false"/>
        <c:axId val="45449985"/>
        <c:axId val="694479141"/>
      </c:lineChart>
      <c:catAx>
        <c:axId val="45449985"/>
        <c:scaling>
          <c:orientation val="minMax"/>
        </c:scaling>
        <c:delete val="false"/>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9</a:t>
            </a:r>
            <a:r>
              <a:t>年总收入 占百分比</a:t>
            </a:r>
          </a:p>
        </c:rich>
      </c:tx>
      <c:layout/>
      <c:overlay val="false"/>
      <c:spPr>
        <a:noFill/>
        <a:ln>
          <a:noFill/>
        </a:ln>
        <a:effectLst/>
      </c:spPr>
    </c:title>
    <c:autoTitleDeleted val="fals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2018年总收入 占百分比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一般公共</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75.54</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事业</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24.56</a:t>
                    </a:r>
                    <a:r>
                      <a:t>%</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其他</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a:t>
                    </a:r>
                    <a:r>
                      <a:t>0%</a:t>
                    </a:r>
                  </a:p>
                </c:rich>
              </c:tx>
              <c:dLblPos val="ctr"/>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Sheet1!$B$2:$B$8</c:f>
              <c:numCache>
                <c:formatCode>General</c:formatCode>
                <c:ptCount val="7"/>
                <c:pt idx="0">
                  <c:v>172.48</c:v>
                </c:pt>
                <c:pt idx="3">
                  <c:v>55.83</c:v>
                </c:pt>
                <c:pt idx="6">
                  <c:v>0.01</c:v>
                </c:pt>
              </c:numCache>
            </c:numRef>
          </c:val>
        </c:ser>
        <c:ser>
          <c:idx val="1"/>
          <c:order val="1"/>
          <c:tx>
            <c:strRef>
              <c:f>Sheet1!$C$1</c:f>
              <c:strCache>
                <c:ptCount val="1"/>
                <c:pt idx="0">
                  <c:v>占百分比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Sheet1!$A$2:$A$8</c:f>
              <c:strCache>
                <c:ptCount val="7"/>
                <c:pt idx="0">
                  <c:v>一般公共</c:v>
                </c:pt>
                <c:pt idx="1">
                  <c:v>政府性基金</c:v>
                </c:pt>
                <c:pt idx="2">
                  <c:v>国有资本经营</c:v>
                </c:pt>
                <c:pt idx="3">
                  <c:v>事业</c:v>
                </c:pt>
                <c:pt idx="4">
                  <c:v>经营</c:v>
                </c:pt>
                <c:pt idx="5">
                  <c:v>附属单位</c:v>
                </c:pt>
                <c:pt idx="6">
                  <c:v>其他</c:v>
                </c:pt>
              </c:strCache>
            </c:strRef>
          </c:cat>
          <c:val>
            <c:numRef>
              <c:f>Sheet1!$C$2:$C$8</c:f>
              <c:numCache>
                <c:formatCode>General</c:formatCode>
                <c:ptCount val="7"/>
                <c:pt idx="0">
                  <c:v>75.54</c:v>
                </c:pt>
                <c:pt idx="3">
                  <c:v>24.56</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2018年总支出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基本</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56.21</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项目</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43.79</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Sheet1!$B$2:$B$6</c:f>
              <c:numCache>
                <c:formatCode>General</c:formatCode>
                <c:ptCount val="5"/>
                <c:pt idx="0">
                  <c:v>128.32</c:v>
                </c:pt>
                <c:pt idx="1">
                  <c:v>100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c:v>
                </c:pt>
                <c:pt idx="1">
                  <c:v>项目</c:v>
                </c:pt>
                <c:pt idx="2">
                  <c:v>上缴上级</c:v>
                </c:pt>
                <c:pt idx="3">
                  <c:v>经营</c:v>
                </c:pt>
                <c:pt idx="4">
                  <c:v>附属单位补助</c:v>
                </c:pt>
              </c:strCache>
            </c:strRef>
          </c:cat>
          <c:val>
            <c:numRef>
              <c:f>Sheet1!$C$2:$C$6</c:f>
              <c:numCache>
                <c:formatCode>General</c:formatCode>
                <c:ptCount val="5"/>
                <c:pt idx="0">
                  <c:v>56.22</c:v>
                </c:pt>
                <c:pt idx="1">
                  <c:v>43.78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cap="all" spc="150" baseline="0">
                <a:solidFill>
                  <a:schemeClr val="tx1">
                    <a:lumMod val="50000"/>
                    <a:lumOff val="50000"/>
                  </a:schemeClr>
                </a:solidFill>
                <a:latin typeface="+mn-lt"/>
                <a:ea typeface="+mn-ea"/>
                <a:cs typeface="+mn-cs"/>
              </a:defRPr>
            </a:pPr>
            <a:r>
              <a:t>收支决算总计变动情况图</a:t>
            </a:r>
          </a:p>
        </c:rich>
      </c:tx>
      <c:layout/>
      <c:overlay val="false"/>
      <c:spPr>
        <a:noFill/>
        <a:ln>
          <a:noFill/>
        </a:ln>
        <a:effectLst/>
      </c:spPr>
    </c:title>
    <c:autoTitleDeleted val="false"/>
    <c:plotArea>
      <c:layout>
        <c:manualLayout>
          <c:layoutTarget val="inner"/>
          <c:xMode val="edge"/>
          <c:yMode val="edge"/>
          <c:x val="0.0965033112582781"/>
          <c:y val="0.271369620750639"/>
          <c:w val="0.899523178807947"/>
          <c:h val="0.647357044606013"/>
        </c:manualLayout>
      </c:layout>
      <c:barChart>
        <c:barDir val="col"/>
        <c:grouping val="clustered"/>
        <c:varyColors val="false"/>
        <c:ser>
          <c:idx val="0"/>
          <c:order val="0"/>
          <c:tx>
            <c:strRef>
              <c:f>Sheet1!$B$1</c:f>
              <c:strCache>
                <c:ptCount val="1"/>
                <c:pt idx="0">
                  <c:v>财政拨款收入</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Sheet1!$B$2:$B$3</c:f>
              <c:numCache>
                <c:formatCode>General</c:formatCode>
                <c:ptCount val="2"/>
                <c:pt idx="0">
                  <c:v>73.45</c:v>
                </c:pt>
                <c:pt idx="1">
                  <c:v>172.48</c:v>
                </c:pt>
              </c:numCache>
            </c:numRef>
          </c:val>
        </c:ser>
        <c:ser>
          <c:idx val="1"/>
          <c:order val="1"/>
          <c:tx>
            <c:strRef>
              <c:f>Sheet1!$C$1</c:f>
              <c:strCache>
                <c:ptCount val="1"/>
                <c:pt idx="0">
                  <c:v>财政拨款支出</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false"/>
          <c:dLbls>
            <c:dLbl>
              <c:idx val="0"/>
              <c:layout>
                <c:manualLayout>
                  <c:x val="-0.0119205298013245"/>
                  <c:y val="-0.0081330200614494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73.45</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Sheet1!$C$2:$C$3</c:f>
              <c:numCache>
                <c:formatCode>General</c:formatCode>
                <c:ptCount val="2"/>
                <c:pt idx="0">
                  <c:v>73.45</c:v>
                </c:pt>
                <c:pt idx="1">
                  <c:v>172.48</c:v>
                </c:pt>
              </c:numCache>
            </c:numRef>
          </c:val>
        </c:ser>
        <c:dLbls>
          <c:showLegendKey val="false"/>
          <c:showVal val="true"/>
          <c:showCatName val="false"/>
          <c:showSerName val="false"/>
          <c:showPercent val="false"/>
          <c:showBubbleSize val="false"/>
        </c:dLbls>
        <c:gapWidth val="164"/>
        <c:overlap val="0"/>
        <c:axId val="45449985"/>
        <c:axId val="694479141"/>
      </c:barChart>
      <c:lineChart>
        <c:grouping val="standard"/>
        <c:varyColors val="false"/>
        <c:ser>
          <c:idx val="2"/>
          <c:order val="2"/>
          <c:tx>
            <c:strRef>
              <c:f>Sheet1!$D$1</c:f>
              <c:strCache>
                <c:ptCount val="1"/>
                <c:pt idx="0">
                  <c:v>增加减少</c:v>
                </c:pt>
              </c:strCache>
            </c:strRef>
          </c:tx>
          <c:spPr>
            <a:ln w="28575" cap="rnd">
              <a:solidFill>
                <a:schemeClr val="accent3"/>
              </a:solidFill>
              <a:round/>
            </a:ln>
            <a:effectLst>
              <a:innerShdw blurRad="114300">
                <a:schemeClr val="accent3"/>
              </a:innerShdw>
            </a:effectLst>
          </c:spPr>
          <c:marker>
            <c:symbol val="none"/>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Sheet1!$D$2:$D$3</c:f>
              <c:numCache>
                <c:formatCode>General</c:formatCode>
                <c:ptCount val="2"/>
                <c:pt idx="1">
                  <c:v>99.03</c:v>
                </c:pt>
              </c:numCache>
            </c:numRef>
          </c:val>
          <c:smooth val="false"/>
        </c:ser>
        <c:ser>
          <c:idx val="3"/>
          <c:order val="3"/>
          <c:tx>
            <c:strRef>
              <c:f>Sheet1!$E$1</c:f>
              <c:strCache>
                <c:ptCount val="1"/>
                <c:pt idx="0">
                  <c:v>增长下降</c:v>
                </c:pt>
              </c:strCache>
            </c:strRef>
          </c:tx>
          <c:spPr>
            <a:ln w="28575" cap="rnd">
              <a:solidFill>
                <a:schemeClr val="accent4"/>
              </a:solidFill>
              <a:round/>
            </a:ln>
            <a:effectLst>
              <a:innerShdw blurRad="114300">
                <a:schemeClr val="accent4"/>
              </a:innerShdw>
            </a:effectLst>
          </c:spPr>
          <c:marker>
            <c:symbol val="none"/>
          </c:marker>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tx1">
                          <a:lumMod val="35000"/>
                          <a:lumOff val="65000"/>
                        </a:schemeClr>
                      </a:solidFill>
                    </a:ln>
                    <a:effectLst/>
                  </c:spPr>
                </c15:leaderLines>
              </c:ext>
            </c:extLst>
          </c:dLbls>
          <c:cat>
            <c:strRef>
              <c:f>Sheet1!$A$2:$A$3</c:f>
              <c:strCache>
                <c:ptCount val="2"/>
                <c:pt idx="0">
                  <c:v>2018年</c:v>
                </c:pt>
                <c:pt idx="1">
                  <c:v>2019年</c:v>
                </c:pt>
              </c:strCache>
            </c:strRef>
          </c:cat>
          <c:val>
            <c:numRef>
              <c:f>Sheet1!$E$2:$E$3</c:f>
              <c:numCache>
                <c:formatCode>General</c:formatCode>
                <c:ptCount val="2"/>
                <c:pt idx="1">
                  <c:v>66.69</c:v>
                </c:pt>
              </c:numCache>
            </c:numRef>
          </c:val>
          <c:smooth val="false"/>
        </c:ser>
        <c:dLbls>
          <c:showLegendKey val="false"/>
          <c:showVal val="true"/>
          <c:showCatName val="false"/>
          <c:showSerName val="false"/>
          <c:showPercent val="false"/>
          <c:showBubbleSize val="false"/>
        </c:dLbls>
        <c:marker val="false"/>
        <c:smooth val="false"/>
        <c:axId val="45449985"/>
        <c:axId val="694479141"/>
      </c:lineChart>
      <c:catAx>
        <c:axId val="45449985"/>
        <c:scaling>
          <c:orientation val="minMax"/>
        </c:scaling>
        <c:delete val="false"/>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占本年支付%</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Sheet1!$C$2:$C$3</c:f>
              <c:numCache>
                <c:formatCode>General</c:formatCode>
                <c:ptCount val="2"/>
                <c:pt idx="0">
                  <c:v>73.45</c:v>
                </c:pt>
                <c:pt idx="1">
                  <c:v>172.48</c:v>
                </c:pt>
              </c:numCache>
            </c:numRef>
          </c:val>
        </c:ser>
        <c:ser>
          <c:idx val="2"/>
          <c:order val="2"/>
          <c:tx>
            <c:strRef>
              <c:f>Sheet1!$D$1</c:f>
              <c:strCache>
                <c:ptCount val="1"/>
                <c:pt idx="0">
                  <c:v>增加减少</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Sheet1!$D$2:$D$3</c:f>
              <c:numCache>
                <c:formatCode>General</c:formatCode>
                <c:ptCount val="2"/>
                <c:pt idx="1">
                  <c:v>99.03</c:v>
                </c:pt>
              </c:numCache>
            </c:numRef>
          </c:val>
        </c:ser>
        <c:ser>
          <c:idx val="3"/>
          <c:order val="3"/>
          <c:tx>
            <c:strRef>
              <c:f>Sheet1!$E$1</c:f>
              <c:strCache>
                <c:ptCount val="1"/>
                <c:pt idx="0">
                  <c:v>增长下降</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Sheet1!$E$2:$E$3</c:f>
              <c:numCache>
                <c:formatCode>General</c:formatCode>
                <c:ptCount val="2"/>
                <c:pt idx="1">
                  <c:v>66.69</c:v>
                </c:pt>
              </c:numCache>
            </c:numRef>
          </c:val>
        </c:ser>
        <c:dLbls>
          <c:showLegendKey val="false"/>
          <c:showVal val="false"/>
          <c:showCatName val="false"/>
          <c:showSerName val="false"/>
          <c:showPercent val="false"/>
          <c:showBubbleSize val="false"/>
        </c:dLbls>
        <c:gapWidth val="219"/>
        <c:overlap val="-27"/>
        <c:axId val="45449985"/>
        <c:axId val="694479141"/>
      </c:barChart>
      <c:catAx>
        <c:axId val="4544998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4479141"/>
        <c:crosses val="autoZero"/>
        <c:auto val="true"/>
        <c:lblAlgn val="ctr"/>
        <c:lblOffset val="100"/>
        <c:noMultiLvlLbl val="false"/>
      </c:catAx>
      <c:valAx>
        <c:axId val="694479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449985"/>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302003535651149"/>
          <c:y val="0.11077359254759"/>
          <c:w val="0.933411903358869"/>
          <c:h val="0.761441879303362"/>
        </c:manualLayout>
      </c:layout>
      <c:pieChart>
        <c:varyColors val="true"/>
        <c:ser>
          <c:idx val="0"/>
          <c:order val="0"/>
          <c:tx>
            <c:strRef>
              <c:f>Sheet1!$B$1:$C$1</c:f>
              <c:strCache>
                <c:ptCount val="1"/>
                <c:pt idx="0">
                  <c:v>2019年财政预算总支出 占百分比</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基本</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56.21</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项目</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43.79</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1">
                  <c:v>项目</c:v>
                </c:pt>
                <c:pt idx="2">
                  <c:v>社会保障性支出</c:v>
                </c:pt>
                <c:pt idx="3">
                  <c:v>卫生健康支出</c:v>
                </c:pt>
                <c:pt idx="4">
                  <c:v>附属单位补助</c:v>
                </c:pt>
              </c:strCache>
            </c:strRef>
          </c:cat>
          <c:val>
            <c:numRef>
              <c:f>Sheet1!$B$2:$B$6</c:f>
              <c:numCache>
                <c:formatCode>General</c:formatCode>
                <c:ptCount val="5"/>
                <c:pt idx="1">
                  <c:v>100</c:v>
                </c:pt>
                <c:pt idx="2">
                  <c:v>3.29</c:v>
                </c:pt>
                <c:pt idx="3">
                  <c:v>69.19</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Pt>
            <c:idx val="3"/>
            <c:bubble3D val="false"/>
            <c:spPr>
              <a:solidFill>
                <a:schemeClr val="accent4"/>
              </a:solidFill>
              <a:ln w="25400">
                <a:solidFill>
                  <a:schemeClr val="lt1"/>
                </a:solidFill>
              </a:ln>
              <a:effectLst/>
            </c:spPr>
          </c:dPt>
          <c:dPt>
            <c:idx val="4"/>
            <c:bubble3D val="false"/>
            <c:spPr>
              <a:solidFill>
                <a:schemeClr val="accent5"/>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1">
                  <c:v>项目</c:v>
                </c:pt>
                <c:pt idx="2">
                  <c:v>社会保障性支出</c:v>
                </c:pt>
                <c:pt idx="3">
                  <c:v>卫生健康支出</c:v>
                </c:pt>
                <c:pt idx="4">
                  <c:v>附属单位补助</c:v>
                </c:pt>
              </c:strCache>
            </c:strRef>
          </c:cat>
          <c:val>
            <c:numRef>
              <c:f>Sheet1!$C$2:$C$6</c:f>
              <c:numCache>
                <c:formatCode>General</c:formatCode>
                <c:ptCount val="5"/>
                <c:pt idx="1">
                  <c:v>57.99</c:v>
                </c:pt>
                <c:pt idx="2">
                  <c:v>1.9</c:v>
                </c:pt>
                <c:pt idx="3">
                  <c:v>40.11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275"/>
          <c:y val="0.0463333333333333"/>
          <c:w val="0.945"/>
          <c:h val="0.8415"/>
        </c:manualLayout>
      </c:layout>
      <c:pieChart>
        <c:varyColors val="true"/>
        <c:ser>
          <c:idx val="0"/>
          <c:order val="0"/>
          <c:tx>
            <c:strRef>
              <c:f>Sheet1!$B$1</c:f>
              <c:strCache>
                <c:ptCount val="1"/>
                <c:pt idx="0">
                  <c:v>2018年总支出</c:v>
                </c:pt>
              </c:strCache>
            </c:strRef>
          </c:tx>
          <c:spPr>
            <a:scene3d>
              <a:camera prst="orthographicFront"/>
              <a:lightRig rig="threePt" dir="t"/>
            </a:scene3d>
            <a:sp3d contourW="25400"/>
          </c:spPr>
          <c:explosion val="0"/>
          <c:dPt>
            <c:idx val="0"/>
            <c:bubble3D val="false"/>
            <c:spPr>
              <a:solidFill>
                <a:schemeClr val="accent1"/>
              </a:solidFill>
              <a:ln w="25400">
                <a:solidFill>
                  <a:schemeClr val="lt1"/>
                </a:solidFill>
              </a:ln>
              <a:effectLst/>
              <a:scene3d>
                <a:camera prst="orthographicFront"/>
                <a:lightRig rig="threePt" dir="t"/>
              </a:scene3d>
              <a:sp3d contourW="254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Sheet1!$B$2:$B$4</c:f>
              <c:numCache>
                <c:formatCode>General</c:formatCode>
                <c:ptCount val="3"/>
                <c:pt idx="0">
                  <c:v>0</c:v>
                </c:pt>
                <c:pt idx="1">
                  <c:v>0.52</c:v>
                </c:pt>
                <c:pt idx="2">
                  <c:v>0</c:v>
                </c:pt>
              </c:numCache>
            </c:numRef>
          </c:val>
        </c:ser>
        <c:ser>
          <c:idx val="1"/>
          <c:order val="1"/>
          <c:tx>
            <c:strRef>
              <c:f>Sheet1!$C$1</c:f>
              <c:strCache>
                <c:ptCount val="1"/>
                <c:pt idx="0">
                  <c:v>占百分比</c:v>
                </c:pt>
              </c:strCache>
            </c:strRef>
          </c:tx>
          <c:spPr/>
          <c:explosion val="0"/>
          <c:dPt>
            <c:idx val="0"/>
            <c:bubble3D val="false"/>
            <c:spPr>
              <a:solidFill>
                <a:schemeClr val="accent1"/>
              </a:solidFill>
              <a:ln w="25400">
                <a:solidFill>
                  <a:schemeClr val="lt1"/>
                </a:solidFill>
              </a:ln>
              <a:effectLst/>
            </c:spPr>
          </c:dPt>
          <c:dPt>
            <c:idx val="1"/>
            <c:bubble3D val="false"/>
            <c:spPr>
              <a:solidFill>
                <a:schemeClr val="accent2"/>
              </a:solidFill>
              <a:ln w="25400">
                <a:solidFill>
                  <a:schemeClr val="lt1"/>
                </a:solidFill>
              </a:ln>
              <a:effectLst/>
            </c:spPr>
          </c:dPt>
          <c:dPt>
            <c:idx val="2"/>
            <c:bubble3D val="false"/>
            <c:spPr>
              <a:solidFill>
                <a:schemeClr val="accent3"/>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公用车购置及运行维护费</c:v>
                </c:pt>
                <c:pt idx="2">
                  <c:v>公务接待费</c:v>
                </c:pt>
              </c:strCache>
            </c:strRef>
          </c:cat>
          <c:val>
            <c:numRef>
              <c:f>Sheet1!$C$2:$C$4</c:f>
              <c:numCache>
                <c:formatCode>General</c:formatCode>
                <c:ptCount val="3"/>
                <c:pt idx="0">
                  <c:v>0</c:v>
                </c:pt>
                <c:pt idx="1">
                  <c:v>100</c:v>
                </c:pt>
                <c:pt idx="2">
                  <c:v>0</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22</TotalTime>
  <ScaleCrop>false</ScaleCrop>
  <LinksUpToDate>false</LinksUpToDate>
  <CharactersWithSpaces>9641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仁可女青</cp:lastModifiedBy>
  <cp:lastPrinted>2020-11-08T09:56:00Z</cp:lastPrinted>
  <dcterms:modified xsi:type="dcterms:W3CDTF">2022-02-22T10:46:32Z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