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color w:val="000000"/>
          <w:sz w:val="72"/>
          <w:szCs w:val="72"/>
          <w:lang w:val="en-US" w:eastAsia="zh-CN"/>
        </w:rPr>
      </w:pPr>
      <w:bookmarkStart w:id="0" w:name="_Toc15306267"/>
      <w:r>
        <w:rPr>
          <w:rFonts w:hint="eastAsia" w:ascii="方正小标宋简体" w:hAnsi="宋体" w:eastAsia="方正小标宋简体"/>
          <w:color w:val="000000"/>
          <w:sz w:val="72"/>
          <w:szCs w:val="72"/>
          <w:lang w:val="en-US" w:eastAsia="zh-CN"/>
        </w:rPr>
        <w:t xml:space="preserve"> </w:t>
      </w: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475"/>
      <w:bookmarkStart w:id="3" w:name="_Toc15396597"/>
      <w:bookmarkStart w:id="4" w:name="_Toc15377425"/>
      <w:bookmarkStart w:id="5" w:name="_Toc15378441"/>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bookmarkStart w:id="6" w:name="_Toc15396598"/>
      <w:bookmarkStart w:id="7" w:name="_Toc15377194"/>
      <w:bookmarkStart w:id="8" w:name="_Toc15378442"/>
      <w:bookmarkStart w:id="9" w:name="_Toc15377426"/>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宣汉县</w:t>
      </w:r>
      <w:r>
        <w:rPr>
          <w:rFonts w:hint="eastAsia" w:ascii="方正小标宋简体" w:hAnsi="宋体" w:eastAsia="方正小标宋简体"/>
          <w:color w:val="000000"/>
          <w:sz w:val="72"/>
          <w:szCs w:val="72"/>
          <w:lang w:val="en-US" w:eastAsia="zh-CN"/>
        </w:rPr>
        <w:t>樊哙镇</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lang w:eastAsia="zh-CN"/>
        </w:rPr>
        <w:t>公开编制说明</w:t>
      </w:r>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5</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spacing w:line="560" w:lineRule="exact"/>
        <w:ind w:firstLine="480" w:firstLineChars="150"/>
        <w:rPr>
          <w:rFonts w:hint="eastAsia" w:ascii="仿宋_GB2312" w:hAnsi="仿宋_GB2312" w:eastAsia="仿宋_GB2312" w:cs="仿宋_GB2312"/>
          <w:bCs/>
          <w:color w:val="000000"/>
          <w:sz w:val="32"/>
          <w:szCs w:val="32"/>
          <w:lang w:eastAsia="zh-CN"/>
        </w:rPr>
      </w:pPr>
      <w:bookmarkStart w:id="16" w:name="_Toc15378445"/>
      <w:bookmarkStart w:id="17" w:name="_Toc15377198"/>
      <w:r>
        <w:rPr>
          <w:rFonts w:hint="eastAsia" w:ascii="仿宋_GB2312" w:hAnsi="仿宋_GB2312" w:eastAsia="仿宋_GB2312" w:cs="仿宋_GB2312"/>
          <w:bCs/>
          <w:color w:val="000000"/>
          <w:sz w:val="32"/>
          <w:szCs w:val="32"/>
        </w:rPr>
        <w:t>（一）</w:t>
      </w:r>
      <w:r>
        <w:rPr>
          <w:rFonts w:hint="eastAsia" w:ascii="仿宋_GB2312" w:hAnsi="仿宋_GB2312" w:eastAsia="仿宋_GB2312" w:cs="仿宋_GB2312"/>
          <w:bCs/>
          <w:color w:val="000000"/>
          <w:sz w:val="32"/>
          <w:szCs w:val="32"/>
          <w:lang w:eastAsia="zh-CN"/>
        </w:rPr>
        <w:t>樊哙镇部门预算的基本职能有以下几点：</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（1）制定和组织我镇实施经济、科技和社会发展计划，协调好本镇与外地区的经济交流与合作，抓好招商引资，人才引进项目开发，不断培育市场体系，组织经济运行，促进经济发展。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（2）制定并组织实施我镇村镇建设规划，部署重点工程建设，地方道路建设及公共设施，水利设施的管理，负责土地、林木、水等自然资源和生态环境的保护，做好护林防火工作。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负责我镇行政区域内的民政、计划生育、文化教育、卫生、体育等社会公益事业的综合性工作，维护一切经济单位和个人的正当经济权益，取缔非法经济活动，调解和处理民事纠纷，打击刑事犯罪和维护社会稳定。</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（4）按计划组织我镇本级财政收入，完成国家财政计划，不断培植税源，管好财政资金，增强财政实力。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（5）抓好我镇精神文明建设，丰富群众文化生活，提倡移风易俗，反对封建迷信，破除陈规陋习，树立社会主义新风尚。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（6）完成上级政府交办的其它事项。</w:t>
      </w:r>
    </w:p>
    <w:bookmarkEnd w:id="16"/>
    <w:bookmarkEnd w:id="17"/>
    <w:p>
      <w:pPr>
        <w:pStyle w:val="5"/>
        <w:adjustRightInd w:val="0"/>
        <w:snapToGrid w:val="0"/>
        <w:spacing w:before="93" w:line="600" w:lineRule="exact"/>
        <w:outlineLvl w:val="2"/>
        <w:rPr>
          <w:rFonts w:hint="eastAsia" w:ascii="仿宋_GB2312" w:hAnsi="仿宋_GB2312" w:eastAsia="仿宋_GB2312" w:cs="仿宋_GB2312"/>
          <w:bCs/>
          <w:color w:val="000000"/>
          <w:sz w:val="32"/>
          <w:szCs w:val="32"/>
        </w:rPr>
      </w:pPr>
    </w:p>
    <w:p>
      <w:pPr>
        <w:snapToGrid w:val="0"/>
        <w:spacing w:line="560" w:lineRule="exact"/>
        <w:ind w:firstLine="640" w:firstLineChars="200"/>
        <w:rPr>
          <w:rFonts w:hint="eastAsia" w:ascii="仿宋_GB2312" w:hAnsi="仿宋_GB2312" w:eastAsia="仿宋_GB2312" w:cs="仿宋_GB2312"/>
          <w:sz w:val="32"/>
          <w:szCs w:val="32"/>
        </w:rPr>
      </w:pPr>
      <w:bookmarkStart w:id="18" w:name="_Toc15378446"/>
      <w:bookmarkStart w:id="19" w:name="_Toc15377199"/>
      <w:r>
        <w:rPr>
          <w:rFonts w:hint="eastAsia" w:ascii="仿宋_GB2312" w:hAnsi="仿宋_GB2312" w:eastAsia="仿宋_GB2312" w:cs="仿宋_GB2312"/>
          <w:bCs/>
          <w:color w:val="000000"/>
          <w:sz w:val="32"/>
          <w:szCs w:val="32"/>
        </w:rPr>
        <w:t>（二）</w:t>
      </w:r>
      <w:r>
        <w:rPr>
          <w:rFonts w:hint="eastAsia" w:ascii="仿宋_GB2312" w:hAnsi="仿宋_GB2312" w:eastAsia="仿宋_GB2312" w:cs="仿宋_GB2312"/>
          <w:sz w:val="32"/>
          <w:szCs w:val="32"/>
        </w:rPr>
        <w:t>为了确保2018年部门决算工作的顺利完成，镇党委、政府高度重视，通过几天的努力，圆满完成了2018年我镇部门决算工作，其主要做了以下工作：</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1、加强领导，严格执行中央八项规定和省市县相关规定，严格执行财经制度。</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2、严格执行年初预算，确保了一般公共服务支出和村社干部报酬发放。</w:t>
      </w:r>
    </w:p>
    <w:p>
      <w:pPr>
        <w:snapToGrid w:val="0"/>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rPr>
        <w:t>3、对项目资金严格按照工作进度拨付资金，做到了公平、公正、公开的原则，不挪用和截留项目资金</w:t>
      </w:r>
      <w:bookmarkEnd w:id="18"/>
      <w:bookmarkEnd w:id="19"/>
    </w:p>
    <w:p>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2018年末，我镇</w:t>
      </w:r>
      <w:r>
        <w:rPr>
          <w:rFonts w:hint="eastAsia" w:ascii="仿宋_GB2312" w:hAnsi="仿宋_GB2312" w:eastAsia="仿宋_GB2312" w:cs="仿宋_GB2312"/>
          <w:sz w:val="32"/>
          <w:szCs w:val="32"/>
        </w:rPr>
        <w:t>纳入部门决算汇编范围的有</w:t>
      </w:r>
      <w:r>
        <w:rPr>
          <w:rFonts w:hint="eastAsia" w:ascii="仿宋_GB2312" w:hAnsi="仿宋_GB2312" w:eastAsia="仿宋_GB2312" w:cs="仿宋_GB2312"/>
          <w:color w:val="000000"/>
          <w:sz w:val="32"/>
          <w:szCs w:val="32"/>
        </w:rPr>
        <w:t>1个乡镇汇总录入单位，与上年一致。</w:t>
      </w:r>
    </w:p>
    <w:p>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bCs/>
        </w:rPr>
      </w:pPr>
      <w:bookmarkStart w:id="24" w:name="_Toc15377205"/>
      <w:bookmarkStart w:id="25" w:name="_Toc15396603"/>
      <w:r>
        <w:rPr>
          <w:rFonts w:hint="eastAsia" w:ascii="黑体" w:hAnsi="黑体" w:eastAsia="黑体"/>
          <w:b/>
          <w:bCs/>
          <w:color w:val="000000"/>
          <w:sz w:val="32"/>
          <w:szCs w:val="32"/>
        </w:rPr>
        <w:t>收</w:t>
      </w:r>
      <w:r>
        <w:rPr>
          <w:rStyle w:val="25"/>
          <w:rFonts w:hint="eastAsia" w:ascii="黑体" w:hAnsi="黑体" w:eastAsia="黑体"/>
          <w:b/>
          <w:bCs/>
        </w:rPr>
        <w:t>入支出决算总体情况说明</w:t>
      </w:r>
      <w:bookmarkEnd w:id="24"/>
      <w:bookmarkEnd w:id="25"/>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财政拨款收入1142.3万元比上年1132.33万元增加了9.97万元。</w:t>
      </w:r>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2018年度收、支总计</w:t>
      </w:r>
      <w:r>
        <w:rPr>
          <w:rFonts w:hint="eastAsia" w:ascii="仿宋_GB2312" w:hAnsi="仿宋_GB2312" w:eastAsia="仿宋_GB2312" w:cs="仿宋_GB2312"/>
          <w:color w:val="000000"/>
          <w:sz w:val="32"/>
          <w:szCs w:val="32"/>
          <w:lang w:val="en-US" w:eastAsia="zh-CN"/>
        </w:rPr>
        <w:t>2284.6</w:t>
      </w:r>
      <w:r>
        <w:rPr>
          <w:rFonts w:hint="eastAsia" w:ascii="仿宋_GB2312" w:hAnsi="仿宋_GB2312" w:eastAsia="仿宋_GB2312" w:cs="仿宋_GB2312"/>
          <w:color w:val="000000"/>
          <w:sz w:val="32"/>
          <w:szCs w:val="32"/>
        </w:rPr>
        <w:t>万元。与2017年相比，收、支总计各增加</w:t>
      </w:r>
      <w:r>
        <w:rPr>
          <w:rFonts w:hint="eastAsia" w:ascii="仿宋_GB2312" w:hAnsi="仿宋_GB2312" w:eastAsia="仿宋_GB2312" w:cs="仿宋_GB2312"/>
          <w:color w:val="000000"/>
          <w:sz w:val="32"/>
          <w:szCs w:val="32"/>
          <w:lang w:val="en-US" w:eastAsia="zh-CN"/>
        </w:rPr>
        <w:t>9.97</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0.8</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val="en-US" w:eastAsia="zh-CN"/>
        </w:rPr>
        <w:t>是2018年在职职工人数增加了8人。</w:t>
      </w:r>
    </w:p>
    <w:p>
      <w:pPr>
        <w:spacing w:line="600" w:lineRule="exact"/>
        <w:ind w:firstLine="640" w:firstLineChars="200"/>
        <w:rPr>
          <w:rFonts w:hint="eastAsia" w:ascii="仿宋_GB2312" w:hAnsi="仿宋_GB2312" w:eastAsia="仿宋_GB2312" w:cs="仿宋_GB2312"/>
          <w:color w:val="000000"/>
          <w:sz w:val="32"/>
          <w:szCs w:val="32"/>
          <w:lang w:val="en-US" w:eastAsia="zh-CN"/>
        </w:rPr>
      </w:pPr>
    </w:p>
    <w:p>
      <w:pPr>
        <w:spacing w:line="600" w:lineRule="exact"/>
        <w:jc w:val="center"/>
        <w:rPr>
          <w:rFonts w:hint="eastAsia"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lang w:val="en-US" w:eastAsia="zh-CN"/>
        </w:rPr>
        <w:drawing>
          <wp:anchor distT="0" distB="0" distL="114300" distR="114300" simplePos="0" relativeHeight="251659264" behindDoc="0" locked="0" layoutInCell="1" allowOverlap="1">
            <wp:simplePos x="0" y="0"/>
            <wp:positionH relativeFrom="column">
              <wp:posOffset>801370</wp:posOffset>
            </wp:positionH>
            <wp:positionV relativeFrom="paragraph">
              <wp:posOffset>147320</wp:posOffset>
            </wp:positionV>
            <wp:extent cx="3860800" cy="2401570"/>
            <wp:effectExtent l="5080" t="4445" r="20320" b="1333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w:t>
      </w:r>
    </w:p>
    <w:p>
      <w:pPr>
        <w:spacing w:line="600" w:lineRule="exact"/>
        <w:jc w:val="center"/>
        <w:rPr>
          <w:rFonts w:hint="eastAsia" w:ascii="仿宋" w:hAnsi="仿宋" w:eastAsia="仿宋"/>
          <w:color w:val="000000" w:themeColor="text1"/>
          <w:sz w:val="32"/>
          <w:szCs w:val="32"/>
          <w14:textFill>
            <w14:solidFill>
              <w14:schemeClr w14:val="tx1"/>
            </w14:solidFill>
          </w14:textFill>
        </w:rPr>
      </w:pP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1142.3</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1044.99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91.5</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97.31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8.5</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640" w:firstLineChars="200"/>
        <w:jc w:val="center"/>
        <w:outlineLvl w:val="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lang w:val="en-US" w:eastAsia="zh-CN"/>
        </w:rPr>
        <w:drawing>
          <wp:anchor distT="0" distB="0" distL="114300" distR="114300" simplePos="0" relativeHeight="251660288" behindDoc="0" locked="0" layoutInCell="1" allowOverlap="1">
            <wp:simplePos x="0" y="0"/>
            <wp:positionH relativeFrom="column">
              <wp:posOffset>839470</wp:posOffset>
            </wp:positionH>
            <wp:positionV relativeFrom="paragraph">
              <wp:posOffset>156845</wp:posOffset>
            </wp:positionV>
            <wp:extent cx="4004310" cy="2877185"/>
            <wp:effectExtent l="0" t="0" r="15240" b="1841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000000" w:themeColor="text1"/>
          <w:sz w:val="32"/>
          <w:szCs w:val="32"/>
          <w14:textFill>
            <w14:solidFill>
              <w14:schemeClr w14:val="tx1"/>
            </w14:solidFill>
          </w14:textFill>
        </w:rPr>
        <w:t>图2：收入决算结构图</w:t>
      </w:r>
    </w:p>
    <w:p>
      <w:pPr>
        <w:spacing w:line="600" w:lineRule="exact"/>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jc w:val="center"/>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1142.3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606.54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53.1</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535.75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46.9</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935" distR="114935" simplePos="0" relativeHeight="251661312" behindDoc="0" locked="0" layoutInCell="1" allowOverlap="1">
            <wp:simplePos x="0" y="0"/>
            <wp:positionH relativeFrom="column">
              <wp:posOffset>1001395</wp:posOffset>
            </wp:positionH>
            <wp:positionV relativeFrom="paragraph">
              <wp:posOffset>118110</wp:posOffset>
            </wp:positionV>
            <wp:extent cx="3336925" cy="2380615"/>
            <wp:effectExtent l="0" t="0" r="0" b="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000000" w:themeColor="text1"/>
          <w:sz w:val="32"/>
          <w:szCs w:val="32"/>
          <w14:textFill>
            <w14:solidFill>
              <w14:schemeClr w14:val="tx1"/>
            </w14:solidFill>
          </w14:textFill>
        </w:rPr>
        <w:t>图3</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支出决算结构图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2284.6</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7年相比，财政拨款收、支总计各增加</w:t>
      </w:r>
      <w:r>
        <w:rPr>
          <w:rFonts w:hint="eastAsia" w:ascii="仿宋" w:hAnsi="仿宋" w:eastAsia="仿宋"/>
          <w:color w:val="000000"/>
          <w:sz w:val="32"/>
          <w:szCs w:val="32"/>
          <w:lang w:val="en-US" w:eastAsia="zh-CN"/>
        </w:rPr>
        <w:t>9.97</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0.8</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val="en-US" w:eastAsia="zh-CN"/>
        </w:rPr>
        <w:t>是2018年在职职工人数增加了8人。</w:t>
      </w:r>
    </w:p>
    <w:p>
      <w:pPr>
        <w:spacing w:line="600" w:lineRule="exact"/>
        <w:jc w:val="center"/>
        <w:rPr>
          <w:rFonts w:hint="eastAsia"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lang w:val="en-US" w:eastAsia="zh-CN"/>
        </w:rPr>
        <w:drawing>
          <wp:anchor distT="0" distB="0" distL="114300" distR="114300" simplePos="0" relativeHeight="251662336" behindDoc="0" locked="0" layoutInCell="1" allowOverlap="1">
            <wp:simplePos x="0" y="0"/>
            <wp:positionH relativeFrom="column">
              <wp:posOffset>859790</wp:posOffset>
            </wp:positionH>
            <wp:positionV relativeFrom="paragraph">
              <wp:posOffset>104775</wp:posOffset>
            </wp:positionV>
            <wp:extent cx="3860800" cy="2001520"/>
            <wp:effectExtent l="0" t="0" r="6350" b="1778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themeColor="text1"/>
          <w:sz w:val="32"/>
          <w:szCs w:val="32"/>
          <w14:textFill>
            <w14:solidFill>
              <w14:schemeClr w14:val="tx1"/>
            </w14:solidFill>
          </w14:textFill>
        </w:rPr>
        <w:t>图4：财政拨款收、支决算总计变动情况</w:t>
      </w:r>
    </w:p>
    <w:p>
      <w:pPr>
        <w:spacing w:line="600" w:lineRule="exact"/>
        <w:jc w:val="center"/>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1142.3</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w:t>
      </w:r>
      <w:r>
        <w:rPr>
          <w:rFonts w:hint="eastAsia" w:ascii="仿宋" w:hAnsi="仿宋" w:eastAsia="仿宋"/>
          <w:color w:val="000000"/>
          <w:sz w:val="32"/>
          <w:szCs w:val="32"/>
          <w:lang w:val="en-US" w:eastAsia="zh-CN"/>
        </w:rPr>
        <w:t>9.97</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0.8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是2018年在职职工人数增加了8人。</w:t>
      </w:r>
    </w:p>
    <w:p>
      <w:pPr>
        <w:spacing w:line="600" w:lineRule="exact"/>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lang w:val="en-US" w:eastAsia="zh-CN"/>
        </w:rPr>
        <w:drawing>
          <wp:anchor distT="0" distB="0" distL="114300" distR="114300" simplePos="0" relativeHeight="251663360" behindDoc="0" locked="0" layoutInCell="1" allowOverlap="1">
            <wp:simplePos x="0" y="0"/>
            <wp:positionH relativeFrom="column">
              <wp:posOffset>906145</wp:posOffset>
            </wp:positionH>
            <wp:positionV relativeFrom="paragraph">
              <wp:posOffset>99695</wp:posOffset>
            </wp:positionV>
            <wp:extent cx="3699510" cy="2486660"/>
            <wp:effectExtent l="0" t="0" r="15240" b="889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000000" w:themeColor="text1"/>
          <w:sz w:val="32"/>
          <w:szCs w:val="32"/>
          <w14:textFill>
            <w14:solidFill>
              <w14:schemeClr w14:val="tx1"/>
            </w14:solidFill>
          </w14:textFill>
        </w:rPr>
        <w:t>图5：一般公共预算财政拨款支出决算变动情况</w:t>
      </w: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1142.3</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485.96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42.5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b/>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66.92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24.52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25.82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节能环保支出５万元，占</w:t>
      </w:r>
      <w:r>
        <w:rPr>
          <w:rFonts w:hint="eastAsia" w:ascii="仿宋" w:hAnsi="仿宋" w:eastAsia="仿宋"/>
          <w:color w:val="000000" w:themeColor="text1"/>
          <w:sz w:val="32"/>
          <w:szCs w:val="32"/>
          <w:lang w:val="en-US" w:eastAsia="zh-CN"/>
          <w14:textFill>
            <w14:solidFill>
              <w14:schemeClr w14:val="tx1"/>
            </w14:solidFill>
          </w14:textFill>
        </w:rPr>
        <w:t>0.4%</w:t>
      </w:r>
      <w:r>
        <w:rPr>
          <w:rFonts w:hint="eastAsia" w:ascii="仿宋" w:hAnsi="仿宋" w:eastAsia="仿宋"/>
          <w:color w:val="000000" w:themeColor="text1"/>
          <w:sz w:val="32"/>
          <w:szCs w:val="32"/>
          <w:lang w:eastAsia="zh-CN"/>
          <w14:textFill>
            <w14:solidFill>
              <w14:schemeClr w14:val="tx1"/>
            </w14:solidFill>
          </w14:textFill>
        </w:rPr>
        <w:t>；城乡社区支出</w:t>
      </w:r>
      <w:r>
        <w:rPr>
          <w:rFonts w:hint="eastAsia" w:ascii="仿宋" w:hAnsi="仿宋" w:eastAsia="仿宋"/>
          <w:color w:val="000000" w:themeColor="text1"/>
          <w:sz w:val="32"/>
          <w:szCs w:val="32"/>
          <w:lang w:val="en-US" w:eastAsia="zh-CN"/>
          <w14:textFill>
            <w14:solidFill>
              <w14:schemeClr w14:val="tx1"/>
            </w14:solidFill>
          </w14:textFill>
        </w:rPr>
        <w:t>150.13万元，占13.1%；农林水支出383.95万元，占33.6%。</w:t>
      </w:r>
    </w:p>
    <w:p>
      <w:pPr>
        <w:spacing w:line="600" w:lineRule="exact"/>
        <w:rPr>
          <w:rFonts w:hint="eastAsia" w:ascii="仿宋" w:hAnsi="仿宋" w:eastAsia="仿宋"/>
          <w:color w:val="000000"/>
          <w:sz w:val="32"/>
          <w:szCs w:val="32"/>
          <w:lang w:eastAsia="zh-CN"/>
        </w:rPr>
      </w:pP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4384" behindDoc="0" locked="0" layoutInCell="1" allowOverlap="1">
            <wp:simplePos x="0" y="0"/>
            <wp:positionH relativeFrom="column">
              <wp:posOffset>-357505</wp:posOffset>
            </wp:positionH>
            <wp:positionV relativeFrom="paragraph">
              <wp:posOffset>71120</wp:posOffset>
            </wp:positionV>
            <wp:extent cx="6050915" cy="2780030"/>
            <wp:effectExtent l="4445" t="4445" r="21590" b="1587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color w:val="000000"/>
          <w:sz w:val="32"/>
          <w:szCs w:val="32"/>
        </w:rPr>
        <w:t>图6：一般公共预算财政拨款支出决算结构</w:t>
      </w: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444"/>
      <w:bookmarkStart w:id="38" w:name="_Toc15377213"/>
      <w:bookmarkStart w:id="39" w:name="_Toc15378460"/>
      <w:r>
        <w:rPr>
          <w:rFonts w:hint="eastAsia" w:ascii="仿宋" w:hAnsi="仿宋" w:eastAsia="仿宋"/>
          <w:b/>
          <w:color w:val="000000" w:themeColor="text1"/>
          <w:sz w:val="32"/>
          <w:szCs w:val="32"/>
          <w14:textFill>
            <w14:solidFill>
              <w14:schemeClr w14:val="tx1"/>
            </w14:solidFill>
          </w14:textFill>
        </w:rPr>
        <w:t>2018年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1142.3万元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numPr>
          <w:ilvl w:val="0"/>
          <w:numId w:val="0"/>
        </w:numPr>
        <w:spacing w:line="600" w:lineRule="exact"/>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lang w:eastAsia="zh-CN"/>
        </w:rPr>
        <w:t>（</w:t>
      </w:r>
      <w:r>
        <w:rPr>
          <w:rStyle w:val="14"/>
          <w:rFonts w:hint="eastAsia" w:ascii="仿宋" w:hAnsi="仿宋" w:eastAsia="仿宋"/>
          <w:bCs/>
          <w:color w:val="000000"/>
          <w:sz w:val="32"/>
          <w:szCs w:val="32"/>
          <w:lang w:val="en-US" w:eastAsia="zh-CN"/>
        </w:rPr>
        <w:t>1</w:t>
      </w:r>
      <w:r>
        <w:rPr>
          <w:rStyle w:val="14"/>
          <w:rFonts w:hint="eastAsia" w:ascii="仿宋" w:hAnsi="仿宋" w:eastAsia="仿宋"/>
          <w:bCs/>
          <w:color w:val="000000"/>
          <w:sz w:val="32"/>
          <w:szCs w:val="32"/>
          <w:lang w:eastAsia="zh-CN"/>
        </w:rPr>
        <w:t>）</w:t>
      </w: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eastAsia="zh-CN"/>
        </w:rPr>
        <w:t>政府办公厅（室）及相关机构事务</w:t>
      </w:r>
      <w:r>
        <w:rPr>
          <w:rStyle w:val="14"/>
          <w:rFonts w:hint="eastAsia" w:ascii="仿宋" w:hAnsi="仿宋" w:eastAsia="仿宋"/>
          <w:bCs/>
          <w:color w:val="000000"/>
          <w:sz w:val="32"/>
          <w:szCs w:val="32"/>
        </w:rPr>
        <w:t>（款）</w:t>
      </w:r>
      <w:r>
        <w:rPr>
          <w:rStyle w:val="14"/>
          <w:rFonts w:hint="eastAsia" w:ascii="仿宋" w:hAnsi="仿宋" w:eastAsia="仿宋"/>
          <w:b w:val="0"/>
          <w:bCs w:val="0"/>
          <w:color w:val="000000"/>
          <w:sz w:val="32"/>
          <w:szCs w:val="32"/>
          <w:lang w:eastAsia="zh-CN"/>
        </w:rPr>
        <w:t>行政运行</w:t>
      </w:r>
      <w:r>
        <w:rPr>
          <w:rStyle w:val="14"/>
          <w:rFonts w:hint="eastAsia" w:ascii="仿宋" w:hAnsi="仿宋" w:eastAsia="仿宋"/>
          <w:b w:val="0"/>
          <w:bCs w:val="0"/>
          <w:color w:val="000000"/>
          <w:sz w:val="32"/>
          <w:szCs w:val="32"/>
        </w:rPr>
        <w:t>（项）</w:t>
      </w:r>
      <w:r>
        <w:rPr>
          <w:rStyle w:val="14"/>
          <w:rFonts w:ascii="仿宋" w:hAnsi="仿宋" w:eastAsia="仿宋"/>
          <w:b w:val="0"/>
          <w:bCs w:val="0"/>
          <w:color w:val="000000"/>
          <w:sz w:val="32"/>
          <w:szCs w:val="32"/>
        </w:rPr>
        <w:t xml:space="preserve">: </w:t>
      </w:r>
      <w:r>
        <w:rPr>
          <w:rStyle w:val="14"/>
          <w:rFonts w:hint="eastAsia" w:ascii="仿宋" w:hAnsi="仿宋" w:eastAsia="仿宋"/>
          <w:b w:val="0"/>
          <w:bCs w:val="0"/>
          <w:color w:val="000000"/>
          <w:sz w:val="32"/>
          <w:szCs w:val="32"/>
        </w:rPr>
        <w:t>支出</w:t>
      </w:r>
      <w:r>
        <w:rPr>
          <w:rStyle w:val="14"/>
          <w:rFonts w:hint="eastAsia" w:ascii="仿宋" w:hAnsi="仿宋" w:eastAsia="仿宋"/>
          <w:b w:val="0"/>
          <w:bCs/>
          <w:color w:val="000000"/>
          <w:sz w:val="32"/>
          <w:szCs w:val="32"/>
        </w:rPr>
        <w:t>决算为</w:t>
      </w:r>
      <w:r>
        <w:rPr>
          <w:rStyle w:val="14"/>
          <w:rFonts w:hint="eastAsia" w:ascii="仿宋" w:hAnsi="仿宋" w:eastAsia="仿宋"/>
          <w:b w:val="0"/>
          <w:bCs/>
          <w:color w:val="000000"/>
          <w:sz w:val="32"/>
          <w:szCs w:val="32"/>
          <w:lang w:val="en-US" w:eastAsia="zh-CN"/>
        </w:rPr>
        <w:t>247.72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eastAsia="zh-CN"/>
        </w:rPr>
        <w:t>的</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；一般行政管理事务（项）：支出</w:t>
      </w:r>
      <w:r>
        <w:rPr>
          <w:rStyle w:val="14"/>
          <w:rFonts w:hint="eastAsia" w:ascii="仿宋" w:hAnsi="仿宋" w:eastAsia="仿宋"/>
          <w:b w:val="0"/>
          <w:bCs/>
          <w:color w:val="000000"/>
          <w:sz w:val="32"/>
          <w:szCs w:val="32"/>
        </w:rPr>
        <w:t>决算数</w:t>
      </w:r>
      <w:r>
        <w:rPr>
          <w:rStyle w:val="14"/>
          <w:rFonts w:hint="eastAsia" w:ascii="仿宋" w:hAnsi="仿宋" w:eastAsia="仿宋"/>
          <w:b w:val="0"/>
          <w:bCs/>
          <w:color w:val="000000"/>
          <w:sz w:val="32"/>
          <w:szCs w:val="32"/>
          <w:lang w:eastAsia="zh-CN"/>
        </w:rPr>
        <w:t>为</w:t>
      </w:r>
      <w:r>
        <w:rPr>
          <w:rStyle w:val="14"/>
          <w:rFonts w:hint="eastAsia" w:ascii="仿宋" w:hAnsi="仿宋" w:eastAsia="仿宋"/>
          <w:b w:val="0"/>
          <w:bCs/>
          <w:color w:val="000000"/>
          <w:sz w:val="32"/>
          <w:szCs w:val="32"/>
          <w:lang w:val="en-US" w:eastAsia="zh-CN"/>
        </w:rPr>
        <w:t>138.05万元；</w:t>
      </w:r>
      <w:r>
        <w:rPr>
          <w:rStyle w:val="14"/>
          <w:rFonts w:hint="eastAsia" w:ascii="仿宋" w:hAnsi="仿宋" w:eastAsia="仿宋"/>
          <w:b w:val="0"/>
          <w:bCs/>
          <w:color w:val="000000"/>
          <w:sz w:val="32"/>
          <w:szCs w:val="32"/>
          <w:lang w:eastAsia="zh-CN"/>
        </w:rPr>
        <w:t>其他政府办公厅（室）及相关机构事务支出（项）：支出决算数为</w:t>
      </w:r>
      <w:r>
        <w:rPr>
          <w:rStyle w:val="14"/>
          <w:rFonts w:hint="eastAsia" w:ascii="仿宋" w:hAnsi="仿宋" w:eastAsia="仿宋"/>
          <w:b w:val="0"/>
          <w:bCs/>
          <w:color w:val="000000"/>
          <w:sz w:val="32"/>
          <w:szCs w:val="32"/>
          <w:lang w:val="en-US" w:eastAsia="zh-CN"/>
        </w:rPr>
        <w:t>54.46万元，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；财政事务（款）其他财政事务支出（项）：支出决算数为</w:t>
      </w:r>
      <w:r>
        <w:rPr>
          <w:rStyle w:val="14"/>
          <w:rFonts w:hint="eastAsia" w:ascii="仿宋" w:hAnsi="仿宋" w:eastAsia="仿宋"/>
          <w:b w:val="0"/>
          <w:bCs/>
          <w:color w:val="000000"/>
          <w:sz w:val="32"/>
          <w:szCs w:val="32"/>
          <w:lang w:val="en-US" w:eastAsia="zh-CN"/>
        </w:rPr>
        <w:t xml:space="preserve"> 10.5万元，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r>
        <w:rPr>
          <w:rStyle w:val="14"/>
          <w:rFonts w:hint="eastAsia" w:ascii="仿宋" w:hAnsi="仿宋" w:eastAsia="仿宋"/>
          <w:b w:val="0"/>
          <w:bCs/>
          <w:color w:val="000000"/>
          <w:sz w:val="32"/>
          <w:szCs w:val="32"/>
          <w:lang w:val="en-US" w:eastAsia="zh-CN"/>
        </w:rPr>
        <w:t>3</w:t>
      </w:r>
      <w:r>
        <w:rPr>
          <w:rStyle w:val="14"/>
          <w:rFonts w:hint="eastAsia" w:ascii="仿宋" w:hAnsi="仿宋" w:eastAsia="仿宋"/>
          <w:b w:val="0"/>
          <w:bCs/>
          <w:color w:val="000000"/>
          <w:sz w:val="32"/>
          <w:szCs w:val="32"/>
          <w:lang w:eastAsia="zh-CN"/>
        </w:rPr>
        <w:t>）纪检监察事务（款）派驻派出机构支出（项）支出决算数</w:t>
      </w:r>
      <w:r>
        <w:rPr>
          <w:rStyle w:val="14"/>
          <w:rFonts w:hint="eastAsia" w:ascii="仿宋" w:hAnsi="仿宋" w:eastAsia="仿宋"/>
          <w:b w:val="0"/>
          <w:bCs/>
          <w:color w:val="000000"/>
          <w:sz w:val="32"/>
          <w:szCs w:val="32"/>
          <w:lang w:val="en-US" w:eastAsia="zh-CN"/>
        </w:rPr>
        <w:t>2.06万元，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；其他纪检监察事务支出（项）</w:t>
      </w:r>
      <w:r>
        <w:rPr>
          <w:rStyle w:val="14"/>
          <w:rFonts w:hint="eastAsia" w:ascii="仿宋" w:hAnsi="仿宋" w:eastAsia="仿宋"/>
          <w:b w:val="0"/>
          <w:bCs/>
          <w:color w:val="000000"/>
          <w:sz w:val="32"/>
          <w:szCs w:val="32"/>
          <w:lang w:val="en-US" w:eastAsia="zh-CN"/>
        </w:rPr>
        <w:t>3万元，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；组织事务（款）其他组织事务支出</w:t>
      </w:r>
      <w:r>
        <w:rPr>
          <w:rStyle w:val="14"/>
          <w:rFonts w:hint="eastAsia" w:ascii="仿宋" w:hAnsi="仿宋" w:eastAsia="仿宋"/>
          <w:b w:val="0"/>
          <w:bCs/>
          <w:color w:val="000000"/>
          <w:sz w:val="32"/>
          <w:szCs w:val="32"/>
          <w:lang w:val="en-US" w:eastAsia="zh-CN"/>
        </w:rPr>
        <w:t>30.16万元，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教育（类）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科学技术（类）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文化体育与传媒（类）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5.</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eastAsia="zh-CN"/>
        </w:rPr>
        <w:t>行政事业单位离退休</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机关事业单位养老保险缴费支出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Cs/>
          <w:color w:val="000000"/>
          <w:sz w:val="32"/>
          <w:szCs w:val="32"/>
          <w:lang w:eastAsia="zh-CN"/>
        </w:rPr>
        <w:t>支出决算为</w:t>
      </w:r>
      <w:r>
        <w:rPr>
          <w:rStyle w:val="14"/>
          <w:rFonts w:hint="eastAsia" w:ascii="仿宋" w:hAnsi="仿宋" w:eastAsia="仿宋"/>
          <w:b w:val="0"/>
          <w:bCs/>
          <w:color w:val="000000"/>
          <w:sz w:val="32"/>
          <w:szCs w:val="32"/>
          <w:lang w:val="en-US" w:eastAsia="zh-CN"/>
        </w:rPr>
        <w:t>40.51万元，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；机关事业单位职业年金缴费支出（项）：支出决算为</w:t>
      </w:r>
      <w:r>
        <w:rPr>
          <w:rStyle w:val="14"/>
          <w:rFonts w:hint="eastAsia" w:ascii="仿宋" w:hAnsi="仿宋" w:eastAsia="仿宋"/>
          <w:b w:val="0"/>
          <w:bCs/>
          <w:color w:val="000000"/>
          <w:sz w:val="32"/>
          <w:szCs w:val="32"/>
          <w:lang w:val="en-US" w:eastAsia="zh-CN"/>
        </w:rPr>
        <w:t>12.97万元，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；抚恤（款）死亡抚恤（项）支出决算为</w:t>
      </w:r>
      <w:r>
        <w:rPr>
          <w:rStyle w:val="14"/>
          <w:rFonts w:hint="eastAsia" w:ascii="仿宋" w:hAnsi="仿宋" w:eastAsia="仿宋"/>
          <w:b w:val="0"/>
          <w:bCs/>
          <w:color w:val="000000"/>
          <w:sz w:val="32"/>
          <w:szCs w:val="32"/>
          <w:lang w:val="en-US" w:eastAsia="zh-CN"/>
        </w:rPr>
        <w:t>13.44万元，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spacing w:line="600" w:lineRule="exact"/>
        <w:ind w:firstLine="642" w:firstLineChars="200"/>
        <w:rPr>
          <w:rFonts w:hint="eastAsia" w:ascii="仿宋" w:hAnsi="仿宋" w:eastAsia="仿宋"/>
          <w:color w:val="000000"/>
          <w:sz w:val="32"/>
          <w:szCs w:val="32"/>
          <w:lang w:val="en-US" w:eastAsia="zh-CN"/>
        </w:rPr>
      </w:pPr>
      <w:r>
        <w:rPr>
          <w:rStyle w:val="14"/>
          <w:rFonts w:ascii="仿宋" w:hAnsi="仿宋" w:eastAsia="仿宋"/>
          <w:bCs/>
          <w:color w:val="000000"/>
          <w:sz w:val="32"/>
          <w:szCs w:val="32"/>
        </w:rPr>
        <w:t>6.</w:t>
      </w:r>
      <w:r>
        <w:rPr>
          <w:rStyle w:val="14"/>
          <w:rFonts w:hint="eastAsia" w:ascii="仿宋" w:hAnsi="仿宋" w:eastAsia="仿宋"/>
          <w:bCs/>
          <w:color w:val="000000"/>
          <w:sz w:val="32"/>
          <w:szCs w:val="32"/>
        </w:rPr>
        <w:t>医疗卫生与计划生育（类）</w:t>
      </w:r>
      <w:r>
        <w:rPr>
          <w:rStyle w:val="14"/>
          <w:rFonts w:hint="eastAsia" w:ascii="仿宋" w:hAnsi="仿宋" w:eastAsia="仿宋"/>
          <w:bCs/>
          <w:color w:val="000000"/>
          <w:sz w:val="32"/>
          <w:szCs w:val="32"/>
          <w:lang w:eastAsia="zh-CN"/>
        </w:rPr>
        <w:t>公共卫生</w:t>
      </w:r>
      <w:r>
        <w:rPr>
          <w:rStyle w:val="14"/>
          <w:rFonts w:hint="eastAsia" w:ascii="仿宋" w:hAnsi="仿宋" w:eastAsia="仿宋"/>
          <w:bCs/>
          <w:color w:val="000000"/>
          <w:sz w:val="32"/>
          <w:szCs w:val="32"/>
        </w:rPr>
        <w:t>（</w:t>
      </w:r>
      <w:r>
        <w:rPr>
          <w:rStyle w:val="14"/>
          <w:rFonts w:hint="eastAsia" w:ascii="仿宋" w:hAnsi="仿宋" w:eastAsia="仿宋"/>
          <w:b/>
          <w:bCs/>
          <w:color w:val="000000"/>
          <w:sz w:val="32"/>
          <w:szCs w:val="32"/>
        </w:rPr>
        <w:t>款）</w:t>
      </w:r>
      <w:r>
        <w:rPr>
          <w:rStyle w:val="14"/>
          <w:rFonts w:hint="eastAsia" w:ascii="仿宋" w:hAnsi="仿宋" w:eastAsia="仿宋"/>
          <w:b/>
          <w:bCs/>
          <w:color w:val="000000"/>
          <w:sz w:val="32"/>
          <w:szCs w:val="32"/>
          <w:lang w:eastAsia="zh-CN"/>
        </w:rPr>
        <w:t>重大公共卫生专项</w:t>
      </w:r>
      <w:r>
        <w:rPr>
          <w:rStyle w:val="14"/>
          <w:rFonts w:hint="eastAsia" w:ascii="仿宋" w:hAnsi="仿宋" w:eastAsia="仿宋"/>
          <w:b/>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4.23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；行政事业单位医疗（款）行政单位医疗（项），支出决算为</w:t>
      </w:r>
      <w:r>
        <w:rPr>
          <w:rStyle w:val="14"/>
          <w:rFonts w:hint="eastAsia" w:ascii="仿宋" w:hAnsi="仿宋" w:eastAsia="仿宋"/>
          <w:b w:val="0"/>
          <w:bCs/>
          <w:color w:val="000000"/>
          <w:sz w:val="32"/>
          <w:szCs w:val="32"/>
          <w:lang w:val="en-US" w:eastAsia="zh-CN"/>
        </w:rPr>
        <w:t>10.85万元，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；事业单位医疗（项）支出</w:t>
      </w:r>
      <w:r>
        <w:rPr>
          <w:rStyle w:val="14"/>
          <w:rFonts w:hint="eastAsia" w:ascii="仿宋" w:hAnsi="仿宋" w:eastAsia="仿宋"/>
          <w:b w:val="0"/>
          <w:bCs/>
          <w:color w:val="000000"/>
          <w:sz w:val="32"/>
          <w:szCs w:val="32"/>
          <w:lang w:val="en-US" w:eastAsia="zh-CN"/>
        </w:rPr>
        <w:t>2.95万元，公务员医疗补助（项）支出决算为6.34万元，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；其他行政事业单位医疗支出（项）</w:t>
      </w:r>
      <w:r>
        <w:rPr>
          <w:rStyle w:val="14"/>
          <w:rFonts w:hint="eastAsia" w:ascii="仿宋" w:hAnsi="仿宋" w:eastAsia="仿宋"/>
          <w:b w:val="0"/>
          <w:bCs/>
          <w:color w:val="000000"/>
          <w:sz w:val="32"/>
          <w:szCs w:val="32"/>
          <w:lang w:val="en-US" w:eastAsia="zh-CN"/>
        </w:rPr>
        <w:t>支出决算为0.15万元，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spacing w:line="600" w:lineRule="exact"/>
        <w:ind w:firstLine="640"/>
        <w:rPr>
          <w:rStyle w:val="14"/>
          <w:rFonts w:hint="eastAsia" w:ascii="仿宋" w:hAnsi="仿宋" w:eastAsia="仿宋"/>
          <w:b w:val="0"/>
          <w:bCs/>
          <w:color w:val="000000"/>
          <w:sz w:val="32"/>
          <w:szCs w:val="32"/>
          <w:lang w:eastAsia="zh-CN"/>
        </w:rPr>
      </w:pPr>
      <w:r>
        <w:rPr>
          <w:rFonts w:hint="eastAsia" w:ascii="仿宋" w:hAnsi="仿宋" w:eastAsia="仿宋"/>
          <w:b/>
          <w:color w:val="000000"/>
          <w:sz w:val="32"/>
          <w:szCs w:val="32"/>
          <w:lang w:val="en-US" w:eastAsia="zh-CN"/>
        </w:rPr>
        <w:t>7.节能环保支出（类）污染减排（款）</w:t>
      </w:r>
      <w:r>
        <w:rPr>
          <w:rFonts w:hint="eastAsia" w:ascii="仿宋" w:hAnsi="仿宋" w:eastAsia="仿宋"/>
          <w:b/>
          <w:bCs w:val="0"/>
          <w:color w:val="000000"/>
          <w:sz w:val="32"/>
          <w:szCs w:val="32"/>
          <w:lang w:val="en-US" w:eastAsia="zh-CN"/>
        </w:rPr>
        <w:t>其他污染减排支出（项）：</w:t>
      </w:r>
      <w:r>
        <w:rPr>
          <w:rFonts w:hint="eastAsia" w:ascii="仿宋" w:hAnsi="仿宋" w:eastAsia="仿宋"/>
          <w:b w:val="0"/>
          <w:bCs/>
          <w:color w:val="000000"/>
          <w:sz w:val="32"/>
          <w:szCs w:val="32"/>
          <w:lang w:val="en-US" w:eastAsia="zh-CN"/>
        </w:rPr>
        <w:t>支出决算为5万元，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numPr>
          <w:ilvl w:val="0"/>
          <w:numId w:val="0"/>
        </w:numPr>
        <w:spacing w:line="600" w:lineRule="exact"/>
        <w:ind w:firstLine="642" w:firstLineChars="200"/>
        <w:rPr>
          <w:rStyle w:val="14"/>
          <w:rFonts w:hint="eastAsia" w:ascii="仿宋" w:hAnsi="仿宋" w:eastAsia="仿宋"/>
          <w:b w:val="0"/>
          <w:bCs/>
          <w:color w:val="000000"/>
          <w:sz w:val="32"/>
          <w:szCs w:val="32"/>
          <w:lang w:eastAsia="zh-CN"/>
        </w:rPr>
      </w:pPr>
      <w:r>
        <w:rPr>
          <w:rStyle w:val="14"/>
          <w:rFonts w:hint="eastAsia" w:ascii="仿宋" w:hAnsi="仿宋" w:eastAsia="仿宋"/>
          <w:b/>
          <w:bCs w:val="0"/>
          <w:color w:val="000000"/>
          <w:sz w:val="32"/>
          <w:szCs w:val="32"/>
          <w:lang w:val="en-US" w:eastAsia="zh-CN"/>
        </w:rPr>
        <w:t>8.城乡社区支出（类）城乡社区管理事务（款）</w:t>
      </w:r>
      <w:r>
        <w:rPr>
          <w:rStyle w:val="14"/>
          <w:rFonts w:hint="eastAsia" w:ascii="仿宋" w:hAnsi="仿宋" w:eastAsia="仿宋"/>
          <w:b w:val="0"/>
          <w:bCs/>
          <w:color w:val="000000"/>
          <w:sz w:val="32"/>
          <w:szCs w:val="32"/>
          <w:lang w:val="en-US" w:eastAsia="zh-CN"/>
        </w:rPr>
        <w:t>其他城乡社区管理事务支出（项）：支出决算为52.82万元，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numPr>
          <w:ilvl w:val="0"/>
          <w:numId w:val="0"/>
        </w:numPr>
        <w:spacing w:line="600" w:lineRule="exact"/>
        <w:ind w:firstLine="642"/>
        <w:rPr>
          <w:rStyle w:val="14"/>
          <w:rFonts w:hint="eastAsia" w:ascii="仿宋" w:hAnsi="仿宋" w:eastAsia="仿宋"/>
          <w:b w:val="0"/>
          <w:bCs/>
          <w:color w:val="000000"/>
          <w:sz w:val="32"/>
          <w:szCs w:val="32"/>
          <w:lang w:val="en-US" w:eastAsia="zh-CN"/>
        </w:rPr>
      </w:pPr>
      <w:r>
        <w:rPr>
          <w:rStyle w:val="14"/>
          <w:rFonts w:hint="eastAsia" w:ascii="仿宋" w:hAnsi="仿宋" w:eastAsia="仿宋"/>
          <w:b/>
          <w:bCs w:val="0"/>
          <w:color w:val="000000"/>
          <w:sz w:val="32"/>
          <w:szCs w:val="32"/>
          <w:lang w:val="en-US" w:eastAsia="zh-CN"/>
        </w:rPr>
        <w:t>9.农林水支出（类）农业（款）农村道路建设（项）</w:t>
      </w:r>
      <w:r>
        <w:rPr>
          <w:rStyle w:val="14"/>
          <w:rFonts w:hint="eastAsia" w:ascii="仿宋" w:hAnsi="仿宋" w:eastAsia="仿宋"/>
          <w:b w:val="0"/>
          <w:bCs/>
          <w:color w:val="000000"/>
          <w:sz w:val="32"/>
          <w:szCs w:val="32"/>
          <w:lang w:val="en-US" w:eastAsia="zh-CN"/>
        </w:rPr>
        <w:t>支出决算为15万元，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；水利（款）农村人畜饮水支出（项）支出决算为</w:t>
      </w:r>
      <w:r>
        <w:rPr>
          <w:rStyle w:val="14"/>
          <w:rFonts w:hint="eastAsia" w:ascii="仿宋" w:hAnsi="仿宋" w:eastAsia="仿宋"/>
          <w:b w:val="0"/>
          <w:bCs/>
          <w:color w:val="000000"/>
          <w:sz w:val="32"/>
          <w:szCs w:val="32"/>
          <w:lang w:val="en-US" w:eastAsia="zh-CN"/>
        </w:rPr>
        <w:t>4万元，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；其他水利支出（项）支出决算为</w:t>
      </w:r>
      <w:r>
        <w:rPr>
          <w:rStyle w:val="14"/>
          <w:rFonts w:hint="eastAsia" w:ascii="仿宋" w:hAnsi="仿宋" w:eastAsia="仿宋"/>
          <w:b w:val="0"/>
          <w:bCs/>
          <w:color w:val="000000"/>
          <w:sz w:val="32"/>
          <w:szCs w:val="32"/>
          <w:lang w:val="en-US" w:eastAsia="zh-CN"/>
        </w:rPr>
        <w:t>4万元，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；扶贫（款）农村基础设施建设（项）支出决算为</w:t>
      </w:r>
      <w:r>
        <w:rPr>
          <w:rStyle w:val="14"/>
          <w:rFonts w:hint="eastAsia" w:ascii="仿宋" w:hAnsi="仿宋" w:eastAsia="仿宋"/>
          <w:b w:val="0"/>
          <w:bCs/>
          <w:color w:val="000000"/>
          <w:sz w:val="32"/>
          <w:szCs w:val="32"/>
          <w:lang w:val="en-US" w:eastAsia="zh-CN"/>
        </w:rPr>
        <w:t>100万元，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；其他扶贫支出（项）支出决算为</w:t>
      </w:r>
      <w:r>
        <w:rPr>
          <w:rStyle w:val="14"/>
          <w:rFonts w:hint="eastAsia" w:ascii="仿宋" w:hAnsi="仿宋" w:eastAsia="仿宋"/>
          <w:b w:val="0"/>
          <w:bCs/>
          <w:color w:val="000000"/>
          <w:sz w:val="32"/>
          <w:szCs w:val="32"/>
          <w:lang w:val="en-US" w:eastAsia="zh-CN"/>
        </w:rPr>
        <w:t>29万元，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；农村综合改革（款）对村民委员会和村党支部的补助（项）支出决算为</w:t>
      </w:r>
      <w:r>
        <w:rPr>
          <w:rStyle w:val="14"/>
          <w:rFonts w:hint="eastAsia" w:ascii="仿宋" w:hAnsi="仿宋" w:eastAsia="仿宋"/>
          <w:b w:val="0"/>
          <w:bCs/>
          <w:color w:val="000000"/>
          <w:sz w:val="32"/>
          <w:szCs w:val="32"/>
          <w:lang w:val="en-US" w:eastAsia="zh-CN"/>
        </w:rPr>
        <w:t>231.95万元,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val="en-US" w:eastAsia="zh-CN"/>
        </w:rPr>
        <w:t>.</w:t>
      </w:r>
    </w:p>
    <w:p>
      <w:pPr>
        <w:numPr>
          <w:ilvl w:val="0"/>
          <w:numId w:val="0"/>
        </w:numPr>
        <w:spacing w:line="600" w:lineRule="exact"/>
        <w:ind w:firstLine="642"/>
        <w:rPr>
          <w:rStyle w:val="14"/>
          <w:rFonts w:hint="eastAsia" w:ascii="仿宋" w:hAnsi="仿宋" w:eastAsia="仿宋"/>
          <w:b w:val="0"/>
          <w:bCs/>
          <w:color w:val="000000"/>
          <w:sz w:val="32"/>
          <w:szCs w:val="32"/>
          <w:lang w:val="en-US" w:eastAsia="zh-CN"/>
        </w:rPr>
      </w:pPr>
      <w:r>
        <w:rPr>
          <w:rStyle w:val="14"/>
          <w:rFonts w:hint="eastAsia" w:ascii="仿宋" w:hAnsi="仿宋" w:eastAsia="仿宋"/>
          <w:b/>
          <w:bCs w:val="0"/>
          <w:color w:val="000000"/>
          <w:sz w:val="32"/>
          <w:szCs w:val="32"/>
          <w:lang w:val="en-US" w:eastAsia="zh-CN"/>
        </w:rPr>
        <w:t>10.住房保障支出（类）住房改革支出</w:t>
      </w:r>
      <w:r>
        <w:rPr>
          <w:rStyle w:val="14"/>
          <w:rFonts w:hint="eastAsia" w:ascii="仿宋" w:hAnsi="仿宋" w:eastAsia="仿宋"/>
          <w:b w:val="0"/>
          <w:bCs/>
          <w:color w:val="000000"/>
          <w:sz w:val="32"/>
          <w:szCs w:val="32"/>
          <w:lang w:val="en-US" w:eastAsia="zh-CN"/>
        </w:rPr>
        <w:t>住房公积金（项）支出决算为25.82万元,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val="en-US" w:eastAsia="zh-CN"/>
        </w:rPr>
        <w:t>.</w:t>
      </w:r>
    </w:p>
    <w:p>
      <w:pPr>
        <w:spacing w:line="600" w:lineRule="exact"/>
        <w:ind w:firstLine="640"/>
        <w:rPr>
          <w:rFonts w:hint="eastAsia" w:ascii="仿宋" w:hAnsi="仿宋" w:eastAsia="仿宋"/>
          <w:b/>
          <w:color w:val="000000"/>
          <w:sz w:val="32"/>
          <w:szCs w:val="32"/>
          <w:lang w:val="en-US" w:eastAsia="zh-CN"/>
        </w:rPr>
      </w:pP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08</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606.54</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505.66</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val="en-US" w:eastAsia="zh-CN"/>
        </w:rPr>
        <w:t>112.74万元</w:t>
      </w:r>
      <w:r>
        <w:rPr>
          <w:rFonts w:hint="eastAsia" w:ascii="仿宋" w:hAnsi="仿宋" w:eastAsia="仿宋"/>
          <w:color w:val="000000"/>
          <w:sz w:val="32"/>
          <w:szCs w:val="32"/>
        </w:rPr>
        <w:t>、津贴补贴</w:t>
      </w:r>
      <w:r>
        <w:rPr>
          <w:rFonts w:hint="eastAsia" w:ascii="仿宋" w:hAnsi="仿宋" w:eastAsia="仿宋"/>
          <w:color w:val="000000"/>
          <w:sz w:val="32"/>
          <w:szCs w:val="32"/>
          <w:lang w:val="en-US" w:eastAsia="zh-CN"/>
        </w:rPr>
        <w:t>91.62万元</w:t>
      </w:r>
      <w:r>
        <w:rPr>
          <w:rFonts w:hint="eastAsia" w:ascii="仿宋" w:hAnsi="仿宋" w:eastAsia="仿宋"/>
          <w:color w:val="000000"/>
          <w:sz w:val="32"/>
          <w:szCs w:val="32"/>
        </w:rPr>
        <w:t>、奖金</w:t>
      </w:r>
      <w:r>
        <w:rPr>
          <w:rFonts w:hint="eastAsia" w:ascii="仿宋" w:hAnsi="仿宋" w:eastAsia="仿宋"/>
          <w:color w:val="000000"/>
          <w:sz w:val="32"/>
          <w:szCs w:val="32"/>
          <w:lang w:val="en-US" w:eastAsia="zh-CN"/>
        </w:rPr>
        <w:t>5.18万元</w:t>
      </w:r>
      <w:r>
        <w:rPr>
          <w:rFonts w:hint="eastAsia" w:ascii="仿宋" w:hAnsi="仿宋" w:eastAsia="仿宋"/>
          <w:color w:val="000000"/>
          <w:sz w:val="32"/>
          <w:szCs w:val="32"/>
        </w:rPr>
        <w:t>、伙食补助费</w:t>
      </w:r>
      <w:r>
        <w:rPr>
          <w:rFonts w:hint="eastAsia" w:ascii="仿宋" w:hAnsi="仿宋" w:eastAsia="仿宋"/>
          <w:color w:val="000000"/>
          <w:sz w:val="32"/>
          <w:szCs w:val="32"/>
          <w:lang w:val="en-US" w:eastAsia="zh-CN"/>
        </w:rPr>
        <w:t>0万元</w:t>
      </w:r>
      <w:r>
        <w:rPr>
          <w:rFonts w:hint="eastAsia" w:ascii="仿宋" w:hAnsi="仿宋" w:eastAsia="仿宋"/>
          <w:color w:val="000000"/>
          <w:sz w:val="32"/>
          <w:szCs w:val="32"/>
        </w:rPr>
        <w:t>、绩效工资</w:t>
      </w:r>
      <w:r>
        <w:rPr>
          <w:rFonts w:hint="eastAsia" w:ascii="仿宋" w:hAnsi="仿宋" w:eastAsia="仿宋"/>
          <w:color w:val="000000"/>
          <w:sz w:val="32"/>
          <w:szCs w:val="32"/>
          <w:lang w:val="en-US" w:eastAsia="zh-CN"/>
        </w:rPr>
        <w:t>18.77万元</w:t>
      </w:r>
      <w:r>
        <w:rPr>
          <w:rFonts w:hint="eastAsia" w:ascii="仿宋" w:hAnsi="仿宋" w:eastAsia="仿宋"/>
          <w:color w:val="000000"/>
          <w:sz w:val="32"/>
          <w:szCs w:val="32"/>
        </w:rPr>
        <w:t>、机关事业单位基本养老保险缴费</w:t>
      </w:r>
      <w:r>
        <w:rPr>
          <w:rFonts w:hint="eastAsia" w:ascii="仿宋" w:hAnsi="仿宋" w:eastAsia="仿宋"/>
          <w:color w:val="000000"/>
          <w:sz w:val="32"/>
          <w:szCs w:val="32"/>
          <w:lang w:val="en-US" w:eastAsia="zh-CN"/>
        </w:rPr>
        <w:t>40.51万元</w:t>
      </w:r>
      <w:r>
        <w:rPr>
          <w:rFonts w:hint="eastAsia" w:ascii="仿宋" w:hAnsi="仿宋" w:eastAsia="仿宋"/>
          <w:color w:val="000000"/>
          <w:sz w:val="32"/>
          <w:szCs w:val="32"/>
        </w:rPr>
        <w:t>、职业年金缴费</w:t>
      </w:r>
      <w:r>
        <w:rPr>
          <w:rFonts w:hint="eastAsia" w:ascii="仿宋" w:hAnsi="仿宋" w:eastAsia="仿宋"/>
          <w:color w:val="000000"/>
          <w:sz w:val="32"/>
          <w:szCs w:val="32"/>
          <w:lang w:val="en-US" w:eastAsia="zh-CN"/>
        </w:rPr>
        <w:t>12.97万元</w:t>
      </w:r>
      <w:r>
        <w:rPr>
          <w:rFonts w:hint="eastAsia" w:ascii="仿宋" w:hAnsi="仿宋" w:eastAsia="仿宋"/>
          <w:color w:val="000000"/>
          <w:sz w:val="32"/>
          <w:szCs w:val="32"/>
        </w:rPr>
        <w:t>、其他社会保障缴费</w:t>
      </w:r>
      <w:r>
        <w:rPr>
          <w:rFonts w:hint="eastAsia" w:ascii="仿宋" w:hAnsi="仿宋" w:eastAsia="仿宋"/>
          <w:color w:val="000000"/>
          <w:sz w:val="32"/>
          <w:szCs w:val="32"/>
          <w:lang w:val="en-US" w:eastAsia="zh-CN"/>
        </w:rPr>
        <w:t>2.14万元</w:t>
      </w:r>
      <w:r>
        <w:rPr>
          <w:rFonts w:hint="eastAsia" w:ascii="仿宋" w:hAnsi="仿宋" w:eastAsia="仿宋"/>
          <w:color w:val="000000"/>
          <w:sz w:val="32"/>
          <w:szCs w:val="32"/>
        </w:rPr>
        <w:t>、生活补助</w:t>
      </w:r>
      <w:r>
        <w:rPr>
          <w:rFonts w:hint="eastAsia" w:ascii="仿宋" w:hAnsi="仿宋" w:eastAsia="仿宋"/>
          <w:color w:val="000000"/>
          <w:sz w:val="32"/>
          <w:szCs w:val="32"/>
          <w:lang w:val="en-US" w:eastAsia="zh-CN"/>
        </w:rPr>
        <w:t>171.74万元</w:t>
      </w:r>
      <w:r>
        <w:rPr>
          <w:rFonts w:hint="eastAsia" w:ascii="仿宋" w:hAnsi="仿宋" w:eastAsia="仿宋"/>
          <w:color w:val="000000"/>
          <w:sz w:val="32"/>
          <w:szCs w:val="32"/>
        </w:rPr>
        <w:t>、住房公积金</w:t>
      </w:r>
      <w:r>
        <w:rPr>
          <w:rFonts w:hint="eastAsia" w:ascii="仿宋" w:hAnsi="仿宋" w:eastAsia="仿宋"/>
          <w:color w:val="000000"/>
          <w:sz w:val="32"/>
          <w:szCs w:val="32"/>
          <w:lang w:val="en-US" w:eastAsia="zh-CN"/>
        </w:rPr>
        <w:t>25.82万元</w:t>
      </w:r>
      <w:r>
        <w:rPr>
          <w:rFonts w:hint="eastAsia" w:ascii="仿宋" w:hAnsi="仿宋" w:eastAsia="仿宋"/>
          <w:color w:val="000000"/>
          <w:sz w:val="32"/>
          <w:szCs w:val="32"/>
        </w:rPr>
        <w:t>、其他对个人和家庭的补助</w:t>
      </w:r>
      <w:r>
        <w:rPr>
          <w:rFonts w:hint="eastAsia" w:ascii="仿宋" w:hAnsi="仿宋" w:eastAsia="仿宋"/>
          <w:color w:val="000000"/>
          <w:sz w:val="32"/>
          <w:szCs w:val="32"/>
          <w:lang w:val="en-US" w:eastAsia="zh-CN"/>
        </w:rPr>
        <w:t>4.03万元</w:t>
      </w:r>
      <w:r>
        <w:rPr>
          <w:rFonts w:hint="eastAsia" w:ascii="仿宋" w:hAnsi="仿宋" w:eastAsia="仿宋"/>
          <w:color w:val="000000"/>
          <w:sz w:val="32"/>
          <w:szCs w:val="32"/>
        </w:rPr>
        <w:t>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100.88</w:t>
      </w:r>
      <w:r>
        <w:rPr>
          <w:rFonts w:hint="eastAsia" w:ascii="仿宋" w:hAnsi="仿宋" w:eastAsia="仿宋"/>
          <w:color w:val="000000"/>
          <w:sz w:val="32"/>
          <w:szCs w:val="32"/>
        </w:rPr>
        <w:t>万元，主要包括：办公费</w:t>
      </w:r>
      <w:r>
        <w:rPr>
          <w:rFonts w:hint="eastAsia" w:ascii="仿宋" w:hAnsi="仿宋" w:eastAsia="仿宋"/>
          <w:color w:val="000000"/>
          <w:sz w:val="32"/>
          <w:szCs w:val="32"/>
          <w:lang w:val="en-US" w:eastAsia="zh-CN"/>
        </w:rPr>
        <w:t>46.62万元</w:t>
      </w:r>
      <w:r>
        <w:rPr>
          <w:rFonts w:hint="eastAsia" w:ascii="仿宋" w:hAnsi="仿宋" w:eastAsia="仿宋"/>
          <w:color w:val="000000"/>
          <w:sz w:val="32"/>
          <w:szCs w:val="32"/>
        </w:rPr>
        <w:t>、印刷费</w:t>
      </w:r>
      <w:r>
        <w:rPr>
          <w:rFonts w:hint="eastAsia" w:ascii="仿宋" w:hAnsi="仿宋" w:eastAsia="仿宋"/>
          <w:color w:val="000000"/>
          <w:sz w:val="32"/>
          <w:szCs w:val="32"/>
          <w:lang w:val="en-US" w:eastAsia="zh-CN"/>
        </w:rPr>
        <w:t>3万元</w:t>
      </w:r>
      <w:r>
        <w:rPr>
          <w:rFonts w:hint="eastAsia" w:ascii="仿宋" w:hAnsi="仿宋" w:eastAsia="仿宋"/>
          <w:color w:val="000000"/>
          <w:sz w:val="32"/>
          <w:szCs w:val="32"/>
        </w:rPr>
        <w:t>、水费</w:t>
      </w:r>
      <w:r>
        <w:rPr>
          <w:rFonts w:hint="eastAsia" w:ascii="仿宋" w:hAnsi="仿宋" w:eastAsia="仿宋"/>
          <w:color w:val="000000"/>
          <w:sz w:val="32"/>
          <w:szCs w:val="32"/>
          <w:lang w:val="en-US" w:eastAsia="zh-CN"/>
        </w:rPr>
        <w:t>2万元</w:t>
      </w:r>
      <w:r>
        <w:rPr>
          <w:rFonts w:hint="eastAsia" w:ascii="仿宋" w:hAnsi="仿宋" w:eastAsia="仿宋"/>
          <w:color w:val="000000"/>
          <w:sz w:val="32"/>
          <w:szCs w:val="32"/>
        </w:rPr>
        <w:t>、电费</w:t>
      </w:r>
      <w:r>
        <w:rPr>
          <w:rFonts w:hint="eastAsia" w:ascii="仿宋" w:hAnsi="仿宋" w:eastAsia="仿宋"/>
          <w:color w:val="000000"/>
          <w:sz w:val="32"/>
          <w:szCs w:val="32"/>
          <w:lang w:val="en-US" w:eastAsia="zh-CN"/>
        </w:rPr>
        <w:t>5.5万元</w:t>
      </w:r>
      <w:r>
        <w:rPr>
          <w:rFonts w:hint="eastAsia" w:ascii="仿宋" w:hAnsi="仿宋" w:eastAsia="仿宋"/>
          <w:color w:val="000000"/>
          <w:sz w:val="32"/>
          <w:szCs w:val="32"/>
        </w:rPr>
        <w:t>、邮电费</w:t>
      </w:r>
      <w:r>
        <w:rPr>
          <w:rFonts w:hint="eastAsia" w:ascii="仿宋" w:hAnsi="仿宋" w:eastAsia="仿宋"/>
          <w:color w:val="000000"/>
          <w:sz w:val="32"/>
          <w:szCs w:val="32"/>
          <w:lang w:val="en-US" w:eastAsia="zh-CN"/>
        </w:rPr>
        <w:t>3万元</w:t>
      </w:r>
      <w:r>
        <w:rPr>
          <w:rFonts w:hint="eastAsia" w:ascii="仿宋" w:hAnsi="仿宋" w:eastAsia="仿宋"/>
          <w:color w:val="000000"/>
          <w:sz w:val="32"/>
          <w:szCs w:val="32"/>
        </w:rPr>
        <w:t>、差旅费</w:t>
      </w:r>
      <w:r>
        <w:rPr>
          <w:rFonts w:hint="eastAsia" w:ascii="仿宋" w:hAnsi="仿宋" w:eastAsia="仿宋"/>
          <w:color w:val="000000"/>
          <w:sz w:val="32"/>
          <w:szCs w:val="32"/>
          <w:lang w:val="en-US" w:eastAsia="zh-CN"/>
        </w:rPr>
        <w:t>6.5万元</w:t>
      </w:r>
      <w:r>
        <w:rPr>
          <w:rFonts w:hint="eastAsia" w:ascii="仿宋" w:hAnsi="仿宋" w:eastAsia="仿宋"/>
          <w:color w:val="000000"/>
          <w:sz w:val="32"/>
          <w:szCs w:val="32"/>
        </w:rPr>
        <w:t>、会议费</w:t>
      </w:r>
      <w:r>
        <w:rPr>
          <w:rFonts w:hint="eastAsia" w:ascii="仿宋" w:hAnsi="仿宋" w:eastAsia="仿宋"/>
          <w:color w:val="000000"/>
          <w:sz w:val="32"/>
          <w:szCs w:val="32"/>
          <w:lang w:val="en-US" w:eastAsia="zh-CN"/>
        </w:rPr>
        <w:t>0.25万元</w:t>
      </w:r>
      <w:r>
        <w:rPr>
          <w:rFonts w:hint="eastAsia" w:ascii="仿宋" w:hAnsi="仿宋" w:eastAsia="仿宋"/>
          <w:color w:val="000000"/>
          <w:sz w:val="32"/>
          <w:szCs w:val="32"/>
        </w:rPr>
        <w:t>、公务接待费</w:t>
      </w:r>
      <w:r>
        <w:rPr>
          <w:rFonts w:hint="eastAsia" w:ascii="仿宋" w:hAnsi="仿宋" w:eastAsia="仿宋"/>
          <w:color w:val="000000"/>
          <w:sz w:val="32"/>
          <w:szCs w:val="32"/>
          <w:lang w:val="en-US" w:eastAsia="zh-CN"/>
        </w:rPr>
        <w:t>8.5万元</w:t>
      </w:r>
      <w:r>
        <w:rPr>
          <w:rFonts w:hint="eastAsia" w:ascii="仿宋" w:hAnsi="仿宋" w:eastAsia="仿宋"/>
          <w:color w:val="000000"/>
          <w:sz w:val="32"/>
          <w:szCs w:val="32"/>
        </w:rPr>
        <w:t>、工会经费</w:t>
      </w:r>
      <w:r>
        <w:rPr>
          <w:rFonts w:hint="eastAsia" w:ascii="仿宋" w:hAnsi="仿宋" w:eastAsia="仿宋"/>
          <w:color w:val="000000"/>
          <w:sz w:val="32"/>
          <w:szCs w:val="32"/>
          <w:lang w:val="en-US" w:eastAsia="zh-CN"/>
        </w:rPr>
        <w:t>2.09万元</w:t>
      </w:r>
      <w:r>
        <w:rPr>
          <w:rFonts w:hint="eastAsia" w:ascii="仿宋" w:hAnsi="仿宋" w:eastAsia="仿宋"/>
          <w:color w:val="000000"/>
          <w:sz w:val="32"/>
          <w:szCs w:val="32"/>
        </w:rPr>
        <w:t>、公务用车运行维护费</w:t>
      </w:r>
      <w:r>
        <w:rPr>
          <w:rFonts w:hint="eastAsia" w:ascii="仿宋" w:hAnsi="仿宋" w:eastAsia="仿宋"/>
          <w:color w:val="000000"/>
          <w:sz w:val="32"/>
          <w:szCs w:val="32"/>
          <w:lang w:val="en-US" w:eastAsia="zh-CN"/>
        </w:rPr>
        <w:t>1.55万元</w:t>
      </w:r>
      <w:r>
        <w:rPr>
          <w:rFonts w:hint="eastAsia" w:ascii="仿宋" w:hAnsi="仿宋" w:eastAsia="仿宋"/>
          <w:color w:val="000000"/>
          <w:sz w:val="32"/>
          <w:szCs w:val="32"/>
        </w:rPr>
        <w:t>、其他交通费</w:t>
      </w:r>
      <w:r>
        <w:rPr>
          <w:rFonts w:hint="eastAsia" w:ascii="仿宋" w:hAnsi="仿宋" w:eastAsia="仿宋"/>
          <w:color w:val="000000"/>
          <w:sz w:val="32"/>
          <w:szCs w:val="32"/>
          <w:lang w:val="en-US" w:eastAsia="zh-CN"/>
        </w:rPr>
        <w:t>21.87万元</w:t>
      </w:r>
      <w:r>
        <w:rPr>
          <w:rFonts w:hint="eastAsia" w:ascii="仿宋" w:hAnsi="仿宋" w:eastAsia="仿宋"/>
          <w:color w:val="000000"/>
          <w:sz w:val="32"/>
          <w:szCs w:val="32"/>
        </w:rPr>
        <w:t>支出等。</w:t>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（数据来源财决</w:t>
      </w:r>
      <w:r>
        <w:rPr>
          <w:rFonts w:ascii="仿宋" w:hAnsi="仿宋" w:eastAsia="仿宋"/>
          <w:b/>
          <w:color w:val="000000" w:themeColor="text1"/>
          <w:sz w:val="32"/>
          <w:szCs w:val="32"/>
          <w14:textFill>
            <w14:solidFill>
              <w14:schemeClr w14:val="tx1"/>
            </w14:solidFill>
          </w14:textFill>
        </w:rPr>
        <w:t>0</w:t>
      </w:r>
      <w:r>
        <w:rPr>
          <w:rFonts w:hint="eastAsia" w:ascii="仿宋" w:hAnsi="仿宋" w:eastAsia="仿宋"/>
          <w:b/>
          <w:color w:val="000000" w:themeColor="text1"/>
          <w:sz w:val="32"/>
          <w:szCs w:val="32"/>
          <w14:textFill>
            <w14:solidFill>
              <w14:schemeClr w14:val="tx1"/>
            </w14:solidFill>
          </w14:textFill>
        </w:rPr>
        <w:t>7表，根据本部门实际支出情况罗列全部经济分类科目。）</w:t>
      </w:r>
    </w:p>
    <w:p>
      <w:pPr>
        <w:spacing w:line="600" w:lineRule="exact"/>
        <w:ind w:firstLine="640"/>
        <w:rPr>
          <w:rFonts w:ascii="仿宋" w:hAnsi="仿宋" w:eastAsia="仿宋"/>
          <w:b/>
          <w:color w:val="FF0000"/>
          <w:sz w:val="32"/>
          <w:szCs w:val="32"/>
        </w:rPr>
      </w:pP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hint="eastAsia"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11.45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val="en-US" w:eastAsia="zh-CN"/>
        </w:rPr>
        <w:t>.</w:t>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sz w:val="32"/>
          <w:szCs w:val="32"/>
        </w:rPr>
        <w:t>（上述“预算”口径为调整预</w:t>
      </w:r>
      <w:r>
        <w:rPr>
          <w:rFonts w:hint="eastAsia" w:ascii="仿宋" w:hAnsi="仿宋" w:eastAsia="仿宋"/>
          <w:b/>
          <w:color w:val="000000" w:themeColor="text1"/>
          <w:sz w:val="32"/>
          <w:szCs w:val="32"/>
          <w14:textFill>
            <w14:solidFill>
              <w14:schemeClr w14:val="tx1"/>
            </w14:solidFill>
          </w14:textFill>
        </w:rPr>
        <w:t>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8年“三公”经费财政拨款支出决算中，公务用车购置及运行维护费支出决算</w:t>
      </w:r>
      <w:r>
        <w:rPr>
          <w:rFonts w:hint="eastAsia" w:ascii="仿宋" w:hAnsi="仿宋" w:eastAsia="仿宋"/>
          <w:color w:val="000000"/>
          <w:sz w:val="32"/>
          <w:szCs w:val="32"/>
          <w:lang w:val="en-US" w:eastAsia="zh-CN"/>
        </w:rPr>
        <w:t>2.95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25.8</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8.5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74.2</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5408" behindDoc="0" locked="0" layoutInCell="1" allowOverlap="1">
            <wp:simplePos x="0" y="0"/>
            <wp:positionH relativeFrom="column">
              <wp:posOffset>448945</wp:posOffset>
            </wp:positionH>
            <wp:positionV relativeFrom="paragraph">
              <wp:posOffset>-5080</wp:posOffset>
            </wp:positionV>
            <wp:extent cx="4318000" cy="2477135"/>
            <wp:effectExtent l="4445" t="4445" r="20955" b="13970"/>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 w:hAnsi="仿宋" w:eastAsia="仿宋"/>
          <w:color w:val="000000"/>
          <w:sz w:val="32"/>
          <w:szCs w:val="32"/>
        </w:rPr>
        <w:t>图8：“三公”经费财政拨款支出结构</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2.95</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5.05</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63.1</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洒水车的权属划归社区管理，城管执法车车辆已坏停运</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2.95</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场镇执法管理、扶贫工作、拆迁工作、出差</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b/>
          <w:color w:val="000000"/>
          <w:sz w:val="32"/>
          <w:szCs w:val="32"/>
          <w:lang w:val="en-US" w:eastAsia="zh-CN"/>
        </w:rPr>
        <w:t>8.5</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7年</w:t>
      </w:r>
      <w:r>
        <w:rPr>
          <w:rFonts w:hint="eastAsia" w:ascii="仿宋_GB2312" w:eastAsia="仿宋_GB2312"/>
          <w:color w:val="000000"/>
          <w:sz w:val="32"/>
          <w:szCs w:val="32"/>
          <w:lang w:eastAsia="zh-CN"/>
        </w:rPr>
        <w:t>持平</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272</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2132</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8.5</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脱贫攻坚方面的检查、督查</w:t>
      </w:r>
      <w:r>
        <w:rPr>
          <w:rFonts w:hint="eastAsia" w:ascii="仿宋_GB2312" w:eastAsia="仿宋_GB2312"/>
          <w:color w:val="000000"/>
          <w:sz w:val="32"/>
          <w:szCs w:val="32"/>
          <w:lang w:val="en-US" w:eastAsia="zh-CN"/>
        </w:rPr>
        <w:t>2.8万元，其他方面工作的检查就餐支出5.7万元</w:t>
      </w:r>
      <w:r>
        <w:rPr>
          <w:rFonts w:hint="eastAsia" w:ascii="仿宋_GB2312" w:eastAsia="仿宋_GB2312"/>
          <w:color w:val="000000"/>
          <w:sz w:val="32"/>
          <w:szCs w:val="32"/>
        </w:rPr>
        <w:t>。</w:t>
      </w:r>
    </w:p>
    <w:p>
      <w:pPr>
        <w:spacing w:line="600" w:lineRule="exact"/>
        <w:ind w:firstLine="640"/>
        <w:outlineLvl w:val="1"/>
        <w:rPr>
          <w:rStyle w:val="25"/>
          <w:rFonts w:ascii="黑体" w:hAnsi="黑体" w:eastAsia="黑体"/>
        </w:rPr>
      </w:pPr>
      <w:bookmarkStart w:id="46" w:name="_Toc15396610"/>
      <w:bookmarkStart w:id="47" w:name="_Toc15377218"/>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97.31</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农村公共运行维护经费和社区服务群众专项经费</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_GB2312" w:hAnsi="仿宋_GB2312" w:eastAsia="仿宋_GB2312" w:cs="仿宋_GB2312"/>
          <w:sz w:val="32"/>
          <w:szCs w:val="32"/>
          <w:lang w:eastAsia="zh-CN"/>
        </w:rPr>
        <w:t>，总的情况是好的，收支达到平衡，在保证刚性支出的同时，压缩各种非生产性支出，解决了村社道路和部分渠堰的维修和加固</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2018年</w:t>
      </w:r>
      <w:r>
        <w:rPr>
          <w:rFonts w:hint="eastAsia" w:ascii="仿宋_GB2312" w:hAnsi="仿宋_GB2312" w:eastAsia="仿宋_GB2312" w:cs="仿宋_GB2312"/>
          <w:sz w:val="32"/>
          <w:szCs w:val="32"/>
          <w:lang w:eastAsia="zh-CN"/>
        </w:rPr>
        <w:t>脱贫摘帽的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lang w:val="en-US" w:eastAsia="zh-CN"/>
        </w:rPr>
        <w:t>7个</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开展了</w:t>
      </w:r>
      <w:r>
        <w:rPr>
          <w:rFonts w:hint="eastAsia" w:ascii="仿宋_GB2312" w:hAnsi="仿宋_GB2312" w:eastAsia="仿宋_GB2312" w:cs="仿宋_GB2312"/>
          <w:sz w:val="32"/>
          <w:szCs w:val="32"/>
        </w:rPr>
        <w:t>绩效评价，从评价情况来看</w:t>
      </w:r>
      <w:r>
        <w:rPr>
          <w:rFonts w:hint="eastAsia" w:ascii="仿宋_GB2312" w:hAnsi="仿宋_GB2312" w:eastAsia="仿宋_GB2312" w:cs="仿宋_GB2312"/>
          <w:sz w:val="32"/>
          <w:szCs w:val="32"/>
          <w:lang w:eastAsia="zh-CN"/>
        </w:rPr>
        <w:t>，真正解决了群众行路难、饮水难的问题</w:t>
      </w:r>
      <w:r>
        <w:rPr>
          <w:rFonts w:hint="eastAsia" w:ascii="仿宋_GB2312" w:hAnsi="仿宋_GB2312" w:eastAsia="仿宋_GB2312" w:cs="仿宋_GB2312"/>
          <w:sz w:val="32"/>
          <w:szCs w:val="32"/>
        </w:rPr>
        <w:t>。</w:t>
      </w:r>
    </w:p>
    <w:p>
      <w:pPr>
        <w:numPr>
          <w:ilvl w:val="0"/>
          <w:numId w:val="4"/>
        </w:num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eastAsia="zh-CN"/>
        </w:rPr>
        <w:t>高伦村公路建设补助资金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百里峡农副产品有限公司基础设施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樊哙镇服务群众专项经费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个项目绩效目标实际完成情况。（本单位部门项目绩效目标个数在5个以上的，选取5个项目进行公开，目标个数在5个以下的，全部进行公开，公开内容包括完成情况综述和完成情况表）。</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高伦村公路建设补助资金</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w:t>
      </w:r>
      <w:r>
        <w:rPr>
          <w:rFonts w:hint="eastAsia" w:ascii="仿宋_GB2312" w:hAnsi="仿宋_GB2312" w:eastAsia="仿宋_GB2312" w:cs="仿宋_GB2312"/>
          <w:sz w:val="32"/>
          <w:szCs w:val="32"/>
          <w:lang w:eastAsia="zh-CN"/>
        </w:rPr>
        <w:t>高伦村烟厂坪至拖儿梁公路毛路的基本费用，解决了一部份农户行路难、卖东西难的问题。</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还下差道路硬化资金</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来年向上级部门争取资金</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百里峡农副产品有限公司基础设施</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了地方特色民营企业的长足发展，</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eastAsia="zh-CN"/>
        </w:rPr>
        <w:t>了民营企业进一步做大做强</w:t>
      </w: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eastAsia="zh-CN"/>
        </w:rPr>
        <w:t>了。政府的形象。</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公司的基础设施还有很多未完善</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督促公司进一步完善</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樊哙镇服务群众专项经费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万元，执行数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了镇城乡居民基本的文化需求，</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eastAsia="zh-CN"/>
        </w:rPr>
        <w:t>了当地文化建设</w:t>
      </w:r>
      <w:r>
        <w:rPr>
          <w:rFonts w:hint="eastAsia" w:ascii="仿宋_GB2312" w:hAnsi="仿宋_GB2312" w:eastAsia="仿宋_GB2312" w:cs="仿宋_GB2312"/>
          <w:sz w:val="32"/>
          <w:szCs w:val="32"/>
        </w:rPr>
        <w:t>、促进</w:t>
      </w:r>
      <w:r>
        <w:rPr>
          <w:rFonts w:hint="eastAsia" w:ascii="仿宋_GB2312" w:hAnsi="仿宋_GB2312" w:eastAsia="仿宋_GB2312" w:cs="仿宋_GB2312"/>
          <w:sz w:val="32"/>
          <w:szCs w:val="32"/>
          <w:lang w:eastAsia="zh-CN"/>
        </w:rPr>
        <w:t>了与人民群众的鱼水情深</w:t>
      </w:r>
      <w:r>
        <w:rPr>
          <w:rFonts w:hint="eastAsia" w:ascii="仿宋_GB2312" w:hAnsi="仿宋_GB2312" w:eastAsia="仿宋_GB2312" w:cs="仿宋_GB2312"/>
          <w:sz w:val="32"/>
          <w:szCs w:val="32"/>
        </w:rPr>
        <w:t>、提</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eastAsia="zh-CN"/>
        </w:rPr>
        <w:t>本级政府的影响力</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举办的文化活动有些粗糙，没有精细化</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进一步提高文化活动质量。</w:t>
      </w: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lang w:eastAsia="zh-CN"/>
              </w:rPr>
              <w:t>高伦村公路建设补助资金</w:t>
            </w:r>
            <w:r>
              <w:rPr>
                <w:rFonts w:hint="eastAsia" w:ascii="仿宋_GB2312" w:hAnsi="仿宋_GB2312" w:eastAsia="仿宋_GB2312" w:cs="仿宋_GB2312"/>
                <w:sz w:val="32"/>
                <w:szCs w:val="32"/>
              </w:rPr>
              <w:t>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樊哙镇高伦村</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1公里</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1公里</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想达到</w:t>
            </w:r>
            <w:r>
              <w:rPr>
                <w:rFonts w:hint="eastAsia" w:ascii="仿宋_GB2312" w:hAnsi="仿宋_GB2312" w:eastAsia="仿宋_GB2312" w:cs="仿宋_GB2312"/>
                <w:sz w:val="32"/>
                <w:szCs w:val="32"/>
                <w:lang w:eastAsia="zh-CN"/>
              </w:rPr>
              <w:t>烟厂坪至拖儿梁公路成形</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已达到</w:t>
            </w:r>
            <w:r>
              <w:rPr>
                <w:rFonts w:hint="eastAsia" w:ascii="仿宋_GB2312" w:hAnsi="仿宋_GB2312" w:eastAsia="仿宋_GB2312" w:cs="仿宋_GB2312"/>
                <w:sz w:val="32"/>
                <w:szCs w:val="32"/>
                <w:lang w:eastAsia="zh-CN"/>
              </w:rPr>
              <w:t>烟厂坪至拖儿梁公路成形</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解决农户出行难的问题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解决了农户出行难卖东西难的问题</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达到</w:t>
            </w:r>
            <w:r>
              <w:rPr>
                <w:rFonts w:hint="eastAsia" w:ascii="仿宋_GB2312" w:hAnsi="仿宋_GB2312" w:eastAsia="仿宋_GB2312" w:cs="仿宋_GB2312"/>
                <w:sz w:val="32"/>
                <w:szCs w:val="32"/>
                <w:lang w:eastAsia="zh-CN"/>
              </w:rPr>
              <w:t>烟厂坪至拖儿梁公路成形</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群众</w:t>
            </w:r>
            <w:r>
              <w:rPr>
                <w:rFonts w:hint="eastAsia" w:ascii="宋体" w:hAnsi="宋体" w:cs="宋体"/>
                <w:color w:val="000000"/>
                <w:kern w:val="0"/>
                <w:sz w:val="24"/>
                <w:lang w:bidi="ar"/>
              </w:rPr>
              <w:t>满意度</w:t>
            </w:r>
            <w:r>
              <w:rPr>
                <w:rFonts w:hint="eastAsia" w:ascii="宋体" w:hAnsi="宋体" w:cs="宋体"/>
                <w:color w:val="000000"/>
                <w:kern w:val="0"/>
                <w:sz w:val="24"/>
                <w:lang w:eastAsia="zh-CN" w:bidi="ar"/>
              </w:rPr>
              <w:t>大大提高</w:t>
            </w: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4"/>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樊哙镇</w:t>
      </w:r>
      <w:r>
        <w:rPr>
          <w:rFonts w:hint="eastAsia" w:ascii="仿宋_GB2312" w:hAnsi="仿宋_GB2312" w:eastAsia="仿宋_GB2312" w:cs="仿宋_GB2312"/>
          <w:sz w:val="32"/>
          <w:szCs w:val="32"/>
        </w:rPr>
        <w:t>部门2018年部门整体支出绩效评价报告》见附件。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高伦村公路建设补助资金</w:t>
      </w:r>
      <w:bookmarkStart w:id="76" w:name="_GoBack"/>
      <w:bookmarkEnd w:id="76"/>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百里峡农副产品有限公司基础设施</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高伦村公路建设补助资金</w:t>
      </w:r>
      <w:r>
        <w:rPr>
          <w:rFonts w:hint="eastAsia" w:ascii="仿宋_GB2312" w:hAnsi="仿宋_GB2312" w:eastAsia="仿宋_GB2312" w:cs="仿宋_GB2312"/>
          <w:sz w:val="32"/>
          <w:szCs w:val="32"/>
        </w:rPr>
        <w:t>项目2018年绩效评价报告》见附件。（非涉密部门均需公开部门整体支出评价报告，部门自行组织的绩效评价情况根据部门实际公开）</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樊哙镇</w:t>
      </w:r>
      <w:r>
        <w:rPr>
          <w:rFonts w:hint="eastAsia" w:ascii="仿宋_GB2312" w:eastAsia="仿宋_GB2312"/>
          <w:color w:val="000000"/>
          <w:sz w:val="32"/>
          <w:szCs w:val="32"/>
        </w:rPr>
        <w:t>机关运行经费支出</w:t>
      </w:r>
      <w:r>
        <w:rPr>
          <w:rFonts w:ascii="仿宋_GB2312" w:eastAsia="仿宋_GB2312"/>
          <w:color w:val="000000"/>
          <w:sz w:val="32"/>
          <w:szCs w:val="32"/>
        </w:rPr>
        <w:t>**</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w:t>
      </w:r>
      <w:r>
        <w:rPr>
          <w:rFonts w:hint="eastAsia" w:ascii="仿宋_GB2312" w:eastAsia="仿宋_GB2312"/>
          <w:color w:val="000000"/>
          <w:sz w:val="32"/>
          <w:szCs w:val="32"/>
        </w:rPr>
        <w:t>（或与</w:t>
      </w:r>
      <w:r>
        <w:rPr>
          <w:rFonts w:ascii="仿宋_GB2312" w:eastAsia="仿宋_GB2312"/>
          <w:color w:val="000000"/>
          <w:sz w:val="32"/>
          <w:szCs w:val="32"/>
        </w:rPr>
        <w:t>201</w:t>
      </w:r>
      <w:r>
        <w:rPr>
          <w:rFonts w:hint="eastAsia" w:ascii="仿宋_GB2312" w:eastAsia="仿宋_GB2312"/>
          <w:color w:val="000000"/>
          <w:sz w:val="32"/>
          <w:szCs w:val="32"/>
        </w:rPr>
        <w:t>7年决算数持平）。</w:t>
      </w:r>
      <w:r>
        <w:rPr>
          <w:rFonts w:hint="eastAsia" w:ascii="仿宋_GB2312" w:eastAsia="仿宋_GB2312"/>
          <w:color w:val="000000" w:themeColor="text1"/>
          <w:sz w:val="32"/>
          <w:szCs w:val="32"/>
          <w14:textFill>
            <w14:solidFill>
              <w14:schemeClr w14:val="tx1"/>
            </w14:solidFill>
          </w14:textFill>
        </w:rPr>
        <w:t>主要原因是……</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樊哙镇</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樊哙镇</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其他用车主要是用于</w:t>
      </w:r>
      <w:r>
        <w:rPr>
          <w:rFonts w:hint="eastAsia" w:ascii="仿宋_GB2312" w:eastAsia="仿宋_GB2312"/>
          <w:color w:val="000000" w:themeColor="text1"/>
          <w:sz w:val="32"/>
          <w:szCs w:val="32"/>
          <w:lang w:eastAsia="zh-CN"/>
          <w14:textFill>
            <w14:solidFill>
              <w14:schemeClr w14:val="tx1"/>
            </w14:solidFill>
          </w14:textFill>
        </w:rPr>
        <w:t>城镇城管执法用车。</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2"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XX部门2018年部门整体支出绩效评价报告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2018年XXX项目支出绩效评价报告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600" w:lineRule="exact"/>
        <w:jc w:val="center"/>
        <w:outlineLvl w:val="0"/>
        <w:rPr>
          <w:rStyle w:val="24"/>
          <w:rFonts w:ascii="黑体" w:hAnsi="黑体" w:eastAsia="黑体"/>
          <w:b w:val="0"/>
        </w:rPr>
      </w:pPr>
      <w:bookmarkStart w:id="62"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14:textFill>
            <w14:solidFill>
              <w14:schemeClr w14:val="tx1"/>
            </w14:solidFill>
          </w14:textFill>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headerReference r:id="rId4" w:type="first"/>
      <w:footerReference r:id="rId6" w:type="first"/>
      <w:headerReference r:id="rId3" w:type="defaul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4B01DA4"/>
    <w:rsid w:val="09A040C6"/>
    <w:rsid w:val="0DFE6D86"/>
    <w:rsid w:val="0E6615F6"/>
    <w:rsid w:val="10C055FF"/>
    <w:rsid w:val="14D60115"/>
    <w:rsid w:val="16542E91"/>
    <w:rsid w:val="16BB723D"/>
    <w:rsid w:val="1EE23528"/>
    <w:rsid w:val="2205748C"/>
    <w:rsid w:val="222C0C97"/>
    <w:rsid w:val="240371BF"/>
    <w:rsid w:val="29FD04D3"/>
    <w:rsid w:val="2B3217EC"/>
    <w:rsid w:val="2B6043BD"/>
    <w:rsid w:val="2F344B33"/>
    <w:rsid w:val="304F3A55"/>
    <w:rsid w:val="30C90B77"/>
    <w:rsid w:val="31650E11"/>
    <w:rsid w:val="317F2447"/>
    <w:rsid w:val="319F7F4E"/>
    <w:rsid w:val="40B12E29"/>
    <w:rsid w:val="451A37C8"/>
    <w:rsid w:val="47705EB9"/>
    <w:rsid w:val="48F4078B"/>
    <w:rsid w:val="50510D7D"/>
    <w:rsid w:val="566F3FF1"/>
    <w:rsid w:val="60FA7386"/>
    <w:rsid w:val="6E7627AC"/>
    <w:rsid w:val="79880CA3"/>
    <w:rsid w:val="7B9E3B9D"/>
    <w:rsid w:val="F37EEA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cap="none" spc="20" baseline="0">
                <a:noFill/>
                <a:latin typeface="+mn-lt"/>
                <a:ea typeface="+mn-ea"/>
                <a:cs typeface="+mn-cs"/>
              </a:defRPr>
            </a:pPr>
            <a:r>
              <a:rPr>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true"/>
                  </a:gradFill>
                  <a:prstDash val="solid"/>
                </a:ln>
                <a:noFill/>
                <a:effectLst>
                  <a:outerShdw blurRad="50800" dist="50800" dir="5400000" algn="ctr" rotWithShape="0">
                    <a:srgbClr val="000000">
                      <a:alpha val="40000"/>
                    </a:srgbClr>
                  </a:outerShdw>
                  <a:reflection blurRad="6350" stA="55000" endA="300" endPos="45500" dir="5400000" sy="-100000" algn="bl" rotWithShape="0"/>
                </a:effectLst>
                <a:uFillTx/>
              </a:rPr>
              <a:t>收支决算总计变动情况 </a:t>
            </a:r>
            <a:r>
              <a:rPr>
                <a:noFill/>
              </a:rPr>
              <a:t>        </a:t>
            </a:r>
            <a:r>
              <a:rPr sz="800">
                <a:solidFill>
                  <a:schemeClr val="tx1"/>
                </a:solidFill>
                <a:uFillTx/>
              </a:rPr>
              <a:t>单位：万元   </a:t>
            </a:r>
            <a:r>
              <a:rPr>
                <a:noFill/>
              </a:rPr>
              <a:t>    </a:t>
            </a:r>
            <a:r>
              <a:rPr sz="800">
                <a:noFill/>
                <a:uFillTx/>
              </a:rPr>
              <a:t>单位：万元</a:t>
            </a:r>
            <a:endParaRPr sz="800">
              <a:noFill/>
              <a:uFillTx/>
            </a:endParaRPr>
          </a:p>
        </c:rich>
      </c:tx>
      <c:layout>
        <c:manualLayout>
          <c:xMode val="edge"/>
          <c:yMode val="edge"/>
          <c:x val="0.27353587388282"/>
          <c:y val="0.0216900045310707"/>
        </c:manualLayout>
      </c:layout>
      <c:overlay val="false"/>
      <c:spPr>
        <a:noFill/>
        <a:ln>
          <a:noFill/>
        </a:ln>
        <a:effectLst/>
      </c:spPr>
    </c:title>
    <c:autoTitleDeleted val="false"/>
    <c:plotArea>
      <c:layout>
        <c:manualLayout>
          <c:layoutTarget val="inner"/>
          <c:xMode val="edge"/>
          <c:yMode val="edge"/>
          <c:x val="0.105584905660377"/>
          <c:y val="0.177792668476919"/>
          <c:w val="0.8938"/>
          <c:h val="0.7169"/>
        </c:manualLayout>
      </c:layout>
      <c:barChart>
        <c:barDir val="col"/>
        <c:grouping val="clustered"/>
        <c:varyColors val="false"/>
        <c:ser>
          <c:idx val="0"/>
          <c:order val="0"/>
          <c:tx>
            <c:strRef>
              <c:f>Sheet1!$B$1</c:f>
              <c:strCache>
                <c:ptCount val="1"/>
                <c:pt idx="0">
                  <c:v>2017年度</c:v>
                </c:pt>
              </c:strCache>
            </c:strRef>
          </c:tx>
          <c:spPr>
            <a:gradFill rotWithShape="true">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true"/>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false"/>
          <c:dLbls>
            <c:delete val="true"/>
          </c:dLbls>
          <c:cat>
            <c:strRef>
              <c:extLst>
                <c:ext xmlns:c15="http://schemas.microsoft.com/office/drawing/2012/chart" uri="{02D57815-91ED-43cb-92C2-25804820EDAC}">
                  <c15:fullRef>
                    <c15:sqref>Sheet1!$A$2:$A$5</c15:sqref>
                  </c15:fullRef>
                </c:ext>
              </c:extLst>
              <c:f>Sheet1!$A$2</c:f>
              <c:strCache>
                <c:ptCount val="1"/>
                <c:pt idx="0">
                  <c:v>收支总计情况</c:v>
                </c:pt>
              </c:strCache>
            </c:strRef>
          </c:cat>
          <c:val>
            <c:numRef>
              <c:extLst>
                <c:ext xmlns:c15="http://schemas.microsoft.com/office/drawing/2012/chart" uri="{02D57815-91ED-43cb-92C2-25804820EDAC}">
                  <c15:fullRef>
                    <c15:sqref>Sheet1!$B$2:$B$5</c15:sqref>
                  </c15:fullRef>
                </c:ext>
              </c:extLst>
              <c:f>Sheet1!$B$2</c:f>
              <c:numCache>
                <c:formatCode>General</c:formatCode>
                <c:ptCount val="1"/>
                <c:pt idx="0">
                  <c:v>2274.63</c:v>
                </c:pt>
              </c:numCache>
            </c:numRef>
          </c:val>
        </c:ser>
        <c:ser>
          <c:idx val="1"/>
          <c:order val="1"/>
          <c:tx>
            <c:strRef>
              <c:f>Sheet1!$C$1</c:f>
              <c:strCache>
                <c:ptCount val="1"/>
                <c:pt idx="0">
                  <c:v>2018年度</c:v>
                </c:pt>
              </c:strCache>
            </c:strRef>
          </c:tx>
          <c:spPr>
            <a:gradFill rotWithShape="true">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true"/>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false"/>
          <c:dLbls>
            <c:delete val="true"/>
          </c:dLbls>
          <c:cat>
            <c:strRef>
              <c:extLst>
                <c:ext xmlns:c15="http://schemas.microsoft.com/office/drawing/2012/chart" uri="{02D57815-91ED-43cb-92C2-25804820EDAC}">
                  <c15:fullRef>
                    <c15:sqref>Sheet1!$A$2:$A$5</c15:sqref>
                  </c15:fullRef>
                </c:ext>
              </c:extLst>
              <c:f>Sheet1!$A$2</c:f>
              <c:strCache>
                <c:ptCount val="1"/>
                <c:pt idx="0">
                  <c:v>收支总计情况</c:v>
                </c:pt>
              </c:strCache>
            </c:strRef>
          </c:cat>
          <c:val>
            <c:numRef>
              <c:extLst>
                <c:ext xmlns:c15="http://schemas.microsoft.com/office/drawing/2012/chart" uri="{02D57815-91ED-43cb-92C2-25804820EDAC}">
                  <c15:fullRef>
                    <c15:sqref>Sheet1!$C$2:$C$5</c15:sqref>
                  </c15:fullRef>
                </c:ext>
              </c:extLst>
              <c:f>Sheet1!$C$2</c:f>
              <c:numCache>
                <c:formatCode>General</c:formatCode>
                <c:ptCount val="1"/>
                <c:pt idx="0">
                  <c:v>2284.6</c:v>
                </c:pt>
              </c:numCache>
            </c:numRef>
          </c:val>
        </c:ser>
        <c:dLbls>
          <c:showLegendKey val="false"/>
          <c:showVal val="false"/>
          <c:showCatName val="false"/>
          <c:showSerName val="false"/>
          <c:showPercent val="false"/>
          <c:showBubbleSize val="false"/>
        </c:dLbls>
        <c:gapWidth val="100"/>
        <c:overlap val="-24"/>
        <c:axId val="351686145"/>
        <c:axId val="642370808"/>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
                      </c:pt>
                    </c:strCache>
                  </c:strRef>
                </c:tx>
                <c:spPr>
                  <a:gradFill rotWithShape="true">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true"/>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false"/>
                <c:dLbls>
                  <c:delete val="true"/>
                </c:dLbls>
                <c:cat>
                  <c:strRef>
                    <c:extLst>
                      <c:ext uri="{02D57815-91ED-43cb-92C2-25804820EDAC}">
                        <c15:fullRef>
                          <c15:sqref>Sheet1!$A$2:$A$5</c15:sqref>
                        </c15:fullRef>
                        <c15:formulaRef>
                          <c15:sqref>Sheet1!$A$2</c15:sqref>
                        </c15:formulaRef>
                      </c:ext>
                    </c:extLst>
                    <c:strCache>
                      <c:ptCount val="1"/>
                      <c:pt idx="0">
                        <c:v>收支总计情况</c:v>
                      </c:pt>
                    </c:strCache>
                  </c:strRef>
                </c:cat>
                <c:val>
                  <c:numRef>
                    <c:extLst>
                      <c:ext uri="{02D57815-91ED-43cb-92C2-25804820EDAC}">
                        <c15:fullRef>
                          <c15:sqref>Sheet1!$D$2:$D$5</c15:sqref>
                        </c15:fullRef>
                        <c15:formulaRef>
                          <c15:sqref>Sheet1!$D$2</c15:sqref>
                        </c15:formulaRef>
                      </c:ext>
                    </c:extLst>
                    <c:numCache>
                      <c:formatCode>General</c:formatCode>
                      <c:ptCount val="1"/>
                    </c:numCache>
                  </c:numRef>
                </c:val>
              </c15:ser>
            </c15:filteredBarSeries>
          </c:ext>
        </c:extLst>
      </c:barChart>
      <c:catAx>
        <c:axId val="351686145"/>
        <c:scaling>
          <c:orientation val="minMax"/>
        </c:scaling>
        <c:delete val="true"/>
        <c:axPos val="b"/>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50000"/>
                    <a:lumOff val="50000"/>
                  </a:schemeClr>
                </a:solidFill>
                <a:latin typeface="+mn-lt"/>
                <a:ea typeface="+mn-ea"/>
                <a:cs typeface="+mn-cs"/>
              </a:defRPr>
            </a:pPr>
          </a:p>
        </c:txPr>
        <c:crossAx val="642370808"/>
        <c:crosses val="autoZero"/>
        <c:auto val="true"/>
        <c:lblAlgn val="ctr"/>
        <c:lblOffset val="100"/>
        <c:noMultiLvlLbl val="false"/>
      </c:catAx>
      <c:valAx>
        <c:axId val="642370808"/>
        <c:scaling>
          <c:orientation val="minMax"/>
        </c:scaling>
        <c:delete val="false"/>
        <c:axPos val="l"/>
        <c:majorGridlines>
          <c:spPr>
            <a:ln w="9525" cap="flat" cmpd="sng" algn="ctr">
              <a:solidFill>
                <a:schemeClr val="tx1">
                  <a:lumMod val="15000"/>
                  <a:lumOff val="85000"/>
                </a:schemeClr>
              </a:solidFill>
              <a:round/>
            </a:ln>
            <a:effectLst/>
          </c:spPr>
        </c:majorGridlines>
        <c:numFmt formatCode="#,##0_);[Red]\(#,##0\)" sourceLinked="fals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50000"/>
                    <a:lumOff val="50000"/>
                  </a:schemeClr>
                </a:solidFill>
                <a:latin typeface="+mn-lt"/>
                <a:ea typeface="+mn-ea"/>
                <a:cs typeface="+mn-cs"/>
              </a:defRPr>
            </a:pPr>
          </a:p>
        </c:txPr>
        <c:crossAx val="351686145"/>
        <c:crosses val="autoZero"/>
        <c:crossBetween val="between"/>
      </c:valAx>
      <c:spPr>
        <a:noFill/>
        <a:ln>
          <a:noFill/>
        </a:ln>
        <a:effectLst/>
      </c:spPr>
    </c:plotArea>
    <c:legend>
      <c:legendPos val="b"/>
      <c:layout>
        <c:manualLayout>
          <c:xMode val="edge"/>
          <c:yMode val="edge"/>
          <c:x val="0.371381578947368"/>
          <c:y val="0.903490216816499"/>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50000"/>
                  <a:lumOff val="50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收入决算结构图             </a:t>
            </a:r>
            <a:r>
              <a:rPr sz="800">
                <a:solidFill>
                  <a:schemeClr val="tx1"/>
                </a:solidFill>
                <a:uFillTx/>
              </a:rPr>
              <a:t>单位：万元</a:t>
            </a:r>
            <a:endParaRPr sz="800">
              <a:solidFill>
                <a:schemeClr val="tx1"/>
              </a:solidFill>
              <a:uFillTx/>
            </a:endParaRPr>
          </a:p>
        </c:rich>
      </c:tx>
      <c:layout>
        <c:manualLayout>
          <c:xMode val="edge"/>
          <c:yMode val="edge"/>
          <c:x val="0.264192832223279"/>
          <c:y val="0.0595894945928051"/>
        </c:manualLayout>
      </c:layout>
      <c:overlay val="false"/>
      <c:spPr>
        <a:noFill/>
        <a:ln>
          <a:noFill/>
        </a:ln>
        <a:effectLst/>
      </c:spPr>
    </c:title>
    <c:autoTitleDeleted val="false"/>
    <c:plotArea>
      <c:layout>
        <c:manualLayout>
          <c:layoutTarget val="inner"/>
          <c:xMode val="edge"/>
          <c:yMode val="edge"/>
          <c:x val="0.170401669274909"/>
          <c:y val="0.264069679373895"/>
          <c:w val="0.441147626499739"/>
          <c:h val="0.640504922999243"/>
        </c:manualLayout>
      </c:layout>
      <c:doughnutChart>
        <c:varyColors val="true"/>
        <c:ser>
          <c:idx val="0"/>
          <c:order val="0"/>
          <c:tx>
            <c:strRef>
              <c:f>Sheet1!$A$2</c:f>
              <c:strCache>
                <c:ptCount val="1"/>
                <c:pt idx="0">
                  <c:v>收入决算结构图</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Sheet1!$B$1:$C$1</c:f>
              <c:strCache>
                <c:ptCount val="2"/>
                <c:pt idx="0">
                  <c:v>一般公共预算财政拨款收入</c:v>
                </c:pt>
                <c:pt idx="1">
                  <c:v>政府性基金预算财政拨款收入</c:v>
                </c:pt>
              </c:strCache>
            </c:strRef>
          </c:cat>
          <c:val>
            <c:numRef>
              <c:f>Sheet1!$B$2:$C$2</c:f>
              <c:numCache>
                <c:formatCode>General</c:formatCode>
                <c:ptCount val="2"/>
                <c:pt idx="0">
                  <c:v>1044.99</c:v>
                </c:pt>
                <c:pt idx="1">
                  <c:v>97.31</c:v>
                </c:pt>
              </c:numCache>
            </c:numRef>
          </c:val>
        </c:ser>
        <c:dLbls>
          <c:showLegendKey val="false"/>
          <c:showVal val="false"/>
          <c:showCatName val="false"/>
          <c:showSerName val="false"/>
          <c:showPercent val="true"/>
          <c:showBubbleSize val="false"/>
          <c:showLeaderLines val="true"/>
        </c:dLbls>
        <c:firstSliceAng val="0"/>
        <c:holeSize val="50"/>
      </c:doughnut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no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spc="0" normalizeH="0" baseline="0">
                <a:solidFill>
                  <a:schemeClr val="dk1">
                    <a:lumMod val="50000"/>
                    <a:lumOff val="50000"/>
                  </a:schemeClr>
                </a:solidFill>
                <a:latin typeface="+mj-lt"/>
                <a:ea typeface="+mj-ea"/>
                <a:cs typeface="+mj-cs"/>
              </a:defRPr>
            </a:pPr>
            <a:r>
              <a:rPr sz="1400">
                <a:ln w="0" cmpd="dbl">
                  <a:noFill/>
                  <a:prstDash val="solid"/>
                </a:ln>
                <a:solidFill>
                  <a:schemeClr val="accent6">
                    <a:lumMod val="60000"/>
                    <a:lumOff val="40000"/>
                  </a:schemeClr>
                </a:solidFill>
                <a:effectLst>
                  <a:outerShdw blurRad="50800" dist="50800" dir="5400000" algn="ctr" rotWithShape="0">
                    <a:schemeClr val="tx1">
                      <a:alpha val="100000"/>
                    </a:schemeClr>
                  </a:outerShdw>
                </a:effectLst>
                <a:uFillTx/>
              </a:rPr>
              <a:t>2018年支出决算结构          </a:t>
            </a:r>
            <a:r>
              <a:rPr sz="800">
                <a:ln w="0" cmpd="dbl">
                  <a:noFill/>
                  <a:prstDash val="solid"/>
                </a:ln>
                <a:solidFill>
                  <a:schemeClr val="tx1"/>
                </a:solidFill>
                <a:effectLst>
                  <a:outerShdw blurRad="50800" dist="50800" dir="5400000" algn="ctr" rotWithShape="0">
                    <a:schemeClr val="tx1">
                      <a:alpha val="100000"/>
                    </a:schemeClr>
                  </a:outerShdw>
                </a:effectLst>
                <a:uFillTx/>
              </a:rPr>
              <a:t>单位：万元</a:t>
            </a:r>
            <a:endParaRPr sz="800">
              <a:ln w="0" cmpd="dbl">
                <a:noFill/>
                <a:prstDash val="solid"/>
              </a:ln>
              <a:solidFill>
                <a:schemeClr val="tx1"/>
              </a:solidFill>
              <a:effectLst>
                <a:outerShdw blurRad="50800" dist="50800" dir="5400000" algn="ctr" rotWithShape="0">
                  <a:schemeClr val="tx1">
                    <a:alpha val="100000"/>
                  </a:schemeClr>
                </a:outerShdw>
              </a:effectLst>
              <a:uFillTx/>
            </a:endParaRPr>
          </a:p>
        </c:rich>
      </c:tx>
      <c:layout>
        <c:manualLayout>
          <c:xMode val="edge"/>
          <c:yMode val="edge"/>
          <c:x val="0.199809705042816"/>
          <c:y val="0.0371511964232986"/>
        </c:manualLayout>
      </c:layout>
      <c:overlay val="false"/>
      <c:spPr>
        <a:noFill/>
        <a:ln>
          <a:noFill/>
        </a:ln>
        <a:effectLst/>
      </c:spPr>
    </c:title>
    <c:autoTitleDeleted val="false"/>
    <c:plotArea>
      <c:layout/>
      <c:pieChart>
        <c:varyColors val="true"/>
        <c:ser>
          <c:idx val="0"/>
          <c:order val="0"/>
          <c:tx>
            <c:strRef>
              <c:f>Sheet1!$A$2</c:f>
              <c:strCache>
                <c:ptCount val="1"/>
                <c:pt idx="0">
                  <c:v>2018年支出合计</c:v>
                </c:pt>
              </c:strCache>
            </c:strRef>
          </c:tx>
          <c:spPr/>
          <c:explosion val="0"/>
          <c:dPt>
            <c:idx val="0"/>
            <c:bubble3D val="false"/>
            <c:spPr>
              <a:gradFill>
                <a:gsLst>
                  <a:gs pos="100000">
                    <a:schemeClr val="accent1">
                      <a:lumMod val="60000"/>
                      <a:lumOff val="40000"/>
                    </a:schemeClr>
                  </a:gs>
                  <a:gs pos="0">
                    <a:schemeClr val="accent1"/>
                  </a:gs>
                </a:gsLst>
                <a:lin ang="5400000" scaled="false"/>
              </a:gradFill>
              <a:ln w="19050">
                <a:solidFill>
                  <a:schemeClr val="lt1"/>
                </a:solidFill>
              </a:ln>
              <a:effectLst/>
            </c:spPr>
          </c:dPt>
          <c:dPt>
            <c:idx val="1"/>
            <c:bubble3D val="false"/>
            <c:spPr>
              <a:gradFill>
                <a:gsLst>
                  <a:gs pos="100000">
                    <a:schemeClr val="accent2">
                      <a:lumMod val="60000"/>
                      <a:lumOff val="40000"/>
                    </a:schemeClr>
                  </a:gs>
                  <a:gs pos="0">
                    <a:schemeClr val="accent2"/>
                  </a:gs>
                </a:gsLst>
                <a:lin ang="5400000" scaled="false"/>
              </a:gradFill>
              <a:ln w="19050">
                <a:solidFill>
                  <a:schemeClr val="lt1"/>
                </a:solidFill>
              </a:ln>
              <a:effectLst/>
            </c:spPr>
          </c:dPt>
          <c:dLbls>
            <c:delete val="true"/>
          </c:dLbls>
          <c:cat>
            <c:strRef>
              <c:f>Sheet1!$B$1:$C$1</c:f>
              <c:strCache>
                <c:ptCount val="2"/>
                <c:pt idx="0">
                  <c:v>基本支出</c:v>
                </c:pt>
                <c:pt idx="1">
                  <c:v>项目支出</c:v>
                </c:pt>
              </c:strCache>
            </c:strRef>
          </c:cat>
          <c:val>
            <c:numRef>
              <c:f>Sheet1!$B$2:$C$2</c:f>
              <c:numCache>
                <c:formatCode>General</c:formatCode>
                <c:ptCount val="2"/>
                <c:pt idx="0">
                  <c:v>606.54</c:v>
                </c:pt>
                <c:pt idx="1">
                  <c:v>535.75</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alpha val="50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65000"/>
                  <a:lumOff val="35000"/>
                </a:schemeClr>
              </a:solidFill>
              <a:latin typeface="+mn-lt"/>
              <a:ea typeface="+mn-ea"/>
              <a:cs typeface="+mn-cs"/>
            </a:defRPr>
          </a:pPr>
        </a:p>
      </c:txPr>
    </c:legend>
    <c:plotVisOnly val="true"/>
    <c:dispBlanksAs val="gap"/>
    <c:showDLblsOverMax val="false"/>
  </c:chart>
  <c:spPr>
    <a:noFill/>
    <a:ln w="9525" cap="flat" cmpd="sng" algn="ctr">
      <a:no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cap="none" spc="20" baseline="0">
                <a:noFill/>
                <a:latin typeface="+mn-lt"/>
                <a:ea typeface="+mn-ea"/>
                <a:cs typeface="+mn-cs"/>
              </a:defRPr>
            </a:pPr>
            <a:r>
              <a:rPr>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true"/>
                  </a:gradFill>
                  <a:prstDash val="solid"/>
                </a:ln>
                <a:noFill/>
                <a:effectLst>
                  <a:outerShdw blurRad="50800" dist="50800" dir="5400000" algn="ctr" rotWithShape="0">
                    <a:srgbClr val="000000">
                      <a:alpha val="40000"/>
                    </a:srgbClr>
                  </a:outerShdw>
                  <a:reflection blurRad="6350" stA="55000" endA="300" endPos="45500" dir="5400000" sy="-100000" algn="bl" rotWithShape="0"/>
                </a:effectLst>
                <a:uFillTx/>
              </a:rPr>
              <a:t>收、支决算总计变动情况 </a:t>
            </a:r>
            <a:r>
              <a:rPr>
                <a:noFill/>
              </a:rPr>
              <a:t>         </a:t>
            </a:r>
            <a:r>
              <a:rPr sz="800">
                <a:solidFill>
                  <a:schemeClr val="tx1"/>
                </a:solidFill>
                <a:uFillTx/>
              </a:rPr>
              <a:t>单位：万元</a:t>
            </a:r>
            <a:r>
              <a:rPr sz="800">
                <a:noFill/>
                <a:uFillTx/>
              </a:rPr>
              <a:t>元</a:t>
            </a:r>
            <a:endParaRPr sz="800">
              <a:noFill/>
              <a:uFillTx/>
            </a:endParaRPr>
          </a:p>
        </c:rich>
      </c:tx>
      <c:layout>
        <c:manualLayout>
          <c:xMode val="edge"/>
          <c:yMode val="edge"/>
          <c:x val="0.209391137040715"/>
          <c:y val="0.00951776649746192"/>
        </c:manualLayout>
      </c:layout>
      <c:overlay val="false"/>
      <c:spPr>
        <a:noFill/>
        <a:ln>
          <a:noFill/>
        </a:ln>
        <a:effectLst/>
      </c:spPr>
    </c:title>
    <c:autoTitleDeleted val="false"/>
    <c:plotArea>
      <c:layout>
        <c:manualLayout>
          <c:layoutTarget val="inner"/>
          <c:xMode val="edge"/>
          <c:yMode val="edge"/>
          <c:x val="0.105584905660377"/>
          <c:y val="0.177792668476919"/>
          <c:w val="0.8938"/>
          <c:h val="0.7169"/>
        </c:manualLayout>
      </c:layout>
      <c:barChart>
        <c:barDir val="col"/>
        <c:grouping val="clustered"/>
        <c:varyColors val="false"/>
        <c:ser>
          <c:idx val="0"/>
          <c:order val="0"/>
          <c:tx>
            <c:strRef>
              <c:f>Sheet1!$B$1</c:f>
              <c:strCache>
                <c:ptCount val="1"/>
                <c:pt idx="0">
                  <c:v>2017年度</c:v>
                </c:pt>
              </c:strCache>
            </c:strRef>
          </c:tx>
          <c:spPr>
            <a:gradFill rotWithShape="true">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true"/>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false"/>
          <c:dLbls>
            <c:delete val="true"/>
          </c:dLbls>
          <c:cat>
            <c:strRef>
              <c:extLst>
                <c:ext xmlns:c15="http://schemas.microsoft.com/office/drawing/2012/chart" uri="{02D57815-91ED-43cb-92C2-25804820EDAC}">
                  <c15:fullRef>
                    <c15:sqref>Sheet1!$A$2:$A$5</c15:sqref>
                  </c15:fullRef>
                </c:ext>
              </c:extLst>
              <c:f>Sheet1!$A$2</c:f>
              <c:strCache>
                <c:ptCount val="1"/>
                <c:pt idx="0">
                  <c:v>收支总计情况</c:v>
                </c:pt>
              </c:strCache>
            </c:strRef>
          </c:cat>
          <c:val>
            <c:numRef>
              <c:extLst>
                <c:ext xmlns:c15="http://schemas.microsoft.com/office/drawing/2012/chart" uri="{02D57815-91ED-43cb-92C2-25804820EDAC}">
                  <c15:fullRef>
                    <c15:sqref>Sheet1!$B$2:$B$5</c15:sqref>
                  </c15:fullRef>
                </c:ext>
              </c:extLst>
              <c:f>Sheet1!$B$2</c:f>
              <c:numCache>
                <c:formatCode>General</c:formatCode>
                <c:ptCount val="1"/>
                <c:pt idx="0">
                  <c:v>2274.63</c:v>
                </c:pt>
              </c:numCache>
            </c:numRef>
          </c:val>
        </c:ser>
        <c:ser>
          <c:idx val="1"/>
          <c:order val="1"/>
          <c:tx>
            <c:strRef>
              <c:f>Sheet1!$C$1</c:f>
              <c:strCache>
                <c:ptCount val="1"/>
                <c:pt idx="0">
                  <c:v>2018年度</c:v>
                </c:pt>
              </c:strCache>
            </c:strRef>
          </c:tx>
          <c:spPr>
            <a:gradFill rotWithShape="true">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true"/>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false"/>
          <c:dLbls>
            <c:delete val="true"/>
          </c:dLbls>
          <c:cat>
            <c:strRef>
              <c:extLst>
                <c:ext xmlns:c15="http://schemas.microsoft.com/office/drawing/2012/chart" uri="{02D57815-91ED-43cb-92C2-25804820EDAC}">
                  <c15:fullRef>
                    <c15:sqref>Sheet1!$A$2:$A$5</c15:sqref>
                  </c15:fullRef>
                </c:ext>
              </c:extLst>
              <c:f>Sheet1!$A$2</c:f>
              <c:strCache>
                <c:ptCount val="1"/>
                <c:pt idx="0">
                  <c:v>收支总计情况</c:v>
                </c:pt>
              </c:strCache>
            </c:strRef>
          </c:cat>
          <c:val>
            <c:numRef>
              <c:extLst>
                <c:ext xmlns:c15="http://schemas.microsoft.com/office/drawing/2012/chart" uri="{02D57815-91ED-43cb-92C2-25804820EDAC}">
                  <c15:fullRef>
                    <c15:sqref>Sheet1!$C$2:$C$5</c15:sqref>
                  </c15:fullRef>
                </c:ext>
              </c:extLst>
              <c:f>Sheet1!$C$2</c:f>
              <c:numCache>
                <c:formatCode>General</c:formatCode>
                <c:ptCount val="1"/>
                <c:pt idx="0">
                  <c:v>2284.6</c:v>
                </c:pt>
              </c:numCache>
            </c:numRef>
          </c:val>
        </c:ser>
        <c:dLbls>
          <c:showLegendKey val="false"/>
          <c:showVal val="false"/>
          <c:showCatName val="false"/>
          <c:showSerName val="false"/>
          <c:showPercent val="false"/>
          <c:showBubbleSize val="false"/>
        </c:dLbls>
        <c:gapWidth val="100"/>
        <c:overlap val="-24"/>
        <c:axId val="351686145"/>
        <c:axId val="642370808"/>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
                      </c:pt>
                    </c:strCache>
                  </c:strRef>
                </c:tx>
                <c:spPr>
                  <a:gradFill rotWithShape="true">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true"/>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false"/>
                <c:dLbls>
                  <c:delete val="true"/>
                </c:dLbls>
                <c:cat>
                  <c:strRef>
                    <c:extLst>
                      <c:ext uri="{02D57815-91ED-43cb-92C2-25804820EDAC}">
                        <c15:fullRef>
                          <c15:sqref>Sheet1!$A$2:$A$5</c15:sqref>
                        </c15:fullRef>
                        <c15:formulaRef>
                          <c15:sqref>Sheet1!$A$2</c15:sqref>
                        </c15:formulaRef>
                      </c:ext>
                    </c:extLst>
                    <c:strCache>
                      <c:ptCount val="1"/>
                      <c:pt idx="0">
                        <c:v>收支总计情况</c:v>
                      </c:pt>
                    </c:strCache>
                  </c:strRef>
                </c:cat>
                <c:val>
                  <c:numRef>
                    <c:extLst>
                      <c:ext uri="{02D57815-91ED-43cb-92C2-25804820EDAC}">
                        <c15:fullRef>
                          <c15:sqref>Sheet1!$D$2:$D$5</c15:sqref>
                        </c15:fullRef>
                        <c15:formulaRef>
                          <c15:sqref>Sheet1!$D$2</c15:sqref>
                        </c15:formulaRef>
                      </c:ext>
                    </c:extLst>
                    <c:numCache>
                      <c:formatCode>General</c:formatCode>
                      <c:ptCount val="1"/>
                    </c:numCache>
                  </c:numRef>
                </c:val>
              </c15:ser>
            </c15:filteredBarSeries>
          </c:ext>
        </c:extLst>
      </c:barChart>
      <c:catAx>
        <c:axId val="351686145"/>
        <c:scaling>
          <c:orientation val="minMax"/>
        </c:scaling>
        <c:delete val="true"/>
        <c:axPos val="b"/>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50000"/>
                    <a:lumOff val="50000"/>
                  </a:schemeClr>
                </a:solidFill>
                <a:latin typeface="+mn-lt"/>
                <a:ea typeface="+mn-ea"/>
                <a:cs typeface="+mn-cs"/>
              </a:defRPr>
            </a:pPr>
          </a:p>
        </c:txPr>
        <c:crossAx val="642370808"/>
        <c:crosses val="autoZero"/>
        <c:auto val="true"/>
        <c:lblAlgn val="ctr"/>
        <c:lblOffset val="100"/>
        <c:noMultiLvlLbl val="false"/>
      </c:catAx>
      <c:valAx>
        <c:axId val="642370808"/>
        <c:scaling>
          <c:orientation val="minMax"/>
        </c:scaling>
        <c:delete val="false"/>
        <c:axPos val="l"/>
        <c:majorGridlines>
          <c:spPr>
            <a:ln w="9525" cap="flat" cmpd="sng" algn="ctr">
              <a:solidFill>
                <a:schemeClr val="tx1">
                  <a:lumMod val="15000"/>
                  <a:lumOff val="85000"/>
                </a:schemeClr>
              </a:solidFill>
              <a:round/>
            </a:ln>
            <a:effectLst/>
          </c:spPr>
        </c:majorGridlines>
        <c:numFmt formatCode="#,##0_);[Red]\(#,##0\)" sourceLinked="fals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50000"/>
                    <a:lumOff val="50000"/>
                  </a:schemeClr>
                </a:solidFill>
                <a:latin typeface="+mn-lt"/>
                <a:ea typeface="+mn-ea"/>
                <a:cs typeface="+mn-cs"/>
              </a:defRPr>
            </a:pPr>
          </a:p>
        </c:txPr>
        <c:crossAx val="351686145"/>
        <c:crosses val="autoZero"/>
        <c:crossBetween val="between"/>
      </c:valAx>
      <c:spPr>
        <a:noFill/>
        <a:ln>
          <a:noFill/>
        </a:ln>
        <a:effectLst/>
      </c:spPr>
    </c:plotArea>
    <c:legend>
      <c:legendPos val="b"/>
      <c:layout>
        <c:manualLayout>
          <c:xMode val="edge"/>
          <c:yMode val="edge"/>
          <c:x val="0.371381578947368"/>
          <c:y val="0.903490216816499"/>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50000"/>
                  <a:lumOff val="50000"/>
                </a:schemeClr>
              </a:solidFill>
              <a:latin typeface="+mn-lt"/>
              <a:ea typeface="+mn-ea"/>
              <a:cs typeface="+mn-cs"/>
            </a:defRPr>
          </a:pPr>
        </a:p>
      </c:txPr>
    </c:legend>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rPr sz="1200">
                <a:solidFill>
                  <a:schemeClr val="tx1">
                    <a:lumMod val="75000"/>
                    <a:lumOff val="25000"/>
                  </a:schemeClr>
                </a:solidFill>
                <a:uFillTx/>
              </a:rPr>
              <a:t>一般公共预算财政拨款支出决算      </a:t>
            </a:r>
            <a:r>
              <a:rPr sz="800">
                <a:solidFill>
                  <a:schemeClr val="tx1">
                    <a:lumMod val="75000"/>
                    <a:lumOff val="25000"/>
                  </a:schemeClr>
                </a:solidFill>
                <a:uFillTx/>
              </a:rPr>
              <a:t>单位：万元</a:t>
            </a:r>
            <a:endParaRPr sz="800">
              <a:solidFill>
                <a:schemeClr val="tx1">
                  <a:lumMod val="75000"/>
                  <a:lumOff val="25000"/>
                </a:schemeClr>
              </a:solidFill>
              <a:uFillTx/>
            </a:endParaRPr>
          </a:p>
        </c:rich>
      </c:tx>
      <c:layout>
        <c:manualLayout>
          <c:xMode val="edge"/>
          <c:yMode val="edge"/>
          <c:x val="0.203741846893237"/>
          <c:y val="0.0727783452502554"/>
        </c:manualLayout>
      </c:layout>
      <c:overlay val="false"/>
      <c:spPr>
        <a:noFill/>
        <a:ln>
          <a:noFill/>
        </a:ln>
        <a:effectLst/>
      </c:spPr>
    </c:title>
    <c:autoTitleDeleted val="false"/>
    <c:plotArea>
      <c:layout>
        <c:manualLayout>
          <c:layoutTarget val="inner"/>
          <c:xMode val="edge"/>
          <c:yMode val="edge"/>
          <c:x val="0.0680741503604531"/>
          <c:y val="0.221399387129724"/>
          <c:w val="0.901029866117405"/>
          <c:h val="0.565730337078652"/>
        </c:manualLayout>
      </c:layout>
      <c:barChart>
        <c:barDir val="col"/>
        <c:grouping val="clustered"/>
        <c:varyColors val="false"/>
        <c:ser>
          <c:idx val="0"/>
          <c:order val="0"/>
          <c:tx>
            <c:strRef>
              <c:f>Sheet1!$A$2</c:f>
              <c:strCache>
                <c:ptCount val="1"/>
                <c:pt idx="0">
                  <c:v>一般公共预算财政拨款支出</c:v>
                </c:pt>
              </c:strCache>
            </c:strRef>
          </c:tx>
          <c:spPr>
            <a:solidFill>
              <a:schemeClr val="accent1">
                <a:alpha val="85000"/>
              </a:schemeClr>
            </a:solidFill>
            <a:ln w="9525" cap="flat" cmpd="sng" algn="ctr">
              <a:solidFill>
                <a:schemeClr val="lt1">
                  <a:alpha val="50000"/>
                </a:schemeClr>
              </a:solidFill>
              <a:round/>
            </a:ln>
            <a:effectLst/>
          </c:spPr>
          <c:invertIfNegative val="false"/>
          <c:dPt>
            <c:idx val="1"/>
            <c:invertIfNegative val="false"/>
            <c:bubble3D val="false"/>
            <c:spPr>
              <a:solidFill>
                <a:schemeClr val="accent6">
                  <a:lumMod val="75000"/>
                  <a:alpha val="85000"/>
                </a:schemeClr>
              </a:solidFill>
              <a:ln w="9525" cap="flat" cmpd="sng" algn="ctr">
                <a:solidFill>
                  <a:schemeClr val="lt1">
                    <a:alpha val="50000"/>
                  </a:schemeClr>
                </a:solidFill>
                <a:round/>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lt1"/>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Sheet1!$B$1:$C$1</c:f>
              <c:strCache>
                <c:ptCount val="2"/>
                <c:pt idx="0">
                  <c:v>2017年度</c:v>
                </c:pt>
                <c:pt idx="1">
                  <c:v>2018年度</c:v>
                </c:pt>
              </c:strCache>
            </c:strRef>
          </c:cat>
          <c:val>
            <c:numRef>
              <c:f>Sheet1!$B$2:$C$2</c:f>
              <c:numCache>
                <c:formatCode>General</c:formatCode>
                <c:ptCount val="2"/>
                <c:pt idx="0">
                  <c:v>1132.33</c:v>
                </c:pt>
                <c:pt idx="1">
                  <c:v>1142.3</c:v>
                </c:pt>
              </c:numCache>
            </c:numRef>
          </c:val>
        </c:ser>
        <c:dLbls>
          <c:showLegendKey val="false"/>
          <c:showVal val="true"/>
          <c:showCatName val="false"/>
          <c:showSerName val="false"/>
          <c:showPercent val="false"/>
          <c:showBubbleSize val="false"/>
        </c:dLbls>
        <c:gapWidth val="65"/>
        <c:overlap val="0"/>
        <c:axId val="821948717"/>
        <c:axId val="327339297"/>
      </c:barChart>
      <c:catAx>
        <c:axId val="821948717"/>
        <c:scaling>
          <c:orientation val="minMax"/>
        </c:scaling>
        <c:delete val="false"/>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true"/>
          <a:lstStyle/>
          <a:p>
            <a:pPr>
              <a:defRPr lang="zh-CN" sz="900" b="0" i="0" u="none" strike="noStrike" kern="1200" cap="all" baseline="0">
                <a:solidFill>
                  <a:schemeClr val="dk1">
                    <a:lumMod val="75000"/>
                    <a:lumOff val="25000"/>
                  </a:schemeClr>
                </a:solidFill>
                <a:latin typeface="+mn-lt"/>
                <a:ea typeface="+mn-ea"/>
                <a:cs typeface="+mn-cs"/>
              </a:defRPr>
            </a:pPr>
          </a:p>
        </c:txPr>
        <c:crossAx val="327339297"/>
        <c:crosses val="autoZero"/>
        <c:auto val="true"/>
        <c:lblAlgn val="ctr"/>
        <c:lblOffset val="100"/>
        <c:noMultiLvlLbl val="false"/>
      </c:catAx>
      <c:valAx>
        <c:axId val="327339297"/>
        <c:scaling>
          <c:orientation val="minMax"/>
        </c:scaling>
        <c:delete val="true"/>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a:effectLst/>
          </c:spPr>
        </c:majorGridlines>
        <c:numFmt formatCode="General" sourceLinked="true"/>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crossAx val="821948717"/>
        <c:crosses val="autoZero"/>
        <c:crossBetween val="between"/>
      </c:valAx>
      <c:spPr>
        <a:noFill/>
        <a:ln>
          <a:noFill/>
        </a:ln>
        <a:effectLst/>
      </c:spPr>
    </c:plotArea>
    <c:legend>
      <c:legendPos val="b"/>
      <c:layout>
        <c:manualLayout>
          <c:xMode val="edge"/>
          <c:yMode val="edge"/>
          <c:x val="0.338053553038105"/>
          <c:y val="0.8914708886619"/>
        </c:manualLayout>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no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2"/>
                </a:solidFill>
                <a:latin typeface="+mn-lt"/>
                <a:ea typeface="+mn-ea"/>
                <a:cs typeface="+mn-cs"/>
              </a:defRPr>
            </a:pPr>
            <a:r>
              <a:t>一般公共预算财政拨款支出                   </a:t>
            </a:r>
            <a:r>
              <a:rPr sz="800">
                <a:solidFill>
                  <a:schemeClr val="tx1"/>
                </a:solidFill>
                <a:uFillTx/>
              </a:rPr>
              <a:t>单位：万元</a:t>
            </a:r>
            <a:endParaRPr sz="800">
              <a:solidFill>
                <a:schemeClr val="tx1"/>
              </a:solidFill>
              <a:uFillTx/>
            </a:endParaRPr>
          </a:p>
        </c:rich>
      </c:tx>
      <c:layout>
        <c:manualLayout>
          <c:xMode val="edge"/>
          <c:yMode val="edge"/>
          <c:x val="0.285099685204617"/>
          <c:y val="0.0501672240802676"/>
        </c:manualLayout>
      </c:layout>
      <c:overlay val="false"/>
      <c:spPr>
        <a:noFill/>
        <a:ln>
          <a:noFill/>
        </a:ln>
        <a:effectLst/>
      </c:spPr>
    </c:title>
    <c:autoTitleDeleted val="false"/>
    <c:plotArea>
      <c:layout>
        <c:manualLayout>
          <c:layoutTarget val="inner"/>
          <c:xMode val="edge"/>
          <c:yMode val="edge"/>
          <c:x val="0.330115424973767"/>
          <c:y val="0.168126159006303"/>
          <c:w val="0.342812172088143"/>
          <c:h val="0.689385946402195"/>
        </c:manualLayout>
      </c:layout>
      <c:pieChart>
        <c:varyColors val="true"/>
        <c:ser>
          <c:idx val="0"/>
          <c:order val="0"/>
          <c:tx>
            <c:strRef>
              <c:f>Sheet1!$A$2</c:f>
              <c:strCache>
                <c:ptCount val="1"/>
                <c:pt idx="0">
                  <c:v>一般公共预算财政拨款支出</c:v>
                </c:pt>
              </c:strCache>
            </c:strRef>
          </c:tx>
          <c:spPr>
            <a:effectLst>
              <a:outerShdw blurRad="40000" dist="23000" dir="5400000" rotWithShape="0">
                <a:srgbClr val="000000">
                  <a:alpha val="35000"/>
                </a:srgbClr>
              </a:outerShdw>
            </a:effectLst>
          </c:spPr>
          <c:explosion val="0"/>
          <c:dPt>
            <c:idx val="0"/>
            <c:bubble3D val="false"/>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dPt>
          <c:dPt>
            <c:idx val="1"/>
            <c:bubble3D val="false"/>
            <c:spPr>
              <a:gradFill rotWithShape="true">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false"/>
              </a:gradFill>
              <a:ln>
                <a:noFill/>
              </a:ln>
              <a:effectLst>
                <a:outerShdw blurRad="40000" dist="23000" dir="5400000" rotWithShape="0">
                  <a:srgbClr val="000000">
                    <a:alpha val="35000"/>
                  </a:srgbClr>
                </a:outerShdw>
              </a:effectLst>
            </c:spPr>
          </c:dPt>
          <c:dPt>
            <c:idx val="2"/>
            <c:bubble3D val="false"/>
            <c:spPr>
              <a:gradFill rotWithShape="true">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false"/>
              </a:gradFill>
              <a:ln>
                <a:noFill/>
              </a:ln>
              <a:effectLst>
                <a:outerShdw blurRad="40000" dist="23000" dir="5400000" rotWithShape="0">
                  <a:srgbClr val="000000">
                    <a:alpha val="35000"/>
                  </a:srgbClr>
                </a:outerShdw>
              </a:effectLst>
            </c:spPr>
          </c:dPt>
          <c:dPt>
            <c:idx val="3"/>
            <c:bubble3D val="false"/>
            <c:spPr>
              <a:gradFill rotWithShape="true">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false"/>
              </a:gradFill>
              <a:ln>
                <a:noFill/>
              </a:ln>
              <a:effectLst>
                <a:outerShdw blurRad="40000" dist="23000" dir="5400000" rotWithShape="0">
                  <a:srgbClr val="000000">
                    <a:alpha val="35000"/>
                  </a:srgbClr>
                </a:outerShdw>
              </a:effectLst>
            </c:spPr>
          </c:dPt>
          <c:dPt>
            <c:idx val="4"/>
            <c:bubble3D val="false"/>
            <c:spPr>
              <a:gradFill rotWithShape="true">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false"/>
              </a:gradFill>
              <a:ln>
                <a:noFill/>
              </a:ln>
              <a:effectLst>
                <a:outerShdw blurRad="40000" dist="23000" dir="5400000" rotWithShape="0">
                  <a:srgbClr val="000000">
                    <a:alpha val="35000"/>
                  </a:srgbClr>
                </a:outerShdw>
              </a:effectLst>
            </c:spPr>
          </c:dPt>
          <c:dPt>
            <c:idx val="5"/>
            <c:bubble3D val="false"/>
            <c:spPr>
              <a:gradFill rotWithShape="true">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false"/>
              </a:gradFill>
              <a:ln>
                <a:noFill/>
              </a:ln>
              <a:effectLst>
                <a:outerShdw blurRad="40000" dist="23000" dir="5400000" rotWithShape="0">
                  <a:srgbClr val="000000">
                    <a:alpha val="35000"/>
                  </a:srgbClr>
                </a:outerShdw>
              </a:effectLst>
            </c:spPr>
          </c:dPt>
          <c:dPt>
            <c:idx val="6"/>
            <c:bubble3D val="false"/>
            <c:spPr>
              <a:gradFill rotWithShape="true">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false"/>
              </a:gradFill>
              <a:ln>
                <a:noFill/>
              </a:ln>
              <a:effectLst>
                <a:outerShdw blurRad="40000" dist="23000" dir="5400000" rotWithShape="0">
                  <a:srgbClr val="000000">
                    <a:alpha val="35000"/>
                  </a:srgbClr>
                </a:outerShdw>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Sheet1!$B$1:$H$1</c:f>
              <c:strCache>
                <c:ptCount val="7"/>
                <c:pt idx="0">
                  <c:v>一般公共服务支出</c:v>
                </c:pt>
                <c:pt idx="1">
                  <c:v>社会保障和就业支出</c:v>
                </c:pt>
                <c:pt idx="2">
                  <c:v>医疗卫生支出</c:v>
                </c:pt>
                <c:pt idx="3">
                  <c:v>住房保障支出</c:v>
                </c:pt>
                <c:pt idx="4">
                  <c:v>节能环保支出</c:v>
                </c:pt>
                <c:pt idx="5">
                  <c:v>城乡社区支出</c:v>
                </c:pt>
                <c:pt idx="6">
                  <c:v>农林水支出</c:v>
                </c:pt>
              </c:strCache>
            </c:strRef>
          </c:cat>
          <c:val>
            <c:numRef>
              <c:f>Sheet1!$B$2:$H$2</c:f>
              <c:numCache>
                <c:formatCode>General</c:formatCode>
                <c:ptCount val="7"/>
                <c:pt idx="0">
                  <c:v>485.96</c:v>
                </c:pt>
                <c:pt idx="1">
                  <c:v>66.92</c:v>
                </c:pt>
                <c:pt idx="2">
                  <c:v>24.52</c:v>
                </c:pt>
                <c:pt idx="3">
                  <c:v>25.82</c:v>
                </c:pt>
                <c:pt idx="4">
                  <c:v>5</c:v>
                </c:pt>
                <c:pt idx="5">
                  <c:v>150.13</c:v>
                </c:pt>
                <c:pt idx="6">
                  <c:v>383.95</c:v>
                </c:pt>
              </c:numCache>
            </c:numRef>
          </c:val>
        </c:ser>
        <c:dLbls>
          <c:showLegendKey val="false"/>
          <c:showVal val="false"/>
          <c:showCatName val="true"/>
          <c:showSerName val="false"/>
          <c:showPercent val="false"/>
          <c:showBubbleSize val="false"/>
          <c:showLeaderLines val="true"/>
        </c:dLbls>
        <c:firstSliceAng val="0"/>
      </c:pieChart>
      <c:spPr>
        <a:noFill/>
        <a:ln>
          <a:noFill/>
        </a:ln>
        <a:effectLst/>
      </c:spPr>
    </c:plotArea>
    <c:legend>
      <c:legendPos val="t"/>
      <c:layout>
        <c:manualLayout>
          <c:xMode val="edge"/>
          <c:yMode val="edge"/>
          <c:x val="0.141357959911848"/>
          <c:y val="0.836683417085427"/>
          <c:w val="0.779410221429321"/>
          <c:h val="0.156464138876199"/>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legend>
    <c:plotVisOnly val="true"/>
    <c:dispBlanksAs val="gap"/>
    <c:showDLblsOverMax val="false"/>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65000"/>
                    <a:lumOff val="35000"/>
                  </a:schemeClr>
                </a:solidFill>
                <a:latin typeface="+mn-lt"/>
                <a:ea typeface="+mn-ea"/>
                <a:cs typeface="+mn-cs"/>
              </a:defRPr>
            </a:pPr>
            <a:r>
              <a:rPr sz="1400">
                <a:solidFill>
                  <a:schemeClr val="tx1">
                    <a:lumMod val="65000"/>
                    <a:lumOff val="35000"/>
                  </a:schemeClr>
                </a:solidFill>
                <a:uFillTx/>
              </a:rPr>
              <a:t>“三公”经费财政拨款支出决算</a:t>
            </a:r>
            <a:r>
              <a:t>      </a:t>
            </a:r>
            <a:r>
              <a:rPr sz="800">
                <a:solidFill>
                  <a:schemeClr val="tx1"/>
                </a:solidFill>
              </a:rPr>
              <a:t>单位：</a:t>
            </a:r>
            <a:r>
              <a:rPr sz="800">
                <a:solidFill>
                  <a:schemeClr val="tx1"/>
                </a:solidFill>
                <a:uFillTx/>
              </a:rPr>
              <a:t>万元</a:t>
            </a:r>
            <a:endParaRPr sz="800">
              <a:solidFill>
                <a:schemeClr val="tx1"/>
              </a:solidFill>
              <a:uFillTx/>
            </a:endParaRPr>
          </a:p>
        </c:rich>
      </c:tx>
      <c:layout>
        <c:manualLayout>
          <c:xMode val="edge"/>
          <c:yMode val="edge"/>
          <c:x val="0.1875"/>
          <c:y val="0.0307613432453217"/>
        </c:manualLayout>
      </c:layout>
      <c:overlay val="false"/>
      <c:spPr>
        <a:noFill/>
        <a:ln>
          <a:noFill/>
        </a:ln>
        <a:effectLst/>
      </c:spPr>
    </c:title>
    <c:autoTitleDeleted val="false"/>
    <c:plotArea>
      <c:layout>
        <c:manualLayout>
          <c:layoutTarget val="inner"/>
          <c:xMode val="edge"/>
          <c:yMode val="edge"/>
          <c:x val="0.323088235294118"/>
          <c:y val="0.194821840553704"/>
          <c:w val="0.362647058823529"/>
          <c:h val="0.632145603691361"/>
        </c:manualLayout>
      </c:layout>
      <c:doughnutChart>
        <c:varyColors val="true"/>
        <c:ser>
          <c:idx val="0"/>
          <c:order val="0"/>
          <c:tx>
            <c:strRef>
              <c:f>Sheet1!$A$2</c:f>
              <c:strCache>
                <c:ptCount val="1"/>
                <c:pt idx="0">
                  <c:v>“三公”经费财政拨款支出决算</c:v>
                </c:pt>
              </c:strCache>
            </c:strRef>
          </c:tx>
          <c:spPr/>
          <c:explosion val="0"/>
          <c:dPt>
            <c:idx val="0"/>
            <c:bubble3D val="false"/>
            <c:spPr>
              <a:solidFill>
                <a:schemeClr val="accent1"/>
              </a:solidFill>
              <a:ln>
                <a:noFill/>
              </a:ln>
              <a:effectLst>
                <a:outerShdw blurRad="317500" algn="ctr" rotWithShape="0">
                  <a:prstClr val="black">
                    <a:alpha val="25000"/>
                  </a:prstClr>
                </a:outerShdw>
              </a:effectLst>
            </c:spPr>
          </c:dPt>
          <c:dPt>
            <c:idx val="1"/>
            <c:bubble3D val="false"/>
            <c:spPr>
              <a:solidFill>
                <a:schemeClr val="accent2"/>
              </a:solidFill>
              <a:ln>
                <a:noFill/>
              </a:ln>
              <a:effectLst>
                <a:outerShdw blurRad="317500" algn="ctr" rotWithShape="0">
                  <a:prstClr val="black">
                    <a:alpha val="25000"/>
                  </a:prstClr>
                </a:outerShdw>
              </a:effectLst>
            </c:spPr>
          </c:dPt>
          <c:dLbls>
            <c:dLbl>
              <c:idx val="0"/>
              <c:layout>
                <c:manualLayout>
                  <c:x val="0.134558823529412"/>
                  <c:y val="0.0346065111509869"/>
                </c:manualLayout>
              </c:layou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1"/>
              <c:layout>
                <c:manualLayout>
                  <c:x val="-0.147794117647059"/>
                  <c:y val="0.00384516790566521"/>
                </c:manualLayout>
              </c:layout>
              <c:tx>
                <c:rich>
                  <a:bodyPr rot="0" spcFirstLastPara="0" vertOverflow="ellipsis" vert="horz" wrap="square" lIns="38100" tIns="19050" rIns="38100" bIns="19050" anchor="ctr" anchorCtr="true"/>
                  <a:lstStyle/>
                  <a:p>
                    <a:pPr defTabSz="914400">
                      <a:defRPr lang="zh-CN" sz="900" b="1" i="0" u="none" strike="noStrike" kern="1200" cap="none" spc="0" normalizeH="0" baseline="0">
                        <a:solidFill>
                          <a:schemeClr val="accent1">
                            <a:lumMod val="75000"/>
                          </a:schemeClr>
                        </a:solidFill>
                        <a:uFill>
                          <a:solidFill>
                            <a:schemeClr val="bg1"/>
                          </a:solidFill>
                        </a:uFill>
                        <a:latin typeface="+mn-lt"/>
                        <a:ea typeface="+mn-ea"/>
                        <a:cs typeface="+mn-cs"/>
                      </a:defRPr>
                    </a:pPr>
                    <a:r>
                      <a:rPr>
                        <a:solidFill>
                          <a:schemeClr val="accent2">
                            <a:lumMod val="75000"/>
                          </a:schemeClr>
                        </a:solidFill>
                        <a:uFill>
                          <a:solidFill>
                            <a:schemeClr val="bg1"/>
                          </a:solidFill>
                        </a:uFill>
                      </a:rPr>
                      <a:t>公务接待费支出74%</a:t>
                    </a:r>
                    <a:endParaRPr>
                      <a:solidFill>
                        <a:schemeClr val="accent2">
                          <a:lumMod val="75000"/>
                        </a:schemeClr>
                      </a:solidFill>
                      <a:uFill>
                        <a:solidFill>
                          <a:schemeClr val="bg1"/>
                        </a:solidFill>
                      </a:uFill>
                    </a:endParaRPr>
                  </a:p>
                </c:rich>
              </c:tx>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1" i="0" u="none" strike="noStrike" kern="1200" cap="none" spc="0" normalizeH="0" baseline="0">
                    <a:solidFill>
                      <a:schemeClr val="accent1">
                        <a:lumMod val="75000"/>
                      </a:schemeClr>
                    </a:solidFill>
                    <a:uFill>
                      <a:solidFill>
                        <a:schemeClr val="bg1"/>
                      </a:solidFill>
                    </a:uFill>
                    <a:latin typeface="+mn-lt"/>
                    <a:ea typeface="+mn-ea"/>
                    <a:cs typeface="+mn-cs"/>
                  </a:defRPr>
                </a:pPr>
              </a:p>
            </c:txP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dk1">
                          <a:lumMod val="35000"/>
                          <a:lumOff val="65000"/>
                        </a:schemeClr>
                      </a:solidFill>
                      <a:round/>
                    </a:ln>
                    <a:effectLst/>
                  </c:spPr>
                </c15:leaderLines>
              </c:ext>
            </c:extLst>
          </c:dLbls>
          <c:cat>
            <c:strRef>
              <c:f>Sheet1!$B$1:$C$1</c:f>
              <c:strCache>
                <c:ptCount val="2"/>
                <c:pt idx="0">
                  <c:v>公务用车购置及运行维护费支出</c:v>
                </c:pt>
                <c:pt idx="1">
                  <c:v>公务接待费支出</c:v>
                </c:pt>
              </c:strCache>
            </c:strRef>
          </c:cat>
          <c:val>
            <c:numRef>
              <c:f>Sheet1!$B$2:$C$2</c:f>
              <c:numCache>
                <c:formatCode>General</c:formatCode>
                <c:ptCount val="2"/>
                <c:pt idx="0">
                  <c:v>2.95</c:v>
                </c:pt>
                <c:pt idx="1">
                  <c:v>8.5</c:v>
                </c:pt>
              </c:numCache>
            </c:numRef>
          </c:val>
        </c:ser>
        <c:dLbls>
          <c:showLegendKey val="false"/>
          <c:showVal val="false"/>
          <c:showCatName val="true"/>
          <c:showSerName val="false"/>
          <c:showPercent val="true"/>
          <c:showBubbleSize val="false"/>
          <c:showLeaderLines val="true"/>
        </c:dLbls>
        <c:firstSliceAng val="0"/>
        <c:holeSize val="70"/>
      </c:doughnutChart>
      <c:spPr>
        <a:noFill/>
        <a:ln>
          <a:noFill/>
        </a:ln>
        <a:effectLst/>
      </c:spPr>
    </c:plotArea>
    <c:legend>
      <c:legendPos val="b"/>
      <c:layout/>
      <c:overlay val="false"/>
      <c:spPr>
        <a:solidFill>
          <a:schemeClr val="lt1">
            <a:alpha val="78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65000"/>
                  <a:lumOff val="35000"/>
                </a:schemeClr>
              </a:solidFill>
              <a:latin typeface="+mn-lt"/>
              <a:ea typeface="+mn-ea"/>
              <a:cs typeface="+mn-cs"/>
            </a:defRPr>
          </a:pPr>
        </a:p>
      </c:txPr>
    </c:legend>
    <c:plotVisOnly val="true"/>
    <c:dispBlanksAs val="gap"/>
    <c:showDLblsOverMax val="false"/>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false"/>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false"/>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1441</Words>
  <Characters>8219</Characters>
  <Lines>68</Lines>
  <Paragraphs>19</Paragraphs>
  <TotalTime>1</TotalTime>
  <ScaleCrop>false</ScaleCrop>
  <LinksUpToDate>false</LinksUpToDate>
  <CharactersWithSpaces>9641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Administrator</dc:creator>
  <cp:lastModifiedBy>仁可女青</cp:lastModifiedBy>
  <cp:lastPrinted>2019-08-01T08:48:00Z</cp:lastPrinted>
  <dcterms:modified xsi:type="dcterms:W3CDTF">2022-02-24T16:22:17Z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4DE283E4C22041DA974B01537558C96B</vt:lpwstr>
  </property>
</Properties>
</file>