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7425"/>
      <w:bookmarkStart w:id="4" w:name="_Toc15378441"/>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77194"/>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w:t>
      </w:r>
      <w:r>
        <w:rPr>
          <w:rFonts w:hint="eastAsia" w:ascii="方正小标宋简体" w:hAnsi="宋体" w:eastAsia="方正小标宋简体"/>
          <w:color w:val="000000"/>
          <w:sz w:val="72"/>
          <w:szCs w:val="72"/>
          <w:lang w:val="en-US" w:eastAsia="zh-CN"/>
        </w:rPr>
        <w:t>东乡镇卫生院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
        </w:rPr>
        <w:t>我院现有在职职工</w:t>
      </w:r>
      <w:r>
        <w:rPr>
          <w:rFonts w:hint="eastAsia" w:ascii="仿宋" w:hAnsi="仿宋" w:eastAsia="仿宋" w:cs="仿宋"/>
          <w:sz w:val="32"/>
          <w:szCs w:val="32"/>
          <w:lang w:val="en-US" w:eastAsia="zh-CN"/>
        </w:rPr>
        <w:t>34</w:t>
      </w:r>
      <w:r>
        <w:rPr>
          <w:rFonts w:hint="eastAsia" w:ascii="仿宋" w:hAnsi="仿宋" w:eastAsia="仿宋" w:cs="仿宋"/>
          <w:sz w:val="32"/>
          <w:szCs w:val="32"/>
          <w:lang w:val="en"/>
        </w:rPr>
        <w:t>人（其中在编在岗人员</w:t>
      </w:r>
      <w:r>
        <w:rPr>
          <w:rFonts w:hint="eastAsia" w:ascii="仿宋" w:hAnsi="仿宋" w:eastAsia="仿宋" w:cs="仿宋"/>
          <w:sz w:val="32"/>
          <w:szCs w:val="32"/>
          <w:lang w:val="en-US" w:eastAsia="zh-CN"/>
        </w:rPr>
        <w:t>33</w:t>
      </w:r>
      <w:r>
        <w:rPr>
          <w:rFonts w:hint="eastAsia" w:ascii="仿宋" w:hAnsi="仿宋" w:eastAsia="仿宋" w:cs="仿宋"/>
          <w:sz w:val="32"/>
          <w:szCs w:val="32"/>
          <w:lang w:val="en"/>
        </w:rPr>
        <w:t>人，临聘人员</w:t>
      </w:r>
      <w:r>
        <w:rPr>
          <w:rFonts w:hint="eastAsia" w:ascii="仿宋" w:hAnsi="仿宋" w:eastAsia="仿宋" w:cs="仿宋"/>
          <w:sz w:val="32"/>
          <w:szCs w:val="32"/>
          <w:lang w:val="en-US" w:eastAsia="zh-CN"/>
        </w:rPr>
        <w:t>1</w:t>
      </w:r>
      <w:r>
        <w:rPr>
          <w:rFonts w:hint="eastAsia" w:ascii="仿宋" w:hAnsi="仿宋" w:eastAsia="仿宋" w:cs="仿宋"/>
          <w:sz w:val="32"/>
          <w:szCs w:val="32"/>
          <w:lang w:val="en"/>
        </w:rPr>
        <w:t>人），退休职工</w:t>
      </w:r>
      <w:r>
        <w:rPr>
          <w:rFonts w:hint="eastAsia" w:ascii="仿宋" w:hAnsi="仿宋" w:eastAsia="仿宋" w:cs="仿宋"/>
          <w:sz w:val="32"/>
          <w:szCs w:val="32"/>
          <w:lang w:val="en-US" w:eastAsia="zh-CN"/>
        </w:rPr>
        <w:t>17</w:t>
      </w:r>
      <w:r>
        <w:rPr>
          <w:rFonts w:hint="eastAsia" w:ascii="仿宋" w:hAnsi="仿宋" w:eastAsia="仿宋" w:cs="仿宋"/>
          <w:sz w:val="32"/>
          <w:szCs w:val="32"/>
          <w:lang w:val="en"/>
        </w:rPr>
        <w:t>人，遗嘱</w:t>
      </w:r>
      <w:r>
        <w:rPr>
          <w:rFonts w:hint="eastAsia" w:ascii="仿宋" w:hAnsi="仿宋" w:eastAsia="仿宋" w:cs="仿宋"/>
          <w:sz w:val="32"/>
          <w:szCs w:val="32"/>
          <w:lang w:val="en-US" w:eastAsia="zh-CN"/>
        </w:rPr>
        <w:t>2</w:t>
      </w:r>
      <w:r>
        <w:rPr>
          <w:rFonts w:hint="eastAsia" w:ascii="仿宋" w:hAnsi="仿宋" w:eastAsia="仿宋" w:cs="仿宋"/>
          <w:sz w:val="32"/>
          <w:szCs w:val="32"/>
          <w:lang w:val="en"/>
        </w:rPr>
        <w:t>人，实际开放病床</w:t>
      </w:r>
      <w:r>
        <w:rPr>
          <w:rFonts w:hint="eastAsia" w:ascii="仿宋" w:hAnsi="仿宋" w:eastAsia="仿宋" w:cs="仿宋"/>
          <w:sz w:val="32"/>
          <w:szCs w:val="32"/>
          <w:lang w:val="en-US" w:eastAsia="zh-CN"/>
        </w:rPr>
        <w:t>8</w:t>
      </w:r>
      <w:r>
        <w:rPr>
          <w:rFonts w:hint="eastAsia" w:ascii="仿宋" w:hAnsi="仿宋" w:eastAsia="仿宋" w:cs="仿宋"/>
          <w:sz w:val="32"/>
          <w:szCs w:val="32"/>
          <w:lang w:val="en"/>
        </w:rPr>
        <w:t>张。宣汉县</w:t>
      </w:r>
      <w:r>
        <w:rPr>
          <w:rFonts w:hint="eastAsia" w:ascii="仿宋" w:hAnsi="仿宋" w:eastAsia="仿宋" w:cs="仿宋"/>
          <w:sz w:val="32"/>
          <w:szCs w:val="32"/>
          <w:lang w:val="en" w:eastAsia="zh-CN"/>
        </w:rPr>
        <w:t>东乡镇</w:t>
      </w:r>
      <w:r>
        <w:rPr>
          <w:rFonts w:hint="eastAsia" w:ascii="仿宋" w:hAnsi="仿宋" w:eastAsia="仿宋" w:cs="仿宋"/>
          <w:sz w:val="32"/>
          <w:szCs w:val="32"/>
          <w:lang w:val="en"/>
        </w:rPr>
        <w:t>卫生院</w:t>
      </w:r>
      <w:r>
        <w:rPr>
          <w:rFonts w:hint="eastAsia" w:ascii="仿宋" w:hAnsi="仿宋" w:eastAsia="仿宋" w:cs="仿宋"/>
          <w:sz w:val="32"/>
          <w:szCs w:val="32"/>
          <w:lang w:val="en" w:eastAsia="zh-CN"/>
        </w:rPr>
        <w:t>地处县城城郊结合部，管理东乡镇辖区农村人口的基本医疗、基本公共卫生服务、</w:t>
      </w:r>
      <w:r>
        <w:rPr>
          <w:rFonts w:hint="eastAsia" w:ascii="仿宋" w:hAnsi="仿宋" w:eastAsia="仿宋" w:cs="仿宋"/>
          <w:sz w:val="32"/>
          <w:szCs w:val="32"/>
        </w:rPr>
        <w:t>预防保健</w:t>
      </w:r>
      <w:r>
        <w:rPr>
          <w:rFonts w:hint="eastAsia" w:ascii="仿宋" w:hAnsi="仿宋" w:eastAsia="仿宋" w:cs="仿宋"/>
          <w:sz w:val="32"/>
          <w:szCs w:val="32"/>
          <w:lang w:val="en" w:eastAsia="zh-CN"/>
        </w:rPr>
        <w:t>工作；</w:t>
      </w:r>
      <w:r>
        <w:rPr>
          <w:rFonts w:hint="eastAsia" w:ascii="仿宋" w:hAnsi="仿宋" w:eastAsia="仿宋" w:cs="仿宋"/>
          <w:sz w:val="32"/>
          <w:szCs w:val="32"/>
        </w:rPr>
        <w:t>是一所融基本医疗、基本公共卫生服务、预防保健于一体的</w:t>
      </w:r>
      <w:r>
        <w:rPr>
          <w:rFonts w:hint="eastAsia" w:ascii="仿宋" w:hAnsi="仿宋" w:eastAsia="仿宋" w:cs="仿宋"/>
          <w:sz w:val="32"/>
          <w:szCs w:val="32"/>
          <w:lang w:eastAsia="zh-CN"/>
        </w:rPr>
        <w:t>乡镇</w:t>
      </w:r>
      <w:r>
        <w:rPr>
          <w:rFonts w:hint="eastAsia" w:ascii="仿宋" w:hAnsi="仿宋" w:eastAsia="仿宋" w:cs="仿宋"/>
          <w:sz w:val="32"/>
          <w:szCs w:val="32"/>
        </w:rPr>
        <w:t>卫生院，也</w:t>
      </w:r>
      <w:r>
        <w:rPr>
          <w:rFonts w:hint="eastAsia" w:ascii="仿宋" w:hAnsi="仿宋" w:eastAsia="仿宋" w:cs="仿宋"/>
          <w:sz w:val="32"/>
          <w:szCs w:val="32"/>
          <w:lang w:val="en"/>
        </w:rPr>
        <w:t>是城镇职工、居民、参</w:t>
      </w:r>
      <w:r>
        <w:rPr>
          <w:rFonts w:hint="eastAsia" w:ascii="仿宋" w:hAnsi="仿宋" w:eastAsia="仿宋" w:cs="仿宋"/>
          <w:sz w:val="32"/>
          <w:szCs w:val="32"/>
          <w:lang w:val="en" w:eastAsia="zh-CN"/>
        </w:rPr>
        <w:t>合</w:t>
      </w:r>
      <w:r>
        <w:rPr>
          <w:rFonts w:hint="eastAsia" w:ascii="仿宋" w:hAnsi="仿宋" w:eastAsia="仿宋" w:cs="仿宋"/>
          <w:sz w:val="32"/>
          <w:szCs w:val="32"/>
          <w:lang w:val="en"/>
        </w:rPr>
        <w:t>农民医保定点医院。</w:t>
      </w:r>
      <w:r>
        <w:rPr>
          <w:rFonts w:hint="eastAsia" w:ascii="仿宋" w:hAnsi="仿宋" w:eastAsia="仿宋" w:cs="仿宋"/>
          <w:sz w:val="32"/>
          <w:szCs w:val="32"/>
        </w:rPr>
        <w:t>全镇总人口</w:t>
      </w:r>
      <w:r>
        <w:rPr>
          <w:rFonts w:hint="eastAsia" w:ascii="仿宋" w:hAnsi="仿宋" w:eastAsia="仿宋" w:cs="仿宋"/>
          <w:sz w:val="32"/>
          <w:szCs w:val="32"/>
          <w:lang w:val="en-US" w:eastAsia="zh-CN"/>
        </w:rPr>
        <w:t>15.8985</w:t>
      </w:r>
      <w:r>
        <w:rPr>
          <w:rFonts w:hint="eastAsia" w:ascii="仿宋" w:hAnsi="仿宋" w:eastAsia="仿宋" w:cs="仿宋"/>
          <w:sz w:val="32"/>
          <w:szCs w:val="32"/>
        </w:rPr>
        <w:t>万人</w:t>
      </w:r>
      <w:r>
        <w:rPr>
          <w:rFonts w:hint="eastAsia" w:ascii="仿宋" w:hAnsi="仿宋" w:eastAsia="仿宋" w:cs="仿宋"/>
          <w:sz w:val="32"/>
          <w:szCs w:val="32"/>
          <w:lang w:eastAsia="zh-CN"/>
        </w:rPr>
        <w:t>（其中农业人口</w:t>
      </w:r>
      <w:r>
        <w:rPr>
          <w:rFonts w:hint="eastAsia" w:ascii="仿宋" w:hAnsi="仿宋" w:eastAsia="仿宋" w:cs="仿宋"/>
          <w:sz w:val="32"/>
          <w:szCs w:val="32"/>
          <w:lang w:val="en-US" w:eastAsia="zh-CN"/>
        </w:rPr>
        <w:t>4.4836万人</w:t>
      </w:r>
      <w:r>
        <w:rPr>
          <w:rFonts w:hint="eastAsia" w:ascii="仿宋" w:hAnsi="仿宋" w:eastAsia="仿宋" w:cs="仿宋"/>
          <w:sz w:val="32"/>
          <w:szCs w:val="32"/>
          <w:lang w:eastAsia="zh-CN"/>
        </w:rPr>
        <w:t>）</w:t>
      </w:r>
      <w:r>
        <w:rPr>
          <w:rFonts w:hint="eastAsia" w:ascii="仿宋" w:hAnsi="仿宋" w:eastAsia="仿宋" w:cs="仿宋"/>
          <w:sz w:val="32"/>
          <w:szCs w:val="32"/>
        </w:rPr>
        <w:t>，财政基本公共卫生计算服务人口</w:t>
      </w:r>
      <w:r>
        <w:rPr>
          <w:rFonts w:hint="eastAsia" w:ascii="仿宋" w:hAnsi="仿宋" w:eastAsia="仿宋" w:cs="仿宋"/>
          <w:sz w:val="32"/>
          <w:szCs w:val="32"/>
          <w:lang w:val="en-US" w:eastAsia="zh-CN"/>
        </w:rPr>
        <w:t>36847</w:t>
      </w:r>
      <w:r>
        <w:rPr>
          <w:rFonts w:hint="eastAsia" w:ascii="仿宋" w:hAnsi="仿宋" w:eastAsia="仿宋" w:cs="仿宋"/>
          <w:sz w:val="32"/>
          <w:szCs w:val="32"/>
        </w:rPr>
        <w:t>人，</w:t>
      </w:r>
      <w:r>
        <w:rPr>
          <w:rFonts w:hint="eastAsia" w:ascii="仿宋" w:hAnsi="仿宋" w:eastAsia="仿宋" w:cs="仿宋"/>
          <w:sz w:val="32"/>
          <w:szCs w:val="32"/>
          <w:lang w:val="en"/>
        </w:rPr>
        <w:t>辖区共设</w:t>
      </w:r>
      <w:r>
        <w:rPr>
          <w:rFonts w:hint="eastAsia" w:ascii="仿宋" w:hAnsi="仿宋" w:eastAsia="仿宋" w:cs="仿宋"/>
          <w:sz w:val="32"/>
          <w:szCs w:val="32"/>
          <w:lang w:val="en-US" w:eastAsia="zh-CN"/>
        </w:rPr>
        <w:t>14</w:t>
      </w:r>
      <w:r>
        <w:rPr>
          <w:rFonts w:hint="eastAsia" w:ascii="仿宋" w:hAnsi="仿宋" w:eastAsia="仿宋" w:cs="仿宋"/>
          <w:sz w:val="32"/>
          <w:szCs w:val="32"/>
        </w:rPr>
        <w:t>个村</w:t>
      </w:r>
      <w:r>
        <w:rPr>
          <w:rFonts w:hint="eastAsia" w:ascii="仿宋" w:hAnsi="仿宋" w:eastAsia="仿宋" w:cs="仿宋"/>
          <w:sz w:val="32"/>
          <w:szCs w:val="32"/>
          <w:lang w:val="en-US" w:eastAsia="zh-CN"/>
        </w:rPr>
        <w:t>23个</w:t>
      </w:r>
      <w:r>
        <w:rPr>
          <w:rFonts w:hint="eastAsia" w:ascii="仿宋" w:hAnsi="仿宋" w:eastAsia="仿宋" w:cs="仿宋"/>
          <w:sz w:val="32"/>
          <w:szCs w:val="32"/>
        </w:rPr>
        <w:t>卫生室</w:t>
      </w:r>
      <w:r>
        <w:rPr>
          <w:rFonts w:hint="eastAsia" w:ascii="仿宋" w:hAnsi="仿宋" w:eastAsia="仿宋" w:cs="仿宋"/>
          <w:sz w:val="32"/>
          <w:szCs w:val="32"/>
          <w:lang w:eastAsia="zh-CN"/>
        </w:rPr>
        <w:t>，乡村医生</w:t>
      </w:r>
      <w:r>
        <w:rPr>
          <w:rFonts w:hint="eastAsia" w:ascii="仿宋" w:hAnsi="仿宋" w:eastAsia="仿宋" w:cs="仿宋"/>
          <w:sz w:val="32"/>
          <w:szCs w:val="32"/>
          <w:lang w:val="en-US" w:eastAsia="zh-CN"/>
        </w:rPr>
        <w:t>70余人</w:t>
      </w:r>
      <w:r>
        <w:rPr>
          <w:rFonts w:hint="eastAsia" w:ascii="仿宋" w:hAnsi="仿宋" w:eastAsia="仿宋" w:cs="仿宋"/>
          <w:sz w:val="32"/>
          <w:szCs w:val="32"/>
        </w:rPr>
        <w:t>。为人民身体提供医疗与保健服务，医疗与护理．</w:t>
      </w:r>
      <w:bookmarkStart w:id="18" w:name="_Toc15378446"/>
      <w:bookmarkStart w:id="19" w:name="_Toc15377199"/>
    </w:p>
    <w:p>
      <w:pPr>
        <w:pStyle w:val="5"/>
        <w:adjustRightInd w:val="0"/>
        <w:snapToGrid w:val="0"/>
        <w:spacing w:line="600" w:lineRule="exact"/>
        <w:ind w:firstLine="672" w:firstLineChars="210"/>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adjustRightInd w:val="0"/>
        <w:snapToGrid w:val="0"/>
        <w:spacing w:line="600" w:lineRule="exact"/>
        <w:ind w:firstLine="672" w:firstLineChars="210"/>
        <w:rPr>
          <w:rFonts w:hint="eastAsia" w:ascii="仿宋" w:hAnsi="仿宋" w:eastAsia="仿宋" w:cs="仿宋"/>
          <w:b w:val="0"/>
          <w:bCs/>
          <w:sz w:val="32"/>
          <w:szCs w:val="32"/>
          <w:lang w:eastAsia="zh-CN"/>
        </w:rPr>
      </w:pPr>
      <w:r>
        <w:rPr>
          <w:rFonts w:hint="eastAsia" w:ascii="仿宋" w:hAnsi="仿宋" w:eastAsia="仿宋" w:cs="仿宋"/>
          <w:sz w:val="32"/>
          <w:szCs w:val="32"/>
        </w:rPr>
        <w:t>一是按照县卫计局要求以“家庭医生”签约服务为契机全面推进基本公共卫生服务工作。二是狠抓医疗服务质量和安全。三是以认真学习领会中央</w:t>
      </w:r>
      <w:bookmarkStart w:id="76" w:name="_GoBack"/>
      <w:bookmarkEnd w:id="76"/>
      <w:r>
        <w:rPr>
          <w:rFonts w:hint="eastAsia" w:ascii="仿宋" w:hAnsi="仿宋" w:eastAsia="仿宋" w:cs="仿宋"/>
          <w:sz w:val="32"/>
          <w:szCs w:val="32"/>
        </w:rPr>
        <w:t>八项规定，规范医疗行为，提升医疗队伍的业务素质能力，忠实践行“全心全意为人民服务”的宗旨</w:t>
      </w:r>
      <w:r>
        <w:rPr>
          <w:rFonts w:hint="eastAsia" w:ascii="仿宋" w:hAnsi="仿宋" w:eastAsia="仿宋" w:cs="仿宋"/>
          <w:sz w:val="32"/>
          <w:szCs w:val="32"/>
          <w:lang w:eastAsia="zh-CN"/>
        </w:rPr>
        <w:t>，四是实施</w:t>
      </w:r>
      <w:r>
        <w:rPr>
          <w:rFonts w:hint="eastAsia" w:ascii="仿宋" w:hAnsi="仿宋" w:eastAsia="仿宋" w:cs="仿宋"/>
          <w:b w:val="0"/>
          <w:i w:val="0"/>
          <w:caps w:val="0"/>
          <w:color w:val="333333"/>
          <w:spacing w:val="0"/>
          <w:sz w:val="32"/>
          <w:szCs w:val="32"/>
          <w:shd w:val="clear" w:color="auto" w:fill="FFFFFF"/>
          <w:lang w:eastAsia="zh-CN"/>
        </w:rPr>
        <w:t>宣汉县东乡镇卫生院基础设施建设</w:t>
      </w:r>
      <w:r>
        <w:rPr>
          <w:rFonts w:hint="eastAsia" w:ascii="仿宋" w:hAnsi="仿宋" w:eastAsia="仿宋" w:cs="仿宋"/>
          <w:b w:val="0"/>
          <w:i w:val="0"/>
          <w:caps w:val="0"/>
          <w:color w:val="333333"/>
          <w:spacing w:val="0"/>
          <w:sz w:val="32"/>
          <w:szCs w:val="32"/>
          <w:shd w:val="clear" w:color="auto" w:fill="FFFFFF"/>
        </w:rPr>
        <w:t>项目，建设位置位</w:t>
      </w:r>
      <w:r>
        <w:rPr>
          <w:rFonts w:hint="eastAsia" w:ascii="仿宋" w:hAnsi="仿宋" w:eastAsia="仿宋" w:cs="仿宋"/>
          <w:b w:val="0"/>
          <w:i w:val="0"/>
          <w:caps w:val="0"/>
          <w:color w:val="333333"/>
          <w:spacing w:val="0"/>
          <w:sz w:val="32"/>
          <w:szCs w:val="32"/>
          <w:shd w:val="clear" w:color="auto" w:fill="FFFFFF"/>
          <w:lang w:eastAsia="zh-CN"/>
        </w:rPr>
        <w:t>于</w:t>
      </w:r>
      <w:r>
        <w:rPr>
          <w:rFonts w:hint="eastAsia" w:ascii="仿宋" w:hAnsi="仿宋" w:eastAsia="仿宋" w:cs="仿宋"/>
          <w:sz w:val="32"/>
          <w:szCs w:val="32"/>
        </w:rPr>
        <w:t>宣汉县</w:t>
      </w:r>
      <w:r>
        <w:rPr>
          <w:rFonts w:hint="eastAsia" w:ascii="仿宋" w:hAnsi="仿宋" w:eastAsia="仿宋" w:cs="仿宋"/>
          <w:sz w:val="32"/>
          <w:szCs w:val="32"/>
          <w:lang w:eastAsia="zh-CN"/>
        </w:rPr>
        <w:t>东乡镇原敬老院</w:t>
      </w:r>
      <w:r>
        <w:rPr>
          <w:rFonts w:hint="eastAsia" w:ascii="仿宋" w:hAnsi="仿宋" w:eastAsia="仿宋" w:cs="仿宋"/>
          <w:sz w:val="32"/>
          <w:szCs w:val="32"/>
        </w:rPr>
        <w:t>院内</w:t>
      </w:r>
      <w:r>
        <w:rPr>
          <w:rFonts w:hint="eastAsia" w:ascii="仿宋" w:hAnsi="仿宋" w:eastAsia="仿宋" w:cs="仿宋"/>
          <w:sz w:val="32"/>
          <w:szCs w:val="32"/>
          <w:lang w:val="en-US" w:eastAsia="zh-CN"/>
        </w:rPr>
        <w:t>,</w:t>
      </w:r>
      <w:r>
        <w:rPr>
          <w:rFonts w:hint="eastAsia" w:ascii="仿宋" w:hAnsi="仿宋" w:eastAsia="仿宋" w:cs="仿宋"/>
          <w:sz w:val="32"/>
          <w:szCs w:val="32"/>
        </w:rPr>
        <w:t>于201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日经宣发改综【201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21</w:t>
      </w:r>
      <w:r>
        <w:rPr>
          <w:rFonts w:hint="eastAsia" w:ascii="仿宋" w:hAnsi="仿宋" w:eastAsia="仿宋" w:cs="仿宋"/>
          <w:sz w:val="32"/>
          <w:szCs w:val="32"/>
        </w:rPr>
        <w:t>号文件</w:t>
      </w:r>
      <w:r>
        <w:rPr>
          <w:rFonts w:hint="eastAsia" w:ascii="仿宋" w:hAnsi="仿宋" w:eastAsia="仿宋" w:cs="仿宋"/>
          <w:sz w:val="32"/>
          <w:szCs w:val="32"/>
          <w:lang w:eastAsia="zh-CN"/>
        </w:rPr>
        <w:t>由新建业务用房</w:t>
      </w:r>
      <w:r>
        <w:rPr>
          <w:rFonts w:hint="eastAsia" w:ascii="仿宋" w:hAnsi="仿宋" w:eastAsia="仿宋" w:cs="仿宋"/>
          <w:sz w:val="32"/>
          <w:szCs w:val="32"/>
          <w:lang w:val="en-US" w:eastAsia="zh-CN"/>
        </w:rPr>
        <w:t>400平方米调整为改建业务用房1050平方米及污水治理、院区环境改造等辅助设施建设</w:t>
      </w:r>
      <w:r>
        <w:rPr>
          <w:rFonts w:hint="eastAsia" w:ascii="仿宋" w:hAnsi="仿宋" w:eastAsia="仿宋" w:cs="仿宋"/>
          <w:sz w:val="32"/>
          <w:szCs w:val="32"/>
          <w:lang w:eastAsia="zh-CN"/>
        </w:rPr>
        <w:t>项目，工程竣工于</w:t>
      </w:r>
      <w:r>
        <w:rPr>
          <w:rFonts w:hint="eastAsia" w:ascii="仿宋" w:hAnsi="仿宋" w:eastAsia="仿宋" w:cs="仿宋"/>
          <w:sz w:val="32"/>
          <w:szCs w:val="32"/>
          <w:lang w:val="en-US" w:eastAsia="zh-CN"/>
        </w:rPr>
        <w:t>5月8日验收合格，8月1日医院整体从原东乡镇中心服务站搬入，医疗环境大大提高</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年我院诊疗人次</w:t>
      </w:r>
      <w:r>
        <w:rPr>
          <w:rFonts w:hint="eastAsia" w:ascii="仿宋" w:hAnsi="仿宋" w:eastAsia="仿宋" w:cs="仿宋"/>
          <w:sz w:val="32"/>
          <w:szCs w:val="32"/>
          <w:lang w:val="en-US" w:eastAsia="zh-CN"/>
        </w:rPr>
        <w:t>24234</w:t>
      </w:r>
      <w:r>
        <w:rPr>
          <w:rFonts w:hint="eastAsia" w:ascii="仿宋" w:hAnsi="仿宋" w:eastAsia="仿宋" w:cs="仿宋"/>
          <w:sz w:val="32"/>
          <w:szCs w:val="32"/>
        </w:rPr>
        <w:t>人次，收治住院病人</w:t>
      </w:r>
      <w:r>
        <w:rPr>
          <w:rFonts w:hint="eastAsia" w:ascii="仿宋" w:hAnsi="仿宋" w:eastAsia="仿宋" w:cs="仿宋"/>
          <w:sz w:val="32"/>
          <w:szCs w:val="32"/>
          <w:lang w:val="en-US" w:eastAsia="zh-CN"/>
        </w:rPr>
        <w:t>5</w:t>
      </w:r>
      <w:r>
        <w:rPr>
          <w:rFonts w:hint="eastAsia" w:ascii="仿宋" w:hAnsi="仿宋" w:eastAsia="仿宋" w:cs="仿宋"/>
          <w:sz w:val="32"/>
          <w:szCs w:val="32"/>
        </w:rPr>
        <w:t>人次，实现医疗收入</w:t>
      </w:r>
      <w:r>
        <w:rPr>
          <w:rFonts w:hint="eastAsia" w:ascii="仿宋" w:hAnsi="仿宋" w:eastAsia="仿宋" w:cs="仿宋"/>
          <w:sz w:val="32"/>
          <w:szCs w:val="32"/>
          <w:lang w:val="en-US" w:eastAsia="zh-CN"/>
        </w:rPr>
        <w:t>113.61万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ind w:firstLine="640" w:firstLineChars="200"/>
        <w:rPr>
          <w:rFonts w:ascii="仿宋" w:hAnsi="仿宋" w:eastAsia="仿宋"/>
          <w:bCs/>
          <w:color w:val="000000"/>
          <w:sz w:val="32"/>
          <w:szCs w:val="32"/>
        </w:rPr>
      </w:pP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numPr>
          <w:ilvl w:val="0"/>
          <w:numId w:val="0"/>
        </w:numPr>
        <w:spacing w:line="600" w:lineRule="exact"/>
        <w:ind w:firstLine="640" w:firstLineChars="200"/>
        <w:rPr>
          <w:rFonts w:hint="eastAsia" w:ascii="仿宋" w:hAnsi="仿宋" w:eastAsia="仿宋" w:cs="仿宋"/>
          <w:color w:val="000000"/>
          <w:sz w:val="32"/>
          <w:szCs w:val="32"/>
        </w:rPr>
      </w:pPr>
      <w:bookmarkStart w:id="22" w:name="_Toc15377204"/>
      <w:bookmarkStart w:id="23" w:name="_Toc15396602"/>
      <w:r>
        <w:rPr>
          <w:rFonts w:hint="eastAsia" w:ascii="仿宋" w:hAnsi="仿宋" w:eastAsia="仿宋" w:cs="仿宋"/>
          <w:color w:val="000000"/>
          <w:sz w:val="32"/>
          <w:szCs w:val="32"/>
          <w:lang w:eastAsia="zh-CN"/>
        </w:rPr>
        <w:t>东乡镇生院属于一级预算单位，无下级预算单位。</w:t>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379.54万元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379.54</w:t>
      </w:r>
      <w:r>
        <w:rPr>
          <w:rFonts w:hint="eastAsia" w:ascii="仿宋" w:hAnsi="仿宋" w:eastAsia="仿宋"/>
          <w:color w:val="000000"/>
          <w:sz w:val="32"/>
          <w:szCs w:val="32"/>
        </w:rPr>
        <w:t>万元。与2017年相比，收</w:t>
      </w:r>
      <w:r>
        <w:rPr>
          <w:rFonts w:hint="eastAsia" w:ascii="仿宋" w:hAnsi="仿宋" w:eastAsia="仿宋"/>
          <w:color w:val="000000"/>
          <w:sz w:val="32"/>
          <w:szCs w:val="32"/>
          <w:lang w:eastAsia="zh-CN"/>
        </w:rPr>
        <w:t>入</w:t>
      </w:r>
      <w:r>
        <w:rPr>
          <w:rFonts w:hint="eastAsia" w:ascii="仿宋" w:hAnsi="仿宋" w:eastAsia="仿宋" w:cs="仿宋"/>
          <w:color w:val="000000"/>
          <w:sz w:val="32"/>
          <w:szCs w:val="32"/>
          <w:lang w:val="en-US" w:eastAsia="zh-CN"/>
        </w:rPr>
        <w:t>524.94万元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s="仿宋"/>
          <w:color w:val="000000"/>
          <w:sz w:val="32"/>
          <w:szCs w:val="32"/>
          <w:lang w:val="en-US" w:eastAsia="zh-CN"/>
        </w:rPr>
        <w:t>498.71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olor w:val="000000"/>
          <w:sz w:val="32"/>
          <w:szCs w:val="32"/>
          <w:lang w:eastAsia="zh-CN"/>
        </w:rPr>
        <w:t>分别</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145.4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119.17万元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27.69%，23.89</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w:t>
      </w:r>
      <w:r>
        <w:rPr>
          <w:rFonts w:hint="eastAsia" w:ascii="仿宋" w:hAnsi="仿宋" w:eastAsia="仿宋"/>
          <w:color w:val="000000"/>
          <w:sz w:val="32"/>
          <w:szCs w:val="32"/>
          <w:lang w:eastAsia="zh-CN"/>
        </w:rPr>
        <w:t>减少和医疗业务收入下降所致。</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r>
        <w:rPr>
          <w:rFonts w:hint="eastAsia" w:ascii="黑体" w:hAnsi="黑体" w:eastAsia="黑体"/>
          <w:color w:val="000000"/>
          <w:sz w:val="32"/>
          <w:szCs w:val="32"/>
          <w:lang w:eastAsia="zh-CN"/>
        </w:rPr>
        <w:drawing>
          <wp:anchor distT="0" distB="0" distL="114300" distR="114300" simplePos="0" relativeHeight="251658240" behindDoc="0" locked="0" layoutInCell="1" allowOverlap="1">
            <wp:simplePos x="0" y="0"/>
            <wp:positionH relativeFrom="column">
              <wp:posOffset>204470</wp:posOffset>
            </wp:positionH>
            <wp:positionV relativeFrom="paragraph">
              <wp:posOffset>-8457565</wp:posOffset>
            </wp:positionV>
            <wp:extent cx="4794250" cy="3231515"/>
            <wp:effectExtent l="4445" t="4445" r="20955"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379.54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264.79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69.77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113.61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29.93</w:t>
      </w:r>
      <w:r>
        <w:rPr>
          <w:rFonts w:ascii="仿宋" w:hAnsi="仿宋" w:eastAsia="仿宋"/>
          <w:color w:val="000000"/>
          <w:sz w:val="32"/>
          <w:szCs w:val="32"/>
        </w:rPr>
        <w:t>%</w:t>
      </w:r>
      <w:r>
        <w:rPr>
          <w:rFonts w:hint="eastAsia" w:ascii="仿宋" w:hAnsi="仿宋" w:eastAsia="仿宋"/>
          <w:color w:val="000000"/>
          <w:sz w:val="32"/>
          <w:szCs w:val="32"/>
        </w:rPr>
        <w:t>；经营收入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0288" behindDoc="0" locked="0" layoutInCell="1" allowOverlap="1">
            <wp:simplePos x="0" y="0"/>
            <wp:positionH relativeFrom="column">
              <wp:posOffset>640080</wp:posOffset>
            </wp:positionH>
            <wp:positionV relativeFrom="paragraph">
              <wp:posOffset>1031240</wp:posOffset>
            </wp:positionV>
            <wp:extent cx="4167505" cy="2475230"/>
            <wp:effectExtent l="4445" t="4445" r="19050"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379.54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374.54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98.68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1.32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；经营支出</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r>
        <w:rPr>
          <w:rFonts w:hint="eastAsia" w:ascii="黑体" w:hAnsi="黑体" w:eastAsia="黑体"/>
          <w:color w:val="000000"/>
          <w:sz w:val="32"/>
          <w:szCs w:val="32"/>
        </w:rPr>
        <w:drawing>
          <wp:anchor distT="0" distB="0" distL="114300" distR="114300" simplePos="0" relativeHeight="251664384" behindDoc="0" locked="0" layoutInCell="1" allowOverlap="1">
            <wp:simplePos x="0" y="0"/>
            <wp:positionH relativeFrom="column">
              <wp:posOffset>601980</wp:posOffset>
            </wp:positionH>
            <wp:positionV relativeFrom="paragraph">
              <wp:posOffset>245745</wp:posOffset>
            </wp:positionV>
            <wp:extent cx="4281805" cy="2096135"/>
            <wp:effectExtent l="4445" t="4445" r="19050" b="1397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264.79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125.61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32.17</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w:t>
      </w:r>
      <w:r>
        <w:rPr>
          <w:rFonts w:hint="eastAsia" w:ascii="仿宋" w:hAnsi="仿宋" w:eastAsia="仿宋"/>
          <w:color w:val="000000"/>
          <w:sz w:val="32"/>
          <w:szCs w:val="32"/>
          <w:lang w:eastAsia="zh-CN"/>
        </w:rPr>
        <w:t>减少所致。</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黑体" w:hAnsi="黑体" w:eastAsia="黑体"/>
          <w:color w:val="000000"/>
          <w:sz w:val="32"/>
          <w:szCs w:val="32"/>
          <w:lang w:eastAsia="zh-CN"/>
        </w:rPr>
        <w:drawing>
          <wp:anchor distT="0" distB="0" distL="114300" distR="114300" simplePos="0" relativeHeight="251669504" behindDoc="0" locked="0" layoutInCell="1" allowOverlap="1">
            <wp:simplePos x="0" y="0"/>
            <wp:positionH relativeFrom="column">
              <wp:posOffset>109220</wp:posOffset>
            </wp:positionH>
            <wp:positionV relativeFrom="paragraph">
              <wp:posOffset>-8295005</wp:posOffset>
            </wp:positionV>
            <wp:extent cx="4784725" cy="2755265"/>
            <wp:effectExtent l="4445" t="5080" r="11430" b="2095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264.79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69.77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125.61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32.17</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w:t>
      </w:r>
      <w:r>
        <w:rPr>
          <w:rFonts w:hint="eastAsia" w:ascii="仿宋" w:hAnsi="仿宋" w:eastAsia="仿宋"/>
          <w:color w:val="000000"/>
          <w:sz w:val="32"/>
          <w:szCs w:val="32"/>
          <w:lang w:eastAsia="zh-CN"/>
        </w:rPr>
        <w:t>减少所致</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黑体" w:hAnsi="黑体" w:eastAsia="黑体"/>
          <w:color w:val="000000"/>
          <w:sz w:val="32"/>
          <w:szCs w:val="32"/>
          <w:lang w:eastAsia="zh-CN"/>
        </w:rPr>
        <w:drawing>
          <wp:anchor distT="0" distB="0" distL="114300" distR="114300" simplePos="0" relativeHeight="251679744" behindDoc="0" locked="0" layoutInCell="1" allowOverlap="1">
            <wp:simplePos x="0" y="0"/>
            <wp:positionH relativeFrom="column">
              <wp:posOffset>641985</wp:posOffset>
            </wp:positionH>
            <wp:positionV relativeFrom="paragraph">
              <wp:posOffset>1905</wp:posOffset>
            </wp:positionV>
            <wp:extent cx="4261485" cy="1607185"/>
            <wp:effectExtent l="4445" t="4445" r="20320" b="762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264.79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5.62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259.17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97.87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91008" behindDoc="0" locked="0" layoutInCell="1" allowOverlap="1">
            <wp:simplePos x="0" y="0"/>
            <wp:positionH relativeFrom="column">
              <wp:posOffset>537845</wp:posOffset>
            </wp:positionH>
            <wp:positionV relativeFrom="paragraph">
              <wp:posOffset>127635</wp:posOffset>
            </wp:positionV>
            <wp:extent cx="4709795" cy="2572385"/>
            <wp:effectExtent l="4445" t="4445" r="1016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264.79</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5.62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2.13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259.17</w:t>
      </w:r>
      <w:r>
        <w:rPr>
          <w:rStyle w:val="14"/>
          <w:rFonts w:hint="eastAsia" w:ascii="仿宋" w:hAnsi="仿宋" w:eastAsia="仿宋"/>
          <w:b w:val="0"/>
          <w:bCs/>
          <w:color w:val="000000"/>
          <w:sz w:val="32"/>
          <w:szCs w:val="32"/>
        </w:rPr>
        <w:t>万元，完成预算</w:t>
      </w:r>
      <w:r>
        <w:rPr>
          <w:rFonts w:hint="eastAsia" w:ascii="仿宋" w:hAnsi="仿宋" w:eastAsia="仿宋"/>
          <w:color w:val="000000" w:themeColor="text1"/>
          <w:sz w:val="32"/>
          <w:szCs w:val="32"/>
          <w:lang w:val="en-US" w:eastAsia="zh-CN"/>
          <w14:textFill>
            <w14:solidFill>
              <w14:schemeClr w14:val="tx1"/>
            </w14:solidFill>
          </w14:textFill>
        </w:rPr>
        <w:t>97.87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259.79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161.35</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24.58万元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91.32万元</w:t>
      </w:r>
      <w:r>
        <w:rPr>
          <w:rFonts w:hint="eastAsia" w:ascii="仿宋" w:hAnsi="仿宋" w:eastAsia="仿宋"/>
          <w:color w:val="000000"/>
          <w:sz w:val="32"/>
          <w:szCs w:val="32"/>
        </w:rPr>
        <w:t>、奖金、伙食补助费、绩效工资</w:t>
      </w:r>
      <w:r>
        <w:rPr>
          <w:rFonts w:hint="eastAsia" w:ascii="仿宋" w:hAnsi="仿宋" w:eastAsia="仿宋"/>
          <w:color w:val="000000"/>
          <w:sz w:val="32"/>
          <w:szCs w:val="32"/>
          <w:lang w:val="en-US" w:eastAsia="zh-CN"/>
        </w:rPr>
        <w:t>32.42万元</w:t>
      </w:r>
      <w:r>
        <w:rPr>
          <w:rFonts w:hint="eastAsia" w:ascii="仿宋" w:hAnsi="仿宋" w:eastAsia="仿宋"/>
          <w:color w:val="000000"/>
          <w:sz w:val="32"/>
          <w:szCs w:val="32"/>
        </w:rPr>
        <w:t>、机关事业单位基本养老保险缴费、职业年金缴费</w:t>
      </w:r>
      <w:r>
        <w:rPr>
          <w:rFonts w:hint="eastAsia" w:ascii="仿宋" w:hAnsi="仿宋" w:eastAsia="仿宋"/>
          <w:color w:val="000000"/>
          <w:sz w:val="32"/>
          <w:szCs w:val="32"/>
          <w:lang w:val="en-US" w:eastAsia="zh-CN"/>
        </w:rPr>
        <w:t>3.23万元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5.61万元</w:t>
      </w:r>
      <w:r>
        <w:rPr>
          <w:rFonts w:hint="eastAsia" w:ascii="仿宋" w:hAnsi="仿宋" w:eastAsia="仿宋"/>
          <w:color w:val="000000"/>
          <w:sz w:val="32"/>
          <w:szCs w:val="32"/>
        </w:rPr>
        <w:t>、其他工资福利支出、离休费、退休费、抚恤金、生活补助、医疗费</w:t>
      </w:r>
      <w:r>
        <w:rPr>
          <w:rFonts w:hint="eastAsia" w:ascii="仿宋" w:hAnsi="仿宋" w:eastAsia="仿宋"/>
          <w:color w:val="000000"/>
          <w:sz w:val="32"/>
          <w:szCs w:val="32"/>
          <w:lang w:val="en-US" w:eastAsia="zh-CN"/>
        </w:rPr>
        <w:t>0.21万元</w:t>
      </w:r>
      <w:r>
        <w:rPr>
          <w:rFonts w:hint="eastAsia" w:ascii="仿宋" w:hAnsi="仿宋" w:eastAsia="仿宋"/>
          <w:color w:val="000000"/>
          <w:sz w:val="32"/>
          <w:szCs w:val="32"/>
        </w:rPr>
        <w:t>、奖励金、住房公积金、提租补贴、购房补贴、其他对个人和家庭的补助支出</w:t>
      </w:r>
      <w:r>
        <w:rPr>
          <w:rFonts w:hint="eastAsia" w:ascii="仿宋" w:hAnsi="仿宋" w:eastAsia="仿宋"/>
          <w:color w:val="000000"/>
          <w:sz w:val="32"/>
          <w:szCs w:val="32"/>
          <w:lang w:val="en-US" w:eastAsia="zh-CN"/>
        </w:rPr>
        <w:t>3.98万元</w:t>
      </w:r>
      <w:r>
        <w:rPr>
          <w:rFonts w:hint="eastAsia" w:ascii="仿宋" w:hAnsi="仿宋" w:eastAsia="仿宋"/>
          <w:color w:val="000000"/>
          <w:sz w:val="32"/>
          <w:szCs w:val="32"/>
        </w:rPr>
        <w:t>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98.44</w:t>
      </w:r>
      <w:r>
        <w:rPr>
          <w:rFonts w:hint="eastAsia" w:ascii="仿宋" w:hAnsi="仿宋" w:eastAsia="仿宋"/>
          <w:color w:val="000000"/>
          <w:sz w:val="32"/>
          <w:szCs w:val="32"/>
        </w:rPr>
        <w:t>万元，主要包括：办公费、印刷费</w:t>
      </w:r>
      <w:r>
        <w:rPr>
          <w:rFonts w:hint="eastAsia" w:ascii="仿宋" w:hAnsi="仿宋" w:eastAsia="仿宋"/>
          <w:color w:val="000000"/>
          <w:sz w:val="32"/>
          <w:szCs w:val="32"/>
          <w:lang w:val="en-US" w:eastAsia="zh-CN"/>
        </w:rPr>
        <w:t>7万元</w:t>
      </w:r>
      <w:r>
        <w:rPr>
          <w:rFonts w:hint="eastAsia" w:ascii="仿宋" w:hAnsi="仿宋" w:eastAsia="仿宋"/>
          <w:color w:val="000000"/>
          <w:sz w:val="32"/>
          <w:szCs w:val="32"/>
        </w:rPr>
        <w:t>、咨询费、手续费、水费</w:t>
      </w:r>
      <w:r>
        <w:rPr>
          <w:rFonts w:hint="eastAsia" w:ascii="仿宋" w:hAnsi="仿宋" w:eastAsia="仿宋"/>
          <w:color w:val="000000"/>
          <w:sz w:val="32"/>
          <w:szCs w:val="32"/>
          <w:lang w:val="en-US" w:eastAsia="zh-CN"/>
        </w:rPr>
        <w:t>0.08万元</w:t>
      </w:r>
      <w:r>
        <w:rPr>
          <w:rFonts w:hint="eastAsia" w:ascii="仿宋" w:hAnsi="仿宋" w:eastAsia="仿宋"/>
          <w:color w:val="000000"/>
          <w:sz w:val="32"/>
          <w:szCs w:val="32"/>
        </w:rPr>
        <w:t>、电费、邮电费、取暖费、物业管理费、差旅费</w:t>
      </w:r>
      <w:r>
        <w:rPr>
          <w:rFonts w:hint="eastAsia" w:ascii="仿宋" w:hAnsi="仿宋" w:eastAsia="仿宋"/>
          <w:color w:val="000000"/>
          <w:sz w:val="32"/>
          <w:szCs w:val="32"/>
          <w:lang w:val="en-US" w:eastAsia="zh-CN"/>
        </w:rPr>
        <w:t>0.59万元</w:t>
      </w:r>
      <w:r>
        <w:rPr>
          <w:rFonts w:hint="eastAsia" w:ascii="仿宋" w:hAnsi="仿宋" w:eastAsia="仿宋"/>
          <w:color w:val="000000"/>
          <w:sz w:val="32"/>
          <w:szCs w:val="32"/>
        </w:rPr>
        <w:t>、因公出国（境）费用、维修（护）费、租赁费、会议费</w:t>
      </w:r>
      <w:r>
        <w:rPr>
          <w:rFonts w:hint="eastAsia" w:ascii="仿宋" w:hAnsi="仿宋" w:eastAsia="仿宋"/>
          <w:color w:val="000000"/>
          <w:sz w:val="32"/>
          <w:szCs w:val="32"/>
          <w:lang w:val="en-US" w:eastAsia="zh-CN"/>
        </w:rPr>
        <w:t>0.43万元</w:t>
      </w:r>
      <w:r>
        <w:rPr>
          <w:rFonts w:hint="eastAsia" w:ascii="仿宋" w:hAnsi="仿宋" w:eastAsia="仿宋"/>
          <w:color w:val="000000"/>
          <w:sz w:val="32"/>
          <w:szCs w:val="32"/>
        </w:rPr>
        <w:t>、培训费、公务接待费</w:t>
      </w:r>
      <w:r>
        <w:rPr>
          <w:rFonts w:hint="eastAsia" w:ascii="仿宋" w:hAnsi="仿宋" w:eastAsia="仿宋"/>
          <w:color w:val="000000"/>
          <w:sz w:val="32"/>
          <w:szCs w:val="32"/>
          <w:lang w:val="en-US" w:eastAsia="zh-CN"/>
        </w:rPr>
        <w:t>0.1万元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专用材料费</w:t>
      </w:r>
      <w:r>
        <w:rPr>
          <w:rFonts w:hint="eastAsia" w:ascii="仿宋" w:hAnsi="仿宋" w:eastAsia="仿宋"/>
          <w:color w:val="000000"/>
          <w:sz w:val="32"/>
          <w:szCs w:val="32"/>
          <w:lang w:val="en-US" w:eastAsia="zh-CN"/>
        </w:rPr>
        <w:t>8.4万元，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80.7万元</w:t>
      </w:r>
      <w:r>
        <w:rPr>
          <w:rFonts w:hint="eastAsia" w:ascii="仿宋" w:hAnsi="仿宋" w:eastAsia="仿宋"/>
          <w:color w:val="000000"/>
          <w:sz w:val="32"/>
          <w:szCs w:val="32"/>
        </w:rPr>
        <w:t>、委托业务费、工会经费、福利费、公务用车运行维护费</w:t>
      </w:r>
      <w:r>
        <w:rPr>
          <w:rFonts w:hint="eastAsia" w:ascii="仿宋" w:hAnsi="仿宋" w:eastAsia="仿宋"/>
          <w:color w:val="000000"/>
          <w:sz w:val="32"/>
          <w:szCs w:val="32"/>
          <w:lang w:val="en-US" w:eastAsia="zh-CN"/>
        </w:rPr>
        <w:t>1.08万元</w:t>
      </w:r>
      <w:r>
        <w:rPr>
          <w:rFonts w:hint="eastAsia" w:ascii="仿宋" w:hAnsi="仿宋" w:eastAsia="仿宋"/>
          <w:color w:val="000000"/>
          <w:sz w:val="32"/>
          <w:szCs w:val="32"/>
        </w:rPr>
        <w:t>、其他交通费、税金及附加费用、其他商品和服务支出、办公设备购置、专用设备购置、信息网络及软件购置更新、其他资本性支出等。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1.77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lang w:eastAsia="zh-CN"/>
        </w:rPr>
        <w:drawing>
          <wp:anchor distT="0" distB="0" distL="114300" distR="114300" simplePos="0" relativeHeight="251713536" behindDoc="0" locked="0" layoutInCell="1" allowOverlap="1">
            <wp:simplePos x="0" y="0"/>
            <wp:positionH relativeFrom="column">
              <wp:posOffset>328295</wp:posOffset>
            </wp:positionH>
            <wp:positionV relativeFrom="paragraph">
              <wp:posOffset>194945</wp:posOffset>
            </wp:positionV>
            <wp:extent cx="4709795" cy="2572385"/>
            <wp:effectExtent l="4445" t="4445" r="1016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w:t>
      </w:r>
      <w:r>
        <w:rPr>
          <w:rFonts w:hint="eastAsia" w:ascii="仿宋_GB2312" w:eastAsia="仿宋_GB2312"/>
          <w:color w:val="000000"/>
          <w:sz w:val="32"/>
          <w:szCs w:val="32"/>
        </w:rPr>
        <w:t>次，出国（境）</w:t>
      </w:r>
      <w:r>
        <w:rPr>
          <w:rFonts w:ascii="仿宋_GB2312" w:eastAsia="仿宋_GB2312"/>
          <w:color w:val="000000"/>
          <w:sz w:val="32"/>
          <w:szCs w:val="32"/>
        </w:rPr>
        <w:t>**</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1.08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Fonts w:hint="eastAsia" w:ascii="仿宋" w:hAnsi="仿宋" w:eastAsia="仿宋"/>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0.88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440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家庭医生签约和基本公共卫生下村所致</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w:t>
      </w:r>
      <w:r>
        <w:rPr>
          <w:rFonts w:hint="eastAsia" w:ascii="仿宋_GB2312" w:eastAsia="仿宋_GB2312"/>
          <w:color w:val="000000"/>
          <w:sz w:val="32"/>
          <w:szCs w:val="32"/>
        </w:rPr>
        <w:t>辆，其中：轿车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万元，越野车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万元，载客汽车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w:t>
      </w:r>
      <w:r>
        <w:rPr>
          <w:rFonts w:hint="eastAsia" w:ascii="仿宋_GB2312" w:eastAsia="仿宋_GB2312"/>
          <w:color w:val="000000"/>
          <w:sz w:val="32"/>
          <w:szCs w:val="32"/>
        </w:rPr>
        <w:t>辆，其中：轿车</w:t>
      </w:r>
      <w:r>
        <w:rPr>
          <w:rFonts w:ascii="仿宋_GB2312" w:eastAsia="仿宋_GB2312"/>
          <w:color w:val="000000"/>
          <w:sz w:val="32"/>
          <w:szCs w:val="32"/>
        </w:rPr>
        <w:t>**</w:t>
      </w:r>
      <w:r>
        <w:rPr>
          <w:rFonts w:hint="eastAsia" w:ascii="仿宋_GB2312" w:eastAsia="仿宋_GB2312"/>
          <w:color w:val="000000"/>
          <w:sz w:val="32"/>
          <w:szCs w:val="32"/>
        </w:rPr>
        <w:t>辆、越野车</w:t>
      </w:r>
      <w:r>
        <w:rPr>
          <w:rFonts w:ascii="仿宋_GB2312" w:eastAsia="仿宋_GB2312"/>
          <w:color w:val="000000"/>
          <w:sz w:val="32"/>
          <w:szCs w:val="32"/>
        </w:rPr>
        <w:t>**</w:t>
      </w:r>
      <w:r>
        <w:rPr>
          <w:rFonts w:hint="eastAsia" w:ascii="仿宋_GB2312" w:eastAsia="仿宋_GB2312"/>
          <w:color w:val="000000"/>
          <w:sz w:val="32"/>
          <w:szCs w:val="32"/>
        </w:rPr>
        <w:t>辆、载客汽车</w:t>
      </w:r>
      <w:r>
        <w:rPr>
          <w:rFonts w:ascii="仿宋_GB2312" w:eastAsia="仿宋_GB2312"/>
          <w:color w:val="000000"/>
          <w:sz w:val="32"/>
          <w:szCs w:val="32"/>
        </w:rPr>
        <w:t>**</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1.08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家庭医生签约和基本公共卫生下村</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0.15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我院处于县城郊结合部</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万元，具体内容包括：…（接待具体项目、金额）。其中：</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w:t>
      </w:r>
    </w:p>
    <w:p>
      <w:pPr>
        <w:spacing w:line="600" w:lineRule="exact"/>
        <w:ind w:firstLine="640"/>
        <w:outlineLvl w:val="1"/>
        <w:rPr>
          <w:rFonts w:hint="eastAsia" w:ascii="黑体" w:eastAsia="黑体"/>
          <w:color w:val="000000"/>
          <w:sz w:val="32"/>
          <w:szCs w:val="32"/>
        </w:rPr>
      </w:pP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ascii="仿宋_GB2312" w:eastAsia="仿宋_GB2312"/>
          <w:color w:val="000000"/>
          <w:sz w:val="32"/>
          <w:szCs w:val="32"/>
        </w:rPr>
        <w:t>**</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ascii="仿宋_GB2312" w:eastAsia="仿宋_GB2312"/>
          <w:color w:val="000000"/>
          <w:sz w:val="32"/>
          <w:szCs w:val="32"/>
        </w:rPr>
        <w:t>**</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XXX项目开展了预算事前绩效评估，对XX个项目编制了绩效目标，预算执行过程中，选取XX个项目开展绩效监控，年终执行完毕后，对XX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本部门按要求对2018年部门整体支出开展绩效自评，从评价情况来看…………（简要说明整体绩效情况）。本部门还自行组织了X个项目绩效评价，从评价情况来看…………（简要说明项目绩效情况）。</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“XXXXX”等X个项目绩效目标实际完成情况。（本单位部门项目绩效目标个数在5个以上的，选取5个项目进行公开，目标个数在5个以下的，全部进行公开，公开内容包括完成情况综述和完成情况表）。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本部门按要求对2018年部门整体支出绩效评价情况开展自评，《XX部门2018年部门整体支出绩效评价报告》见附件。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本部门自行组织对XXX项目、XXX项目开展了绩效评价，《XXX项目2018年绩效评价报告》见附件。（非涉密部门均需公开部门整体支出评价报告，部门自行组织的绩效评价情况根据部门实际公开）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w:t>
      </w:r>
      <w:r>
        <w:rPr>
          <w:rFonts w:hint="eastAsia" w:ascii="仿宋_GB2312" w:eastAsia="仿宋_GB2312"/>
          <w:color w:val="000000"/>
          <w:sz w:val="32"/>
          <w:szCs w:val="32"/>
        </w:rPr>
        <w:t>机关运行经费支出</w:t>
      </w:r>
      <w:r>
        <w:rPr>
          <w:rFonts w:ascii="仿宋_GB2312" w:eastAsia="仿宋_GB2312"/>
          <w:color w:val="000000"/>
          <w:sz w:val="32"/>
          <w:szCs w:val="32"/>
        </w:rPr>
        <w:t>**</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r>
        <w:rPr>
          <w:rFonts w:hint="eastAsia" w:ascii="仿宋_GB2312" w:eastAsia="仿宋_GB2312"/>
          <w:color w:val="000000" w:themeColor="text1"/>
          <w:sz w:val="32"/>
          <w:szCs w:val="32"/>
          <w14:textFill>
            <w14:solidFill>
              <w14:schemeClr w14:val="tx1"/>
            </w14:solidFill>
          </w14:textFill>
        </w:rPr>
        <w:t>主要原因是……</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w:t>
      </w:r>
      <w:r>
        <w:rPr>
          <w:rFonts w:hint="eastAsia" w:ascii="仿宋_GB2312" w:eastAsia="仿宋_GB2312"/>
          <w:color w:val="000000"/>
          <w:sz w:val="32"/>
          <w:szCs w:val="32"/>
        </w:rPr>
        <w:t>政府采购支出总额</w:t>
      </w:r>
      <w:r>
        <w:rPr>
          <w:rFonts w:ascii="仿宋_GB2312" w:eastAsia="仿宋_GB2312"/>
          <w:color w:val="000000"/>
          <w:sz w:val="32"/>
          <w:szCs w:val="32"/>
        </w:rPr>
        <w:t>**</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ascii="仿宋_GB2312" w:eastAsia="仿宋_GB2312"/>
          <w:color w:val="000000"/>
          <w:sz w:val="32"/>
          <w:szCs w:val="32"/>
        </w:rPr>
        <w:t>***</w:t>
      </w:r>
      <w:r>
        <w:rPr>
          <w:rFonts w:hint="eastAsia" w:ascii="仿宋_GB2312" w:eastAsia="仿宋_GB2312"/>
          <w:color w:val="000000"/>
          <w:sz w:val="32"/>
          <w:szCs w:val="32"/>
        </w:rPr>
        <w:t>共有车辆</w:t>
      </w:r>
      <w:r>
        <w:rPr>
          <w:rFonts w:ascii="仿宋_GB2312" w:eastAsia="仿宋_GB2312"/>
          <w:color w:val="000000"/>
          <w:sz w:val="32"/>
          <w:szCs w:val="32"/>
        </w:rPr>
        <w:t>**</w:t>
      </w:r>
      <w:r>
        <w:rPr>
          <w:rFonts w:hint="eastAsia" w:ascii="仿宋_GB2312" w:eastAsia="仿宋_GB2312"/>
          <w:color w:val="000000"/>
          <w:sz w:val="32"/>
          <w:szCs w:val="32"/>
        </w:rPr>
        <w:t>辆，其中：部级领导干部用车</w:t>
      </w:r>
      <w:r>
        <w:rPr>
          <w:rFonts w:ascii="仿宋_GB2312" w:eastAsia="仿宋_GB2312"/>
          <w:color w:val="000000"/>
          <w:sz w:val="32"/>
          <w:szCs w:val="32"/>
        </w:rPr>
        <w:t>**</w:t>
      </w:r>
      <w:r>
        <w:rPr>
          <w:rFonts w:hint="eastAsia" w:ascii="仿宋_GB2312" w:eastAsia="仿宋_GB2312"/>
          <w:color w:val="000000"/>
          <w:sz w:val="32"/>
          <w:szCs w:val="32"/>
        </w:rPr>
        <w:t>辆、一般公务用车</w:t>
      </w:r>
      <w:r>
        <w:rPr>
          <w:rFonts w:ascii="仿宋_GB2312" w:eastAsia="仿宋_GB2312"/>
          <w:color w:val="000000"/>
          <w:sz w:val="32"/>
          <w:szCs w:val="32"/>
        </w:rPr>
        <w:t>**</w:t>
      </w:r>
      <w:r>
        <w:rPr>
          <w:rFonts w:hint="eastAsia" w:ascii="仿宋_GB2312" w:eastAsia="仿宋_GB2312"/>
          <w:color w:val="000000"/>
          <w:sz w:val="32"/>
          <w:szCs w:val="32"/>
        </w:rPr>
        <w:t>辆、一般执法执勤用车</w:t>
      </w:r>
      <w:r>
        <w:rPr>
          <w:rFonts w:ascii="仿宋_GB2312" w:eastAsia="仿宋_GB2312"/>
          <w:color w:val="000000"/>
          <w:sz w:val="32"/>
          <w:szCs w:val="32"/>
        </w:rPr>
        <w:t>**</w:t>
      </w:r>
      <w:r>
        <w:rPr>
          <w:rFonts w:hint="eastAsia" w:ascii="仿宋_GB2312" w:eastAsia="仿宋_GB2312"/>
          <w:color w:val="000000"/>
          <w:sz w:val="32"/>
          <w:szCs w:val="32"/>
        </w:rPr>
        <w:t>辆、特种专业技术用车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ascii="仿宋_GB2312" w:eastAsia="仿宋_GB2312"/>
          <w:color w:val="000000"/>
          <w:sz w:val="32"/>
          <w:szCs w:val="32"/>
        </w:rPr>
        <w:t>**</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XX部门2018年部门整体支出绩效评价报告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96430BC"/>
    <w:rsid w:val="0D3B7F8F"/>
    <w:rsid w:val="0F2A6F99"/>
    <w:rsid w:val="10C055FF"/>
    <w:rsid w:val="16BB723D"/>
    <w:rsid w:val="236E45D6"/>
    <w:rsid w:val="240371BF"/>
    <w:rsid w:val="29FD04D3"/>
    <w:rsid w:val="31650E11"/>
    <w:rsid w:val="319F7F4E"/>
    <w:rsid w:val="32CE60BF"/>
    <w:rsid w:val="35F326C7"/>
    <w:rsid w:val="3A194963"/>
    <w:rsid w:val="3BC035F7"/>
    <w:rsid w:val="59CC7C51"/>
    <w:rsid w:val="5D3F7C6F"/>
    <w:rsid w:val="5EEF9977"/>
    <w:rsid w:val="618C298B"/>
    <w:rsid w:val="623134EA"/>
    <w:rsid w:val="76CB681F"/>
    <w:rsid w:val="7A5D74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manualLayout>
          <c:layoutTarget val="inner"/>
          <c:xMode val="edge"/>
          <c:yMode val="edge"/>
          <c:x val="0.0693509933774834"/>
          <c:y val="0.146787188052663"/>
          <c:w val="0.899523178807947"/>
          <c:h val="0.666221261544508"/>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524.94</c:v>
                </c:pt>
                <c:pt idx="1">
                  <c:v>379.54</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498.71</c:v>
                </c:pt>
                <c:pt idx="1">
                  <c:v>379.54</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145.4</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119.7</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2018年总收入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Pt>
            <c:idx val="6"/>
            <c:bubble3D val="false"/>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264.79</c:v>
                </c:pt>
                <c:pt idx="3">
                  <c:v>113.61</c:v>
                </c:pt>
                <c:pt idx="6">
                  <c:v>1.14</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Pt>
            <c:idx val="6"/>
            <c:bubble3D val="false"/>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69.77</c:v>
                </c:pt>
                <c:pt idx="3">
                  <c:v>29.93</c:v>
                </c:pt>
                <c:pt idx="6">
                  <c:v>0.3</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36399951025002"/>
          <c:y val="0.231389661915276"/>
          <c:w val="0.933411903358869"/>
          <c:h val="0.761441879303362"/>
        </c:manualLayout>
      </c:layout>
      <c:pieChart>
        <c:varyColors val="true"/>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374.54</c:v>
                </c:pt>
                <c:pt idx="1">
                  <c:v>5</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98.68</c:v>
                </c:pt>
                <c:pt idx="1">
                  <c:v>1.32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390.4</c:v>
                </c:pt>
                <c:pt idx="1">
                  <c:v>264.79</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390.4</c:v>
                </c:pt>
                <c:pt idx="1">
                  <c:v>264.79</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125.61</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32.17</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占本年支付%</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74.37</c:v>
                </c:pt>
                <c:pt idx="1">
                  <c:v>69.77</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390.4</c:v>
                </c:pt>
                <c:pt idx="1">
                  <c:v>264.79</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125.61</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32.17</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Pt>
            <c:idx val="3"/>
            <c:bubble3D val="false"/>
            <c:spPr>
              <a:solidFill>
                <a:schemeClr val="accent4"/>
              </a:solidFill>
              <a:ln w="25400">
                <a:solidFill>
                  <a:schemeClr val="lt1"/>
                </a:solidFill>
              </a:ln>
              <a:effectLst/>
              <a:scene3d>
                <a:camera prst="orthographicFront"/>
                <a:lightRig rig="threePt" dir="t"/>
              </a:scene3d>
              <a:sp3d contourW="25400"/>
            </c:spPr>
          </c:dPt>
          <c:dPt>
            <c:idx val="4"/>
            <c:bubble3D val="false"/>
            <c:spPr>
              <a:solidFill>
                <a:schemeClr val="accent5"/>
              </a:solidFill>
              <a:ln w="25400">
                <a:solidFill>
                  <a:schemeClr val="lt1"/>
                </a:solidFill>
              </a:ln>
              <a:effectLst/>
              <a:scene3d>
                <a:camera prst="orthographicFront"/>
                <a:lightRig rig="threePt" dir="t"/>
              </a:scene3d>
              <a:sp3d contourW="25400"/>
            </c:spPr>
          </c:dPt>
          <c:dPt>
            <c:idx val="5"/>
            <c:bubble3D val="false"/>
            <c:spPr>
              <a:solidFill>
                <a:schemeClr val="accent6"/>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科学技术</c:v>
                </c:pt>
                <c:pt idx="3">
                  <c:v>社会保障和就业</c:v>
                </c:pt>
                <c:pt idx="4">
                  <c:v>医疗卫生</c:v>
                </c:pt>
                <c:pt idx="5">
                  <c:v>住房保障</c:v>
                </c:pt>
              </c:strCache>
            </c:strRef>
          </c:cat>
          <c:val>
            <c:numRef>
              <c:f>Sheet1!$B$2:$B$7</c:f>
              <c:numCache>
                <c:formatCode>General</c:formatCode>
                <c:ptCount val="6"/>
                <c:pt idx="0">
                  <c:v>264.79</c:v>
                </c:pt>
                <c:pt idx="3">
                  <c:v>5.62</c:v>
                </c:pt>
                <c:pt idx="4">
                  <c:v>259.17</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Pt>
            <c:idx val="5"/>
            <c:bubble3D val="false"/>
            <c:spPr>
              <a:solidFill>
                <a:schemeClr val="accent6"/>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科学技术</c:v>
                </c:pt>
                <c:pt idx="3">
                  <c:v>社会保障和就业</c:v>
                </c:pt>
                <c:pt idx="4">
                  <c:v>医疗卫生</c:v>
                </c:pt>
                <c:pt idx="5">
                  <c:v>住房保障</c:v>
                </c:pt>
              </c:strCache>
            </c:strRef>
          </c:cat>
          <c:val>
            <c:numRef>
              <c:f>Sheet1!$C$2:$C$7</c:f>
              <c:numCache>
                <c:formatCode>General</c:formatCode>
                <c:ptCount val="6"/>
                <c:pt idx="0">
                  <c:v>100</c:v>
                </c:pt>
                <c:pt idx="3">
                  <c:v>100</c:v>
                </c:pt>
                <c:pt idx="4">
                  <c:v>100</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Sheet1!$B$2:$B$4</c:f>
              <c:numCache>
                <c:formatCode>General</c:formatCode>
                <c:ptCount val="3"/>
                <c:pt idx="0">
                  <c:v>0</c:v>
                </c:pt>
                <c:pt idx="1">
                  <c:v>1.08</c:v>
                </c:pt>
                <c:pt idx="2">
                  <c:v>0.1</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Sheet1!$C$2:$C$4</c:f>
              <c:numCache>
                <c:formatCode>General</c:formatCode>
                <c:ptCount val="3"/>
                <c:pt idx="0">
                  <c:v>0</c:v>
                </c:pt>
                <c:pt idx="1">
                  <c:v>91.53</c:v>
                </c:pt>
                <c:pt idx="2">
                  <c:v>8.47</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5</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2022-02-22T10:52:48Z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