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黑体简体" w:cs="Times New Roman"/>
          <w:i w:val="0"/>
          <w:iCs w:val="0"/>
          <w:caps w:val="0"/>
          <w:color w:val="auto"/>
          <w:spacing w:val="0"/>
          <w:sz w:val="31"/>
          <w:szCs w:val="31"/>
          <w:shd w:val="clear" w:fill="FFFFFF"/>
          <w:lang w:val="en-US" w:eastAsia="zh-CN"/>
        </w:rPr>
      </w:pPr>
      <w:r>
        <w:rPr>
          <w:rFonts w:hint="default" w:ascii="Times New Roman" w:hAnsi="Times New Roman" w:eastAsia="方正黑体简体" w:cs="Times New Roman"/>
          <w:i w:val="0"/>
          <w:iCs w:val="0"/>
          <w:caps w:val="0"/>
          <w:color w:val="auto"/>
          <w:spacing w:val="0"/>
          <w:sz w:val="31"/>
          <w:szCs w:val="31"/>
          <w:shd w:val="clear" w:fill="FFFFFF"/>
          <w:lang w:val="en-US" w:eastAsia="zh-CN"/>
        </w:rPr>
        <w:t>附件</w:t>
      </w:r>
      <w:r>
        <w:rPr>
          <w:rFonts w:hint="eastAsia" w:ascii="Times New Roman" w:hAnsi="Times New Roman" w:eastAsia="方正黑体简体" w:cs="Times New Roman"/>
          <w:i w:val="0"/>
          <w:iCs w:val="0"/>
          <w:caps w:val="0"/>
          <w:color w:val="auto"/>
          <w:spacing w:val="0"/>
          <w:sz w:val="31"/>
          <w:szCs w:val="31"/>
          <w:shd w:val="clear" w:fill="FFFFFF"/>
          <w:lang w:val="en-US" w:eastAsia="zh-CN"/>
        </w:rPr>
        <w:t>1</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ascii="Times New Roman" w:hAnsi="Times New Roman" w:eastAsia="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ascii="Times New Roman" w:hAnsi="Times New Roman" w:eastAsia="方正小标宋简体"/>
          <w:bCs/>
          <w:color w:val="auto"/>
          <w:sz w:val="44"/>
          <w:szCs w:val="44"/>
        </w:rPr>
      </w:pPr>
      <w:r>
        <w:rPr>
          <w:rFonts w:ascii="Times New Roman" w:hAnsi="Times New Roman" w:eastAsia="方正小标宋简体"/>
          <w:bCs/>
          <w:color w:val="auto"/>
          <w:sz w:val="44"/>
          <w:szCs w:val="44"/>
        </w:rPr>
        <w:t>评审办法和标准</w:t>
      </w:r>
    </w:p>
    <w:p>
      <w:pPr>
        <w:pStyle w:val="2"/>
        <w:rPr>
          <w:color w:val="auto"/>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1．本项目的比选由比选邀请人组织相关人员组成比选申请人评审委员会对比选申请人的比选申请文件按照比选文件的规定进行评审。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2．评审委员会应将所有比选申请书同时启封，评委独立打分，合计得分最高的比选申请人中选。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3．比选邀请人及评审委员会成员须对比选申请人报送的比选申请书内容保密，不得泄露参加比选的比选申请人的任何信息。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4．严禁任何单位和个人以任何形式操纵或干预评比过程和评比结果。参加比选的比选申请人试图采用不正当手段干扰评委公平、公正评审的，将取消其比选资格。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5．评审委员会成员不得在比选期间私下接触参加比选的比选申请人人员，不得接受比选申请人或相关人员的任何馈赠，不得参加比选申请人组织的任何形式的宴请、娱乐、旅游等活动，不得透露与比选工作有关的内部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6．评审委员会对比选申请书响应比选文件进行检查。没有充分响应比选文件的不得进入打分程序；评</w:t>
      </w:r>
      <w:r>
        <w:rPr>
          <w:rFonts w:hint="eastAsia" w:ascii="Times New Roman" w:hAnsi="Times New Roman" w:eastAsia="仿宋_GB2312"/>
          <w:color w:val="auto"/>
          <w:sz w:val="32"/>
          <w:szCs w:val="32"/>
        </w:rPr>
        <w:t>审</w:t>
      </w:r>
      <w:r>
        <w:rPr>
          <w:rFonts w:ascii="Times New Roman" w:hAnsi="Times New Roman" w:eastAsia="仿宋_GB2312"/>
          <w:color w:val="auto"/>
          <w:sz w:val="32"/>
          <w:szCs w:val="32"/>
        </w:rPr>
        <w:t>委员会认为比选申请书有不清楚的地方，可以要求比选申请人解释、澄清，但比选申请人不得对比选文件作实质性的修改。拒绝澄清的，比选申请书无效。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7．本项目比选申请人的比选采用综合评估法，按得分高低进行排序，比选邀请人确定得分最高的为中选人。若得分相同则报价低的排序在前；若仍相同则人员得分高的在前；若仍相同则业绩得分高的排序在前；若仍相同则由评</w:t>
      </w:r>
      <w:r>
        <w:rPr>
          <w:rFonts w:hint="eastAsia" w:ascii="Times New Roman" w:hAnsi="Times New Roman" w:eastAsia="仿宋_GB2312"/>
          <w:color w:val="auto"/>
          <w:sz w:val="32"/>
          <w:szCs w:val="32"/>
        </w:rPr>
        <w:t>审</w:t>
      </w:r>
      <w:r>
        <w:rPr>
          <w:rFonts w:ascii="Times New Roman" w:hAnsi="Times New Roman" w:eastAsia="仿宋_GB2312"/>
          <w:color w:val="auto"/>
          <w:sz w:val="32"/>
          <w:szCs w:val="32"/>
        </w:rPr>
        <w:t>委员会讨论决定排序。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ascii="Times New Roman" w:hAnsi="Times New Roman"/>
          <w:color w:val="auto"/>
          <w:sz w:val="24"/>
        </w:rPr>
      </w:pPr>
      <w:r>
        <w:rPr>
          <w:rFonts w:ascii="Times New Roman" w:hAnsi="Times New Roman" w:eastAsia="仿宋_GB2312"/>
          <w:color w:val="auto"/>
          <w:sz w:val="32"/>
          <w:szCs w:val="32"/>
        </w:rPr>
        <w:t>8．凡比选标准中没有列出的评定内容在评比时不得作为打分的依据。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9．资格审查内容见下表：</w:t>
      </w:r>
    </w:p>
    <w:tbl>
      <w:tblPr>
        <w:tblStyle w:val="8"/>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4432"/>
        <w:gridCol w:w="3175"/>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8" w:type="dxa"/>
            <w:noWrap w:val="0"/>
            <w:vAlign w:val="center"/>
          </w:tcPr>
          <w:p>
            <w:pPr>
              <w:spacing w:line="320" w:lineRule="exact"/>
              <w:jc w:val="center"/>
              <w:rPr>
                <w:rFonts w:ascii="Times New Roman" w:hAnsi="Times New Roman" w:eastAsia="黑体"/>
                <w:color w:val="auto"/>
                <w:sz w:val="24"/>
              </w:rPr>
            </w:pPr>
            <w:r>
              <w:rPr>
                <w:rFonts w:ascii="Times New Roman" w:hAnsi="Times New Roman" w:eastAsia="黑体"/>
                <w:color w:val="auto"/>
                <w:sz w:val="24"/>
              </w:rPr>
              <w:t>序号</w:t>
            </w:r>
          </w:p>
        </w:tc>
        <w:tc>
          <w:tcPr>
            <w:tcW w:w="4432" w:type="dxa"/>
            <w:noWrap w:val="0"/>
            <w:vAlign w:val="center"/>
          </w:tcPr>
          <w:p>
            <w:pPr>
              <w:spacing w:line="320" w:lineRule="exact"/>
              <w:jc w:val="center"/>
              <w:rPr>
                <w:rFonts w:ascii="Times New Roman" w:hAnsi="Times New Roman" w:eastAsia="黑体"/>
                <w:color w:val="auto"/>
                <w:sz w:val="24"/>
              </w:rPr>
            </w:pPr>
            <w:r>
              <w:rPr>
                <w:rFonts w:ascii="Times New Roman" w:hAnsi="Times New Roman" w:eastAsia="黑体"/>
                <w:color w:val="auto"/>
                <w:sz w:val="24"/>
              </w:rPr>
              <w:t>审查内容</w:t>
            </w:r>
          </w:p>
        </w:tc>
        <w:tc>
          <w:tcPr>
            <w:tcW w:w="3175" w:type="dxa"/>
            <w:noWrap w:val="0"/>
            <w:vAlign w:val="center"/>
          </w:tcPr>
          <w:p>
            <w:pPr>
              <w:spacing w:line="320" w:lineRule="exact"/>
              <w:jc w:val="center"/>
              <w:rPr>
                <w:rFonts w:ascii="Times New Roman" w:hAnsi="Times New Roman" w:eastAsia="黑体"/>
                <w:color w:val="auto"/>
                <w:sz w:val="24"/>
              </w:rPr>
            </w:pPr>
            <w:r>
              <w:rPr>
                <w:rFonts w:ascii="Times New Roman" w:hAnsi="Times New Roman" w:eastAsia="黑体"/>
                <w:color w:val="auto"/>
                <w:sz w:val="24"/>
              </w:rPr>
              <w:t>合格条件</w:t>
            </w:r>
          </w:p>
        </w:tc>
        <w:tc>
          <w:tcPr>
            <w:tcW w:w="904" w:type="dxa"/>
            <w:noWrap w:val="0"/>
            <w:vAlign w:val="center"/>
          </w:tcPr>
          <w:p>
            <w:pPr>
              <w:spacing w:line="320" w:lineRule="exact"/>
              <w:jc w:val="center"/>
              <w:rPr>
                <w:rFonts w:ascii="Times New Roman" w:hAnsi="Times New Roman" w:eastAsia="黑体"/>
                <w:color w:val="auto"/>
                <w:sz w:val="24"/>
              </w:rPr>
            </w:pPr>
            <w:r>
              <w:rPr>
                <w:rFonts w:ascii="Times New Roman" w:hAnsi="Times New Roman" w:eastAsia="黑体"/>
                <w:color w:val="auto"/>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88"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1</w:t>
            </w:r>
          </w:p>
        </w:tc>
        <w:tc>
          <w:tcPr>
            <w:tcW w:w="4432" w:type="dxa"/>
            <w:noWrap w:val="0"/>
            <w:vAlign w:val="center"/>
          </w:tcPr>
          <w:p>
            <w:pPr>
              <w:spacing w:line="320" w:lineRule="exact"/>
              <w:rPr>
                <w:rFonts w:ascii="Times New Roman" w:hAnsi="Times New Roman" w:eastAsia="仿宋_GB2312"/>
                <w:color w:val="auto"/>
                <w:sz w:val="24"/>
              </w:rPr>
            </w:pPr>
            <w:r>
              <w:rPr>
                <w:rFonts w:ascii="Times New Roman" w:hAnsi="Times New Roman" w:eastAsia="仿宋_GB2312"/>
                <w:color w:val="auto"/>
                <w:sz w:val="24"/>
              </w:rPr>
              <w:t>营业执照</w:t>
            </w:r>
          </w:p>
        </w:tc>
        <w:tc>
          <w:tcPr>
            <w:tcW w:w="3175"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有效</w:t>
            </w:r>
          </w:p>
        </w:tc>
        <w:tc>
          <w:tcPr>
            <w:tcW w:w="904" w:type="dxa"/>
            <w:noWrap w:val="0"/>
            <w:vAlign w:val="center"/>
          </w:tcPr>
          <w:p>
            <w:pPr>
              <w:spacing w:line="32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8"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2</w:t>
            </w:r>
          </w:p>
        </w:tc>
        <w:tc>
          <w:tcPr>
            <w:tcW w:w="4432" w:type="dxa"/>
            <w:noWrap w:val="0"/>
            <w:vAlign w:val="center"/>
          </w:tcPr>
          <w:p>
            <w:pPr>
              <w:spacing w:line="320" w:lineRule="exact"/>
              <w:rPr>
                <w:rFonts w:ascii="Times New Roman" w:hAnsi="Times New Roman" w:eastAsia="仿宋_GB2312"/>
                <w:color w:val="auto"/>
                <w:sz w:val="24"/>
              </w:rPr>
            </w:pPr>
            <w:r>
              <w:rPr>
                <w:rFonts w:ascii="Times New Roman" w:hAnsi="Times New Roman" w:eastAsia="仿宋_GB2312"/>
                <w:color w:val="auto"/>
                <w:sz w:val="24"/>
              </w:rPr>
              <w:t>项目负责人、专职技术人员</w:t>
            </w:r>
          </w:p>
        </w:tc>
        <w:tc>
          <w:tcPr>
            <w:tcW w:w="3175" w:type="dxa"/>
            <w:noWrap w:val="0"/>
            <w:vAlign w:val="center"/>
          </w:tcPr>
          <w:p>
            <w:pPr>
              <w:spacing w:line="320" w:lineRule="exact"/>
              <w:rPr>
                <w:rFonts w:ascii="Times New Roman" w:hAnsi="Times New Roman" w:eastAsia="仿宋_GB2312"/>
                <w:color w:val="auto"/>
                <w:sz w:val="24"/>
              </w:rPr>
            </w:pPr>
            <w:r>
              <w:rPr>
                <w:rFonts w:ascii="Times New Roman" w:hAnsi="Times New Roman" w:eastAsia="仿宋_GB2312"/>
                <w:color w:val="auto"/>
                <w:sz w:val="24"/>
              </w:rPr>
              <w:t>配备负责人1人，专职技术人员3人。</w:t>
            </w:r>
          </w:p>
        </w:tc>
        <w:tc>
          <w:tcPr>
            <w:tcW w:w="904" w:type="dxa"/>
            <w:noWrap w:val="0"/>
            <w:vAlign w:val="center"/>
          </w:tcPr>
          <w:p>
            <w:pPr>
              <w:spacing w:line="32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88"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3</w:t>
            </w:r>
          </w:p>
        </w:tc>
        <w:tc>
          <w:tcPr>
            <w:tcW w:w="4432" w:type="dxa"/>
            <w:noWrap w:val="0"/>
            <w:vAlign w:val="center"/>
          </w:tcPr>
          <w:p>
            <w:pPr>
              <w:spacing w:line="320" w:lineRule="exact"/>
              <w:rPr>
                <w:rFonts w:ascii="Times New Roman" w:hAnsi="Times New Roman" w:eastAsia="仿宋_GB2312"/>
                <w:color w:val="auto"/>
                <w:sz w:val="24"/>
              </w:rPr>
            </w:pPr>
            <w:r>
              <w:rPr>
                <w:rFonts w:ascii="Times New Roman" w:hAnsi="Times New Roman" w:eastAsia="仿宋_GB2312"/>
                <w:color w:val="auto"/>
                <w:sz w:val="24"/>
              </w:rPr>
              <w:t>法定代表人身份证明原件及身份证复印件</w:t>
            </w:r>
          </w:p>
        </w:tc>
        <w:tc>
          <w:tcPr>
            <w:tcW w:w="3175"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有效</w:t>
            </w:r>
          </w:p>
        </w:tc>
        <w:tc>
          <w:tcPr>
            <w:tcW w:w="904" w:type="dxa"/>
            <w:noWrap w:val="0"/>
            <w:vAlign w:val="center"/>
          </w:tcPr>
          <w:p>
            <w:pPr>
              <w:spacing w:line="32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88"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4</w:t>
            </w:r>
          </w:p>
        </w:tc>
        <w:tc>
          <w:tcPr>
            <w:tcW w:w="4432" w:type="dxa"/>
            <w:noWrap w:val="0"/>
            <w:vAlign w:val="center"/>
          </w:tcPr>
          <w:p>
            <w:pPr>
              <w:spacing w:line="320" w:lineRule="exact"/>
              <w:jc w:val="left"/>
              <w:rPr>
                <w:rFonts w:ascii="Times New Roman" w:hAnsi="Times New Roman" w:eastAsia="仿宋_GB2312"/>
                <w:color w:val="auto"/>
                <w:sz w:val="24"/>
              </w:rPr>
            </w:pPr>
            <w:r>
              <w:rPr>
                <w:rFonts w:ascii="Times New Roman" w:hAnsi="Times New Roman" w:eastAsia="仿宋_GB2312"/>
                <w:color w:val="auto"/>
                <w:sz w:val="24"/>
              </w:rPr>
              <w:t>授权委托书原件及委托代理人身份证复印件</w:t>
            </w:r>
          </w:p>
        </w:tc>
        <w:tc>
          <w:tcPr>
            <w:tcW w:w="3175"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有效</w:t>
            </w:r>
          </w:p>
        </w:tc>
        <w:tc>
          <w:tcPr>
            <w:tcW w:w="904" w:type="dxa"/>
            <w:noWrap w:val="0"/>
            <w:vAlign w:val="center"/>
          </w:tcPr>
          <w:p>
            <w:pPr>
              <w:spacing w:line="32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88"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5</w:t>
            </w:r>
          </w:p>
        </w:tc>
        <w:tc>
          <w:tcPr>
            <w:tcW w:w="4432" w:type="dxa"/>
            <w:noWrap w:val="0"/>
            <w:vAlign w:val="center"/>
          </w:tcPr>
          <w:p>
            <w:pPr>
              <w:spacing w:line="320" w:lineRule="exact"/>
              <w:jc w:val="left"/>
              <w:rPr>
                <w:rFonts w:ascii="Times New Roman" w:hAnsi="Times New Roman" w:eastAsia="仿宋_GB2312"/>
                <w:color w:val="auto"/>
                <w:sz w:val="24"/>
              </w:rPr>
            </w:pPr>
            <w:r>
              <w:rPr>
                <w:rFonts w:ascii="Times New Roman" w:hAnsi="Times New Roman" w:eastAsia="仿宋_GB2312"/>
                <w:color w:val="auto"/>
                <w:sz w:val="24"/>
              </w:rPr>
              <w:t>政府采购严重违法失信行为记录名单</w:t>
            </w:r>
          </w:p>
        </w:tc>
        <w:tc>
          <w:tcPr>
            <w:tcW w:w="3175"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不属于名单目录内的</w:t>
            </w:r>
          </w:p>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比选申请人</w:t>
            </w:r>
          </w:p>
        </w:tc>
        <w:tc>
          <w:tcPr>
            <w:tcW w:w="904" w:type="dxa"/>
            <w:noWrap w:val="0"/>
            <w:vAlign w:val="center"/>
          </w:tcPr>
          <w:p>
            <w:pPr>
              <w:spacing w:line="32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88"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6</w:t>
            </w:r>
          </w:p>
        </w:tc>
        <w:tc>
          <w:tcPr>
            <w:tcW w:w="4432"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报价</w:t>
            </w:r>
          </w:p>
        </w:tc>
        <w:tc>
          <w:tcPr>
            <w:tcW w:w="3175"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不高于最高限价</w:t>
            </w:r>
          </w:p>
        </w:tc>
        <w:tc>
          <w:tcPr>
            <w:tcW w:w="904" w:type="dxa"/>
            <w:noWrap w:val="0"/>
            <w:vAlign w:val="center"/>
          </w:tcPr>
          <w:p>
            <w:pPr>
              <w:spacing w:line="32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88"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7</w:t>
            </w:r>
          </w:p>
        </w:tc>
        <w:tc>
          <w:tcPr>
            <w:tcW w:w="4432"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是否存在限制情形</w:t>
            </w:r>
          </w:p>
        </w:tc>
        <w:tc>
          <w:tcPr>
            <w:tcW w:w="3175"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不存在比选文件中载明的</w:t>
            </w:r>
          </w:p>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限制情形</w:t>
            </w:r>
          </w:p>
        </w:tc>
        <w:tc>
          <w:tcPr>
            <w:tcW w:w="904" w:type="dxa"/>
            <w:noWrap w:val="0"/>
            <w:vAlign w:val="center"/>
          </w:tcPr>
          <w:p>
            <w:pPr>
              <w:spacing w:line="32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88"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8</w:t>
            </w:r>
          </w:p>
        </w:tc>
        <w:tc>
          <w:tcPr>
            <w:tcW w:w="4432"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业绩</w:t>
            </w:r>
          </w:p>
        </w:tc>
        <w:tc>
          <w:tcPr>
            <w:tcW w:w="3175" w:type="dxa"/>
            <w:noWrap w:val="0"/>
            <w:vAlign w:val="center"/>
          </w:tcPr>
          <w:p>
            <w:pPr>
              <w:spacing w:line="32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有规划编制、中期评估及研究的类似业绩</w:t>
            </w:r>
          </w:p>
        </w:tc>
        <w:tc>
          <w:tcPr>
            <w:tcW w:w="904" w:type="dxa"/>
            <w:noWrap w:val="0"/>
            <w:vAlign w:val="center"/>
          </w:tcPr>
          <w:p>
            <w:pPr>
              <w:spacing w:line="32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120" w:type="dxa"/>
            <w:gridSpan w:val="2"/>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结论</w:t>
            </w:r>
          </w:p>
        </w:tc>
        <w:tc>
          <w:tcPr>
            <w:tcW w:w="3175" w:type="dxa"/>
            <w:noWrap w:val="0"/>
            <w:vAlign w:val="center"/>
          </w:tcPr>
          <w:p>
            <w:pPr>
              <w:spacing w:line="320" w:lineRule="exact"/>
              <w:jc w:val="center"/>
              <w:rPr>
                <w:rFonts w:ascii="Times New Roman" w:hAnsi="Times New Roman" w:eastAsia="仿宋_GB2312"/>
                <w:color w:val="auto"/>
                <w:sz w:val="24"/>
              </w:rPr>
            </w:pPr>
            <w:r>
              <w:rPr>
                <w:rFonts w:ascii="Times New Roman" w:hAnsi="Times New Roman" w:eastAsia="仿宋_GB2312"/>
                <w:color w:val="auto"/>
                <w:sz w:val="24"/>
              </w:rPr>
              <w:t>以上条件必须全部通过</w:t>
            </w:r>
          </w:p>
        </w:tc>
        <w:tc>
          <w:tcPr>
            <w:tcW w:w="904" w:type="dxa"/>
            <w:noWrap w:val="0"/>
            <w:vAlign w:val="center"/>
          </w:tcPr>
          <w:p>
            <w:pPr>
              <w:spacing w:line="320" w:lineRule="exact"/>
              <w:jc w:val="center"/>
              <w:rPr>
                <w:rFonts w:ascii="Times New Roman" w:hAnsi="Times New Roman" w:eastAsia="仿宋_GB2312"/>
                <w:color w:val="auto"/>
                <w:sz w:val="24"/>
              </w:rPr>
            </w:pPr>
          </w:p>
        </w:tc>
      </w:tr>
    </w:tbl>
    <w:p>
      <w:pPr>
        <w:spacing w:line="408" w:lineRule="auto"/>
        <w:jc w:val="left"/>
        <w:rPr>
          <w:rFonts w:ascii="Times New Roman" w:hAnsi="Times New Roman" w:eastAsia="仿宋_GB2312"/>
          <w:color w:val="auto"/>
          <w:sz w:val="32"/>
          <w:szCs w:val="32"/>
        </w:rPr>
      </w:pPr>
      <w:r>
        <w:rPr>
          <w:rFonts w:ascii="Times New Roman" w:hAnsi="Times New Roman" w:eastAsia="仿宋_GB2312"/>
          <w:color w:val="auto"/>
          <w:sz w:val="32"/>
          <w:szCs w:val="32"/>
        </w:rPr>
        <w:t>10．综合评分明细表</w:t>
      </w:r>
    </w:p>
    <w:tbl>
      <w:tblPr>
        <w:tblStyle w:val="8"/>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34"/>
        <w:gridCol w:w="850"/>
        <w:gridCol w:w="4590"/>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23" w:type="dxa"/>
            <w:noWrap w:val="0"/>
            <w:vAlign w:val="center"/>
          </w:tcPr>
          <w:p>
            <w:pPr>
              <w:spacing w:line="400" w:lineRule="exact"/>
              <w:ind w:firstLine="28"/>
              <w:jc w:val="center"/>
              <w:rPr>
                <w:rFonts w:ascii="Times New Roman" w:hAnsi="Times New Roman" w:eastAsia="仿宋_GB2312"/>
                <w:color w:val="auto"/>
                <w:szCs w:val="21"/>
              </w:rPr>
            </w:pPr>
            <w:r>
              <w:rPr>
                <w:rFonts w:ascii="Times New Roman" w:hAnsi="Times New Roman" w:eastAsia="仿宋_GB2312"/>
                <w:color w:val="auto"/>
                <w:szCs w:val="21"/>
              </w:rPr>
              <w:t>序号</w:t>
            </w:r>
          </w:p>
        </w:tc>
        <w:tc>
          <w:tcPr>
            <w:tcW w:w="1434" w:type="dxa"/>
            <w:noWrap w:val="0"/>
            <w:vAlign w:val="center"/>
          </w:tcPr>
          <w:p>
            <w:pPr>
              <w:spacing w:line="400" w:lineRule="exact"/>
              <w:ind w:firstLine="28"/>
              <w:jc w:val="center"/>
              <w:rPr>
                <w:rFonts w:ascii="Times New Roman" w:hAnsi="Times New Roman" w:eastAsia="仿宋_GB2312"/>
                <w:color w:val="auto"/>
                <w:szCs w:val="21"/>
              </w:rPr>
            </w:pPr>
            <w:r>
              <w:rPr>
                <w:rFonts w:ascii="Times New Roman" w:hAnsi="Times New Roman" w:eastAsia="仿宋_GB2312"/>
                <w:color w:val="auto"/>
                <w:szCs w:val="21"/>
              </w:rPr>
              <w:t>评分因素</w:t>
            </w:r>
          </w:p>
          <w:p>
            <w:pPr>
              <w:spacing w:line="400" w:lineRule="exact"/>
              <w:ind w:firstLine="28"/>
              <w:jc w:val="center"/>
              <w:rPr>
                <w:rFonts w:ascii="Times New Roman" w:hAnsi="Times New Roman" w:eastAsia="仿宋_GB2312"/>
                <w:color w:val="auto"/>
                <w:szCs w:val="21"/>
              </w:rPr>
            </w:pPr>
            <w:r>
              <w:rPr>
                <w:rFonts w:ascii="Times New Roman" w:hAnsi="Times New Roman" w:eastAsia="仿宋_GB2312"/>
                <w:color w:val="auto"/>
                <w:szCs w:val="21"/>
              </w:rPr>
              <w:t>及权重</w:t>
            </w:r>
          </w:p>
        </w:tc>
        <w:tc>
          <w:tcPr>
            <w:tcW w:w="850" w:type="dxa"/>
            <w:noWrap w:val="0"/>
            <w:vAlign w:val="center"/>
          </w:tcPr>
          <w:p>
            <w:pPr>
              <w:spacing w:line="400" w:lineRule="exact"/>
              <w:ind w:firstLine="28"/>
              <w:jc w:val="center"/>
              <w:rPr>
                <w:rFonts w:ascii="Times New Roman" w:hAnsi="Times New Roman" w:eastAsia="仿宋_GB2312"/>
                <w:color w:val="auto"/>
                <w:szCs w:val="21"/>
              </w:rPr>
            </w:pPr>
            <w:r>
              <w:rPr>
                <w:rFonts w:ascii="Times New Roman" w:hAnsi="Times New Roman" w:eastAsia="仿宋_GB2312"/>
                <w:color w:val="auto"/>
                <w:szCs w:val="21"/>
              </w:rPr>
              <w:t>分值</w:t>
            </w:r>
          </w:p>
        </w:tc>
        <w:tc>
          <w:tcPr>
            <w:tcW w:w="4590" w:type="dxa"/>
            <w:noWrap w:val="0"/>
            <w:vAlign w:val="center"/>
          </w:tcPr>
          <w:p>
            <w:pPr>
              <w:spacing w:line="400" w:lineRule="exact"/>
              <w:ind w:firstLine="28"/>
              <w:jc w:val="center"/>
              <w:rPr>
                <w:rFonts w:ascii="Times New Roman" w:hAnsi="Times New Roman" w:eastAsia="仿宋_GB2312"/>
                <w:color w:val="auto"/>
                <w:szCs w:val="21"/>
              </w:rPr>
            </w:pPr>
            <w:r>
              <w:rPr>
                <w:rFonts w:ascii="Times New Roman" w:hAnsi="Times New Roman" w:eastAsia="仿宋_GB2312"/>
                <w:color w:val="auto"/>
                <w:szCs w:val="21"/>
              </w:rPr>
              <w:t>评分标准</w:t>
            </w:r>
          </w:p>
        </w:tc>
        <w:tc>
          <w:tcPr>
            <w:tcW w:w="1681" w:type="dxa"/>
            <w:noWrap w:val="0"/>
            <w:vAlign w:val="center"/>
          </w:tcPr>
          <w:p>
            <w:pPr>
              <w:spacing w:line="400" w:lineRule="exact"/>
              <w:ind w:firstLine="28"/>
              <w:jc w:val="center"/>
              <w:rPr>
                <w:rFonts w:ascii="Times New Roman" w:hAnsi="Times New Roman" w:eastAsia="仿宋_GB2312"/>
                <w:color w:val="auto"/>
                <w:szCs w:val="21"/>
              </w:rPr>
            </w:pPr>
            <w:r>
              <w:rPr>
                <w:rFonts w:ascii="Times New Roman" w:hAnsi="Times New Roman" w:eastAsia="仿宋_GB2312"/>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823" w:type="dxa"/>
            <w:noWrap w:val="0"/>
            <w:vAlign w:val="center"/>
          </w:tcPr>
          <w:p>
            <w:pPr>
              <w:spacing w:line="400" w:lineRule="exact"/>
              <w:ind w:firstLine="28"/>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1434" w:type="dxa"/>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报价</w:t>
            </w:r>
            <w:r>
              <w:rPr>
                <w:rFonts w:hint="eastAsia" w:ascii="Times New Roman" w:hAnsi="Times New Roman" w:eastAsia="仿宋_GB2312"/>
                <w:color w:val="auto"/>
                <w:szCs w:val="21"/>
              </w:rPr>
              <w:t>25</w:t>
            </w:r>
            <w:r>
              <w:rPr>
                <w:rFonts w:ascii="Times New Roman" w:hAnsi="Times New Roman" w:eastAsia="仿宋_GB2312"/>
                <w:color w:val="auto"/>
                <w:szCs w:val="21"/>
              </w:rPr>
              <w:t>%（主要评分因素）</w:t>
            </w:r>
          </w:p>
        </w:tc>
        <w:tc>
          <w:tcPr>
            <w:tcW w:w="850" w:type="dxa"/>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25</w:t>
            </w:r>
            <w:r>
              <w:rPr>
                <w:rFonts w:ascii="Times New Roman" w:hAnsi="Times New Roman" w:eastAsia="仿宋_GB2312"/>
                <w:color w:val="auto"/>
                <w:szCs w:val="21"/>
              </w:rPr>
              <w:t>分</w:t>
            </w:r>
          </w:p>
        </w:tc>
        <w:tc>
          <w:tcPr>
            <w:tcW w:w="4590" w:type="dxa"/>
            <w:noWrap w:val="0"/>
            <w:vAlign w:val="center"/>
          </w:tcPr>
          <w:p>
            <w:pPr>
              <w:rPr>
                <w:rFonts w:ascii="Times New Roman" w:hAnsi="Times New Roman" w:eastAsia="仿宋_GB2312"/>
                <w:color w:val="auto"/>
                <w:szCs w:val="21"/>
              </w:rPr>
            </w:pPr>
            <w:r>
              <w:rPr>
                <w:rFonts w:ascii="Times New Roman" w:hAnsi="Times New Roman" w:eastAsia="仿宋_GB2312"/>
                <w:color w:val="auto"/>
                <w:szCs w:val="21"/>
              </w:rPr>
              <w:t>满足采购文件要求且响应价格最低的响应报价为评审基准价，其价格分为满分。其他供应商的价格分统一按照下列公式计算：比选报价得分=</w:t>
            </w:r>
            <w:r>
              <w:rPr>
                <w:rFonts w:hint="eastAsia" w:ascii="Times New Roman" w:hAnsi="Times New Roman" w:eastAsia="仿宋_GB2312"/>
                <w:color w:val="auto"/>
                <w:szCs w:val="21"/>
              </w:rPr>
              <w:t>（</w:t>
            </w:r>
            <w:r>
              <w:rPr>
                <w:rFonts w:ascii="Times New Roman" w:hAnsi="Times New Roman" w:eastAsia="仿宋_GB2312"/>
                <w:color w:val="auto"/>
                <w:szCs w:val="21"/>
              </w:rPr>
              <w:t>基准价／</w:t>
            </w:r>
            <w:r>
              <w:rPr>
                <w:rFonts w:hint="eastAsia" w:ascii="Times New Roman" w:hAnsi="Times New Roman" w:eastAsia="仿宋_GB2312"/>
                <w:color w:val="auto"/>
                <w:szCs w:val="21"/>
              </w:rPr>
              <w:t>响应</w:t>
            </w:r>
            <w:r>
              <w:rPr>
                <w:rFonts w:ascii="Times New Roman" w:hAnsi="Times New Roman" w:eastAsia="仿宋_GB2312"/>
                <w:color w:val="auto"/>
                <w:szCs w:val="21"/>
              </w:rPr>
              <w:t>报价</w:t>
            </w:r>
            <w:r>
              <w:rPr>
                <w:rFonts w:hint="eastAsia" w:ascii="Times New Roman" w:hAnsi="Times New Roman" w:eastAsia="仿宋_GB2312"/>
                <w:color w:val="auto"/>
                <w:szCs w:val="21"/>
              </w:rPr>
              <w:t>）</w:t>
            </w:r>
            <w:r>
              <w:rPr>
                <w:rFonts w:ascii="Times New Roman" w:hAnsi="Times New Roman" w:eastAsia="仿宋_GB2312"/>
                <w:color w:val="auto"/>
                <w:sz w:val="24"/>
              </w:rPr>
              <w:t>×</w:t>
            </w:r>
            <w:r>
              <w:rPr>
                <w:rFonts w:hint="eastAsia" w:ascii="Times New Roman" w:hAnsi="Times New Roman" w:eastAsia="仿宋_GB2312"/>
                <w:color w:val="auto"/>
                <w:szCs w:val="21"/>
              </w:rPr>
              <w:t>25</w:t>
            </w:r>
            <w:r>
              <w:rPr>
                <w:rFonts w:ascii="Times New Roman" w:hAnsi="Times New Roman" w:eastAsia="仿宋_GB2312"/>
                <w:color w:val="auto"/>
                <w:szCs w:val="21"/>
              </w:rPr>
              <w:t>%</w:t>
            </w:r>
            <w:r>
              <w:rPr>
                <w:rFonts w:ascii="Times New Roman" w:hAnsi="Times New Roman" w:eastAsia="仿宋_GB2312"/>
                <w:color w:val="auto"/>
                <w:sz w:val="24"/>
              </w:rPr>
              <w:t>×</w:t>
            </w:r>
            <w:r>
              <w:rPr>
                <w:rFonts w:ascii="Times New Roman" w:hAnsi="Times New Roman" w:eastAsia="仿宋_GB2312"/>
                <w:color w:val="auto"/>
                <w:szCs w:val="21"/>
              </w:rPr>
              <w:t>100</w:t>
            </w:r>
          </w:p>
        </w:tc>
        <w:tc>
          <w:tcPr>
            <w:tcW w:w="1681" w:type="dxa"/>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823" w:type="dxa"/>
            <w:noWrap w:val="0"/>
            <w:vAlign w:val="center"/>
          </w:tcPr>
          <w:p>
            <w:pPr>
              <w:spacing w:line="400" w:lineRule="exact"/>
              <w:ind w:firstLine="28"/>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1434" w:type="dxa"/>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人员配置</w:t>
            </w:r>
            <w:r>
              <w:rPr>
                <w:rFonts w:hint="eastAsia" w:ascii="Times New Roman" w:hAnsi="Times New Roman" w:eastAsia="仿宋_GB2312"/>
                <w:color w:val="auto"/>
                <w:szCs w:val="21"/>
              </w:rPr>
              <w:t>10</w:t>
            </w:r>
            <w:r>
              <w:rPr>
                <w:rFonts w:ascii="Times New Roman" w:hAnsi="Times New Roman" w:eastAsia="仿宋_GB2312"/>
                <w:color w:val="auto"/>
                <w:szCs w:val="21"/>
              </w:rPr>
              <w:t>%</w:t>
            </w:r>
          </w:p>
        </w:tc>
        <w:tc>
          <w:tcPr>
            <w:tcW w:w="850" w:type="dxa"/>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w:t>
            </w:r>
            <w:r>
              <w:rPr>
                <w:rFonts w:hint="eastAsia" w:ascii="Times New Roman" w:hAnsi="Times New Roman" w:eastAsia="仿宋_GB2312"/>
                <w:color w:val="auto"/>
                <w:szCs w:val="21"/>
              </w:rPr>
              <w:t>0</w:t>
            </w:r>
            <w:r>
              <w:rPr>
                <w:rFonts w:ascii="Times New Roman" w:hAnsi="Times New Roman" w:eastAsia="仿宋_GB2312"/>
                <w:color w:val="auto"/>
                <w:szCs w:val="21"/>
              </w:rPr>
              <w:t>分</w:t>
            </w:r>
          </w:p>
        </w:tc>
        <w:tc>
          <w:tcPr>
            <w:tcW w:w="4590" w:type="dxa"/>
            <w:noWrap w:val="0"/>
            <w:vAlign w:val="center"/>
          </w:tcPr>
          <w:p>
            <w:pPr>
              <w:pStyle w:val="11"/>
              <w:jc w:val="both"/>
              <w:rPr>
                <w:rFonts w:ascii="Times New Roman" w:eastAsia="仿宋_GB2312" w:cs="Times New Roman"/>
                <w:color w:val="auto"/>
                <w:sz w:val="21"/>
                <w:szCs w:val="21"/>
              </w:rPr>
            </w:pPr>
            <w:r>
              <w:rPr>
                <w:rFonts w:ascii="Times New Roman" w:eastAsia="仿宋_GB2312" w:cs="Times New Roman"/>
                <w:color w:val="auto"/>
                <w:sz w:val="21"/>
                <w:szCs w:val="21"/>
              </w:rPr>
              <w:t>1.</w:t>
            </w:r>
            <w:r>
              <w:rPr>
                <w:rFonts w:hint="eastAsia" w:ascii="Times New Roman" w:eastAsia="仿宋_GB2312" w:cs="Times New Roman"/>
                <w:color w:val="auto"/>
                <w:sz w:val="21"/>
                <w:szCs w:val="21"/>
              </w:rPr>
              <w:t>供应商拟派本项目的</w:t>
            </w:r>
            <w:r>
              <w:rPr>
                <w:rStyle w:val="13"/>
                <w:rFonts w:ascii="Times New Roman" w:eastAsia="仿宋_GB2312" w:cs="Times New Roman"/>
                <w:color w:val="auto"/>
                <w:szCs w:val="21"/>
              </w:rPr>
              <w:t>项目负责人具有高级职称</w:t>
            </w:r>
            <w:r>
              <w:rPr>
                <w:rStyle w:val="13"/>
                <w:rFonts w:hint="eastAsia" w:ascii="Times New Roman" w:eastAsia="仿宋_GB2312" w:cs="Times New Roman"/>
                <w:color w:val="auto"/>
                <w:szCs w:val="21"/>
              </w:rPr>
              <w:t>（包括正高级和副高级职称）</w:t>
            </w:r>
            <w:r>
              <w:rPr>
                <w:rFonts w:ascii="Times New Roman" w:eastAsia="仿宋_GB2312" w:cs="Times New Roman"/>
                <w:color w:val="auto"/>
                <w:sz w:val="21"/>
                <w:szCs w:val="21"/>
              </w:rPr>
              <w:t>的得</w:t>
            </w:r>
            <w:r>
              <w:rPr>
                <w:rFonts w:hint="eastAsia" w:ascii="Times New Roman" w:eastAsia="仿宋_GB2312" w:cs="Times New Roman"/>
                <w:color w:val="auto"/>
                <w:sz w:val="21"/>
                <w:szCs w:val="21"/>
              </w:rPr>
              <w:t>3</w:t>
            </w:r>
            <w:r>
              <w:rPr>
                <w:rFonts w:ascii="Times New Roman" w:eastAsia="仿宋_GB2312" w:cs="Times New Roman"/>
                <w:color w:val="auto"/>
                <w:sz w:val="21"/>
                <w:szCs w:val="21"/>
              </w:rPr>
              <w:t>分；</w:t>
            </w:r>
            <w:r>
              <w:rPr>
                <w:rStyle w:val="13"/>
                <w:rFonts w:ascii="Times New Roman" w:eastAsia="仿宋_GB2312" w:cs="Times New Roman"/>
                <w:color w:val="auto"/>
                <w:szCs w:val="21"/>
              </w:rPr>
              <w:t>具有</w:t>
            </w:r>
            <w:r>
              <w:rPr>
                <w:rFonts w:ascii="Times New Roman" w:eastAsia="仿宋_GB2312" w:cs="Times New Roman"/>
                <w:color w:val="auto"/>
                <w:sz w:val="21"/>
                <w:szCs w:val="21"/>
              </w:rPr>
              <w:t>中级职称的得</w:t>
            </w:r>
            <w:r>
              <w:rPr>
                <w:rFonts w:hint="eastAsia" w:ascii="Times New Roman" w:eastAsia="仿宋_GB2312" w:cs="Times New Roman"/>
                <w:color w:val="auto"/>
                <w:sz w:val="21"/>
                <w:szCs w:val="21"/>
              </w:rPr>
              <w:t>1</w:t>
            </w:r>
            <w:r>
              <w:rPr>
                <w:rFonts w:ascii="Times New Roman" w:eastAsia="仿宋_GB2312" w:cs="Times New Roman"/>
                <w:color w:val="auto"/>
                <w:sz w:val="21"/>
                <w:szCs w:val="21"/>
              </w:rPr>
              <w:t>分，本项最多得</w:t>
            </w:r>
            <w:r>
              <w:rPr>
                <w:rFonts w:hint="eastAsia" w:ascii="Times New Roman" w:eastAsia="仿宋_GB2312" w:cs="Times New Roman"/>
                <w:color w:val="auto"/>
                <w:sz w:val="21"/>
                <w:szCs w:val="21"/>
              </w:rPr>
              <w:t>3</w:t>
            </w:r>
            <w:r>
              <w:rPr>
                <w:rFonts w:ascii="Times New Roman" w:eastAsia="仿宋_GB2312" w:cs="Times New Roman"/>
                <w:color w:val="auto"/>
                <w:sz w:val="21"/>
                <w:szCs w:val="21"/>
              </w:rPr>
              <w:t>分。</w:t>
            </w:r>
          </w:p>
          <w:p>
            <w:pPr>
              <w:pStyle w:val="11"/>
              <w:jc w:val="both"/>
              <w:rPr>
                <w:rFonts w:ascii="Times New Roman" w:eastAsia="仿宋_GB2312" w:cs="Times New Roman"/>
                <w:color w:val="auto"/>
                <w:sz w:val="21"/>
                <w:szCs w:val="21"/>
              </w:rPr>
            </w:pPr>
            <w:r>
              <w:rPr>
                <w:rFonts w:ascii="Times New Roman" w:eastAsia="仿宋_GB2312" w:cs="Times New Roman"/>
                <w:color w:val="auto"/>
                <w:sz w:val="21"/>
                <w:szCs w:val="21"/>
              </w:rPr>
              <w:t>2.</w:t>
            </w:r>
            <w:r>
              <w:rPr>
                <w:rFonts w:hint="eastAsia" w:ascii="Times New Roman" w:eastAsia="仿宋_GB2312" w:cs="Times New Roman"/>
                <w:color w:val="auto"/>
                <w:sz w:val="21"/>
                <w:szCs w:val="21"/>
              </w:rPr>
              <w:t>供应商拟派本项目的</w:t>
            </w:r>
            <w:r>
              <w:rPr>
                <w:rFonts w:ascii="Times New Roman" w:eastAsia="仿宋_GB2312" w:cs="Times New Roman"/>
                <w:color w:val="auto"/>
                <w:sz w:val="21"/>
                <w:szCs w:val="21"/>
              </w:rPr>
              <w:t>团队</w:t>
            </w:r>
            <w:r>
              <w:rPr>
                <w:rFonts w:hint="eastAsia" w:ascii="Times New Roman" w:eastAsia="仿宋_GB2312" w:cs="Times New Roman"/>
                <w:color w:val="auto"/>
                <w:sz w:val="21"/>
                <w:szCs w:val="21"/>
              </w:rPr>
              <w:t>成员</w:t>
            </w:r>
            <w:r>
              <w:rPr>
                <w:rFonts w:ascii="Times New Roman" w:eastAsia="仿宋_GB2312" w:cs="Times New Roman"/>
                <w:color w:val="auto"/>
                <w:sz w:val="21"/>
                <w:szCs w:val="21"/>
              </w:rPr>
              <w:t>（项目负责人除外）：</w:t>
            </w:r>
            <w:r>
              <w:rPr>
                <w:rFonts w:hint="eastAsia" w:ascii="Times New Roman" w:eastAsia="仿宋_GB2312" w:cs="Times New Roman"/>
                <w:color w:val="auto"/>
                <w:sz w:val="21"/>
                <w:szCs w:val="21"/>
              </w:rPr>
              <w:t>每有一人</w:t>
            </w:r>
            <w:r>
              <w:rPr>
                <w:rStyle w:val="13"/>
                <w:rFonts w:ascii="Times New Roman" w:eastAsia="仿宋_GB2312" w:cs="Times New Roman"/>
                <w:color w:val="auto"/>
                <w:szCs w:val="21"/>
              </w:rPr>
              <w:t>具有</w:t>
            </w:r>
            <w:r>
              <w:rPr>
                <w:rFonts w:ascii="Times New Roman" w:eastAsia="仿宋_GB2312" w:cs="Times New Roman"/>
                <w:color w:val="auto"/>
                <w:sz w:val="21"/>
                <w:szCs w:val="21"/>
              </w:rPr>
              <w:t>高级职称（</w:t>
            </w:r>
            <w:r>
              <w:rPr>
                <w:rStyle w:val="13"/>
                <w:rFonts w:hint="eastAsia" w:ascii="Times New Roman" w:eastAsia="仿宋_GB2312" w:cs="Times New Roman"/>
                <w:color w:val="auto"/>
                <w:szCs w:val="21"/>
              </w:rPr>
              <w:t>包括正高级和副高级职称</w:t>
            </w:r>
            <w:r>
              <w:rPr>
                <w:rFonts w:ascii="Times New Roman" w:eastAsia="仿宋_GB2312" w:cs="Times New Roman"/>
                <w:color w:val="auto"/>
                <w:sz w:val="21"/>
                <w:szCs w:val="21"/>
              </w:rPr>
              <w:t>）</w:t>
            </w:r>
            <w:r>
              <w:rPr>
                <w:rStyle w:val="13"/>
                <w:rFonts w:hint="eastAsia" w:ascii="Times New Roman" w:eastAsia="仿宋_GB2312" w:cs="Times New Roman"/>
                <w:color w:val="auto"/>
                <w:szCs w:val="21"/>
              </w:rPr>
              <w:t>的</w:t>
            </w:r>
            <w:r>
              <w:rPr>
                <w:rFonts w:ascii="Times New Roman" w:eastAsia="仿宋_GB2312" w:cs="Times New Roman"/>
                <w:color w:val="auto"/>
                <w:sz w:val="21"/>
                <w:szCs w:val="21"/>
              </w:rPr>
              <w:t>得</w:t>
            </w:r>
            <w:r>
              <w:rPr>
                <w:rFonts w:hint="eastAsia" w:ascii="Times New Roman" w:eastAsia="仿宋_GB2312" w:cs="Times New Roman"/>
                <w:color w:val="auto"/>
                <w:sz w:val="21"/>
                <w:szCs w:val="21"/>
              </w:rPr>
              <w:t>3</w:t>
            </w:r>
            <w:r>
              <w:rPr>
                <w:rFonts w:ascii="Times New Roman" w:eastAsia="仿宋_GB2312" w:cs="Times New Roman"/>
                <w:color w:val="auto"/>
                <w:sz w:val="21"/>
                <w:szCs w:val="21"/>
              </w:rPr>
              <w:t>分，</w:t>
            </w:r>
            <w:r>
              <w:rPr>
                <w:rFonts w:hint="eastAsia" w:ascii="Times New Roman" w:eastAsia="仿宋_GB2312" w:cs="Times New Roman"/>
                <w:color w:val="auto"/>
                <w:sz w:val="21"/>
                <w:szCs w:val="21"/>
              </w:rPr>
              <w:t>每有一人</w:t>
            </w:r>
            <w:r>
              <w:rPr>
                <w:rStyle w:val="13"/>
                <w:rFonts w:ascii="Times New Roman" w:eastAsia="仿宋_GB2312" w:cs="Times New Roman"/>
                <w:color w:val="auto"/>
                <w:szCs w:val="21"/>
              </w:rPr>
              <w:t>具有</w:t>
            </w:r>
            <w:r>
              <w:rPr>
                <w:rFonts w:ascii="Times New Roman" w:eastAsia="仿宋_GB2312" w:cs="Times New Roman"/>
                <w:color w:val="auto"/>
                <w:sz w:val="21"/>
                <w:szCs w:val="21"/>
              </w:rPr>
              <w:t>中级职称</w:t>
            </w:r>
            <w:r>
              <w:rPr>
                <w:rFonts w:hint="eastAsia" w:ascii="Times New Roman" w:eastAsia="仿宋_GB2312" w:cs="Times New Roman"/>
                <w:color w:val="auto"/>
                <w:sz w:val="21"/>
                <w:szCs w:val="21"/>
              </w:rPr>
              <w:t>的</w:t>
            </w:r>
            <w:r>
              <w:rPr>
                <w:rFonts w:ascii="Times New Roman" w:eastAsia="仿宋_GB2312" w:cs="Times New Roman"/>
                <w:color w:val="auto"/>
                <w:sz w:val="21"/>
                <w:szCs w:val="21"/>
              </w:rPr>
              <w:t>得</w:t>
            </w:r>
            <w:r>
              <w:rPr>
                <w:rFonts w:hint="eastAsia" w:ascii="Times New Roman" w:eastAsia="仿宋_GB2312" w:cs="Times New Roman"/>
                <w:color w:val="auto"/>
                <w:sz w:val="21"/>
                <w:szCs w:val="21"/>
              </w:rPr>
              <w:t>1</w:t>
            </w:r>
            <w:r>
              <w:rPr>
                <w:rFonts w:ascii="Times New Roman" w:eastAsia="仿宋_GB2312" w:cs="Times New Roman"/>
                <w:color w:val="auto"/>
                <w:sz w:val="21"/>
                <w:szCs w:val="21"/>
              </w:rPr>
              <w:t>分，本项最多得</w:t>
            </w:r>
            <w:r>
              <w:rPr>
                <w:rFonts w:hint="eastAsia" w:ascii="Times New Roman" w:eastAsia="仿宋_GB2312" w:cs="Times New Roman"/>
                <w:color w:val="auto"/>
                <w:sz w:val="21"/>
                <w:szCs w:val="21"/>
              </w:rPr>
              <w:t>7</w:t>
            </w:r>
            <w:r>
              <w:rPr>
                <w:rFonts w:ascii="Times New Roman" w:eastAsia="仿宋_GB2312" w:cs="Times New Roman"/>
                <w:color w:val="auto"/>
                <w:sz w:val="21"/>
                <w:szCs w:val="21"/>
              </w:rPr>
              <w:t>分。</w:t>
            </w:r>
          </w:p>
        </w:tc>
        <w:tc>
          <w:tcPr>
            <w:tcW w:w="1681" w:type="dxa"/>
            <w:noWrap w:val="0"/>
            <w:vAlign w:val="center"/>
          </w:tcPr>
          <w:p>
            <w:pPr>
              <w:rPr>
                <w:rFonts w:ascii="Times New Roman" w:hAnsi="Times New Roman" w:eastAsia="仿宋_GB2312"/>
                <w:color w:val="auto"/>
                <w:szCs w:val="21"/>
              </w:rPr>
            </w:pPr>
            <w:r>
              <w:rPr>
                <w:rFonts w:ascii="Times New Roman" w:hAnsi="Times New Roman" w:eastAsia="仿宋_GB2312"/>
                <w:color w:val="auto"/>
                <w:szCs w:val="21"/>
              </w:rPr>
              <w:t>须提供人员相关的证书</w:t>
            </w:r>
            <w:r>
              <w:rPr>
                <w:rFonts w:hint="eastAsia" w:ascii="Times New Roman" w:hAnsi="Times New Roman" w:eastAsia="仿宋_GB2312"/>
                <w:color w:val="auto"/>
                <w:szCs w:val="21"/>
              </w:rPr>
              <w:t>复印件</w:t>
            </w:r>
            <w:r>
              <w:rPr>
                <w:rFonts w:ascii="Times New Roman" w:hAnsi="Times New Roman" w:eastAsia="仿宋_GB2312"/>
                <w:color w:val="auto"/>
                <w:szCs w:val="21"/>
              </w:rPr>
              <w:t>，以及该人员为本单位在职人员的证明材料</w:t>
            </w:r>
            <w:r>
              <w:rPr>
                <w:rFonts w:hint="eastAsia" w:ascii="Times New Roman" w:hAnsi="Times New Roman" w:eastAsia="仿宋_GB2312"/>
                <w:color w:val="auto"/>
                <w:szCs w:val="21"/>
              </w:rPr>
              <w:t>复印件</w:t>
            </w:r>
            <w:r>
              <w:rPr>
                <w:rFonts w:ascii="Times New Roman" w:hAnsi="Times New Roman" w:eastAsia="仿宋_GB2312"/>
                <w:color w:val="auto"/>
                <w:szCs w:val="21"/>
              </w:rPr>
              <w:t>，并加盖供应商公章。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9" w:hRule="atLeast"/>
          <w:jc w:val="center"/>
        </w:trPr>
        <w:tc>
          <w:tcPr>
            <w:tcW w:w="823" w:type="dxa"/>
            <w:noWrap w:val="0"/>
            <w:vAlign w:val="center"/>
          </w:tcPr>
          <w:p>
            <w:pPr>
              <w:spacing w:line="400" w:lineRule="exact"/>
              <w:ind w:firstLine="28"/>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1434" w:type="dxa"/>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服务方案40%（主要评分因素）</w:t>
            </w:r>
          </w:p>
        </w:tc>
        <w:tc>
          <w:tcPr>
            <w:tcW w:w="850" w:type="dxa"/>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40分</w:t>
            </w:r>
          </w:p>
        </w:tc>
        <w:tc>
          <w:tcPr>
            <w:tcW w:w="4590" w:type="dxa"/>
            <w:noWrap w:val="0"/>
            <w:vAlign w:val="center"/>
          </w:tcPr>
          <w:p>
            <w:pPr>
              <w:pStyle w:val="11"/>
              <w:jc w:val="both"/>
              <w:rPr>
                <w:rStyle w:val="13"/>
                <w:rFonts w:ascii="Times New Roman" w:eastAsia="仿宋_GB2312" w:cs="Times New Roman"/>
                <w:color w:val="auto"/>
                <w:szCs w:val="21"/>
              </w:rPr>
            </w:pPr>
            <w:r>
              <w:rPr>
                <w:rStyle w:val="13"/>
                <w:rFonts w:ascii="Times New Roman" w:eastAsia="仿宋_GB2312" w:cs="Times New Roman"/>
                <w:color w:val="auto"/>
                <w:szCs w:val="21"/>
              </w:rPr>
              <w:t>供应商提供的服务方案包括但不限于：</w:t>
            </w:r>
          </w:p>
          <w:p>
            <w:pPr>
              <w:pStyle w:val="11"/>
              <w:jc w:val="both"/>
              <w:rPr>
                <w:rStyle w:val="13"/>
                <w:rFonts w:ascii="Times New Roman" w:eastAsia="仿宋_GB2312" w:cs="Times New Roman"/>
                <w:color w:val="auto"/>
                <w:szCs w:val="21"/>
              </w:rPr>
            </w:pPr>
            <w:r>
              <w:rPr>
                <w:rStyle w:val="13"/>
                <w:rFonts w:ascii="Times New Roman" w:eastAsia="仿宋_GB2312" w:cs="Times New Roman"/>
                <w:color w:val="auto"/>
                <w:szCs w:val="21"/>
              </w:rPr>
              <w:t>1、工作背景（满分10分）：项目介绍清楚，背景资料掌握充分，工作特点掌握准确，得7-10分；项目介绍基本清楚，背景资料掌握一般，工作特点掌握一般，得4-6分；基础掌握不清楚，得0-3分。</w:t>
            </w:r>
          </w:p>
          <w:p>
            <w:pPr>
              <w:pStyle w:val="11"/>
              <w:jc w:val="both"/>
              <w:rPr>
                <w:rStyle w:val="13"/>
                <w:rFonts w:ascii="Times New Roman" w:eastAsia="仿宋_GB2312" w:cs="Times New Roman"/>
                <w:color w:val="auto"/>
                <w:szCs w:val="21"/>
              </w:rPr>
            </w:pPr>
            <w:r>
              <w:rPr>
                <w:rStyle w:val="13"/>
                <w:rFonts w:ascii="Times New Roman" w:eastAsia="仿宋_GB2312" w:cs="Times New Roman"/>
                <w:color w:val="auto"/>
                <w:szCs w:val="21"/>
              </w:rPr>
              <w:t>2、重难点分析（满分10分）：准确掌握本项目的重难点，实施路线整体把握准确，得7-10分；掌握本项目的重难点，把握实施路线，得4-6分；重难点掌握一般，实施路线把握不准，得0-3分。</w:t>
            </w:r>
          </w:p>
          <w:p>
            <w:pPr>
              <w:pStyle w:val="11"/>
              <w:jc w:val="both"/>
              <w:rPr>
                <w:rStyle w:val="13"/>
                <w:rFonts w:ascii="Times New Roman" w:eastAsia="仿宋_GB2312" w:cs="Times New Roman"/>
                <w:color w:val="auto"/>
                <w:szCs w:val="21"/>
              </w:rPr>
            </w:pPr>
            <w:r>
              <w:rPr>
                <w:rStyle w:val="13"/>
                <w:rFonts w:ascii="Times New Roman" w:eastAsia="仿宋_GB2312" w:cs="Times New Roman"/>
                <w:color w:val="auto"/>
                <w:szCs w:val="21"/>
              </w:rPr>
              <w:t>3、实施方案（满分10分）：实施方案详细具体、内容齐全，工作方法得当，工作布置合理可行，得7-10分；实施方案较详细具体、内容较齐全，工作布置较合理可行得4-6分；实施方案基本满足要求，工作内容基本全面，得0-3分。</w:t>
            </w:r>
          </w:p>
          <w:p>
            <w:pPr>
              <w:pStyle w:val="11"/>
              <w:jc w:val="both"/>
              <w:rPr>
                <w:rFonts w:ascii="Times New Roman" w:eastAsia="仿宋_GB2312" w:cs="Times New Roman"/>
                <w:color w:val="auto"/>
                <w:sz w:val="21"/>
                <w:szCs w:val="21"/>
              </w:rPr>
            </w:pPr>
            <w:r>
              <w:rPr>
                <w:rStyle w:val="13"/>
                <w:rFonts w:ascii="Times New Roman" w:eastAsia="仿宋_GB2312" w:cs="Times New Roman"/>
                <w:color w:val="auto"/>
                <w:szCs w:val="21"/>
              </w:rPr>
              <w:t>4、</w:t>
            </w:r>
            <w:r>
              <w:rPr>
                <w:rStyle w:val="13"/>
                <w:rFonts w:hint="eastAsia" w:ascii="Times New Roman" w:eastAsia="仿宋_GB2312" w:cs="Times New Roman"/>
                <w:color w:val="auto"/>
                <w:szCs w:val="21"/>
              </w:rPr>
              <w:t>时间节点</w:t>
            </w:r>
            <w:r>
              <w:rPr>
                <w:rStyle w:val="13"/>
                <w:rFonts w:ascii="Times New Roman" w:eastAsia="仿宋_GB2312" w:cs="Times New Roman"/>
                <w:color w:val="auto"/>
                <w:szCs w:val="21"/>
              </w:rPr>
              <w:t>（满分10分）：</w:t>
            </w:r>
            <w:r>
              <w:rPr>
                <w:rStyle w:val="13"/>
                <w:rFonts w:hint="eastAsia" w:ascii="Times New Roman" w:eastAsia="仿宋_GB2312" w:cs="Times New Roman"/>
                <w:color w:val="auto"/>
                <w:szCs w:val="21"/>
              </w:rPr>
              <w:t>时间节点安排</w:t>
            </w:r>
            <w:r>
              <w:rPr>
                <w:rStyle w:val="13"/>
                <w:rFonts w:ascii="Times New Roman" w:eastAsia="仿宋_GB2312" w:cs="Times New Roman"/>
                <w:color w:val="auto"/>
                <w:szCs w:val="21"/>
              </w:rPr>
              <w:t>合理</w:t>
            </w:r>
            <w:r>
              <w:rPr>
                <w:rStyle w:val="13"/>
                <w:rFonts w:hint="eastAsia" w:ascii="Times New Roman" w:eastAsia="仿宋_GB2312" w:cs="Times New Roman"/>
                <w:color w:val="auto"/>
                <w:szCs w:val="21"/>
              </w:rPr>
              <w:t>，有倒排工期</w:t>
            </w:r>
            <w:r>
              <w:rPr>
                <w:rStyle w:val="13"/>
                <w:rFonts w:ascii="Times New Roman" w:eastAsia="仿宋_GB2312" w:cs="Times New Roman"/>
                <w:color w:val="auto"/>
                <w:szCs w:val="21"/>
              </w:rPr>
              <w:t>，满足工作进度，得7-10分；</w:t>
            </w:r>
            <w:r>
              <w:rPr>
                <w:rStyle w:val="13"/>
                <w:rFonts w:hint="eastAsia" w:ascii="Times New Roman" w:eastAsia="仿宋_GB2312" w:cs="Times New Roman"/>
                <w:color w:val="auto"/>
                <w:szCs w:val="21"/>
              </w:rPr>
              <w:t>时间节点安排</w:t>
            </w:r>
            <w:r>
              <w:rPr>
                <w:rStyle w:val="13"/>
                <w:rFonts w:ascii="Times New Roman" w:eastAsia="仿宋_GB2312" w:cs="Times New Roman"/>
                <w:color w:val="auto"/>
                <w:szCs w:val="21"/>
              </w:rPr>
              <w:t>较合理，基本满足工作进度，得4-6分；</w:t>
            </w:r>
            <w:r>
              <w:rPr>
                <w:rStyle w:val="13"/>
                <w:rFonts w:hint="eastAsia" w:ascii="Times New Roman" w:eastAsia="仿宋_GB2312" w:cs="Times New Roman"/>
                <w:color w:val="auto"/>
                <w:szCs w:val="21"/>
              </w:rPr>
              <w:t>时间节点安排不</w:t>
            </w:r>
            <w:r>
              <w:rPr>
                <w:rStyle w:val="13"/>
                <w:rFonts w:ascii="Times New Roman" w:eastAsia="仿宋_GB2312" w:cs="Times New Roman"/>
                <w:color w:val="auto"/>
                <w:szCs w:val="21"/>
              </w:rPr>
              <w:t>合理，得0-3分。</w:t>
            </w:r>
          </w:p>
        </w:tc>
        <w:tc>
          <w:tcPr>
            <w:tcW w:w="1681" w:type="dxa"/>
            <w:noWrap w:val="0"/>
            <w:vAlign w:val="center"/>
          </w:tcPr>
          <w:p>
            <w:pPr>
              <w:pStyle w:val="11"/>
              <w:jc w:val="center"/>
              <w:rPr>
                <w:rStyle w:val="13"/>
                <w:rFonts w:ascii="Times New Roman" w:eastAsia="仿宋_GB2312" w:cs="Times New Roman"/>
                <w:color w:val="auto"/>
                <w:szCs w:val="21"/>
              </w:rPr>
            </w:pPr>
            <w:r>
              <w:rPr>
                <w:rStyle w:val="13"/>
                <w:rFonts w:hint="eastAsia" w:ascii="Times New Roman" w:eastAsia="仿宋_GB2312"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5" w:hRule="atLeast"/>
          <w:jc w:val="center"/>
        </w:trPr>
        <w:tc>
          <w:tcPr>
            <w:tcW w:w="823" w:type="dxa"/>
            <w:noWrap w:val="0"/>
            <w:vAlign w:val="center"/>
          </w:tcPr>
          <w:p>
            <w:pPr>
              <w:spacing w:line="400" w:lineRule="exact"/>
              <w:ind w:firstLine="28"/>
              <w:jc w:val="center"/>
              <w:rPr>
                <w:rFonts w:ascii="Times New Roman" w:hAnsi="Times New Roman" w:eastAsia="仿宋_GB2312"/>
                <w:color w:val="auto"/>
                <w:szCs w:val="21"/>
              </w:rPr>
            </w:pPr>
            <w:r>
              <w:rPr>
                <w:rFonts w:ascii="Times New Roman" w:hAnsi="Times New Roman" w:eastAsia="仿宋_GB2312"/>
                <w:color w:val="auto"/>
                <w:szCs w:val="21"/>
              </w:rPr>
              <w:t>4</w:t>
            </w:r>
          </w:p>
        </w:tc>
        <w:tc>
          <w:tcPr>
            <w:tcW w:w="1434" w:type="dxa"/>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业绩2</w:t>
            </w:r>
            <w:r>
              <w:rPr>
                <w:rFonts w:hint="eastAsia" w:ascii="Times New Roman" w:hAnsi="Times New Roman" w:eastAsia="仿宋_GB2312"/>
                <w:color w:val="auto"/>
                <w:szCs w:val="21"/>
              </w:rPr>
              <w:t>0</w:t>
            </w:r>
            <w:r>
              <w:rPr>
                <w:rFonts w:ascii="Times New Roman" w:hAnsi="Times New Roman" w:eastAsia="仿宋_GB2312"/>
                <w:color w:val="auto"/>
                <w:szCs w:val="21"/>
              </w:rPr>
              <w:t>%</w:t>
            </w:r>
          </w:p>
        </w:tc>
        <w:tc>
          <w:tcPr>
            <w:tcW w:w="850" w:type="dxa"/>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2</w:t>
            </w:r>
            <w:r>
              <w:rPr>
                <w:rFonts w:hint="eastAsia" w:ascii="Times New Roman" w:hAnsi="Times New Roman" w:eastAsia="仿宋_GB2312"/>
                <w:color w:val="auto"/>
                <w:szCs w:val="21"/>
              </w:rPr>
              <w:t>0</w:t>
            </w:r>
            <w:r>
              <w:rPr>
                <w:rFonts w:ascii="Times New Roman" w:hAnsi="Times New Roman" w:eastAsia="仿宋_GB2312"/>
                <w:color w:val="auto"/>
                <w:szCs w:val="21"/>
              </w:rPr>
              <w:t>分</w:t>
            </w:r>
          </w:p>
        </w:tc>
        <w:tc>
          <w:tcPr>
            <w:tcW w:w="4590" w:type="dxa"/>
            <w:noWrap w:val="0"/>
            <w:vAlign w:val="center"/>
          </w:tcPr>
          <w:p>
            <w:pPr>
              <w:pStyle w:val="11"/>
              <w:jc w:val="both"/>
              <w:rPr>
                <w:rStyle w:val="13"/>
                <w:rFonts w:ascii="Times New Roman" w:eastAsia="仿宋_GB2312" w:cs="Times New Roman"/>
                <w:color w:val="auto"/>
                <w:szCs w:val="21"/>
              </w:rPr>
            </w:pPr>
            <w:r>
              <w:rPr>
                <w:rStyle w:val="13"/>
                <w:rFonts w:hint="eastAsia" w:ascii="Times New Roman" w:eastAsia="仿宋_GB2312" w:cs="Times New Roman"/>
                <w:color w:val="auto"/>
                <w:szCs w:val="21"/>
              </w:rPr>
              <w:t>供应商提供自2019年以来（本项目开标时间为止）的产业规划、政府研究报告</w:t>
            </w:r>
            <w:bookmarkStart w:id="0" w:name="_GoBack"/>
            <w:bookmarkEnd w:id="0"/>
            <w:r>
              <w:rPr>
                <w:rStyle w:val="13"/>
                <w:rFonts w:hint="eastAsia" w:ascii="Times New Roman" w:eastAsia="仿宋_GB2312" w:cs="Times New Roman"/>
                <w:color w:val="auto"/>
                <w:szCs w:val="21"/>
              </w:rPr>
              <w:t>的业绩材料，每提供一个得10分，最多得20分。</w:t>
            </w:r>
          </w:p>
        </w:tc>
        <w:tc>
          <w:tcPr>
            <w:tcW w:w="1681" w:type="dxa"/>
            <w:noWrap w:val="0"/>
            <w:vAlign w:val="center"/>
          </w:tcPr>
          <w:p>
            <w:pPr>
              <w:rPr>
                <w:rFonts w:ascii="Times New Roman" w:hAnsi="Times New Roman" w:eastAsia="仿宋_GB2312"/>
                <w:color w:val="auto"/>
                <w:szCs w:val="21"/>
              </w:rPr>
            </w:pPr>
            <w:r>
              <w:rPr>
                <w:rFonts w:ascii="Times New Roman" w:hAnsi="Times New Roman" w:eastAsia="仿宋_GB2312"/>
                <w:color w:val="auto"/>
                <w:szCs w:val="21"/>
              </w:rPr>
              <w:t>业绩需提供合同复印件或中标（成交）通知书复印件并加盖供应商单位公章。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7" w:hRule="atLeast"/>
          <w:jc w:val="center"/>
        </w:trPr>
        <w:tc>
          <w:tcPr>
            <w:tcW w:w="823" w:type="dxa"/>
            <w:noWrap w:val="0"/>
            <w:vAlign w:val="center"/>
          </w:tcPr>
          <w:p>
            <w:pPr>
              <w:jc w:val="center"/>
              <w:rPr>
                <w:rStyle w:val="13"/>
                <w:rFonts w:ascii="Times New Roman" w:hAnsi="Times New Roman" w:eastAsia="仿宋_GB2312"/>
                <w:color w:val="auto"/>
                <w:szCs w:val="21"/>
              </w:rPr>
            </w:pPr>
            <w:r>
              <w:rPr>
                <w:rStyle w:val="13"/>
                <w:rFonts w:ascii="Times New Roman" w:hAnsi="Times New Roman" w:eastAsia="仿宋_GB2312"/>
                <w:color w:val="auto"/>
                <w:szCs w:val="21"/>
              </w:rPr>
              <w:t>5</w:t>
            </w:r>
          </w:p>
        </w:tc>
        <w:tc>
          <w:tcPr>
            <w:tcW w:w="1434" w:type="dxa"/>
            <w:noWrap w:val="0"/>
            <w:vAlign w:val="center"/>
          </w:tcPr>
          <w:p>
            <w:pPr>
              <w:jc w:val="center"/>
              <w:rPr>
                <w:rStyle w:val="13"/>
                <w:rFonts w:ascii="Times New Roman" w:hAnsi="Times New Roman" w:eastAsia="仿宋_GB2312"/>
                <w:color w:val="auto"/>
                <w:szCs w:val="21"/>
              </w:rPr>
            </w:pPr>
            <w:r>
              <w:rPr>
                <w:rStyle w:val="13"/>
                <w:rFonts w:ascii="Times New Roman" w:hAnsi="Times New Roman" w:eastAsia="仿宋_GB2312"/>
                <w:color w:val="auto"/>
                <w:szCs w:val="21"/>
              </w:rPr>
              <w:t>比选材料的规范性</w:t>
            </w:r>
            <w:r>
              <w:rPr>
                <w:rStyle w:val="13"/>
                <w:rFonts w:hint="eastAsia" w:ascii="Times New Roman" w:hAnsi="Times New Roman" w:eastAsia="仿宋_GB2312"/>
                <w:color w:val="auto"/>
                <w:szCs w:val="21"/>
              </w:rPr>
              <w:t>5</w:t>
            </w:r>
            <w:r>
              <w:rPr>
                <w:rStyle w:val="13"/>
                <w:rFonts w:ascii="Times New Roman" w:hAnsi="Times New Roman" w:eastAsia="仿宋_GB2312"/>
                <w:color w:val="auto"/>
                <w:szCs w:val="21"/>
              </w:rPr>
              <w:t>%</w:t>
            </w:r>
          </w:p>
        </w:tc>
        <w:tc>
          <w:tcPr>
            <w:tcW w:w="850" w:type="dxa"/>
            <w:noWrap w:val="0"/>
            <w:vAlign w:val="center"/>
          </w:tcPr>
          <w:p>
            <w:pPr>
              <w:jc w:val="center"/>
              <w:rPr>
                <w:rStyle w:val="13"/>
                <w:rFonts w:ascii="Times New Roman" w:hAnsi="Times New Roman" w:eastAsia="仿宋_GB2312"/>
                <w:color w:val="auto"/>
                <w:szCs w:val="21"/>
              </w:rPr>
            </w:pPr>
            <w:r>
              <w:rPr>
                <w:rStyle w:val="13"/>
                <w:rFonts w:hint="eastAsia" w:ascii="Times New Roman" w:hAnsi="Times New Roman" w:eastAsia="仿宋_GB2312"/>
                <w:color w:val="auto"/>
                <w:szCs w:val="21"/>
              </w:rPr>
              <w:t>5</w:t>
            </w:r>
            <w:r>
              <w:rPr>
                <w:rStyle w:val="13"/>
                <w:rFonts w:ascii="Times New Roman" w:hAnsi="Times New Roman" w:eastAsia="仿宋_GB2312"/>
                <w:color w:val="auto"/>
                <w:szCs w:val="21"/>
              </w:rPr>
              <w:t>分</w:t>
            </w:r>
          </w:p>
        </w:tc>
        <w:tc>
          <w:tcPr>
            <w:tcW w:w="4590" w:type="dxa"/>
            <w:noWrap w:val="0"/>
            <w:vAlign w:val="center"/>
          </w:tcPr>
          <w:p>
            <w:pPr>
              <w:rPr>
                <w:rStyle w:val="13"/>
                <w:rFonts w:ascii="Times New Roman" w:hAnsi="Times New Roman" w:eastAsia="仿宋_GB2312"/>
                <w:color w:val="auto"/>
                <w:szCs w:val="21"/>
              </w:rPr>
            </w:pPr>
            <w:r>
              <w:rPr>
                <w:rStyle w:val="13"/>
                <w:rFonts w:ascii="Times New Roman" w:hAnsi="Times New Roman" w:eastAsia="仿宋_GB2312"/>
                <w:color w:val="auto"/>
                <w:szCs w:val="21"/>
              </w:rPr>
              <w:t>参选单位比选材料制作规范，逐页编码，格式规范，内容整齐得5分，</w:t>
            </w:r>
            <w:r>
              <w:rPr>
                <w:rStyle w:val="13"/>
                <w:rFonts w:hint="eastAsia" w:ascii="Times New Roman" w:hAnsi="Times New Roman" w:eastAsia="仿宋_GB2312"/>
                <w:color w:val="auto"/>
                <w:szCs w:val="21"/>
              </w:rPr>
              <w:t>每出现</w:t>
            </w:r>
            <w:r>
              <w:rPr>
                <w:rStyle w:val="13"/>
                <w:rFonts w:hint="eastAsia" w:ascii="Times New Roman" w:hAnsi="Times New Roman" w:eastAsia="仿宋_GB2312"/>
                <w:color w:val="auto"/>
                <w:szCs w:val="21"/>
                <w:lang w:val="en-US"/>
              </w:rPr>
              <w:t>1处</w:t>
            </w:r>
            <w:r>
              <w:rPr>
                <w:rStyle w:val="13"/>
                <w:rFonts w:ascii="Times New Roman" w:hAnsi="Times New Roman" w:eastAsia="仿宋_GB2312"/>
                <w:color w:val="auto"/>
                <w:szCs w:val="21"/>
              </w:rPr>
              <w:t>细微偏差扣</w:t>
            </w:r>
            <w:r>
              <w:rPr>
                <w:rStyle w:val="13"/>
                <w:rFonts w:hint="eastAsia" w:ascii="Times New Roman" w:hAnsi="Times New Roman" w:eastAsia="仿宋_GB2312"/>
                <w:color w:val="auto"/>
                <w:szCs w:val="21"/>
                <w:lang w:val="en-US"/>
              </w:rPr>
              <w:t>0.5</w:t>
            </w:r>
            <w:r>
              <w:rPr>
                <w:rStyle w:val="13"/>
                <w:rFonts w:ascii="Times New Roman" w:hAnsi="Times New Roman" w:eastAsia="仿宋_GB2312"/>
                <w:color w:val="auto"/>
                <w:szCs w:val="21"/>
              </w:rPr>
              <w:t>分。</w:t>
            </w:r>
          </w:p>
        </w:tc>
        <w:tc>
          <w:tcPr>
            <w:tcW w:w="1681" w:type="dxa"/>
            <w:noWrap w:val="0"/>
            <w:vAlign w:val="center"/>
          </w:tcPr>
          <w:p>
            <w:pPr>
              <w:jc w:val="center"/>
              <w:rPr>
                <w:rStyle w:val="13"/>
                <w:rFonts w:ascii="Times New Roman" w:hAnsi="Times New Roman" w:eastAsia="仿宋_GB2312"/>
                <w:color w:val="auto"/>
                <w:szCs w:val="21"/>
              </w:rPr>
            </w:pPr>
            <w:r>
              <w:rPr>
                <w:rStyle w:val="13"/>
                <w:rFonts w:hint="eastAsia" w:ascii="Times New Roman" w:hAnsi="Times New Roman" w:eastAsia="仿宋_GB2312"/>
                <w:color w:val="auto"/>
                <w:szCs w:val="21"/>
              </w:rPr>
              <w:t>/</w:t>
            </w:r>
          </w:p>
        </w:tc>
      </w:tr>
    </w:tbl>
    <w:p>
      <w:pPr>
        <w:rPr>
          <w:rFonts w:ascii="Times New Roman" w:hAnsi="Times New Roman"/>
          <w:b/>
          <w:bCs/>
          <w:color w:val="auto"/>
          <w:sz w:val="24"/>
        </w:rPr>
      </w:pPr>
    </w:p>
    <w:p>
      <w:pPr>
        <w:spacing w:line="360" w:lineRule="auto"/>
        <w:rPr>
          <w:rFonts w:ascii="Times New Roman" w:hAnsi="Times New Roman"/>
          <w:color w:val="auto"/>
          <w:sz w:val="44"/>
          <w:szCs w:val="44"/>
        </w:rPr>
      </w:pPr>
    </w:p>
    <w:p>
      <w:pPr>
        <w:rPr>
          <w:rFonts w:ascii="Times New Roman" w:hAnsi="Times New Roman"/>
          <w:b/>
          <w:bCs/>
          <w:color w:val="auto"/>
          <w:sz w:val="24"/>
        </w:rPr>
      </w:pPr>
    </w:p>
    <w:p>
      <w:pPr>
        <w:spacing w:line="360" w:lineRule="auto"/>
        <w:rPr>
          <w:rFonts w:ascii="Times New Roman" w:hAnsi="Times New Roman"/>
          <w:color w:val="auto"/>
          <w:sz w:val="44"/>
          <w:szCs w:val="44"/>
        </w:rPr>
      </w:pPr>
    </w:p>
    <w:p>
      <w:pPr>
        <w:spacing w:line="360" w:lineRule="auto"/>
        <w:jc w:val="both"/>
        <w:rPr>
          <w:rFonts w:ascii="Times New Roman" w:hAnsi="Times New Roman"/>
          <w:b/>
          <w:color w:val="auto"/>
          <w:sz w:val="44"/>
          <w:szCs w:val="44"/>
        </w:rPr>
      </w:pPr>
    </w:p>
    <w:p>
      <w:pPr>
        <w:pStyle w:val="2"/>
        <w:rPr>
          <w:color w:val="auto"/>
        </w:rPr>
      </w:pPr>
    </w:p>
    <w:sectPr>
      <w:footerReference r:id="rId3" w:type="default"/>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思源黑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黑体简体">
    <w:altName w:val="方正黑体_GBK"/>
    <w:panose1 w:val="02000000000000000000"/>
    <w:charset w:val="86"/>
    <w:family w:val="auto"/>
    <w:pitch w:val="default"/>
    <w:sig w:usb0="00000000" w:usb1="00000000" w:usb2="00000012" w:usb3="00000000" w:csb0="00040001" w:csb1="00000000"/>
  </w:font>
  <w:font w:name="方正小标宋简体">
    <w:altName w:val="方正小标宋_GBK"/>
    <w:panose1 w:val="02010600010101010101"/>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思源黑体">
    <w:panose1 w:val="020B0500000000000000"/>
    <w:charset w:val="86"/>
    <w:family w:val="auto"/>
    <w:pitch w:val="default"/>
    <w:sig w:usb0="30000083" w:usb1="2BDF3C10" w:usb2="00000016" w:usb3="00000000" w:csb0="602E0107"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5053965</wp:posOffset>
              </wp:positionH>
              <wp:positionV relativeFrom="paragraph">
                <wp:posOffset>-135890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4500" cy="230505"/>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397.95pt;margin-top:-10.7pt;height:18.15pt;width:35pt;mso-position-horizontal-relative:margin;mso-wrap-style:none;z-index:251659264;mso-width-relative:page;mso-height-relative:page;" filled="f" stroked="f" coordsize="21600,21600" o:gfxdata="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BMByaK1QAAAAoBAAAP&#10;AAAAAAAAAAEAIAAAADgAAABkcnMvZG93bnJldi54bWxQSwECFAAUAAAACACHTuJACbg1fMwBAACX&#10;AwAADgAAAAAAAAABACAAAAA6AQAAZHJzL2Uyb0RvYy54bWxQSwUGAAAAAAYABgBZAQAAeAU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37C26"/>
    <w:rsid w:val="06137C26"/>
    <w:rsid w:val="0F273B54"/>
    <w:rsid w:val="2DEEB3DB"/>
    <w:rsid w:val="37BE4E25"/>
    <w:rsid w:val="38B3409B"/>
    <w:rsid w:val="66146A07"/>
    <w:rsid w:val="7EB2454C"/>
    <w:rsid w:val="83CCFA68"/>
    <w:rsid w:val="BFF5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line="576" w:lineRule="auto"/>
      <w:outlineLvl w:val="0"/>
    </w:pPr>
    <w:rPr>
      <w:b/>
      <w:kern w:val="44"/>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Body Text"/>
    <w:basedOn w:val="1"/>
    <w:next w:val="1"/>
    <w:qFormat/>
    <w:uiPriority w:val="0"/>
    <w:pPr>
      <w:spacing w:before="180" w:after="18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SA"/>
    </w:rPr>
  </w:style>
  <w:style w:type="paragraph" w:customStyle="1" w:styleId="10">
    <w:name w:val="List Paragraph"/>
    <w:basedOn w:val="1"/>
    <w:qFormat/>
    <w:uiPriority w:val="0"/>
    <w:pPr>
      <w:ind w:firstLine="200" w:firstLineChars="200"/>
    </w:pPr>
  </w:style>
  <w:style w:type="paragraph" w:customStyle="1" w:styleId="11">
    <w:name w:val="Default"/>
    <w:next w:val="12"/>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2">
    <w:name w:val="列出段落1"/>
    <w:basedOn w:val="1"/>
    <w:qFormat/>
    <w:uiPriority w:val="0"/>
    <w:pPr>
      <w:ind w:firstLine="200" w:firstLineChars="200"/>
    </w:pPr>
  </w:style>
  <w:style w:type="character" w:customStyle="1" w:styleId="13">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4334</Words>
  <Characters>4541</Characters>
  <Lines>0</Lines>
  <Paragraphs>0</Paragraphs>
  <TotalTime>0</TotalTime>
  <ScaleCrop>false</ScaleCrop>
  <LinksUpToDate>false</LinksUpToDate>
  <CharactersWithSpaces>5029</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2025-11-06T02:00:00Z</dcterms:created>
  <dc:creator>世无双</dc:creator>
  <cp:lastModifiedBy>uos</cp:lastModifiedBy>
  <cp:lastPrinted>2025-11-13T08:39:00Z</cp:lastPrinted>
  <dcterms:modified xsi:type="dcterms:W3CDTF">2025-11-13T10:32:21Z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2052-11.1.0.10920</vt:lpwstr>
  </property>
  <property fmtid="{D5CDD505-2E9C-101B-9397-08002B2CF9AE}" pid="3" name="ICV">
    <vt:lpwstr>118DACCCF1654E31AE2D0BF8A8C3C919_11</vt:lpwstr>
  </property>
  <property fmtid="{D5CDD505-2E9C-101B-9397-08002B2CF9AE}" pid="4" name="KSOTemplateDocerSaveRecord">
    <vt:lpwstr>eyJoZGlkIjoiNTA1ZDFjZjQ4NGRmOTA0NDFhOWVkNTVmMTA1MDlmZGUiLCJ1c2VySWQiOiI0MDg3MTQ5MzAifQ==</vt:lpwstr>
  </property>
</Properties>
</file>