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eastAsia="仿宋" w:cs="Times New Roman"/>
          <w:sz w:val="36"/>
          <w:szCs w:val="36"/>
        </w:rPr>
      </w:pPr>
    </w:p>
    <w:p>
      <w:pPr>
        <w:spacing w:line="360" w:lineRule="auto"/>
        <w:rPr>
          <w:rFonts w:eastAsia="仿宋" w:cs="Times New Roman"/>
          <w:sz w:val="36"/>
          <w:szCs w:val="36"/>
        </w:rPr>
      </w:pPr>
    </w:p>
    <w:p>
      <w:pPr>
        <w:spacing w:line="360" w:lineRule="auto"/>
        <w:rPr>
          <w:rFonts w:eastAsia="仿宋" w:cs="Times New Roman"/>
          <w:sz w:val="36"/>
          <w:szCs w:val="36"/>
        </w:rPr>
      </w:pPr>
    </w:p>
    <w:p>
      <w:pPr>
        <w:spacing w:line="360" w:lineRule="auto"/>
        <w:jc w:val="center"/>
        <w:rPr>
          <w:rFonts w:eastAsia="方正小标宋_GBK" w:cs="Times New Roman"/>
          <w:sz w:val="72"/>
          <w:szCs w:val="72"/>
        </w:rPr>
      </w:pPr>
      <w:r>
        <w:rPr>
          <w:rFonts w:eastAsia="方正小标宋_GBK" w:cs="Times New Roman"/>
          <w:sz w:val="72"/>
          <w:szCs w:val="72"/>
        </w:rPr>
        <w:t>建设项目环</w:t>
      </w:r>
      <w:bookmarkStart w:id="2" w:name="_GoBack"/>
      <w:bookmarkEnd w:id="2"/>
      <w:r>
        <w:rPr>
          <w:rFonts w:eastAsia="方正小标宋_GBK" w:cs="Times New Roman"/>
          <w:sz w:val="72"/>
          <w:szCs w:val="72"/>
        </w:rPr>
        <w:t>境影响报告表</w:t>
      </w:r>
    </w:p>
    <w:p>
      <w:pPr>
        <w:jc w:val="center"/>
        <w:rPr>
          <w:rFonts w:eastAsia="楷体" w:cs="Times New Roman"/>
          <w:sz w:val="48"/>
          <w:szCs w:val="48"/>
        </w:rPr>
      </w:pPr>
      <w:r>
        <w:rPr>
          <w:rFonts w:eastAsia="楷体" w:cs="Times New Roman"/>
          <w:sz w:val="48"/>
          <w:szCs w:val="48"/>
        </w:rPr>
        <w:t>（污染影响类）</w:t>
      </w:r>
    </w:p>
    <w:p>
      <w:pPr>
        <w:spacing w:line="360" w:lineRule="auto"/>
        <w:jc w:val="center"/>
        <w:rPr>
          <w:rFonts w:eastAsia="仿宋" w:cs="Times New Roman"/>
          <w:b/>
          <w:sz w:val="36"/>
          <w:szCs w:val="36"/>
        </w:rPr>
      </w:pPr>
      <w:r>
        <w:rPr>
          <w:rFonts w:eastAsia="仿宋" w:cs="Times New Roman"/>
          <w:b/>
          <w:sz w:val="36"/>
          <w:szCs w:val="36"/>
        </w:rPr>
        <w:t>（送审件）</w:t>
      </w:r>
    </w:p>
    <w:p>
      <w:pPr>
        <w:spacing w:line="360" w:lineRule="auto"/>
        <w:rPr>
          <w:rFonts w:eastAsia="仿宋" w:cs="Times New Roman"/>
          <w:b/>
          <w:sz w:val="36"/>
          <w:szCs w:val="36"/>
        </w:rPr>
      </w:pPr>
    </w:p>
    <w:p>
      <w:pPr>
        <w:spacing w:line="360" w:lineRule="auto"/>
        <w:rPr>
          <w:rFonts w:eastAsia="仿宋" w:cs="Times New Roman"/>
          <w:b/>
          <w:sz w:val="36"/>
          <w:szCs w:val="36"/>
        </w:rPr>
      </w:pPr>
    </w:p>
    <w:p>
      <w:pPr>
        <w:spacing w:line="360" w:lineRule="auto"/>
        <w:rPr>
          <w:rFonts w:eastAsia="仿宋" w:cs="Times New Roman"/>
          <w:b/>
          <w:sz w:val="36"/>
          <w:szCs w:val="36"/>
        </w:rPr>
      </w:pPr>
    </w:p>
    <w:p>
      <w:pPr>
        <w:spacing w:line="360" w:lineRule="auto"/>
        <w:rPr>
          <w:rFonts w:eastAsia="仿宋" w:cs="Times New Roman"/>
          <w:b/>
          <w:sz w:val="36"/>
          <w:szCs w:val="36"/>
        </w:rPr>
      </w:pPr>
    </w:p>
    <w:p>
      <w:pPr>
        <w:spacing w:line="360" w:lineRule="auto"/>
        <w:rPr>
          <w:rFonts w:eastAsia="仿宋" w:cs="Times New Roman"/>
          <w:b/>
          <w:sz w:val="36"/>
          <w:szCs w:val="36"/>
        </w:rPr>
      </w:pPr>
    </w:p>
    <w:p>
      <w:pPr>
        <w:spacing w:line="360" w:lineRule="auto"/>
        <w:ind w:left="2519" w:leftChars="171" w:hanging="2160" w:hangingChars="600"/>
        <w:rPr>
          <w:rFonts w:eastAsia="仿宋" w:cs="Times New Roman"/>
          <w:sz w:val="36"/>
          <w:szCs w:val="36"/>
          <w:u w:val="single"/>
        </w:rPr>
      </w:pPr>
      <w:r>
        <w:rPr>
          <w:rFonts w:eastAsia="仿宋" w:cs="Times New Roman"/>
          <w:sz w:val="36"/>
          <w:szCs w:val="36"/>
        </w:rPr>
        <w:t>项目名称：</w:t>
      </w:r>
      <w:r>
        <w:rPr>
          <w:rFonts w:eastAsia="仿宋" w:cs="Times New Roman"/>
          <w:sz w:val="36"/>
          <w:szCs w:val="36"/>
          <w:u w:val="single"/>
        </w:rPr>
        <w:t>年产1.4亿平米玻纤湿法毡生产线技改项目</w:t>
      </w:r>
    </w:p>
    <w:p>
      <w:pPr>
        <w:spacing w:line="360" w:lineRule="auto"/>
        <w:ind w:firstLine="360" w:firstLineChars="100"/>
        <w:rPr>
          <w:rFonts w:eastAsia="仿宋" w:cs="Times New Roman"/>
          <w:sz w:val="36"/>
          <w:szCs w:val="36"/>
          <w:u w:val="single"/>
        </w:rPr>
      </w:pPr>
      <w:r>
        <w:rPr>
          <w:rFonts w:eastAsia="仿宋" w:cs="Times New Roman"/>
          <w:sz w:val="36"/>
          <w:szCs w:val="36"/>
        </w:rPr>
        <w:t>建设单位（盖章）：</w:t>
      </w:r>
      <w:r>
        <w:rPr>
          <w:rFonts w:eastAsia="仿宋" w:cs="Times New Roman"/>
          <w:sz w:val="36"/>
          <w:szCs w:val="36"/>
          <w:u w:val="single"/>
        </w:rPr>
        <w:t xml:space="preserve">  宣汉普光科睿新材料有限公司 </w:t>
      </w:r>
    </w:p>
    <w:p>
      <w:pPr>
        <w:spacing w:line="360" w:lineRule="auto"/>
        <w:ind w:firstLine="360" w:firstLineChars="100"/>
        <w:rPr>
          <w:rFonts w:eastAsia="仿宋" w:cs="Times New Roman"/>
          <w:sz w:val="36"/>
          <w:szCs w:val="36"/>
        </w:rPr>
      </w:pPr>
      <w:r>
        <w:rPr>
          <w:rFonts w:eastAsia="仿宋" w:cs="Times New Roman"/>
          <w:sz w:val="36"/>
          <w:szCs w:val="36"/>
        </w:rPr>
        <w:t>编制日期：</w:t>
      </w:r>
      <w:r>
        <w:rPr>
          <w:rFonts w:eastAsia="仿宋" w:cs="Times New Roman"/>
          <w:sz w:val="36"/>
          <w:szCs w:val="36"/>
          <w:u w:val="single"/>
        </w:rPr>
        <w:t xml:space="preserve">                2023年</w:t>
      </w:r>
      <w:r>
        <w:rPr>
          <w:rFonts w:hint="eastAsia" w:eastAsia="仿宋" w:cs="Times New Roman"/>
          <w:sz w:val="36"/>
          <w:szCs w:val="36"/>
          <w:u w:val="single"/>
          <w:lang w:val="en-US" w:eastAsia="zh-CN"/>
        </w:rPr>
        <w:t>12</w:t>
      </w:r>
      <w:r>
        <w:rPr>
          <w:rFonts w:eastAsia="仿宋" w:cs="Times New Roman"/>
          <w:sz w:val="36"/>
          <w:szCs w:val="36"/>
          <w:u w:val="single"/>
        </w:rPr>
        <w:t xml:space="preserve">月           </w:t>
      </w:r>
    </w:p>
    <w:p>
      <w:pPr>
        <w:spacing w:line="360" w:lineRule="auto"/>
        <w:rPr>
          <w:rFonts w:eastAsia="仿宋" w:cs="Times New Roman"/>
          <w:sz w:val="36"/>
          <w:szCs w:val="36"/>
        </w:rPr>
      </w:pPr>
    </w:p>
    <w:p>
      <w:pPr>
        <w:spacing w:line="360" w:lineRule="auto"/>
        <w:rPr>
          <w:rFonts w:eastAsia="仿宋" w:cs="Times New Roman"/>
          <w:sz w:val="36"/>
          <w:szCs w:val="36"/>
        </w:rPr>
      </w:pPr>
    </w:p>
    <w:p>
      <w:pPr>
        <w:spacing w:line="360" w:lineRule="auto"/>
        <w:rPr>
          <w:rFonts w:eastAsia="仿宋" w:cs="Times New Roman"/>
          <w:sz w:val="36"/>
          <w:szCs w:val="36"/>
        </w:rPr>
      </w:pPr>
    </w:p>
    <w:p>
      <w:pPr>
        <w:spacing w:line="360" w:lineRule="auto"/>
        <w:rPr>
          <w:rFonts w:eastAsia="仿宋" w:cs="Times New Roman"/>
          <w:sz w:val="36"/>
          <w:szCs w:val="36"/>
        </w:rPr>
      </w:pPr>
    </w:p>
    <w:p>
      <w:pPr>
        <w:spacing w:line="360" w:lineRule="auto"/>
        <w:jc w:val="center"/>
        <w:rPr>
          <w:rFonts w:eastAsia="楷体" w:cs="Times New Roman"/>
          <w:sz w:val="36"/>
          <w:szCs w:val="36"/>
        </w:rPr>
      </w:pPr>
    </w:p>
    <w:p>
      <w:pPr>
        <w:spacing w:line="360" w:lineRule="auto"/>
        <w:jc w:val="center"/>
        <w:rPr>
          <w:rFonts w:eastAsia="楷体" w:cs="Times New Roman"/>
          <w:sz w:val="36"/>
          <w:szCs w:val="36"/>
        </w:rPr>
      </w:pPr>
      <w:r>
        <w:rPr>
          <w:rFonts w:eastAsia="楷体" w:cs="Times New Roman"/>
          <w:sz w:val="36"/>
          <w:szCs w:val="36"/>
        </w:rPr>
        <w:t>中华人民共和国生态环境部制</w:t>
      </w:r>
    </w:p>
    <w:p>
      <w:pPr>
        <w:spacing w:line="360" w:lineRule="auto"/>
        <w:rPr>
          <w:rFonts w:cs="Times New Roman"/>
          <w:sz w:val="28"/>
          <w:szCs w:val="28"/>
        </w:rPr>
      </w:pPr>
    </w:p>
    <w:p>
      <w:pPr>
        <w:spacing w:line="360" w:lineRule="auto"/>
        <w:rPr>
          <w:rFonts w:cs="Times New Roman"/>
          <w:b/>
          <w:sz w:val="28"/>
          <w:szCs w:val="28"/>
        </w:rPr>
        <w:sectPr>
          <w:headerReference r:id="rId3" w:type="default"/>
          <w:footerReference r:id="rId4" w:type="default"/>
          <w:pgSz w:w="11906" w:h="16838"/>
          <w:pgMar w:top="1134" w:right="1134" w:bottom="1134" w:left="1418" w:header="851" w:footer="992" w:gutter="0"/>
          <w:cols w:space="720" w:num="1"/>
          <w:docGrid w:type="lines" w:linePitch="312" w:charSpace="0"/>
        </w:sectPr>
      </w:pPr>
    </w:p>
    <w:p>
      <w:pPr>
        <w:pStyle w:val="59"/>
        <w:jc w:val="center"/>
        <w:rPr>
          <w:rFonts w:cs="Times New Roman"/>
          <w:szCs w:val="24"/>
        </w:rPr>
      </w:pPr>
      <w:r>
        <w:rPr>
          <w:rFonts w:eastAsia="黑体" w:cs="Times New Roman"/>
          <w:b w:val="0"/>
          <w:sz w:val="30"/>
          <w:szCs w:val="30"/>
        </w:rPr>
        <w:t>一、建设项目基本情况</w:t>
      </w:r>
    </w:p>
    <w:tbl>
      <w:tblPr>
        <w:tblStyle w:val="2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771"/>
        <w:gridCol w:w="2208"/>
        <w:gridCol w:w="1484"/>
        <w:gridCol w:w="43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建设项目</w:t>
            </w:r>
          </w:p>
          <w:p>
            <w:pPr>
              <w:spacing w:line="360" w:lineRule="auto"/>
              <w:jc w:val="center"/>
              <w:rPr>
                <w:rFonts w:cs="Times New Roman"/>
                <w:sz w:val="24"/>
                <w:szCs w:val="24"/>
              </w:rPr>
            </w:pPr>
            <w:r>
              <w:rPr>
                <w:rFonts w:cs="Times New Roman"/>
                <w:sz w:val="24"/>
                <w:szCs w:val="24"/>
              </w:rPr>
              <w:t>名称</w:t>
            </w:r>
          </w:p>
        </w:tc>
        <w:tc>
          <w:tcPr>
            <w:tcW w:w="8011" w:type="dxa"/>
            <w:gridSpan w:val="3"/>
            <w:vAlign w:val="center"/>
          </w:tcPr>
          <w:p>
            <w:pPr>
              <w:spacing w:line="360" w:lineRule="auto"/>
              <w:jc w:val="center"/>
              <w:rPr>
                <w:rFonts w:cs="Times New Roman"/>
                <w:sz w:val="24"/>
                <w:szCs w:val="24"/>
              </w:rPr>
            </w:pPr>
            <w:r>
              <w:rPr>
                <w:rFonts w:cs="Times New Roman"/>
                <w:sz w:val="24"/>
                <w:szCs w:val="24"/>
              </w:rPr>
              <w:t>年产1.4亿平米玻纤湿法毡生产线技改项目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项目代码</w:t>
            </w:r>
          </w:p>
        </w:tc>
        <w:tc>
          <w:tcPr>
            <w:tcW w:w="8011" w:type="dxa"/>
            <w:gridSpan w:val="3"/>
            <w:vAlign w:val="center"/>
          </w:tcPr>
          <w:p>
            <w:pPr>
              <w:spacing w:line="360" w:lineRule="auto"/>
              <w:jc w:val="center"/>
              <w:rPr>
                <w:rFonts w:cs="Times New Roman"/>
                <w:sz w:val="24"/>
                <w:szCs w:val="24"/>
              </w:rPr>
            </w:pPr>
            <w:r>
              <w:rPr>
                <w:rFonts w:cs="Times New Roman"/>
                <w:sz w:val="24"/>
                <w:szCs w:val="24"/>
              </w:rPr>
              <w:t>2305-511722-07-02-478958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建设单位联系人</w:t>
            </w:r>
          </w:p>
        </w:tc>
        <w:tc>
          <w:tcPr>
            <w:tcW w:w="2208" w:type="dxa"/>
            <w:vAlign w:val="center"/>
          </w:tcPr>
          <w:p>
            <w:pPr>
              <w:spacing w:line="360" w:lineRule="auto"/>
              <w:jc w:val="center"/>
              <w:rPr>
                <w:rFonts w:cs="Times New Roman"/>
                <w:sz w:val="24"/>
                <w:szCs w:val="24"/>
              </w:rPr>
            </w:pPr>
            <w:r>
              <w:rPr>
                <w:rFonts w:cs="Times New Roman"/>
                <w:sz w:val="24"/>
                <w:szCs w:val="24"/>
              </w:rPr>
              <w:t>李云</w:t>
            </w:r>
          </w:p>
        </w:tc>
        <w:tc>
          <w:tcPr>
            <w:tcW w:w="1484" w:type="dxa"/>
            <w:vAlign w:val="center"/>
          </w:tcPr>
          <w:p>
            <w:pPr>
              <w:spacing w:line="360" w:lineRule="auto"/>
              <w:jc w:val="center"/>
              <w:rPr>
                <w:rFonts w:cs="Times New Roman"/>
                <w:sz w:val="24"/>
                <w:szCs w:val="24"/>
              </w:rPr>
            </w:pPr>
            <w:r>
              <w:rPr>
                <w:rFonts w:cs="Times New Roman"/>
                <w:sz w:val="24"/>
                <w:szCs w:val="24"/>
              </w:rPr>
              <w:t>联系方式</w:t>
            </w:r>
          </w:p>
        </w:tc>
        <w:tc>
          <w:tcPr>
            <w:tcW w:w="4319" w:type="dxa"/>
            <w:vAlign w:val="center"/>
          </w:tcPr>
          <w:p>
            <w:pPr>
              <w:spacing w:line="360" w:lineRule="auto"/>
              <w:jc w:val="center"/>
              <w:rPr>
                <w:rFonts w:cs="Times New Roman"/>
                <w:sz w:val="24"/>
                <w:szCs w:val="24"/>
              </w:rPr>
            </w:pPr>
            <w:r>
              <w:rPr>
                <w:rFonts w:cs="Times New Roman"/>
                <w:sz w:val="24"/>
                <w:szCs w:val="24"/>
              </w:rPr>
              <w:t>13778375639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建设地点</w:t>
            </w:r>
          </w:p>
        </w:tc>
        <w:tc>
          <w:tcPr>
            <w:tcW w:w="8011" w:type="dxa"/>
            <w:gridSpan w:val="3"/>
            <w:vAlign w:val="center"/>
          </w:tcPr>
          <w:p>
            <w:pPr>
              <w:spacing w:line="360" w:lineRule="auto"/>
              <w:jc w:val="center"/>
              <w:rPr>
                <w:rFonts w:cs="Times New Roman"/>
                <w:sz w:val="24"/>
                <w:szCs w:val="24"/>
              </w:rPr>
            </w:pPr>
            <w:r>
              <w:rPr>
                <w:rFonts w:cs="Times New Roman"/>
                <w:sz w:val="24"/>
                <w:szCs w:val="24"/>
              </w:rPr>
              <w:t>四川达州普光经济开发区柳池工业园区1号干道2号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地理坐标</w:t>
            </w:r>
          </w:p>
        </w:tc>
        <w:tc>
          <w:tcPr>
            <w:tcW w:w="8011" w:type="dxa"/>
            <w:gridSpan w:val="3"/>
            <w:vAlign w:val="center"/>
          </w:tcPr>
          <w:p>
            <w:pPr>
              <w:spacing w:line="360" w:lineRule="auto"/>
              <w:jc w:val="center"/>
              <w:rPr>
                <w:rFonts w:cs="Times New Roman"/>
                <w:sz w:val="24"/>
                <w:szCs w:val="24"/>
              </w:rPr>
            </w:pPr>
            <w:r>
              <w:rPr>
                <w:rFonts w:cs="Times New Roman"/>
                <w:sz w:val="24"/>
                <w:szCs w:val="24"/>
              </w:rPr>
              <w:t>经度107°41′25.000″，纬度31°25′50.370″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国民经济</w:t>
            </w:r>
          </w:p>
          <w:p>
            <w:pPr>
              <w:spacing w:line="360" w:lineRule="auto"/>
              <w:jc w:val="center"/>
              <w:rPr>
                <w:rFonts w:cs="Times New Roman"/>
                <w:sz w:val="24"/>
                <w:szCs w:val="24"/>
              </w:rPr>
            </w:pPr>
            <w:r>
              <w:rPr>
                <w:rFonts w:cs="Times New Roman"/>
                <w:sz w:val="24"/>
                <w:szCs w:val="24"/>
              </w:rPr>
              <w:t>行业类别</w:t>
            </w:r>
          </w:p>
        </w:tc>
        <w:tc>
          <w:tcPr>
            <w:tcW w:w="2208" w:type="dxa"/>
            <w:vAlign w:val="center"/>
          </w:tcPr>
          <w:p>
            <w:pPr>
              <w:spacing w:line="360" w:lineRule="auto"/>
              <w:jc w:val="center"/>
              <w:rPr>
                <w:rFonts w:cs="Times New Roman"/>
                <w:sz w:val="24"/>
                <w:szCs w:val="24"/>
              </w:rPr>
            </w:pPr>
            <w:r>
              <w:rPr>
                <w:rFonts w:cs="Times New Roman"/>
                <w:sz w:val="24"/>
                <w:szCs w:val="24"/>
              </w:rPr>
              <w:t>C3061 玻璃纤维及制品制造</w:t>
            </w:r>
          </w:p>
        </w:tc>
        <w:tc>
          <w:tcPr>
            <w:tcW w:w="1484" w:type="dxa"/>
            <w:vAlign w:val="center"/>
          </w:tcPr>
          <w:p>
            <w:pPr>
              <w:spacing w:line="360" w:lineRule="auto"/>
              <w:jc w:val="center"/>
              <w:rPr>
                <w:rFonts w:cs="Times New Roman"/>
                <w:sz w:val="24"/>
                <w:szCs w:val="24"/>
              </w:rPr>
            </w:pPr>
            <w:r>
              <w:rPr>
                <w:rFonts w:cs="Times New Roman"/>
                <w:sz w:val="24"/>
                <w:szCs w:val="24"/>
              </w:rPr>
              <w:t>建设项目</w:t>
            </w:r>
          </w:p>
          <w:p>
            <w:pPr>
              <w:spacing w:line="360" w:lineRule="auto"/>
              <w:jc w:val="center"/>
              <w:rPr>
                <w:rFonts w:cs="Times New Roman"/>
                <w:sz w:val="24"/>
                <w:szCs w:val="24"/>
              </w:rPr>
            </w:pPr>
            <w:r>
              <w:rPr>
                <w:rFonts w:cs="Times New Roman"/>
                <w:sz w:val="24"/>
                <w:szCs w:val="24"/>
              </w:rPr>
              <w:t>行业类别</w:t>
            </w:r>
          </w:p>
        </w:tc>
        <w:tc>
          <w:tcPr>
            <w:tcW w:w="4319" w:type="dxa"/>
            <w:vAlign w:val="center"/>
          </w:tcPr>
          <w:p>
            <w:pPr>
              <w:spacing w:line="360" w:lineRule="auto"/>
              <w:jc w:val="center"/>
              <w:rPr>
                <w:rFonts w:cs="Times New Roman"/>
                <w:sz w:val="24"/>
                <w:szCs w:val="24"/>
              </w:rPr>
            </w:pPr>
            <w:r>
              <w:rPr>
                <w:rFonts w:cs="Times New Roman"/>
                <w:sz w:val="24"/>
                <w:szCs w:val="24"/>
              </w:rPr>
              <w:t>二十七、非金属矿物制品业  58玻璃纤维和玻璃纤维增强塑料制品制造 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建设性质</w:t>
            </w:r>
          </w:p>
        </w:tc>
        <w:tc>
          <w:tcPr>
            <w:tcW w:w="2208" w:type="dxa"/>
            <w:vAlign w:val="center"/>
          </w:tcPr>
          <w:p>
            <w:pPr>
              <w:spacing w:line="360" w:lineRule="auto"/>
              <w:rPr>
                <w:rFonts w:cs="Times New Roman"/>
                <w:sz w:val="24"/>
                <w:szCs w:val="24"/>
              </w:rPr>
            </w:pPr>
            <w:r>
              <w:rPr>
                <w:rFonts w:cs="Times New Roman"/>
                <w:sz w:val="24"/>
                <w:szCs w:val="24"/>
              </w:rPr>
              <w:sym w:font="Wingdings 2" w:char="00A3"/>
            </w:r>
            <w:r>
              <w:rPr>
                <w:rFonts w:cs="Times New Roman"/>
                <w:sz w:val="24"/>
                <w:szCs w:val="24"/>
              </w:rPr>
              <w:t>新建（迁建）</w:t>
            </w:r>
          </w:p>
          <w:p>
            <w:pPr>
              <w:spacing w:line="360" w:lineRule="auto"/>
              <w:rPr>
                <w:rFonts w:cs="Times New Roman" w:eastAsiaTheme="minorEastAsia"/>
                <w:sz w:val="24"/>
                <w:szCs w:val="24"/>
              </w:rPr>
            </w:pPr>
            <w:r>
              <w:rPr>
                <w:rFonts w:cs="Times New Roman" w:eastAsiaTheme="minorEastAsia"/>
                <w:sz w:val="24"/>
                <w:szCs w:val="24"/>
              </w:rPr>
              <w:sym w:font="Wingdings 2" w:char="00A3"/>
            </w:r>
            <w:r>
              <w:rPr>
                <w:rFonts w:cs="Times New Roman" w:eastAsiaTheme="minorEastAsia"/>
                <w:sz w:val="24"/>
                <w:szCs w:val="24"/>
              </w:rPr>
              <w:t>改建</w:t>
            </w:r>
          </w:p>
          <w:p>
            <w:pPr>
              <w:spacing w:line="360" w:lineRule="auto"/>
              <w:rPr>
                <w:rFonts w:cs="Times New Roman" w:eastAsiaTheme="minorEastAsia"/>
                <w:sz w:val="24"/>
                <w:szCs w:val="24"/>
              </w:rPr>
            </w:pPr>
            <w:r>
              <w:rPr>
                <w:rFonts w:cs="Times New Roman" w:eastAsiaTheme="minorEastAsia"/>
                <w:sz w:val="24"/>
                <w:szCs w:val="24"/>
              </w:rPr>
              <w:sym w:font="Wingdings 2" w:char="0052"/>
            </w:r>
            <w:r>
              <w:rPr>
                <w:rFonts w:cs="Times New Roman" w:eastAsiaTheme="minorEastAsia"/>
                <w:sz w:val="24"/>
                <w:szCs w:val="24"/>
              </w:rPr>
              <w:t>扩建</w:t>
            </w:r>
          </w:p>
          <w:p>
            <w:pPr>
              <w:spacing w:line="360" w:lineRule="auto"/>
              <w:rPr>
                <w:rFonts w:cs="Times New Roman"/>
                <w:sz w:val="24"/>
                <w:szCs w:val="24"/>
              </w:rPr>
            </w:pPr>
            <w:r>
              <w:rPr>
                <w:rFonts w:cs="Times New Roman" w:eastAsiaTheme="minorEastAsia"/>
                <w:sz w:val="24"/>
                <w:szCs w:val="24"/>
              </w:rPr>
              <w:sym w:font="Wingdings 2" w:char="00A3"/>
            </w:r>
            <w:r>
              <w:rPr>
                <w:rFonts w:cs="Times New Roman" w:eastAsiaTheme="minorEastAsia"/>
                <w:sz w:val="24"/>
                <w:szCs w:val="24"/>
              </w:rPr>
              <w:t>技术改造</w:t>
            </w:r>
          </w:p>
        </w:tc>
        <w:tc>
          <w:tcPr>
            <w:tcW w:w="1484" w:type="dxa"/>
            <w:vAlign w:val="center"/>
          </w:tcPr>
          <w:p>
            <w:pPr>
              <w:spacing w:line="360" w:lineRule="auto"/>
              <w:jc w:val="center"/>
              <w:rPr>
                <w:rFonts w:cs="Times New Roman"/>
                <w:sz w:val="24"/>
                <w:szCs w:val="24"/>
              </w:rPr>
            </w:pPr>
            <w:r>
              <w:rPr>
                <w:rFonts w:cs="Times New Roman"/>
                <w:sz w:val="24"/>
                <w:szCs w:val="24"/>
              </w:rPr>
              <w:t>建设项目</w:t>
            </w:r>
          </w:p>
          <w:p>
            <w:pPr>
              <w:spacing w:line="360" w:lineRule="auto"/>
              <w:jc w:val="center"/>
              <w:rPr>
                <w:rFonts w:cs="Times New Roman"/>
                <w:sz w:val="24"/>
                <w:szCs w:val="24"/>
              </w:rPr>
            </w:pPr>
            <w:r>
              <w:rPr>
                <w:rFonts w:cs="Times New Roman"/>
                <w:sz w:val="24"/>
                <w:szCs w:val="24"/>
              </w:rPr>
              <w:t>申报情形</w:t>
            </w:r>
          </w:p>
        </w:tc>
        <w:tc>
          <w:tcPr>
            <w:tcW w:w="4319" w:type="dxa"/>
            <w:vAlign w:val="center"/>
          </w:tcPr>
          <w:p>
            <w:pPr>
              <w:spacing w:line="360" w:lineRule="auto"/>
              <w:rPr>
                <w:rFonts w:cs="Times New Roman" w:eastAsiaTheme="minorEastAsia"/>
                <w:sz w:val="24"/>
                <w:szCs w:val="24"/>
              </w:rPr>
            </w:pPr>
            <w:r>
              <w:rPr>
                <w:rFonts w:cs="Times New Roman"/>
                <w:sz w:val="24"/>
                <w:szCs w:val="24"/>
              </w:rPr>
              <w:sym w:font="Wingdings 2" w:char="F052"/>
            </w:r>
            <w:r>
              <w:rPr>
                <w:rFonts w:cs="Times New Roman" w:eastAsiaTheme="minorEastAsia"/>
                <w:sz w:val="24"/>
                <w:szCs w:val="24"/>
              </w:rPr>
              <w:t>首次申报项目</w:t>
            </w:r>
          </w:p>
          <w:p>
            <w:pPr>
              <w:spacing w:line="360" w:lineRule="auto"/>
              <w:rPr>
                <w:rFonts w:cs="Times New Roman" w:eastAsiaTheme="minorEastAsia"/>
                <w:sz w:val="24"/>
                <w:szCs w:val="24"/>
              </w:rPr>
            </w:pPr>
            <w:r>
              <w:rPr>
                <w:rFonts w:cs="Times New Roman" w:eastAsiaTheme="minorEastAsia"/>
                <w:sz w:val="24"/>
                <w:szCs w:val="24"/>
              </w:rPr>
              <w:sym w:font="Wingdings 2" w:char="00A3"/>
            </w:r>
            <w:r>
              <w:rPr>
                <w:rFonts w:cs="Times New Roman" w:eastAsiaTheme="minorEastAsia"/>
                <w:sz w:val="24"/>
                <w:szCs w:val="24"/>
              </w:rPr>
              <w:t>不予批准后再次申报项目</w:t>
            </w:r>
          </w:p>
          <w:p>
            <w:pPr>
              <w:spacing w:line="360" w:lineRule="auto"/>
              <w:rPr>
                <w:rFonts w:cs="Times New Roman" w:eastAsiaTheme="minorEastAsia"/>
                <w:sz w:val="24"/>
                <w:szCs w:val="24"/>
              </w:rPr>
            </w:pPr>
            <w:r>
              <w:rPr>
                <w:rFonts w:cs="Times New Roman" w:eastAsiaTheme="minorEastAsia"/>
                <w:sz w:val="24"/>
                <w:szCs w:val="24"/>
              </w:rPr>
              <w:sym w:font="Wingdings 2" w:char="00A3"/>
            </w:r>
            <w:r>
              <w:rPr>
                <w:rFonts w:cs="Times New Roman" w:eastAsiaTheme="minorEastAsia"/>
                <w:sz w:val="24"/>
                <w:szCs w:val="24"/>
              </w:rPr>
              <w:t>超五年重新审核项目</w:t>
            </w:r>
          </w:p>
          <w:p>
            <w:pPr>
              <w:spacing w:line="360" w:lineRule="auto"/>
              <w:rPr>
                <w:rFonts w:cs="Times New Roman"/>
                <w:sz w:val="24"/>
                <w:szCs w:val="24"/>
              </w:rPr>
            </w:pPr>
            <w:r>
              <w:rPr>
                <w:rFonts w:cs="Times New Roman" w:eastAsiaTheme="minorEastAsia"/>
                <w:sz w:val="24"/>
                <w:szCs w:val="24"/>
              </w:rPr>
              <w:sym w:font="Wingdings 2" w:char="00A3"/>
            </w:r>
            <w:r>
              <w:rPr>
                <w:rFonts w:cs="Times New Roman" w:eastAsiaTheme="minorEastAsia"/>
                <w:sz w:val="24"/>
                <w:szCs w:val="24"/>
              </w:rPr>
              <w:t>重大变动重新报批项目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项目</w:t>
            </w:r>
          </w:p>
          <w:p>
            <w:pPr>
              <w:spacing w:line="360" w:lineRule="auto"/>
              <w:jc w:val="center"/>
              <w:rPr>
                <w:rFonts w:cs="Times New Roman"/>
                <w:sz w:val="24"/>
                <w:szCs w:val="24"/>
              </w:rPr>
            </w:pPr>
            <w:r>
              <w:rPr>
                <w:rFonts w:cs="Times New Roman"/>
                <w:sz w:val="24"/>
                <w:szCs w:val="24"/>
              </w:rPr>
              <w:t>备案部门</w:t>
            </w:r>
          </w:p>
        </w:tc>
        <w:tc>
          <w:tcPr>
            <w:tcW w:w="2208" w:type="dxa"/>
            <w:vAlign w:val="center"/>
          </w:tcPr>
          <w:p>
            <w:pPr>
              <w:spacing w:line="360" w:lineRule="auto"/>
              <w:jc w:val="center"/>
              <w:rPr>
                <w:rFonts w:cs="Times New Roman"/>
                <w:sz w:val="24"/>
                <w:szCs w:val="24"/>
              </w:rPr>
            </w:pPr>
            <w:r>
              <w:rPr>
                <w:rFonts w:cs="Times New Roman"/>
                <w:sz w:val="24"/>
                <w:szCs w:val="24"/>
              </w:rPr>
              <w:t>宣汉县经济和信息化局</w:t>
            </w:r>
          </w:p>
        </w:tc>
        <w:tc>
          <w:tcPr>
            <w:tcW w:w="1484" w:type="dxa"/>
            <w:vAlign w:val="center"/>
          </w:tcPr>
          <w:p>
            <w:pPr>
              <w:spacing w:line="360" w:lineRule="auto"/>
              <w:jc w:val="center"/>
              <w:rPr>
                <w:rFonts w:cs="Times New Roman"/>
                <w:sz w:val="24"/>
                <w:szCs w:val="24"/>
              </w:rPr>
            </w:pPr>
            <w:r>
              <w:rPr>
                <w:rFonts w:cs="Times New Roman"/>
                <w:sz w:val="24"/>
                <w:szCs w:val="24"/>
              </w:rPr>
              <w:t>项目</w:t>
            </w:r>
          </w:p>
          <w:p>
            <w:pPr>
              <w:spacing w:line="360" w:lineRule="auto"/>
              <w:jc w:val="center"/>
              <w:rPr>
                <w:rFonts w:cs="Times New Roman"/>
                <w:sz w:val="24"/>
                <w:szCs w:val="24"/>
              </w:rPr>
            </w:pPr>
            <w:r>
              <w:rPr>
                <w:rFonts w:cs="Times New Roman"/>
                <w:sz w:val="24"/>
                <w:szCs w:val="24"/>
              </w:rPr>
              <w:t>备案文号</w:t>
            </w:r>
          </w:p>
        </w:tc>
        <w:tc>
          <w:tcPr>
            <w:tcW w:w="4319" w:type="dxa"/>
            <w:vAlign w:val="center"/>
          </w:tcPr>
          <w:p>
            <w:pPr>
              <w:spacing w:line="360" w:lineRule="auto"/>
              <w:jc w:val="center"/>
              <w:rPr>
                <w:rFonts w:cs="Times New Roman"/>
                <w:sz w:val="24"/>
                <w:szCs w:val="24"/>
              </w:rPr>
            </w:pPr>
            <w:r>
              <w:rPr>
                <w:rFonts w:cs="Times New Roman"/>
                <w:sz w:val="24"/>
                <w:szCs w:val="24"/>
              </w:rPr>
              <w:t>川投资备【2305-511722-07-02-478958】JXQB-0368号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总投资（万元）</w:t>
            </w:r>
          </w:p>
        </w:tc>
        <w:tc>
          <w:tcPr>
            <w:tcW w:w="2208" w:type="dxa"/>
            <w:vAlign w:val="center"/>
          </w:tcPr>
          <w:p>
            <w:pPr>
              <w:spacing w:line="360" w:lineRule="auto"/>
              <w:jc w:val="center"/>
              <w:rPr>
                <w:rFonts w:cs="Times New Roman"/>
                <w:sz w:val="24"/>
                <w:szCs w:val="24"/>
              </w:rPr>
            </w:pPr>
            <w:r>
              <w:rPr>
                <w:rFonts w:cs="Times New Roman"/>
                <w:sz w:val="24"/>
                <w:szCs w:val="24"/>
              </w:rPr>
              <w:t>3500</w:t>
            </w:r>
          </w:p>
        </w:tc>
        <w:tc>
          <w:tcPr>
            <w:tcW w:w="1484" w:type="dxa"/>
            <w:vAlign w:val="center"/>
          </w:tcPr>
          <w:p>
            <w:pPr>
              <w:spacing w:line="360" w:lineRule="auto"/>
              <w:jc w:val="center"/>
              <w:rPr>
                <w:rFonts w:cs="Times New Roman"/>
                <w:sz w:val="24"/>
                <w:szCs w:val="24"/>
              </w:rPr>
            </w:pPr>
            <w:r>
              <w:rPr>
                <w:rFonts w:cs="Times New Roman"/>
                <w:sz w:val="24"/>
                <w:szCs w:val="24"/>
              </w:rPr>
              <w:t>环保投资（万元）</w:t>
            </w:r>
          </w:p>
        </w:tc>
        <w:tc>
          <w:tcPr>
            <w:tcW w:w="4319" w:type="dxa"/>
            <w:vAlign w:val="center"/>
          </w:tcPr>
          <w:p>
            <w:pPr>
              <w:spacing w:line="360" w:lineRule="auto"/>
              <w:jc w:val="center"/>
              <w:rPr>
                <w:rFonts w:cs="Times New Roman"/>
                <w:sz w:val="24"/>
                <w:szCs w:val="24"/>
              </w:rPr>
            </w:pPr>
            <w:r>
              <w:rPr>
                <w:rFonts w:cs="Times New Roman"/>
                <w:sz w:val="24"/>
                <w:szCs w:val="24"/>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环保投资占比（%）</w:t>
            </w:r>
          </w:p>
        </w:tc>
        <w:tc>
          <w:tcPr>
            <w:tcW w:w="2208" w:type="dxa"/>
            <w:vAlign w:val="center"/>
          </w:tcPr>
          <w:p>
            <w:pPr>
              <w:spacing w:line="360" w:lineRule="auto"/>
              <w:jc w:val="center"/>
              <w:rPr>
                <w:rFonts w:cs="Times New Roman"/>
                <w:sz w:val="24"/>
                <w:szCs w:val="24"/>
              </w:rPr>
            </w:pPr>
            <w:r>
              <w:rPr>
                <w:rFonts w:cs="Times New Roman"/>
                <w:sz w:val="24"/>
                <w:szCs w:val="24"/>
              </w:rPr>
              <w:t>1.77</w:t>
            </w:r>
          </w:p>
        </w:tc>
        <w:tc>
          <w:tcPr>
            <w:tcW w:w="1484" w:type="dxa"/>
            <w:vAlign w:val="center"/>
          </w:tcPr>
          <w:p>
            <w:pPr>
              <w:spacing w:line="360" w:lineRule="auto"/>
              <w:jc w:val="center"/>
              <w:rPr>
                <w:rFonts w:cs="Times New Roman"/>
                <w:sz w:val="24"/>
                <w:szCs w:val="24"/>
              </w:rPr>
            </w:pPr>
            <w:r>
              <w:rPr>
                <w:rFonts w:cs="Times New Roman"/>
                <w:sz w:val="24"/>
                <w:szCs w:val="24"/>
              </w:rPr>
              <w:t>施工工期</w:t>
            </w:r>
          </w:p>
        </w:tc>
        <w:tc>
          <w:tcPr>
            <w:tcW w:w="4319" w:type="dxa"/>
            <w:vAlign w:val="center"/>
          </w:tcPr>
          <w:p>
            <w:pPr>
              <w:spacing w:line="360" w:lineRule="auto"/>
              <w:jc w:val="center"/>
              <w:rPr>
                <w:rFonts w:cs="Times New Roman"/>
                <w:sz w:val="24"/>
                <w:szCs w:val="24"/>
              </w:rPr>
            </w:pPr>
            <w:r>
              <w:rPr>
                <w:rFonts w:cs="Times New Roman"/>
                <w:sz w:val="24"/>
                <w:szCs w:val="24"/>
              </w:rPr>
              <w:t>12个月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9" w:type="dxa"/>
            <w:gridSpan w:val="2"/>
            <w:vAlign w:val="center"/>
          </w:tcPr>
          <w:p>
            <w:pPr>
              <w:spacing w:line="360" w:lineRule="auto"/>
              <w:jc w:val="center"/>
              <w:rPr>
                <w:rFonts w:cs="Times New Roman"/>
                <w:sz w:val="24"/>
                <w:szCs w:val="24"/>
              </w:rPr>
            </w:pPr>
            <w:r>
              <w:rPr>
                <w:rFonts w:cs="Times New Roman"/>
                <w:sz w:val="24"/>
                <w:szCs w:val="24"/>
              </w:rPr>
              <w:t>是否开工建设</w:t>
            </w:r>
          </w:p>
        </w:tc>
        <w:tc>
          <w:tcPr>
            <w:tcW w:w="2208" w:type="dxa"/>
            <w:vAlign w:val="center"/>
          </w:tcPr>
          <w:p>
            <w:pPr>
              <w:spacing w:line="360" w:lineRule="auto"/>
              <w:rPr>
                <w:rFonts w:cs="Times New Roman"/>
                <w:sz w:val="24"/>
                <w:szCs w:val="24"/>
              </w:rPr>
            </w:pPr>
            <w:r>
              <w:rPr>
                <w:rFonts w:cs="Times New Roman"/>
                <w:sz w:val="24"/>
                <w:szCs w:val="24"/>
              </w:rPr>
              <w:sym w:font="Wingdings 2" w:char="0052"/>
            </w:r>
            <w:r>
              <w:rPr>
                <w:rFonts w:cs="Times New Roman"/>
                <w:sz w:val="24"/>
                <w:szCs w:val="24"/>
              </w:rPr>
              <w:t>否</w:t>
            </w:r>
          </w:p>
          <w:p>
            <w:pPr>
              <w:spacing w:line="360" w:lineRule="auto"/>
              <w:rPr>
                <w:rFonts w:cs="Times New Roman"/>
                <w:sz w:val="24"/>
                <w:szCs w:val="24"/>
              </w:rPr>
            </w:pPr>
            <w:r>
              <w:rPr>
                <w:rFonts w:cs="Times New Roman" w:eastAsiaTheme="minorEastAsia"/>
                <w:sz w:val="24"/>
                <w:szCs w:val="24"/>
              </w:rPr>
              <w:sym w:font="Wingdings 2" w:char="00A3"/>
            </w:r>
            <w:r>
              <w:rPr>
                <w:rFonts w:cs="Times New Roman"/>
                <w:sz w:val="24"/>
                <w:szCs w:val="24"/>
              </w:rPr>
              <w:t>是：</w:t>
            </w:r>
            <w:r>
              <w:rPr>
                <w:rFonts w:cs="Times New Roman"/>
                <w:sz w:val="24"/>
                <w:szCs w:val="24"/>
                <w:u w:val="single"/>
              </w:rPr>
              <w:t xml:space="preserve">          </w:t>
            </w:r>
          </w:p>
        </w:tc>
        <w:tc>
          <w:tcPr>
            <w:tcW w:w="1484" w:type="dxa"/>
            <w:vAlign w:val="center"/>
          </w:tcPr>
          <w:p>
            <w:pPr>
              <w:spacing w:line="360" w:lineRule="auto"/>
              <w:jc w:val="center"/>
              <w:rPr>
                <w:rFonts w:cs="Times New Roman"/>
                <w:sz w:val="24"/>
                <w:szCs w:val="24"/>
              </w:rPr>
            </w:pPr>
            <w:r>
              <w:rPr>
                <w:rFonts w:cs="Times New Roman"/>
                <w:sz w:val="24"/>
                <w:szCs w:val="24"/>
              </w:rPr>
              <w:t>用地面积（m</w:t>
            </w:r>
            <w:r>
              <w:rPr>
                <w:rFonts w:cs="Times New Roman"/>
                <w:sz w:val="24"/>
                <w:szCs w:val="24"/>
                <w:vertAlign w:val="superscript"/>
              </w:rPr>
              <w:t>2</w:t>
            </w:r>
            <w:r>
              <w:rPr>
                <w:rFonts w:cs="Times New Roman"/>
                <w:sz w:val="24"/>
                <w:szCs w:val="24"/>
              </w:rPr>
              <w:t>）</w:t>
            </w:r>
          </w:p>
        </w:tc>
        <w:tc>
          <w:tcPr>
            <w:tcW w:w="4319" w:type="dxa"/>
            <w:vAlign w:val="center"/>
          </w:tcPr>
          <w:p>
            <w:pPr>
              <w:spacing w:line="360" w:lineRule="auto"/>
              <w:jc w:val="center"/>
              <w:rPr>
                <w:rFonts w:hint="default" w:eastAsia="宋体" w:cs="Times New Roman"/>
                <w:sz w:val="24"/>
                <w:szCs w:val="24"/>
                <w:lang w:val="en-US" w:eastAsia="zh-CN"/>
              </w:rPr>
            </w:pPr>
            <w:r>
              <w:rPr>
                <w:rFonts w:hint="eastAsia" w:cs="Times New Roman"/>
                <w:sz w:val="24"/>
                <w:szCs w:val="24"/>
                <w:lang w:val="en-US" w:eastAsia="zh-CN"/>
              </w:rPr>
              <w:t>不新增用地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vAlign w:val="center"/>
          </w:tcPr>
          <w:p>
            <w:pPr>
              <w:spacing w:line="360" w:lineRule="auto"/>
              <w:jc w:val="center"/>
              <w:rPr>
                <w:rFonts w:cs="Times New Roman"/>
                <w:sz w:val="24"/>
                <w:szCs w:val="24"/>
              </w:rPr>
            </w:pPr>
            <w:r>
              <w:rPr>
                <w:rFonts w:cs="Times New Roman"/>
                <w:sz w:val="24"/>
                <w:szCs w:val="24"/>
              </w:rPr>
              <w:t>专项评价设置情况</w:t>
            </w:r>
          </w:p>
        </w:tc>
        <w:tc>
          <w:tcPr>
            <w:tcW w:w="8782" w:type="dxa"/>
            <w:gridSpan w:val="4"/>
            <w:vAlign w:val="center"/>
          </w:tcPr>
          <w:p>
            <w:pPr>
              <w:spacing w:line="360" w:lineRule="auto"/>
              <w:jc w:val="center"/>
              <w:rPr>
                <w:rFonts w:cs="Times New Roman"/>
                <w:b/>
                <w:bCs/>
                <w:sz w:val="24"/>
                <w:szCs w:val="24"/>
              </w:rPr>
            </w:pPr>
            <w:r>
              <w:rPr>
                <w:rFonts w:cs="Times New Roman"/>
                <w:b/>
                <w:bCs/>
                <w:sz w:val="24"/>
                <w:szCs w:val="24"/>
              </w:rPr>
              <w:t>表1-1 本项目专项评价设置情况汇总表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43"/>
              <w:gridCol w:w="4562"/>
              <w:gridCol w:w="28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7" w:type="pct"/>
                  <w:tcBorders>
                    <w:tl2br w:val="nil"/>
                    <w:tr2bl w:val="nil"/>
                  </w:tcBorders>
                  <w:vAlign w:val="center"/>
                </w:tcPr>
                <w:p>
                  <w:pPr>
                    <w:jc w:val="center"/>
                    <w:rPr>
                      <w:rFonts w:cs="Times New Roman"/>
                      <w:b/>
                      <w:bCs/>
                      <w:szCs w:val="21"/>
                    </w:rPr>
                  </w:pPr>
                  <w:r>
                    <w:rPr>
                      <w:rFonts w:cs="Times New Roman"/>
                      <w:b/>
                      <w:bCs/>
                      <w:szCs w:val="21"/>
                    </w:rPr>
                    <w:t>专项评价的类别</w:t>
                  </w:r>
                </w:p>
              </w:tc>
              <w:tc>
                <w:tcPr>
                  <w:tcW w:w="2664" w:type="pct"/>
                  <w:tcBorders>
                    <w:tl2br w:val="nil"/>
                    <w:tr2bl w:val="nil"/>
                  </w:tcBorders>
                  <w:vAlign w:val="center"/>
                </w:tcPr>
                <w:p>
                  <w:pPr>
                    <w:jc w:val="center"/>
                    <w:rPr>
                      <w:rFonts w:cs="Times New Roman"/>
                      <w:b/>
                      <w:bCs/>
                      <w:szCs w:val="21"/>
                    </w:rPr>
                  </w:pPr>
                  <w:r>
                    <w:rPr>
                      <w:rFonts w:cs="Times New Roman"/>
                      <w:b/>
                      <w:bCs/>
                      <w:szCs w:val="21"/>
                    </w:rPr>
                    <w:t>设置原则</w:t>
                  </w:r>
                </w:p>
              </w:tc>
              <w:tc>
                <w:tcPr>
                  <w:tcW w:w="1667" w:type="pct"/>
                  <w:tcBorders>
                    <w:tl2br w:val="nil"/>
                    <w:tr2bl w:val="nil"/>
                  </w:tcBorders>
                  <w:vAlign w:val="center"/>
                </w:tcPr>
                <w:p>
                  <w:pPr>
                    <w:jc w:val="center"/>
                    <w:rPr>
                      <w:rFonts w:cs="Times New Roman"/>
                      <w:b/>
                      <w:bCs/>
                      <w:szCs w:val="21"/>
                    </w:rPr>
                  </w:pPr>
                  <w:r>
                    <w:rPr>
                      <w:rFonts w:cs="Times New Roman"/>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7" w:type="pct"/>
                  <w:tcBorders>
                    <w:tl2br w:val="nil"/>
                    <w:tr2bl w:val="nil"/>
                  </w:tcBorders>
                  <w:vAlign w:val="center"/>
                </w:tcPr>
                <w:p>
                  <w:pPr>
                    <w:jc w:val="center"/>
                    <w:rPr>
                      <w:rFonts w:cs="Times New Roman"/>
                      <w:szCs w:val="21"/>
                    </w:rPr>
                  </w:pPr>
                  <w:r>
                    <w:rPr>
                      <w:rFonts w:cs="Times New Roman"/>
                      <w:szCs w:val="21"/>
                    </w:rPr>
                    <w:t>大气</w:t>
                  </w:r>
                </w:p>
              </w:tc>
              <w:tc>
                <w:tcPr>
                  <w:tcW w:w="2664" w:type="pct"/>
                  <w:tcBorders>
                    <w:tl2br w:val="nil"/>
                    <w:tr2bl w:val="nil"/>
                  </w:tcBorders>
                  <w:vAlign w:val="center"/>
                </w:tcPr>
                <w:p>
                  <w:pPr>
                    <w:jc w:val="center"/>
                    <w:rPr>
                      <w:rFonts w:cs="Times New Roman"/>
                      <w:szCs w:val="21"/>
                    </w:rPr>
                  </w:pPr>
                  <w:r>
                    <w:rPr>
                      <w:rFonts w:cs="Times New Roman"/>
                      <w:szCs w:val="21"/>
                    </w:rPr>
                    <w:t>排放废气含有毒有害污染物</w:t>
                  </w:r>
                  <w:r>
                    <w:rPr>
                      <w:rFonts w:cs="Times New Roman"/>
                      <w:szCs w:val="21"/>
                      <w:vertAlign w:val="superscript"/>
                    </w:rPr>
                    <w:t>1</w:t>
                  </w:r>
                  <w:r>
                    <w:rPr>
                      <w:rFonts w:cs="Times New Roman"/>
                      <w:szCs w:val="21"/>
                    </w:rPr>
                    <w:t>、二噁英、苯并</w:t>
                  </w:r>
                  <w:r>
                    <w:rPr>
                      <w:rFonts w:cs="Times New Roman"/>
                      <w:szCs w:val="21"/>
                      <w:vertAlign w:val="superscript"/>
                    </w:rPr>
                    <w:t>[a]</w:t>
                  </w:r>
                  <w:r>
                    <w:rPr>
                      <w:rFonts w:cs="Times New Roman"/>
                      <w:szCs w:val="21"/>
                    </w:rPr>
                    <w:t>芘、氰化物、氯气且厂界外500米范围内有环境空气保护目标</w:t>
                  </w:r>
                  <w:r>
                    <w:rPr>
                      <w:rFonts w:cs="Times New Roman"/>
                      <w:szCs w:val="21"/>
                      <w:vertAlign w:val="superscript"/>
                    </w:rPr>
                    <w:t>2</w:t>
                  </w:r>
                  <w:r>
                    <w:rPr>
                      <w:rFonts w:cs="Times New Roman"/>
                      <w:szCs w:val="21"/>
                    </w:rPr>
                    <w:t>的建设项目</w:t>
                  </w:r>
                </w:p>
              </w:tc>
              <w:tc>
                <w:tcPr>
                  <w:tcW w:w="1667" w:type="pct"/>
                  <w:tcBorders>
                    <w:tl2br w:val="nil"/>
                    <w:tr2bl w:val="nil"/>
                  </w:tcBorders>
                  <w:vAlign w:val="center"/>
                </w:tcPr>
                <w:p>
                  <w:pPr>
                    <w:jc w:val="center"/>
                    <w:rPr>
                      <w:rFonts w:cs="Times New Roman"/>
                      <w:b/>
                      <w:bCs/>
                      <w:szCs w:val="21"/>
                    </w:rPr>
                  </w:pPr>
                  <w:r>
                    <w:rPr>
                      <w:rFonts w:cs="Times New Roman"/>
                      <w:b/>
                      <w:bCs/>
                      <w:szCs w:val="21"/>
                    </w:rPr>
                    <w:t>涉及，本项目排放废气</w:t>
                  </w:r>
                </w:p>
                <w:p>
                  <w:pPr>
                    <w:jc w:val="center"/>
                    <w:rPr>
                      <w:rFonts w:cs="Times New Roman"/>
                      <w:szCs w:val="21"/>
                    </w:rPr>
                  </w:pPr>
                  <w:r>
                    <w:rPr>
                      <w:rFonts w:cs="Times New Roman"/>
                      <w:b/>
                      <w:bCs/>
                      <w:szCs w:val="21"/>
                    </w:rPr>
                    <w:t>中有甲醛，属于有毒有害污染物，且500米范围内有居住区。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7" w:type="pct"/>
                  <w:tcBorders>
                    <w:tl2br w:val="nil"/>
                    <w:tr2bl w:val="nil"/>
                  </w:tcBorders>
                  <w:vAlign w:val="center"/>
                </w:tcPr>
                <w:p>
                  <w:pPr>
                    <w:jc w:val="center"/>
                    <w:rPr>
                      <w:rFonts w:cs="Times New Roman"/>
                      <w:szCs w:val="21"/>
                    </w:rPr>
                  </w:pPr>
                  <w:r>
                    <w:rPr>
                      <w:rFonts w:cs="Times New Roman"/>
                      <w:szCs w:val="21"/>
                    </w:rPr>
                    <w:t>地表水</w:t>
                  </w:r>
                </w:p>
              </w:tc>
              <w:tc>
                <w:tcPr>
                  <w:tcW w:w="2664" w:type="pct"/>
                  <w:tcBorders>
                    <w:tl2br w:val="nil"/>
                    <w:tr2bl w:val="nil"/>
                  </w:tcBorders>
                  <w:vAlign w:val="center"/>
                </w:tcPr>
                <w:p>
                  <w:pPr>
                    <w:jc w:val="center"/>
                    <w:rPr>
                      <w:rFonts w:cs="Times New Roman"/>
                      <w:szCs w:val="21"/>
                    </w:rPr>
                  </w:pPr>
                  <w:r>
                    <w:rPr>
                      <w:rFonts w:cs="Times New Roman"/>
                      <w:szCs w:val="21"/>
                    </w:rPr>
                    <w:t>新增工业废水直排建设项目（槽罐车外送污水处理厂的除外）；新增废水直排的污水集中处理厂</w:t>
                  </w:r>
                </w:p>
              </w:tc>
              <w:tc>
                <w:tcPr>
                  <w:tcW w:w="1667" w:type="pct"/>
                  <w:tcBorders>
                    <w:tl2br w:val="nil"/>
                    <w:tr2bl w:val="nil"/>
                  </w:tcBorders>
                  <w:vAlign w:val="center"/>
                </w:tcPr>
                <w:p>
                  <w:pPr>
                    <w:jc w:val="center"/>
                    <w:rPr>
                      <w:rFonts w:cs="Times New Roman"/>
                      <w:szCs w:val="21"/>
                    </w:rPr>
                  </w:pPr>
                  <w:r>
                    <w:rPr>
                      <w:rFonts w:cs="Times New Roman"/>
                      <w:szCs w:val="21"/>
                    </w:rPr>
                    <w:t>不涉及，本项目生活污水经化粪池（食堂废水先经隔油池处理）处理后排入园区管网，本项目生产废水回用，不外排。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7" w:type="pct"/>
                  <w:tcBorders>
                    <w:tl2br w:val="nil"/>
                    <w:tr2bl w:val="nil"/>
                  </w:tcBorders>
                  <w:vAlign w:val="center"/>
                </w:tcPr>
                <w:p>
                  <w:pPr>
                    <w:jc w:val="center"/>
                    <w:rPr>
                      <w:rFonts w:cs="Times New Roman"/>
                      <w:szCs w:val="21"/>
                    </w:rPr>
                  </w:pPr>
                  <w:r>
                    <w:rPr>
                      <w:rFonts w:cs="Times New Roman"/>
                      <w:szCs w:val="21"/>
                    </w:rPr>
                    <w:t>环境风险</w:t>
                  </w:r>
                </w:p>
              </w:tc>
              <w:tc>
                <w:tcPr>
                  <w:tcW w:w="2664" w:type="pct"/>
                  <w:tcBorders>
                    <w:tl2br w:val="nil"/>
                    <w:tr2bl w:val="nil"/>
                  </w:tcBorders>
                  <w:vAlign w:val="center"/>
                </w:tcPr>
                <w:p>
                  <w:pPr>
                    <w:jc w:val="center"/>
                    <w:rPr>
                      <w:rFonts w:cs="Times New Roman"/>
                      <w:szCs w:val="21"/>
                    </w:rPr>
                  </w:pPr>
                  <w:r>
                    <w:rPr>
                      <w:rFonts w:cs="Times New Roman"/>
                      <w:szCs w:val="21"/>
                    </w:rPr>
                    <w:t>有毒有害和易燃易爆危险物质存储量超过临界量</w:t>
                  </w:r>
                  <w:r>
                    <w:rPr>
                      <w:rFonts w:cs="Times New Roman"/>
                      <w:szCs w:val="21"/>
                      <w:vertAlign w:val="superscript"/>
                    </w:rPr>
                    <w:t>3</w:t>
                  </w:r>
                  <w:r>
                    <w:rPr>
                      <w:rFonts w:cs="Times New Roman"/>
                      <w:szCs w:val="21"/>
                    </w:rPr>
                    <w:t>的建设项目</w:t>
                  </w:r>
                </w:p>
              </w:tc>
              <w:tc>
                <w:tcPr>
                  <w:tcW w:w="1667" w:type="pct"/>
                  <w:tcBorders>
                    <w:tl2br w:val="nil"/>
                    <w:tr2bl w:val="nil"/>
                  </w:tcBorders>
                  <w:vAlign w:val="center"/>
                </w:tcPr>
                <w:p>
                  <w:pPr>
                    <w:jc w:val="center"/>
                    <w:rPr>
                      <w:rFonts w:cs="Times New Roman"/>
                      <w:szCs w:val="21"/>
                    </w:rPr>
                  </w:pPr>
                  <w:r>
                    <w:rPr>
                      <w:rFonts w:cs="Times New Roman"/>
                      <w:szCs w:val="21"/>
                    </w:rPr>
                    <w:t>不涉及，本项目危险物质存储量不超过临界量。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7" w:type="pct"/>
                  <w:tcBorders>
                    <w:tl2br w:val="nil"/>
                    <w:tr2bl w:val="nil"/>
                  </w:tcBorders>
                  <w:vAlign w:val="center"/>
                </w:tcPr>
                <w:p>
                  <w:pPr>
                    <w:jc w:val="center"/>
                    <w:rPr>
                      <w:rFonts w:cs="Times New Roman"/>
                      <w:szCs w:val="21"/>
                    </w:rPr>
                  </w:pPr>
                  <w:r>
                    <w:rPr>
                      <w:rFonts w:cs="Times New Roman"/>
                      <w:szCs w:val="21"/>
                    </w:rPr>
                    <w:t>生态</w:t>
                  </w:r>
                </w:p>
              </w:tc>
              <w:tc>
                <w:tcPr>
                  <w:tcW w:w="2664" w:type="pct"/>
                  <w:tcBorders>
                    <w:tl2br w:val="nil"/>
                    <w:tr2bl w:val="nil"/>
                  </w:tcBorders>
                  <w:vAlign w:val="center"/>
                </w:tcPr>
                <w:p>
                  <w:pPr>
                    <w:jc w:val="center"/>
                    <w:rPr>
                      <w:rFonts w:cs="Times New Roman"/>
                      <w:szCs w:val="21"/>
                    </w:rPr>
                  </w:pPr>
                  <w:r>
                    <w:rPr>
                      <w:rFonts w:cs="Times New Roman"/>
                      <w:szCs w:val="21"/>
                    </w:rPr>
                    <w:t>取水口下游500米范围内有重要水生生物的自然产卵场、索饵场、越冬场和洄游通道的新增河道取水的污染类建设项目</w:t>
                  </w:r>
                </w:p>
              </w:tc>
              <w:tc>
                <w:tcPr>
                  <w:tcW w:w="1667" w:type="pct"/>
                  <w:tcBorders>
                    <w:tl2br w:val="nil"/>
                    <w:tr2bl w:val="nil"/>
                  </w:tcBorders>
                  <w:vAlign w:val="center"/>
                </w:tcPr>
                <w:p>
                  <w:pPr>
                    <w:jc w:val="center"/>
                    <w:rPr>
                      <w:rFonts w:cs="Times New Roman"/>
                      <w:szCs w:val="21"/>
                    </w:rPr>
                  </w:pPr>
                  <w:r>
                    <w:rPr>
                      <w:rFonts w:cs="Times New Roman"/>
                      <w:szCs w:val="21"/>
                    </w:rPr>
                    <w:t>不涉及，本项目生活用水和生产用水均使用自来水。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667" w:type="pct"/>
                  <w:tcBorders>
                    <w:tl2br w:val="nil"/>
                    <w:tr2bl w:val="nil"/>
                  </w:tcBorders>
                  <w:vAlign w:val="center"/>
                </w:tcPr>
                <w:p>
                  <w:pPr>
                    <w:jc w:val="center"/>
                    <w:rPr>
                      <w:rFonts w:cs="Times New Roman"/>
                      <w:szCs w:val="21"/>
                    </w:rPr>
                  </w:pPr>
                  <w:r>
                    <w:rPr>
                      <w:rFonts w:cs="Times New Roman"/>
                      <w:szCs w:val="21"/>
                    </w:rPr>
                    <w:t>海洋</w:t>
                  </w:r>
                </w:p>
              </w:tc>
              <w:tc>
                <w:tcPr>
                  <w:tcW w:w="2664" w:type="pct"/>
                  <w:tcBorders>
                    <w:tl2br w:val="nil"/>
                    <w:tr2bl w:val="nil"/>
                  </w:tcBorders>
                  <w:vAlign w:val="center"/>
                </w:tcPr>
                <w:p>
                  <w:pPr>
                    <w:jc w:val="center"/>
                    <w:rPr>
                      <w:rFonts w:cs="Times New Roman"/>
                      <w:szCs w:val="21"/>
                    </w:rPr>
                  </w:pPr>
                  <w:r>
                    <w:rPr>
                      <w:rFonts w:cs="Times New Roman"/>
                      <w:szCs w:val="21"/>
                    </w:rPr>
                    <w:t>直接向海排放污染物的海洋工程建设项目</w:t>
                  </w:r>
                </w:p>
              </w:tc>
              <w:tc>
                <w:tcPr>
                  <w:tcW w:w="1667"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5000" w:type="pct"/>
                  <w:gridSpan w:val="3"/>
                  <w:tcBorders>
                    <w:tl2br w:val="nil"/>
                    <w:tr2bl w:val="nil"/>
                  </w:tcBorders>
                  <w:vAlign w:val="center"/>
                </w:tcPr>
                <w:p>
                  <w:pPr>
                    <w:jc w:val="left"/>
                    <w:rPr>
                      <w:rFonts w:cs="Times New Roman"/>
                      <w:szCs w:val="21"/>
                    </w:rPr>
                  </w:pPr>
                  <w:r>
                    <w:rPr>
                      <w:rFonts w:cs="Times New Roman"/>
                      <w:sz w:val="18"/>
                      <w:szCs w:val="18"/>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169）附录B、附录</w:t>
                  </w:r>
                  <w:r>
                    <w:rPr>
                      <w:rFonts w:cs="Times New Roman"/>
                      <w:szCs w:val="21"/>
                    </w:rPr>
                    <w:t>C。</w:t>
                  </w:r>
                </w:p>
              </w:tc>
            </w:tr>
          </w:tbl>
          <w:p>
            <w:pPr>
              <w:spacing w:line="360" w:lineRule="auto"/>
              <w:ind w:firstLine="480" w:firstLineChars="200"/>
              <w:rPr>
                <w:rFonts w:cs="Times New Roman"/>
                <w:sz w:val="24"/>
                <w:szCs w:val="24"/>
              </w:rPr>
            </w:pPr>
            <w:r>
              <w:rPr>
                <w:rFonts w:cs="Times New Roman"/>
                <w:sz w:val="24"/>
                <w:szCs w:val="24"/>
              </w:rPr>
              <w:t>故由上表可知，本项目设置大气专项评价。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vAlign w:val="center"/>
          </w:tcPr>
          <w:p>
            <w:pPr>
              <w:spacing w:line="360" w:lineRule="auto"/>
              <w:jc w:val="center"/>
              <w:rPr>
                <w:rFonts w:cs="Times New Roman"/>
                <w:sz w:val="24"/>
                <w:szCs w:val="24"/>
              </w:rPr>
            </w:pPr>
            <w:r>
              <w:rPr>
                <w:rFonts w:cs="Times New Roman"/>
                <w:sz w:val="24"/>
                <w:szCs w:val="24"/>
              </w:rPr>
              <w:t>规划情况</w:t>
            </w:r>
          </w:p>
        </w:tc>
        <w:tc>
          <w:tcPr>
            <w:tcW w:w="8782" w:type="dxa"/>
            <w:gridSpan w:val="4"/>
            <w:vAlign w:val="center"/>
          </w:tcPr>
          <w:p>
            <w:pPr>
              <w:spacing w:line="360" w:lineRule="auto"/>
              <w:ind w:firstLine="480" w:firstLineChars="200"/>
              <w:rPr>
                <w:rFonts w:cs="Times New Roman"/>
                <w:sz w:val="24"/>
                <w:szCs w:val="24"/>
              </w:rPr>
            </w:pPr>
            <w:r>
              <w:rPr>
                <w:rFonts w:cs="Times New Roman"/>
                <w:sz w:val="24"/>
                <w:szCs w:val="24"/>
              </w:rPr>
              <w:t>规划名称：《四川达州普光经济开发区总体规划（2019-2035）》（2021版规划）</w:t>
            </w:r>
          </w:p>
          <w:p>
            <w:pPr>
              <w:spacing w:line="360" w:lineRule="auto"/>
              <w:ind w:firstLine="480" w:firstLineChars="200"/>
              <w:rPr>
                <w:rFonts w:cs="Times New Roman"/>
                <w:sz w:val="24"/>
                <w:szCs w:val="24"/>
              </w:rPr>
            </w:pPr>
            <w:r>
              <w:rPr>
                <w:rFonts w:cs="Times New Roman"/>
                <w:sz w:val="24"/>
                <w:szCs w:val="24"/>
              </w:rPr>
              <w:t>审批机关：四川省人民政府</w:t>
            </w:r>
          </w:p>
          <w:p>
            <w:pPr>
              <w:spacing w:line="360" w:lineRule="auto"/>
              <w:ind w:firstLine="480" w:firstLineChars="200"/>
              <w:rPr>
                <w:rFonts w:cs="Times New Roman"/>
                <w:sz w:val="24"/>
                <w:szCs w:val="24"/>
              </w:rPr>
            </w:pPr>
            <w:r>
              <w:rPr>
                <w:rFonts w:cs="Times New Roman"/>
                <w:sz w:val="24"/>
                <w:szCs w:val="24"/>
              </w:rPr>
              <w:t>审批文件名称及文号：《四川省人民政府关于设立四川蒲江经济开发区等64家省级开发区的批复》（川府函〔2019〕20号）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Align w:val="center"/>
          </w:tcPr>
          <w:p>
            <w:pPr>
              <w:spacing w:line="360" w:lineRule="auto"/>
              <w:jc w:val="center"/>
              <w:rPr>
                <w:rFonts w:cs="Times New Roman"/>
                <w:sz w:val="24"/>
                <w:szCs w:val="24"/>
              </w:rPr>
            </w:pPr>
            <w:r>
              <w:rPr>
                <w:rFonts w:cs="Times New Roman"/>
                <w:sz w:val="24"/>
                <w:szCs w:val="24"/>
              </w:rPr>
              <w:t>规划环境影响评价情况</w:t>
            </w:r>
          </w:p>
        </w:tc>
        <w:tc>
          <w:tcPr>
            <w:tcW w:w="8782" w:type="dxa"/>
            <w:gridSpan w:val="4"/>
            <w:vAlign w:val="center"/>
          </w:tcPr>
          <w:p>
            <w:pPr>
              <w:spacing w:line="360" w:lineRule="auto"/>
              <w:ind w:firstLine="480" w:firstLineChars="200"/>
              <w:rPr>
                <w:rFonts w:cs="Times New Roman"/>
                <w:sz w:val="24"/>
                <w:szCs w:val="24"/>
              </w:rPr>
            </w:pPr>
            <w:r>
              <w:rPr>
                <w:rFonts w:cs="Times New Roman"/>
                <w:sz w:val="24"/>
                <w:szCs w:val="24"/>
              </w:rPr>
              <w:t>文件名称：《四川达州普光经济开发区总体规划（2019~2035）环境影响报告书》；</w:t>
            </w:r>
          </w:p>
          <w:p>
            <w:pPr>
              <w:spacing w:line="360" w:lineRule="auto"/>
              <w:ind w:firstLine="480" w:firstLineChars="200"/>
              <w:rPr>
                <w:rFonts w:cs="Times New Roman"/>
                <w:sz w:val="24"/>
                <w:szCs w:val="24"/>
              </w:rPr>
            </w:pPr>
            <w:r>
              <w:rPr>
                <w:rFonts w:cs="Times New Roman"/>
                <w:sz w:val="24"/>
                <w:szCs w:val="24"/>
              </w:rPr>
              <w:t>审查机关：四川省生态环境厅；</w:t>
            </w:r>
          </w:p>
          <w:p>
            <w:pPr>
              <w:spacing w:line="360" w:lineRule="auto"/>
              <w:ind w:firstLine="480" w:firstLineChars="200"/>
              <w:rPr>
                <w:rFonts w:cs="Times New Roman"/>
                <w:sz w:val="24"/>
                <w:szCs w:val="24"/>
              </w:rPr>
            </w:pPr>
            <w:r>
              <w:rPr>
                <w:rFonts w:cs="Times New Roman"/>
                <w:sz w:val="24"/>
                <w:szCs w:val="24"/>
              </w:rPr>
              <w:t>审查文件名称及文号：《四川省生态环境厅关于印发四川达州普光经济开发区总体规划（2019~2035）环境影响报告书审查意见的函》（川环建函〔2021〕9号）。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vAlign w:val="center"/>
          </w:tcPr>
          <w:p>
            <w:pPr>
              <w:spacing w:line="360" w:lineRule="auto"/>
              <w:jc w:val="center"/>
              <w:rPr>
                <w:rFonts w:cs="Times New Roman"/>
                <w:sz w:val="24"/>
                <w:szCs w:val="24"/>
              </w:rPr>
            </w:pPr>
            <w:r>
              <w:rPr>
                <w:rFonts w:cs="Times New Roman"/>
                <w:sz w:val="24"/>
                <w:szCs w:val="24"/>
              </w:rPr>
              <w:t>规划及规划环境影响评价符合性分析</w:t>
            </w:r>
          </w:p>
        </w:tc>
        <w:tc>
          <w:tcPr>
            <w:tcW w:w="8782" w:type="dxa"/>
            <w:gridSpan w:val="4"/>
            <w:vAlign w:val="center"/>
          </w:tcPr>
          <w:p>
            <w:pPr>
              <w:spacing w:line="360" w:lineRule="auto"/>
              <w:ind w:firstLine="482" w:firstLineChars="200"/>
              <w:rPr>
                <w:rFonts w:cs="Times New Roman"/>
                <w:b/>
                <w:bCs/>
                <w:sz w:val="24"/>
                <w:szCs w:val="24"/>
              </w:rPr>
            </w:pPr>
            <w:r>
              <w:rPr>
                <w:rFonts w:cs="Times New Roman"/>
                <w:b/>
                <w:bCs/>
                <w:sz w:val="24"/>
                <w:szCs w:val="24"/>
              </w:rPr>
              <w:t>1、与《四川达州普光经济开发区总体规划（2019-2035）》及其规划环评符合性分析</w:t>
            </w:r>
          </w:p>
          <w:p>
            <w:pPr>
              <w:spacing w:line="360" w:lineRule="auto"/>
              <w:ind w:firstLine="480" w:firstLineChars="200"/>
              <w:rPr>
                <w:rFonts w:cs="Times New Roman"/>
                <w:sz w:val="24"/>
                <w:szCs w:val="24"/>
              </w:rPr>
            </w:pPr>
            <w:r>
              <w:rPr>
                <w:rFonts w:cs="Times New Roman"/>
                <w:sz w:val="24"/>
                <w:szCs w:val="24"/>
              </w:rPr>
              <w:t>根据《四川达州普光经济开发区总体规划（2019-2035）》，四川达州普光经济开发区（以下简称“普光经开区”）规划范围总计29.95km</w:t>
            </w:r>
            <w:r>
              <w:rPr>
                <w:rFonts w:cs="Times New Roman"/>
                <w:sz w:val="24"/>
                <w:szCs w:val="24"/>
                <w:vertAlign w:val="superscript"/>
              </w:rPr>
              <w:t>2</w:t>
            </w:r>
            <w:r>
              <w:rPr>
                <w:rFonts w:cs="Times New Roman"/>
                <w:sz w:val="24"/>
                <w:szCs w:val="24"/>
              </w:rPr>
              <w:t>，分为东区、西区两个片区，其中西区25.93km</w:t>
            </w:r>
            <w:r>
              <w:rPr>
                <w:rFonts w:cs="Times New Roman"/>
                <w:sz w:val="24"/>
                <w:szCs w:val="24"/>
                <w:vertAlign w:val="superscript"/>
              </w:rPr>
              <w:t>2</w:t>
            </w:r>
            <w:r>
              <w:rPr>
                <w:rFonts w:cs="Times New Roman"/>
                <w:sz w:val="24"/>
                <w:szCs w:val="24"/>
              </w:rPr>
              <w:t>、东区4.02km</w:t>
            </w:r>
            <w:r>
              <w:rPr>
                <w:rFonts w:cs="Times New Roman"/>
                <w:sz w:val="24"/>
                <w:szCs w:val="24"/>
                <w:vertAlign w:val="superscript"/>
              </w:rPr>
              <w:t>2</w:t>
            </w:r>
            <w:r>
              <w:rPr>
                <w:rFonts w:cs="Times New Roman"/>
                <w:sz w:val="24"/>
                <w:szCs w:val="24"/>
              </w:rPr>
              <w:t>。西区包括普光功能区、柳池功能区、方斗功能区，东区包括南坝功能区、独树梁功能区、五宝功能区。</w:t>
            </w:r>
          </w:p>
          <w:p>
            <w:pPr>
              <w:spacing w:line="360" w:lineRule="auto"/>
              <w:ind w:firstLine="482" w:firstLineChars="200"/>
              <w:rPr>
                <w:rFonts w:cs="Times New Roman"/>
                <w:sz w:val="24"/>
                <w:szCs w:val="24"/>
              </w:rPr>
            </w:pPr>
            <w:r>
              <w:rPr>
                <w:rFonts w:cs="Times New Roman"/>
                <w:b/>
                <w:bCs/>
                <w:sz w:val="24"/>
                <w:szCs w:val="24"/>
              </w:rPr>
              <w:t>发展定位与目标：</w:t>
            </w:r>
            <w:r>
              <w:rPr>
                <w:rFonts w:cs="Times New Roman"/>
                <w:sz w:val="24"/>
                <w:szCs w:val="24"/>
              </w:rPr>
              <w:t>规划将普光经济开发区定位为“一区四基地”，即：创新型“气卤”资源综合利用示范区；国家新能源与新材料产业示范基地；国家天然气能源化工基地；西南冶金建材生产基地；川东北特色农产品加工基地。规划至2035年，普光经济开发区将形成2个“千亿产业”、1个“五百亿产业”、1个“两百亿产业”、2个“百亿产业”的产业发展目标，整体实现3000亿产值目标。</w:t>
            </w:r>
          </w:p>
          <w:p>
            <w:pPr>
              <w:spacing w:line="360" w:lineRule="auto"/>
              <w:ind w:firstLine="482" w:firstLineChars="200"/>
              <w:rPr>
                <w:rFonts w:cs="Times New Roman"/>
                <w:sz w:val="24"/>
                <w:szCs w:val="24"/>
              </w:rPr>
            </w:pPr>
            <w:r>
              <w:rPr>
                <w:rFonts w:cs="Times New Roman"/>
                <w:b/>
                <w:bCs/>
                <w:sz w:val="24"/>
                <w:szCs w:val="24"/>
              </w:rPr>
              <w:t>产业布局：</w:t>
            </w:r>
            <w:r>
              <w:rPr>
                <w:rFonts w:cs="Times New Roman"/>
                <w:sz w:val="24"/>
                <w:szCs w:val="24"/>
              </w:rPr>
              <w:t>①西区产业布局：西区规划形成天然气开采及其综合利用组团、锂钾开采及其综合利用组团、农副产品加工组团、机械建材制造组团、冶金制造组团。②东区产业布局结构：东区规划形成三大功能组团，包括天然气净化组团，独树梁、五宝功能区的农副产品加工组团。</w:t>
            </w:r>
          </w:p>
          <w:p>
            <w:pPr>
              <w:spacing w:line="360" w:lineRule="auto"/>
              <w:ind w:firstLine="482" w:firstLineChars="200"/>
              <w:rPr>
                <w:rFonts w:cs="Times New Roman"/>
                <w:b/>
                <w:bCs/>
                <w:sz w:val="24"/>
                <w:szCs w:val="24"/>
              </w:rPr>
            </w:pPr>
            <w:r>
              <w:rPr>
                <w:rFonts w:cs="Times New Roman"/>
                <w:b/>
                <w:bCs/>
                <w:sz w:val="24"/>
                <w:szCs w:val="24"/>
              </w:rPr>
              <w:t>其中柳池功能区规划如下：</w:t>
            </w:r>
          </w:p>
          <w:p>
            <w:pPr>
              <w:spacing w:line="360" w:lineRule="auto"/>
              <w:ind w:firstLine="482" w:firstLineChars="200"/>
              <w:rPr>
                <w:rFonts w:cs="Times New Roman"/>
                <w:sz w:val="24"/>
                <w:szCs w:val="24"/>
              </w:rPr>
            </w:pPr>
            <w:r>
              <w:rPr>
                <w:rFonts w:cs="Times New Roman"/>
                <w:b/>
                <w:bCs/>
                <w:sz w:val="24"/>
                <w:szCs w:val="24"/>
              </w:rPr>
              <w:t>规划范围：</w:t>
            </w:r>
            <w:r>
              <w:rPr>
                <w:rFonts w:cs="Times New Roman"/>
                <w:sz w:val="24"/>
                <w:szCs w:val="24"/>
              </w:rPr>
              <w:t>位于柳池镇辖区内，北至石堰村，西至陈家梁上安置区，东靠俞家湾，规划面积6.9567km</w:t>
            </w:r>
            <w:r>
              <w:rPr>
                <w:rFonts w:cs="Times New Roman"/>
                <w:sz w:val="24"/>
                <w:szCs w:val="24"/>
                <w:vertAlign w:val="superscript"/>
              </w:rPr>
              <w:t>2</w:t>
            </w:r>
            <w:r>
              <w:rPr>
                <w:rFonts w:cs="Times New Roman"/>
                <w:sz w:val="24"/>
                <w:szCs w:val="24"/>
              </w:rPr>
              <w:t>。</w:t>
            </w:r>
          </w:p>
          <w:p>
            <w:pPr>
              <w:spacing w:line="360" w:lineRule="auto"/>
              <w:ind w:firstLine="482" w:firstLineChars="200"/>
              <w:rPr>
                <w:rFonts w:cs="Times New Roman"/>
                <w:sz w:val="24"/>
                <w:szCs w:val="24"/>
              </w:rPr>
            </w:pPr>
            <w:r>
              <w:rPr>
                <w:rFonts w:cs="Times New Roman"/>
                <w:b/>
                <w:bCs/>
                <w:sz w:val="24"/>
                <w:szCs w:val="24"/>
              </w:rPr>
              <w:t>主导产业：</w:t>
            </w:r>
            <w:r>
              <w:rPr>
                <w:rFonts w:cs="Times New Roman"/>
                <w:sz w:val="24"/>
                <w:szCs w:val="24"/>
              </w:rPr>
              <w:t>柳池功能区主导产业为</w:t>
            </w:r>
            <w:r>
              <w:rPr>
                <w:rFonts w:cs="Times New Roman"/>
                <w:b/>
                <w:bCs/>
                <w:sz w:val="24"/>
                <w:szCs w:val="24"/>
              </w:rPr>
              <w:t>冶金建材、机械制造</w:t>
            </w:r>
            <w:r>
              <w:rPr>
                <w:rFonts w:cs="Times New Roman"/>
                <w:sz w:val="24"/>
                <w:szCs w:val="24"/>
              </w:rPr>
              <w:t>。发展能源依托型的冶金产业，打造有色金属产业链，积极发展冶金精深加工产品；促进机械建材与冶金、汽车零部件制造等产业协同发展。</w:t>
            </w:r>
          </w:p>
          <w:p>
            <w:pPr>
              <w:spacing w:line="360" w:lineRule="auto"/>
              <w:ind w:firstLine="482" w:firstLineChars="200"/>
              <w:rPr>
                <w:rFonts w:cs="Times New Roman"/>
                <w:b/>
                <w:bCs/>
                <w:sz w:val="24"/>
                <w:szCs w:val="24"/>
              </w:rPr>
            </w:pPr>
            <w:r>
              <w:rPr>
                <w:rFonts w:cs="Times New Roman"/>
                <w:b/>
                <w:bCs/>
                <w:sz w:val="24"/>
                <w:szCs w:val="24"/>
              </w:rPr>
              <w:t>本项目属于玻璃纤维及制品制造，主要生产玻纤湿法毡，属建筑材料生产行业，划分为“建材”类，因此本项目符合园区的产业定位。</w:t>
            </w:r>
          </w:p>
          <w:p>
            <w:pPr>
              <w:spacing w:line="360" w:lineRule="auto"/>
              <w:ind w:firstLine="480" w:firstLineChars="200"/>
              <w:rPr>
                <w:rFonts w:cs="Times New Roman"/>
                <w:sz w:val="24"/>
                <w:szCs w:val="24"/>
              </w:rPr>
            </w:pPr>
            <w:r>
              <w:rPr>
                <w:rFonts w:cs="Times New Roman"/>
                <w:sz w:val="24"/>
                <w:szCs w:val="24"/>
              </w:rPr>
              <w:t>2021年3月，四川省生态环境厅组织审查了《四川达州普光经济开发区总体规划（2019-2035）环境影响报告书》并出具了审查意见（川环建函〔2021〕9号，见附件），项目与园区环境管控要求和生态环境准入清单的符合性见下表1-2。</w:t>
            </w:r>
          </w:p>
          <w:p>
            <w:pPr>
              <w:spacing w:line="360" w:lineRule="auto"/>
              <w:jc w:val="center"/>
              <w:rPr>
                <w:rFonts w:cs="Times New Roman"/>
                <w:b/>
                <w:bCs/>
                <w:sz w:val="24"/>
                <w:szCs w:val="24"/>
              </w:rPr>
            </w:pPr>
            <w:r>
              <w:rPr>
                <w:rFonts w:cs="Times New Roman"/>
                <w:b/>
                <w:bCs/>
                <w:sz w:val="24"/>
                <w:szCs w:val="24"/>
              </w:rPr>
              <w:t>表1-2  与柳池功能区主导产业及规划环评要求符合性分析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35"/>
              <w:gridCol w:w="851"/>
              <w:gridCol w:w="3495"/>
              <w:gridCol w:w="2589"/>
              <w:gridCol w:w="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370" w:type="pct"/>
                  <w:tcBorders>
                    <w:tl2br w:val="nil"/>
                    <w:tr2bl w:val="nil"/>
                  </w:tcBorders>
                  <w:vAlign w:val="center"/>
                </w:tcPr>
                <w:p>
                  <w:pPr>
                    <w:adjustRightInd w:val="0"/>
                    <w:spacing w:line="300" w:lineRule="exact"/>
                    <w:jc w:val="center"/>
                    <w:textAlignment w:val="baseline"/>
                    <w:rPr>
                      <w:rFonts w:cs="Times New Roman"/>
                      <w:b/>
                      <w:bCs/>
                    </w:rPr>
                  </w:pPr>
                  <w:r>
                    <w:rPr>
                      <w:rFonts w:cs="Times New Roman"/>
                      <w:b/>
                      <w:bCs/>
                    </w:rPr>
                    <w:t>功能区</w:t>
                  </w:r>
                </w:p>
              </w:tc>
              <w:tc>
                <w:tcPr>
                  <w:tcW w:w="497" w:type="pct"/>
                  <w:tcBorders>
                    <w:tl2br w:val="nil"/>
                    <w:tr2bl w:val="nil"/>
                  </w:tcBorders>
                  <w:vAlign w:val="center"/>
                </w:tcPr>
                <w:p>
                  <w:pPr>
                    <w:adjustRightInd w:val="0"/>
                    <w:spacing w:line="300" w:lineRule="exact"/>
                    <w:jc w:val="center"/>
                    <w:textAlignment w:val="baseline"/>
                    <w:rPr>
                      <w:rFonts w:cs="Times New Roman"/>
                      <w:b/>
                      <w:bCs/>
                    </w:rPr>
                  </w:pPr>
                  <w:r>
                    <w:rPr>
                      <w:rFonts w:cs="Times New Roman"/>
                      <w:b/>
                      <w:bCs/>
                    </w:rPr>
                    <w:t>类别</w:t>
                  </w:r>
                </w:p>
              </w:tc>
              <w:tc>
                <w:tcPr>
                  <w:tcW w:w="2040" w:type="pct"/>
                  <w:tcBorders>
                    <w:tl2br w:val="nil"/>
                    <w:tr2bl w:val="nil"/>
                  </w:tcBorders>
                  <w:vAlign w:val="center"/>
                </w:tcPr>
                <w:p>
                  <w:pPr>
                    <w:adjustRightInd w:val="0"/>
                    <w:spacing w:line="300" w:lineRule="exact"/>
                    <w:jc w:val="center"/>
                    <w:textAlignment w:val="baseline"/>
                    <w:rPr>
                      <w:rFonts w:cs="Times New Roman"/>
                      <w:b/>
                      <w:bCs/>
                    </w:rPr>
                  </w:pPr>
                  <w:r>
                    <w:rPr>
                      <w:rFonts w:cs="Times New Roman"/>
                      <w:b/>
                      <w:bCs/>
                    </w:rPr>
                    <w:t>禁止准入</w:t>
                  </w:r>
                </w:p>
              </w:tc>
              <w:tc>
                <w:tcPr>
                  <w:tcW w:w="1511" w:type="pct"/>
                  <w:tcBorders>
                    <w:tl2br w:val="nil"/>
                    <w:tr2bl w:val="nil"/>
                  </w:tcBorders>
                  <w:vAlign w:val="center"/>
                </w:tcPr>
                <w:p>
                  <w:pPr>
                    <w:adjustRightInd w:val="0"/>
                    <w:spacing w:line="300" w:lineRule="exact"/>
                    <w:jc w:val="center"/>
                    <w:textAlignment w:val="baseline"/>
                    <w:rPr>
                      <w:rFonts w:cs="Times New Roman"/>
                      <w:b/>
                      <w:bCs/>
                    </w:rPr>
                  </w:pPr>
                  <w:r>
                    <w:rPr>
                      <w:rFonts w:cs="Times New Roman"/>
                      <w:b/>
                      <w:bCs/>
                    </w:rPr>
                    <w:t>本项目</w:t>
                  </w:r>
                </w:p>
              </w:tc>
              <w:tc>
                <w:tcPr>
                  <w:tcW w:w="580" w:type="pct"/>
                  <w:tcBorders>
                    <w:tl2br w:val="nil"/>
                    <w:tr2bl w:val="nil"/>
                  </w:tcBorders>
                  <w:vAlign w:val="center"/>
                </w:tcPr>
                <w:p>
                  <w:pPr>
                    <w:adjustRightInd w:val="0"/>
                    <w:spacing w:line="300" w:lineRule="exact"/>
                    <w:jc w:val="center"/>
                    <w:textAlignment w:val="baseline"/>
                    <w:rPr>
                      <w:rFonts w:cs="Times New Roman"/>
                      <w:b/>
                      <w:bCs/>
                    </w:rPr>
                  </w:pPr>
                  <w:r>
                    <w:rPr>
                      <w:rFonts w:cs="Times New Roman"/>
                      <w:b/>
                      <w:bCs/>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0" w:type="pct"/>
                  <w:vMerge w:val="restart"/>
                  <w:tcBorders>
                    <w:tl2br w:val="nil"/>
                    <w:tr2bl w:val="nil"/>
                  </w:tcBorders>
                  <w:vAlign w:val="center"/>
                </w:tcPr>
                <w:p>
                  <w:pPr>
                    <w:adjustRightInd w:val="0"/>
                    <w:spacing w:line="300" w:lineRule="exact"/>
                    <w:jc w:val="center"/>
                    <w:textAlignment w:val="baseline"/>
                    <w:rPr>
                      <w:rFonts w:cs="Times New Roman"/>
                    </w:rPr>
                  </w:pPr>
                  <w:r>
                    <w:rPr>
                      <w:rFonts w:cs="Times New Roman"/>
                    </w:rPr>
                    <w:t>总体管控要求及准入清单</w:t>
                  </w:r>
                </w:p>
              </w:tc>
              <w:tc>
                <w:tcPr>
                  <w:tcW w:w="497" w:type="pct"/>
                  <w:tcBorders>
                    <w:tl2br w:val="nil"/>
                    <w:tr2bl w:val="nil"/>
                  </w:tcBorders>
                  <w:vAlign w:val="center"/>
                </w:tcPr>
                <w:p>
                  <w:pPr>
                    <w:spacing w:line="300" w:lineRule="exact"/>
                    <w:jc w:val="center"/>
                    <w:rPr>
                      <w:rFonts w:cs="Times New Roman"/>
                    </w:rPr>
                  </w:pPr>
                  <w:r>
                    <w:rPr>
                      <w:rFonts w:cs="Times New Roman"/>
                    </w:rPr>
                    <w:t>空间布局约束</w:t>
                  </w:r>
                </w:p>
              </w:tc>
              <w:tc>
                <w:tcPr>
                  <w:tcW w:w="2040" w:type="pct"/>
                  <w:tcBorders>
                    <w:tl2br w:val="nil"/>
                    <w:tr2bl w:val="nil"/>
                  </w:tcBorders>
                  <w:vAlign w:val="center"/>
                </w:tcPr>
                <w:p>
                  <w:pPr>
                    <w:spacing w:line="300" w:lineRule="exact"/>
                    <w:jc w:val="left"/>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经开区生产生活、开发建设活动应当遵守长江保护相关法律法规的要求；</w:t>
                  </w:r>
                </w:p>
                <w:p>
                  <w:pPr>
                    <w:spacing w:line="300" w:lineRule="exact"/>
                    <w:jc w:val="left"/>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禁止引入与功能区主导产业相禁忌、容易形成交叉影响的项目。</w:t>
                  </w:r>
                </w:p>
              </w:tc>
              <w:tc>
                <w:tcPr>
                  <w:tcW w:w="1511" w:type="pct"/>
                  <w:tcBorders>
                    <w:tl2br w:val="nil"/>
                    <w:tr2bl w:val="nil"/>
                  </w:tcBorders>
                  <w:vAlign w:val="center"/>
                </w:tcPr>
                <w:p>
                  <w:pPr>
                    <w:spacing w:line="300" w:lineRule="exact"/>
                    <w:jc w:val="center"/>
                    <w:rPr>
                      <w:rFonts w:cs="Times New Roman"/>
                    </w:rPr>
                  </w:pPr>
                  <w:r>
                    <w:rPr>
                      <w:rFonts w:cs="Times New Roman"/>
                    </w:rPr>
                    <w:t>本项目为玻璃纤维及制品制造，满足长江保护相关法律法规，本项目</w:t>
                  </w:r>
                  <w:r>
                    <w:rPr>
                      <w:rFonts w:hint="eastAsia" w:cs="Times New Roman"/>
                      <w:lang w:val="en-US" w:eastAsia="zh-CN"/>
                    </w:rPr>
                    <w:t>属于</w:t>
                  </w:r>
                  <w:r>
                    <w:rPr>
                      <w:rFonts w:cs="Times New Roman"/>
                    </w:rPr>
                    <w:t>建材</w:t>
                  </w:r>
                  <w:r>
                    <w:rPr>
                      <w:rFonts w:hint="eastAsia" w:cs="Times New Roman"/>
                      <w:lang w:val="en-US" w:eastAsia="zh-CN"/>
                    </w:rPr>
                    <w:t>行业</w:t>
                  </w:r>
                  <w:r>
                    <w:rPr>
                      <w:rFonts w:cs="Times New Roman"/>
                    </w:rPr>
                    <w:t>，为园区主导产业。</w:t>
                  </w:r>
                </w:p>
              </w:tc>
              <w:tc>
                <w:tcPr>
                  <w:tcW w:w="580" w:type="pct"/>
                  <w:tcBorders>
                    <w:tl2br w:val="nil"/>
                    <w:tr2bl w:val="nil"/>
                  </w:tcBorders>
                  <w:vAlign w:val="center"/>
                </w:tcPr>
                <w:p>
                  <w:pPr>
                    <w:spacing w:line="300" w:lineRule="exact"/>
                    <w:jc w:val="center"/>
                    <w:rPr>
                      <w:rFonts w:cs="Times New Roman"/>
                    </w:rPr>
                  </w:pPr>
                  <w:r>
                    <w:rPr>
                      <w:rFonts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0" w:type="pct"/>
                  <w:vMerge w:val="continue"/>
                  <w:tcBorders>
                    <w:tl2br w:val="nil"/>
                    <w:tr2bl w:val="nil"/>
                  </w:tcBorders>
                  <w:vAlign w:val="center"/>
                </w:tcPr>
                <w:p>
                  <w:pPr>
                    <w:adjustRightInd w:val="0"/>
                    <w:spacing w:line="300" w:lineRule="exact"/>
                    <w:jc w:val="center"/>
                    <w:textAlignment w:val="baseline"/>
                    <w:rPr>
                      <w:rFonts w:cs="Times New Roman"/>
                    </w:rPr>
                  </w:pPr>
                </w:p>
              </w:tc>
              <w:tc>
                <w:tcPr>
                  <w:tcW w:w="497" w:type="pct"/>
                  <w:tcBorders>
                    <w:tl2br w:val="nil"/>
                    <w:tr2bl w:val="nil"/>
                  </w:tcBorders>
                  <w:vAlign w:val="center"/>
                </w:tcPr>
                <w:p>
                  <w:pPr>
                    <w:spacing w:line="300" w:lineRule="exact"/>
                    <w:jc w:val="center"/>
                    <w:rPr>
                      <w:rFonts w:cs="Times New Roman"/>
                    </w:rPr>
                  </w:pPr>
                  <w:r>
                    <w:rPr>
                      <w:rFonts w:cs="Times New Roman"/>
                    </w:rPr>
                    <w:t>污染物排放管控</w:t>
                  </w:r>
                </w:p>
              </w:tc>
              <w:tc>
                <w:tcPr>
                  <w:tcW w:w="2040" w:type="pct"/>
                  <w:tcBorders>
                    <w:tl2br w:val="nil"/>
                    <w:tr2bl w:val="nil"/>
                  </w:tcBorders>
                  <w:vAlign w:val="center"/>
                </w:tcPr>
                <w:p>
                  <w:pPr>
                    <w:spacing w:line="300" w:lineRule="exact"/>
                    <w:jc w:val="left"/>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禁止引入不符合国家、省、市重金属污染防治规划相关要求的项目；</w:t>
                  </w:r>
                </w:p>
                <w:p>
                  <w:pPr>
                    <w:spacing w:line="300" w:lineRule="exact"/>
                    <w:jc w:val="left"/>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新建项目、改扩建项目（全厂）执行大气污染物特别排放限值；现有项目鼓励参照大气污染物特别排放限值进行升级改造；具体项目入驻时结合当时环境质量现状及区域气象条件确定是否执行更为严格的排放限值以满足区域环境质量改善要求。</w:t>
                  </w:r>
                </w:p>
              </w:tc>
              <w:tc>
                <w:tcPr>
                  <w:tcW w:w="1511" w:type="pct"/>
                  <w:tcBorders>
                    <w:tl2br w:val="nil"/>
                    <w:tr2bl w:val="nil"/>
                  </w:tcBorders>
                  <w:vAlign w:val="center"/>
                </w:tcPr>
                <w:p>
                  <w:pPr>
                    <w:spacing w:line="300" w:lineRule="exact"/>
                    <w:jc w:val="center"/>
                    <w:rPr>
                      <w:rFonts w:cs="Times New Roman"/>
                    </w:rPr>
                  </w:pPr>
                  <w:r>
                    <w:rPr>
                      <w:rFonts w:cs="Times New Roman"/>
                    </w:rPr>
                    <w:t>本项目不涉及重金属排放，本项目废气主要涉及颗粒物、二氧化硫、氮氧化物、</w:t>
                  </w:r>
                  <w:r>
                    <w:rPr>
                      <w:rFonts w:cs="Times New Roman"/>
                      <w:bCs/>
                      <w:szCs w:val="21"/>
                    </w:rPr>
                    <w:t>甲醛、氨、VOCs</w:t>
                  </w:r>
                  <w:r>
                    <w:rPr>
                      <w:rFonts w:cs="Times New Roman"/>
                    </w:rPr>
                    <w:t>排放，颗粒物</w:t>
                  </w:r>
                  <w:r>
                    <w:rPr>
                      <w:rFonts w:cs="Times New Roman"/>
                      <w:bCs/>
                      <w:szCs w:val="21"/>
                    </w:rPr>
                    <w:t>、</w:t>
                  </w:r>
                  <w:r>
                    <w:rPr>
                      <w:rFonts w:cs="Times New Roman"/>
                    </w:rPr>
                    <w:t>二氧化硫、氮氧化物执行《建材工业大气污染物排放标准》（DB37/2373-2018）中相关标准；</w:t>
                  </w:r>
                  <w:r>
                    <w:rPr>
                      <w:rFonts w:cs="Times New Roman"/>
                      <w:bCs/>
                      <w:szCs w:val="21"/>
                    </w:rPr>
                    <w:t>VOCs、甲醛执行《四川省固定污染源大气挥发性有机物排放标准》（DB51/2377-2017）中相关标准；氨执行《恶臭污染物排放标准》（GB14554-93）中相关标准。</w:t>
                  </w:r>
                </w:p>
              </w:tc>
              <w:tc>
                <w:tcPr>
                  <w:tcW w:w="580" w:type="pct"/>
                  <w:tcBorders>
                    <w:tl2br w:val="nil"/>
                    <w:tr2bl w:val="nil"/>
                  </w:tcBorders>
                  <w:vAlign w:val="center"/>
                </w:tcPr>
                <w:p>
                  <w:pPr>
                    <w:spacing w:line="300" w:lineRule="exact"/>
                    <w:jc w:val="center"/>
                    <w:rPr>
                      <w:rFonts w:cs="Times New Roman"/>
                    </w:rPr>
                  </w:pPr>
                  <w:r>
                    <w:rPr>
                      <w:rFonts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0" w:type="pct"/>
                  <w:vMerge w:val="continue"/>
                  <w:tcBorders>
                    <w:tl2br w:val="nil"/>
                    <w:tr2bl w:val="nil"/>
                  </w:tcBorders>
                  <w:vAlign w:val="center"/>
                </w:tcPr>
                <w:p>
                  <w:pPr>
                    <w:adjustRightInd w:val="0"/>
                    <w:spacing w:line="300" w:lineRule="exact"/>
                    <w:jc w:val="center"/>
                    <w:textAlignment w:val="baseline"/>
                    <w:rPr>
                      <w:rFonts w:cs="Times New Roman"/>
                    </w:rPr>
                  </w:pPr>
                </w:p>
              </w:tc>
              <w:tc>
                <w:tcPr>
                  <w:tcW w:w="497" w:type="pct"/>
                  <w:tcBorders>
                    <w:tl2br w:val="nil"/>
                    <w:tr2bl w:val="nil"/>
                  </w:tcBorders>
                  <w:vAlign w:val="center"/>
                </w:tcPr>
                <w:p>
                  <w:pPr>
                    <w:spacing w:line="300" w:lineRule="exact"/>
                    <w:jc w:val="center"/>
                    <w:rPr>
                      <w:rFonts w:cs="Times New Roman"/>
                    </w:rPr>
                  </w:pPr>
                  <w:r>
                    <w:rPr>
                      <w:rFonts w:cs="Times New Roman"/>
                    </w:rPr>
                    <w:t>环境风险防控</w:t>
                  </w:r>
                </w:p>
              </w:tc>
              <w:tc>
                <w:tcPr>
                  <w:tcW w:w="2040" w:type="pct"/>
                  <w:tcBorders>
                    <w:tl2br w:val="nil"/>
                    <w:tr2bl w:val="nil"/>
                  </w:tcBorders>
                  <w:vAlign w:val="center"/>
                </w:tcPr>
                <w:p>
                  <w:pPr>
                    <w:spacing w:line="300" w:lineRule="exact"/>
                    <w:jc w:val="left"/>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风险源与环境敏感目标保持符合规范要求的安全距离，切实做好危险化学品贮运、使用过程中的安全防范措施，最大程度降低环境风险事故发生的几率；</w:t>
                  </w:r>
                </w:p>
                <w:p>
                  <w:pPr>
                    <w:spacing w:line="300" w:lineRule="exact"/>
                    <w:jc w:val="left"/>
                    <w:rPr>
                      <w:rFonts w:cs="Times New Roman"/>
                    </w:rPr>
                  </w:pPr>
                  <w:r>
                    <w:rPr>
                      <w:rFonts w:cs="Times New Roman"/>
                    </w:rPr>
                    <w:fldChar w:fldCharType="begin"/>
                  </w:r>
                  <w:r>
                    <w:rPr>
                      <w:rFonts w:cs="Times New Roman"/>
                    </w:rPr>
                    <w:instrText xml:space="preserve"> = 2 \* GB3 </w:instrText>
                  </w:r>
                  <w:r>
                    <w:rPr>
                      <w:rFonts w:cs="Times New Roman"/>
                    </w:rPr>
                    <w:fldChar w:fldCharType="separate"/>
                  </w:r>
                  <w:r>
                    <w:rPr>
                      <w:rFonts w:cs="Times New Roman"/>
                    </w:rPr>
                    <w:t>②</w:t>
                  </w:r>
                  <w:r>
                    <w:rPr>
                      <w:rFonts w:cs="Times New Roman"/>
                    </w:rPr>
                    <w:fldChar w:fldCharType="end"/>
                  </w:r>
                  <w:r>
                    <w:rPr>
                      <w:rFonts w:cs="Times New Roman"/>
                    </w:rPr>
                    <w:t>制定切实可行的环境风险应急预案，定期开展环境风险应急演练，建立与敏感目标的环境风险应急联动机制。</w:t>
                  </w:r>
                </w:p>
              </w:tc>
              <w:tc>
                <w:tcPr>
                  <w:tcW w:w="1511" w:type="pct"/>
                  <w:tcBorders>
                    <w:tl2br w:val="nil"/>
                    <w:tr2bl w:val="nil"/>
                  </w:tcBorders>
                  <w:vAlign w:val="center"/>
                </w:tcPr>
                <w:p>
                  <w:pPr>
                    <w:spacing w:line="300" w:lineRule="exact"/>
                    <w:jc w:val="center"/>
                    <w:rPr>
                      <w:rFonts w:cs="Times New Roman"/>
                    </w:rPr>
                  </w:pPr>
                  <w:r>
                    <w:rPr>
                      <w:rFonts w:cs="Times New Roman"/>
                    </w:rPr>
                    <w:t>本项目与周围环境敏感目标的距离符合规范要求，营运中将制定环境风险应急预案，定期进行应急演练。</w:t>
                  </w:r>
                </w:p>
              </w:tc>
              <w:tc>
                <w:tcPr>
                  <w:tcW w:w="580" w:type="pct"/>
                  <w:tcBorders>
                    <w:tl2br w:val="nil"/>
                    <w:tr2bl w:val="nil"/>
                  </w:tcBorders>
                  <w:vAlign w:val="center"/>
                </w:tcPr>
                <w:p>
                  <w:pPr>
                    <w:spacing w:line="300" w:lineRule="exact"/>
                    <w:jc w:val="center"/>
                    <w:rPr>
                      <w:rFonts w:cs="Times New Roman"/>
                    </w:rPr>
                  </w:pPr>
                  <w:r>
                    <w:rPr>
                      <w:rFonts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0" w:type="pct"/>
                  <w:vMerge w:val="continue"/>
                  <w:tcBorders>
                    <w:tl2br w:val="nil"/>
                    <w:tr2bl w:val="nil"/>
                  </w:tcBorders>
                  <w:vAlign w:val="center"/>
                </w:tcPr>
                <w:p>
                  <w:pPr>
                    <w:adjustRightInd w:val="0"/>
                    <w:spacing w:line="300" w:lineRule="exact"/>
                    <w:jc w:val="center"/>
                    <w:textAlignment w:val="baseline"/>
                    <w:rPr>
                      <w:rFonts w:cs="Times New Roman"/>
                    </w:rPr>
                  </w:pPr>
                </w:p>
              </w:tc>
              <w:tc>
                <w:tcPr>
                  <w:tcW w:w="497" w:type="pct"/>
                  <w:tcBorders>
                    <w:tl2br w:val="nil"/>
                    <w:tr2bl w:val="nil"/>
                  </w:tcBorders>
                  <w:vAlign w:val="center"/>
                </w:tcPr>
                <w:p>
                  <w:pPr>
                    <w:spacing w:line="300" w:lineRule="exact"/>
                    <w:jc w:val="center"/>
                    <w:rPr>
                      <w:rFonts w:cs="Times New Roman"/>
                    </w:rPr>
                  </w:pPr>
                  <w:r>
                    <w:rPr>
                      <w:rFonts w:cs="Times New Roman"/>
                    </w:rPr>
                    <w:t>资源开发利用要求</w:t>
                  </w:r>
                </w:p>
              </w:tc>
              <w:tc>
                <w:tcPr>
                  <w:tcW w:w="2040" w:type="pct"/>
                  <w:tcBorders>
                    <w:tl2br w:val="nil"/>
                    <w:tr2bl w:val="nil"/>
                  </w:tcBorders>
                  <w:vAlign w:val="center"/>
                </w:tcPr>
                <w:p>
                  <w:pPr>
                    <w:spacing w:line="300" w:lineRule="exact"/>
                    <w:jc w:val="left"/>
                    <w:rPr>
                      <w:rFonts w:cs="Times New Roman"/>
                    </w:rPr>
                  </w:pPr>
                  <w:r>
                    <w:rPr>
                      <w:rFonts w:cs="Times New Roman"/>
                    </w:rPr>
                    <w:fldChar w:fldCharType="begin"/>
                  </w:r>
                  <w:r>
                    <w:rPr>
                      <w:rFonts w:cs="Times New Roman"/>
                    </w:rPr>
                    <w:instrText xml:space="preserve"> = 1 \* GB3 </w:instrText>
                  </w:r>
                  <w:r>
                    <w:rPr>
                      <w:rFonts w:cs="Times New Roman"/>
                    </w:rPr>
                    <w:fldChar w:fldCharType="separate"/>
                  </w:r>
                  <w:r>
                    <w:rPr>
                      <w:rFonts w:cs="Times New Roman"/>
                    </w:rPr>
                    <w:t>①</w:t>
                  </w:r>
                  <w:r>
                    <w:rPr>
                      <w:rFonts w:cs="Times New Roman"/>
                    </w:rPr>
                    <w:fldChar w:fldCharType="end"/>
                  </w:r>
                  <w:r>
                    <w:rPr>
                      <w:rFonts w:cs="Times New Roman"/>
                    </w:rPr>
                    <w:t>禁止引入不符合国家产业政策、行业准入条件以及国家和地方明令禁止的项目；</w:t>
                  </w:r>
                </w:p>
                <w:p>
                  <w:pPr>
                    <w:spacing w:line="300" w:lineRule="exact"/>
                    <w:jc w:val="left"/>
                    <w:rPr>
                      <w:rFonts w:cs="Times New Roman"/>
                    </w:rPr>
                  </w:pPr>
                  <w:r>
                    <w:rPr>
                      <w:rFonts w:cs="Times New Roman"/>
                    </w:rPr>
                    <w:t>②禁止引入清洁生产水平达不到行业清洁生产水平二级标准或低于全国同类企业平均清洁生产水平的项目。</w:t>
                  </w:r>
                </w:p>
              </w:tc>
              <w:tc>
                <w:tcPr>
                  <w:tcW w:w="1511" w:type="pct"/>
                  <w:tcBorders>
                    <w:tl2br w:val="nil"/>
                    <w:tr2bl w:val="nil"/>
                  </w:tcBorders>
                  <w:vAlign w:val="center"/>
                </w:tcPr>
                <w:p>
                  <w:pPr>
                    <w:spacing w:line="300" w:lineRule="exact"/>
                    <w:jc w:val="center"/>
                    <w:rPr>
                      <w:rFonts w:cs="Times New Roman"/>
                    </w:rPr>
                  </w:pPr>
                  <w:r>
                    <w:rPr>
                      <w:rFonts w:cs="Times New Roman"/>
                    </w:rPr>
                    <w:t>本项目为玻璃纤维及制品制造，符合国家产业政策及行业准入条件，本项目采用国内先进生产工艺、设备，能达到行业清洁生产水平二级标准要求。</w:t>
                  </w:r>
                </w:p>
              </w:tc>
              <w:tc>
                <w:tcPr>
                  <w:tcW w:w="580" w:type="pct"/>
                  <w:tcBorders>
                    <w:tl2br w:val="nil"/>
                    <w:tr2bl w:val="nil"/>
                  </w:tcBorders>
                  <w:vAlign w:val="center"/>
                </w:tcPr>
                <w:p>
                  <w:pPr>
                    <w:spacing w:line="300" w:lineRule="exact"/>
                    <w:jc w:val="center"/>
                    <w:rPr>
                      <w:rFonts w:cs="Times New Roman"/>
                    </w:rPr>
                  </w:pPr>
                  <w:r>
                    <w:rPr>
                      <w:rFonts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0" w:type="pct"/>
                  <w:vMerge w:val="continue"/>
                  <w:tcBorders>
                    <w:tl2br w:val="nil"/>
                    <w:tr2bl w:val="nil"/>
                  </w:tcBorders>
                  <w:vAlign w:val="center"/>
                </w:tcPr>
                <w:p>
                  <w:pPr>
                    <w:adjustRightInd w:val="0"/>
                    <w:spacing w:line="300" w:lineRule="exact"/>
                    <w:jc w:val="center"/>
                    <w:textAlignment w:val="baseline"/>
                    <w:rPr>
                      <w:rFonts w:cs="Times New Roman"/>
                    </w:rPr>
                  </w:pPr>
                </w:p>
              </w:tc>
              <w:tc>
                <w:tcPr>
                  <w:tcW w:w="497" w:type="pct"/>
                  <w:tcBorders>
                    <w:tl2br w:val="nil"/>
                    <w:tr2bl w:val="nil"/>
                  </w:tcBorders>
                  <w:vAlign w:val="center"/>
                </w:tcPr>
                <w:p>
                  <w:pPr>
                    <w:spacing w:line="300" w:lineRule="exact"/>
                    <w:jc w:val="center"/>
                    <w:rPr>
                      <w:rFonts w:cs="Times New Roman"/>
                    </w:rPr>
                  </w:pPr>
                  <w:r>
                    <w:rPr>
                      <w:rFonts w:cs="Times New Roman"/>
                    </w:rPr>
                    <w:t>污染物排放管控</w:t>
                  </w:r>
                </w:p>
              </w:tc>
              <w:tc>
                <w:tcPr>
                  <w:tcW w:w="2040" w:type="pct"/>
                  <w:tcBorders>
                    <w:tl2br w:val="nil"/>
                    <w:tr2bl w:val="nil"/>
                  </w:tcBorders>
                  <w:vAlign w:val="center"/>
                </w:tcPr>
                <w:p>
                  <w:pPr>
                    <w:spacing w:line="300" w:lineRule="exact"/>
                    <w:jc w:val="left"/>
                    <w:rPr>
                      <w:rFonts w:cs="Times New Roman"/>
                    </w:rPr>
                  </w:pPr>
                  <w:r>
                    <w:rPr>
                      <w:rFonts w:cs="Times New Roman"/>
                    </w:rPr>
                    <w:t>禁止引入所排废水对集中污水处理设施运行稳定性、可靠性造成影响的项目。</w:t>
                  </w:r>
                </w:p>
              </w:tc>
              <w:tc>
                <w:tcPr>
                  <w:tcW w:w="1511" w:type="pct"/>
                  <w:tcBorders>
                    <w:tl2br w:val="nil"/>
                    <w:tr2bl w:val="nil"/>
                  </w:tcBorders>
                  <w:vAlign w:val="center"/>
                </w:tcPr>
                <w:p>
                  <w:pPr>
                    <w:spacing w:line="300" w:lineRule="exact"/>
                    <w:jc w:val="center"/>
                    <w:rPr>
                      <w:rFonts w:cs="Times New Roman"/>
                    </w:rPr>
                  </w:pPr>
                  <w:r>
                    <w:rPr>
                      <w:rFonts w:cs="Times New Roman"/>
                    </w:rPr>
                    <w:t>本项目废水仅为生活污水，不会对集中污水处理设施运行造成影响。</w:t>
                  </w:r>
                </w:p>
              </w:tc>
              <w:tc>
                <w:tcPr>
                  <w:tcW w:w="580" w:type="pct"/>
                  <w:tcBorders>
                    <w:tl2br w:val="nil"/>
                    <w:tr2bl w:val="nil"/>
                  </w:tcBorders>
                  <w:vAlign w:val="center"/>
                </w:tcPr>
                <w:p>
                  <w:pPr>
                    <w:spacing w:line="300" w:lineRule="exact"/>
                    <w:jc w:val="center"/>
                    <w:rPr>
                      <w:rFonts w:cs="Times New Roman"/>
                    </w:rPr>
                  </w:pPr>
                  <w:r>
                    <w:rPr>
                      <w:rFonts w:cs="Times New Roma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70" w:type="pct"/>
                  <w:tcBorders>
                    <w:tl2br w:val="nil"/>
                    <w:tr2bl w:val="nil"/>
                  </w:tcBorders>
                  <w:vAlign w:val="center"/>
                </w:tcPr>
                <w:p>
                  <w:pPr>
                    <w:adjustRightInd w:val="0"/>
                    <w:spacing w:line="300" w:lineRule="exact"/>
                    <w:jc w:val="center"/>
                    <w:textAlignment w:val="baseline"/>
                    <w:rPr>
                      <w:rFonts w:cs="Times New Roman"/>
                    </w:rPr>
                  </w:pPr>
                  <w:r>
                    <w:rPr>
                      <w:rFonts w:cs="Times New Roman"/>
                    </w:rPr>
                    <w:t>柳池功能区</w:t>
                  </w:r>
                </w:p>
              </w:tc>
              <w:tc>
                <w:tcPr>
                  <w:tcW w:w="497" w:type="pct"/>
                  <w:tcBorders>
                    <w:tl2br w:val="nil"/>
                    <w:tr2bl w:val="nil"/>
                  </w:tcBorders>
                  <w:vAlign w:val="center"/>
                </w:tcPr>
                <w:p>
                  <w:pPr>
                    <w:spacing w:line="300" w:lineRule="exact"/>
                    <w:jc w:val="center"/>
                    <w:rPr>
                      <w:rFonts w:cs="Times New Roman"/>
                    </w:rPr>
                  </w:pPr>
                  <w:r>
                    <w:rPr>
                      <w:rFonts w:cs="Times New Roman"/>
                    </w:rPr>
                    <w:t>空间布局约束</w:t>
                  </w:r>
                </w:p>
              </w:tc>
              <w:tc>
                <w:tcPr>
                  <w:tcW w:w="2040" w:type="pct"/>
                  <w:tcBorders>
                    <w:tl2br w:val="nil"/>
                    <w:tr2bl w:val="nil"/>
                  </w:tcBorders>
                  <w:vAlign w:val="center"/>
                </w:tcPr>
                <w:p>
                  <w:pPr>
                    <w:spacing w:line="300" w:lineRule="exact"/>
                    <w:jc w:val="left"/>
                    <w:rPr>
                      <w:rFonts w:cs="Times New Roman"/>
                    </w:rPr>
                  </w:pPr>
                  <w:r>
                    <w:rPr>
                      <w:rFonts w:cs="Times New Roman"/>
                    </w:rPr>
                    <w:t>禁止引入以原矿为原料的有色金属冶炼、印染、皮革鞣制、制浆造纸、印制电路板、专业电镀、化工项目。</w:t>
                  </w:r>
                </w:p>
              </w:tc>
              <w:tc>
                <w:tcPr>
                  <w:tcW w:w="1511" w:type="pct"/>
                  <w:tcBorders>
                    <w:tl2br w:val="nil"/>
                    <w:tr2bl w:val="nil"/>
                  </w:tcBorders>
                  <w:vAlign w:val="center"/>
                </w:tcPr>
                <w:p>
                  <w:pPr>
                    <w:spacing w:line="300" w:lineRule="exact"/>
                    <w:jc w:val="center"/>
                    <w:rPr>
                      <w:rFonts w:cs="Times New Roman"/>
                    </w:rPr>
                  </w:pPr>
                  <w:r>
                    <w:rPr>
                      <w:rFonts w:cs="Times New Roman"/>
                    </w:rPr>
                    <w:t>本项目为玻璃纤维及制品制造，不涉及禁止引入项目</w:t>
                  </w:r>
                </w:p>
              </w:tc>
              <w:tc>
                <w:tcPr>
                  <w:tcW w:w="580" w:type="pct"/>
                  <w:tcBorders>
                    <w:tl2br w:val="nil"/>
                    <w:tr2bl w:val="nil"/>
                  </w:tcBorders>
                  <w:vAlign w:val="center"/>
                </w:tcPr>
                <w:p>
                  <w:pPr>
                    <w:spacing w:line="300" w:lineRule="exact"/>
                    <w:jc w:val="center"/>
                    <w:rPr>
                      <w:rFonts w:cs="Times New Roman"/>
                    </w:rPr>
                  </w:pPr>
                  <w:r>
                    <w:rPr>
                      <w:rFonts w:cs="Times New Roman"/>
                    </w:rPr>
                    <w:t>符合</w:t>
                  </w:r>
                </w:p>
              </w:tc>
            </w:tr>
          </w:tbl>
          <w:p>
            <w:pPr>
              <w:spacing w:line="360" w:lineRule="auto"/>
              <w:ind w:firstLine="480" w:firstLineChars="200"/>
              <w:rPr>
                <w:rFonts w:cs="Times New Roman"/>
                <w:b/>
                <w:sz w:val="24"/>
                <w:szCs w:val="24"/>
              </w:rPr>
            </w:pPr>
            <w:r>
              <w:rPr>
                <w:rFonts w:cs="Times New Roman"/>
                <w:sz w:val="24"/>
                <w:szCs w:val="24"/>
              </w:rPr>
              <w:t>综上所述，本项目符合《四川达州普光经济开发区总体规划（2019-2035）》、《四川达州普光经济开发区总体规划（2019-2035）环境影响报告书》相关要求。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88" w:type="dxa"/>
            <w:vAlign w:val="center"/>
          </w:tcPr>
          <w:p>
            <w:pPr>
              <w:spacing w:line="360" w:lineRule="auto"/>
              <w:jc w:val="center"/>
              <w:rPr>
                <w:rFonts w:cs="Times New Roman"/>
                <w:sz w:val="24"/>
                <w:szCs w:val="24"/>
              </w:rPr>
            </w:pPr>
            <w:r>
              <w:rPr>
                <w:rFonts w:cs="Times New Roman"/>
                <w:sz w:val="24"/>
                <w:szCs w:val="24"/>
              </w:rPr>
              <w:t>其他符合性分析</w:t>
            </w:r>
          </w:p>
        </w:tc>
        <w:tc>
          <w:tcPr>
            <w:tcW w:w="8782" w:type="dxa"/>
            <w:gridSpan w:val="4"/>
            <w:vAlign w:val="center"/>
          </w:tcPr>
          <w:p>
            <w:pPr>
              <w:spacing w:line="360" w:lineRule="auto"/>
              <w:ind w:firstLine="482" w:firstLineChars="200"/>
              <w:rPr>
                <w:rFonts w:cs="Times New Roman"/>
                <w:b/>
                <w:bCs/>
                <w:sz w:val="24"/>
                <w:szCs w:val="24"/>
              </w:rPr>
            </w:pPr>
            <w:r>
              <w:rPr>
                <w:rFonts w:cs="Times New Roman"/>
                <w:b/>
                <w:bCs/>
                <w:sz w:val="24"/>
                <w:szCs w:val="24"/>
              </w:rPr>
              <w:t xml:space="preserve">1、产业政策的符合性分析 </w:t>
            </w:r>
          </w:p>
          <w:p>
            <w:pPr>
              <w:spacing w:line="360" w:lineRule="auto"/>
              <w:ind w:firstLine="480" w:firstLineChars="200"/>
              <w:rPr>
                <w:rFonts w:cs="Times New Roman"/>
                <w:sz w:val="24"/>
                <w:szCs w:val="24"/>
              </w:rPr>
            </w:pPr>
            <w:r>
              <w:rPr>
                <w:rFonts w:cs="Times New Roman"/>
                <w:sz w:val="24"/>
                <w:szCs w:val="24"/>
              </w:rPr>
              <w:t>本项目属于C3061 玻璃纤维及制品制造，项目年产1.4亿平米玻纤湿法毡。根据《产业结构调整指导目录（2019年本）》（2021修订）相关规定，本项目不属于“鼓励类、限制类和淘汰类”项目，根据国务院《促进产业结构调整暂行规定》（国发〔2005〕40号），第十三条：“不属于鼓励类、限制类和淘汰类，且符合国家有关法律、法规和政策规定，视为允许类”，故项目为允许类。</w:t>
            </w:r>
          </w:p>
          <w:p>
            <w:pPr>
              <w:spacing w:line="360" w:lineRule="auto"/>
              <w:ind w:firstLine="480" w:firstLineChars="200"/>
              <w:rPr>
                <w:rFonts w:cs="Times New Roman"/>
                <w:sz w:val="24"/>
                <w:szCs w:val="24"/>
              </w:rPr>
            </w:pPr>
            <w:r>
              <w:rPr>
                <w:rFonts w:cs="Times New Roman"/>
                <w:sz w:val="24"/>
                <w:szCs w:val="24"/>
              </w:rPr>
              <w:t>同时，宣汉县经济和信息化局以川投资备【2305-511722-07-02-478958】JXQB-0368号同意了本项目的建设。</w:t>
            </w:r>
          </w:p>
          <w:p>
            <w:pPr>
              <w:spacing w:line="360" w:lineRule="auto"/>
              <w:ind w:firstLine="480" w:firstLineChars="200"/>
              <w:rPr>
                <w:rFonts w:cs="Times New Roman"/>
                <w:sz w:val="24"/>
                <w:szCs w:val="24"/>
              </w:rPr>
            </w:pPr>
            <w:r>
              <w:rPr>
                <w:rFonts w:cs="Times New Roman"/>
                <w:sz w:val="24"/>
                <w:szCs w:val="24"/>
              </w:rPr>
              <w:t xml:space="preserve">因此，项目符合国家现行产业政策。 </w:t>
            </w:r>
          </w:p>
          <w:p>
            <w:pPr>
              <w:spacing w:line="360" w:lineRule="auto"/>
              <w:ind w:firstLine="482" w:firstLineChars="200"/>
              <w:rPr>
                <w:rFonts w:cs="Times New Roman"/>
                <w:b/>
                <w:bCs/>
                <w:sz w:val="24"/>
                <w:szCs w:val="24"/>
              </w:rPr>
            </w:pPr>
            <w:r>
              <w:rPr>
                <w:rFonts w:cs="Times New Roman"/>
                <w:b/>
                <w:bCs/>
                <w:sz w:val="24"/>
                <w:szCs w:val="24"/>
              </w:rPr>
              <w:t xml:space="preserve">2、用地规划符合性分析 </w:t>
            </w:r>
          </w:p>
          <w:p>
            <w:pPr>
              <w:spacing w:line="360" w:lineRule="auto"/>
              <w:ind w:firstLine="480" w:firstLineChars="200"/>
              <w:rPr>
                <w:rFonts w:cs="Times New Roman"/>
                <w:sz w:val="24"/>
                <w:szCs w:val="24"/>
                <w:highlight w:val="yellow"/>
              </w:rPr>
            </w:pPr>
            <w:r>
              <w:rPr>
                <w:rFonts w:cs="Times New Roman"/>
                <w:sz w:val="24"/>
                <w:szCs w:val="24"/>
              </w:rPr>
              <w:t>本项目选址于四川达州普光经济开发区柳池工业园区1号干道2号，位于宣汉普光科睿新材料有限公司现有厂区内，现有土地占地面积30亩，本项目不涉及新增用地，根据项目土地证（宣国用（2015）第00621号），用地性质为工业用地（见附件7）。项目评价范围内无自然保护区、历史文化遗迹和风景名胜等敏感目标，无珍稀动植物分布。</w:t>
            </w:r>
          </w:p>
          <w:p>
            <w:pPr>
              <w:spacing w:line="360" w:lineRule="auto"/>
              <w:ind w:firstLine="480" w:firstLineChars="200"/>
              <w:rPr>
                <w:rFonts w:cs="Times New Roman"/>
                <w:sz w:val="24"/>
                <w:szCs w:val="24"/>
              </w:rPr>
            </w:pPr>
            <w:r>
              <w:rPr>
                <w:rFonts w:cs="Times New Roman"/>
                <w:sz w:val="24"/>
                <w:szCs w:val="24"/>
              </w:rPr>
              <w:t>因此，项目建设符合当地用地规划，符合国家相关要求。</w:t>
            </w:r>
          </w:p>
          <w:p>
            <w:pPr>
              <w:spacing w:line="360" w:lineRule="auto"/>
              <w:ind w:firstLine="482" w:firstLineChars="200"/>
              <w:rPr>
                <w:rFonts w:cs="Times New Roman"/>
                <w:b/>
                <w:bCs/>
                <w:sz w:val="24"/>
                <w:szCs w:val="24"/>
              </w:rPr>
            </w:pPr>
            <w:r>
              <w:rPr>
                <w:rFonts w:cs="Times New Roman"/>
                <w:b/>
                <w:bCs/>
                <w:sz w:val="24"/>
                <w:szCs w:val="24"/>
              </w:rPr>
              <w:t>3、项目与饮用水水源地符合性分析</w:t>
            </w:r>
          </w:p>
          <w:p>
            <w:pPr>
              <w:spacing w:line="360" w:lineRule="auto"/>
              <w:ind w:firstLine="482" w:firstLineChars="200"/>
              <w:rPr>
                <w:rFonts w:cs="Times New Roman"/>
                <w:b/>
                <w:bCs/>
                <w:sz w:val="24"/>
              </w:rPr>
            </w:pPr>
            <w:r>
              <w:rPr>
                <w:rFonts w:cs="Times New Roman"/>
                <w:b/>
                <w:bCs/>
                <w:sz w:val="24"/>
              </w:rPr>
              <w:t>（1）</w:t>
            </w:r>
            <w:r>
              <w:rPr>
                <w:rFonts w:cs="Times New Roman"/>
                <w:b/>
                <w:bCs/>
                <w:sz w:val="24"/>
                <w:szCs w:val="24"/>
              </w:rPr>
              <w:t>宣汉县蒲江街道凉水井水库集中式饮用水水源地</w:t>
            </w:r>
          </w:p>
          <w:p>
            <w:pPr>
              <w:spacing w:line="360" w:lineRule="auto"/>
              <w:ind w:firstLine="480" w:firstLineChars="200"/>
              <w:rPr>
                <w:rFonts w:cs="Times New Roman"/>
                <w:sz w:val="24"/>
                <w:szCs w:val="24"/>
              </w:rPr>
            </w:pPr>
            <w:r>
              <w:rPr>
                <w:rFonts w:cs="Times New Roman"/>
                <w:sz w:val="24"/>
              </w:rPr>
              <w:t>根据达州市人民政府《关于划定万源市、宣汉县和大竹县乡镇及以下集中式饮用水水源保护地保护区的批复》（达市府函〔2020〕124号）文件，</w:t>
            </w:r>
            <w:r>
              <w:rPr>
                <w:rFonts w:cs="Times New Roman"/>
                <w:sz w:val="24"/>
                <w:szCs w:val="24"/>
              </w:rPr>
              <w:t>项目周围最近的水源地为宣汉县蒲江街道凉水井水库集中式饮用水水源地，</w:t>
            </w:r>
            <w:r>
              <w:rPr>
                <w:rFonts w:cs="Times New Roman"/>
                <w:sz w:val="24"/>
              </w:rPr>
              <w:t>取水口位于普光镇柳坪村11组（107°41′13.137″E，31°25′28.86″N），</w:t>
            </w:r>
            <w:r>
              <w:rPr>
                <w:rFonts w:hint="eastAsia" w:cs="Times New Roman"/>
                <w:color w:val="000000" w:themeColor="text1"/>
                <w:sz w:val="24"/>
                <w:lang w:val="en-US" w:eastAsia="zh-CN"/>
                <w14:textFill>
                  <w14:solidFill>
                    <w14:schemeClr w14:val="tx1"/>
                  </w14:solidFill>
                </w14:textFill>
              </w:rPr>
              <w:t>其中一级保护区：水域外200m范围内，但不超过分水岭的全部陆域范围；二级保护区：除一级保护区外，凉水井水库坝顶以上汇水范围内的全部水域陆域范围。</w:t>
            </w:r>
            <w:r>
              <w:rPr>
                <w:rFonts w:cs="Times New Roman"/>
                <w:sz w:val="24"/>
                <w:szCs w:val="24"/>
              </w:rPr>
              <w:t>本项目边界距离</w:t>
            </w:r>
            <w:r>
              <w:rPr>
                <w:rFonts w:hint="eastAsia" w:cs="Times New Roman"/>
                <w:sz w:val="24"/>
                <w:szCs w:val="24"/>
                <w:lang w:val="en-US" w:eastAsia="zh-CN"/>
              </w:rPr>
              <w:t>饮用水二级保护区边界</w:t>
            </w:r>
            <w:r>
              <w:rPr>
                <w:rFonts w:cs="Times New Roman"/>
                <w:sz w:val="24"/>
                <w:szCs w:val="24"/>
              </w:rPr>
              <w:t>约7</w:t>
            </w:r>
            <w:r>
              <w:rPr>
                <w:rFonts w:hint="eastAsia" w:cs="Times New Roman"/>
                <w:sz w:val="24"/>
                <w:szCs w:val="24"/>
                <w:lang w:val="en-US" w:eastAsia="zh-CN"/>
              </w:rPr>
              <w:t>0</w:t>
            </w:r>
            <w:r>
              <w:rPr>
                <w:rFonts w:cs="Times New Roman"/>
                <w:sz w:val="24"/>
                <w:szCs w:val="24"/>
              </w:rPr>
              <w:t>0m，不在径流补给区，无水力联系。</w:t>
            </w:r>
          </w:p>
          <w:p>
            <w:pPr>
              <w:spacing w:line="360" w:lineRule="auto"/>
              <w:jc w:val="center"/>
              <w:rPr>
                <w:rFonts w:cs="Times New Roman"/>
                <w:sz w:val="24"/>
                <w:szCs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2677795</wp:posOffset>
                      </wp:positionH>
                      <wp:positionV relativeFrom="paragraph">
                        <wp:posOffset>2664460</wp:posOffset>
                      </wp:positionV>
                      <wp:extent cx="647700" cy="390525"/>
                      <wp:effectExtent l="4445" t="4445" r="14605" b="5080"/>
                      <wp:wrapNone/>
                      <wp:docPr id="35" name="圆角矩形 35"/>
                      <wp:cNvGraphicFramePr/>
                      <a:graphic xmlns:a="http://schemas.openxmlformats.org/drawingml/2006/main">
                        <a:graphicData uri="http://schemas.microsoft.com/office/word/2010/wordprocessingShape">
                          <wps:wsp>
                            <wps:cNvSpPr/>
                            <wps:spPr>
                              <a:xfrm>
                                <a:off x="4345305" y="4429125"/>
                                <a:ext cx="647700" cy="390525"/>
                              </a:xfrm>
                              <a:prstGeom prst="roundRect">
                                <a:avLst/>
                              </a:prstGeom>
                              <a:ln w="9525" cap="flat" cmpd="sng" algn="ctr">
                                <a:solidFill>
                                  <a:schemeClr val="accent1"/>
                                </a:solidFill>
                                <a:prstDash val="dash"/>
                              </a:ln>
                            </wps:spPr>
                            <wps:style>
                              <a:lnRef idx="0">
                                <a:schemeClr val="accent1"/>
                              </a:lnRef>
                              <a:fillRef idx="0">
                                <a:srgbClr val="FFFFFF"/>
                              </a:fillRef>
                              <a:effectRef idx="0">
                                <a:srgbClr val="FFFFFF"/>
                              </a:effectRef>
                              <a:fontRef idx="minor">
                                <a:schemeClr val="dk1"/>
                              </a:fontRef>
                            </wps:style>
                            <wps:txbx>
                              <w:txbxContent>
                                <w:p>
                                  <w:pPr>
                                    <w:jc w:val="center"/>
                                    <w:rPr>
                                      <w:rFonts w:hint="default" w:eastAsia="宋体"/>
                                      <w:color w:val="FF0000"/>
                                      <w:lang w:val="en-US" w:eastAsia="zh-CN"/>
                                      <w14:textOutline w14:w="9525">
                                        <w14:solidFill>
                                          <w14:schemeClr w14:val="tx1"/>
                                        </w14:solidFill>
                                        <w14:round/>
                                      </w14:textOutline>
                                    </w:rPr>
                                  </w:pPr>
                                  <w:r>
                                    <w:rPr>
                                      <w:rFonts w:hint="eastAsia"/>
                                      <w:color w:val="FF0000"/>
                                      <w:lang w:val="en-US" w:eastAsia="zh-CN"/>
                                      <w14:textOutline w14:w="9525">
                                        <w14:solidFill>
                                          <w14:schemeClr w14:val="tx1"/>
                                        </w14:solidFill>
                                        <w14:round/>
                                      </w14:textOutline>
                                    </w:rPr>
                                    <w:t>700m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10.85pt;margin-top:209.8pt;height:30.75pt;width:51pt;z-index:251677696;v-text-anchor:middle;mso-width-relative:page;mso-height-relative:page;" filled="f" stroked="t" coordsize="21600,21600" arcsize="0.166666666666667" o:gfxdata="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GT4EunXAAAACwEAAA8AAAAAAAAA&#10;AQAgAAAAIgAAAGRycy9kb3ducmV2LnhtbFBLAQIUABQAAAAIAIdO4kAzq7rBhAIAANUEAAAOAAAA&#10;AAAAAAEAIAAAACYBAABkcnMvZTJvRG9jLnhtbFBLBQYAAAAABgAGAFkBAAAcBgAAAAA=&#10;">
                      <v:fill on="f" focussize="0,0"/>
                      <v:stroke color="#4F81BD [3204]" joinstyle="round" dashstyle="dash"/>
                      <v:imagedata o:title=""/>
                      <o:lock v:ext="edit" aspectratio="f"/>
                      <v:textbox>
                        <w:txbxContent>
                          <w:p>
                            <w:pPr>
                              <w:jc w:val="center"/>
                              <w:rPr>
                                <w:rFonts w:hint="default" w:eastAsia="宋体"/>
                                <w:color w:val="FF0000"/>
                                <w:lang w:val="en-US" w:eastAsia="zh-CN"/>
                                <w14:textOutline w14:w="9525">
                                  <w14:solidFill>
                                    <w14:schemeClr w14:val="tx1"/>
                                  </w14:solidFill>
                                  <w14:round/>
                                </w14:textOutline>
                              </w:rPr>
                            </w:pPr>
                            <w:r>
                              <w:rPr>
                                <w:rFonts w:hint="eastAsia"/>
                                <w:color w:val="FF0000"/>
                                <w:lang w:val="en-US" w:eastAsia="zh-CN"/>
                                <w14:textOutline w14:w="9525">
                                  <w14:solidFill>
                                    <w14:schemeClr w14:val="tx1"/>
                                  </w14:solidFill>
                                  <w14:round/>
                                </w14:textOutline>
                              </w:rPr>
                              <w:t>700m</w:t>
                            </w:r>
                          </w:p>
                        </w:txbxContent>
                      </v:textbox>
                    </v:roundrect>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2534920</wp:posOffset>
                      </wp:positionH>
                      <wp:positionV relativeFrom="paragraph">
                        <wp:posOffset>1462405</wp:posOffset>
                      </wp:positionV>
                      <wp:extent cx="511175" cy="2668905"/>
                      <wp:effectExtent l="37465" t="0" r="41910" b="17145"/>
                      <wp:wrapNone/>
                      <wp:docPr id="25" name="直接箭头连接符 25"/>
                      <wp:cNvGraphicFramePr/>
                      <a:graphic xmlns:a="http://schemas.openxmlformats.org/drawingml/2006/main">
                        <a:graphicData uri="http://schemas.microsoft.com/office/word/2010/wordprocessingShape">
                          <wps:wsp>
                            <wps:cNvCnPr/>
                            <wps:spPr>
                              <a:xfrm flipH="1">
                                <a:off x="4446905" y="3179445"/>
                                <a:ext cx="511175" cy="2668905"/>
                              </a:xfrm>
                              <a:prstGeom prst="straightConnector1">
                                <a:avLst/>
                              </a:prstGeom>
                              <a:ln>
                                <a:solidFill>
                                  <a:srgbClr val="FF0000"/>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99.6pt;margin-top:115.15pt;height:210.15pt;width:40.25pt;z-index:251676672;mso-width-relative:page;mso-height-relative:page;" filled="f" stroked="t" coordsize="21600,21600" o:gfxdata="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8H4I1wAAAAsB&#10;AAAPAAAAAAAAAAEAIAAAACIAAABkcnMvZG93bnJldi54bWxQSwECFAAUAAAACACHTuJAjeWzyRwC&#10;AAD+AwAADgAAAAAAAAABACAAAAAmAQAAZHJzL2Uyb0RvYy54bWxQSwUGAAAAAAYABgBZAQAAtAUA&#10;AAAA&#10;">
                      <v:fill on="f" focussize="0,0"/>
                      <v:stroke weight="2pt" color="#FF0000 [3204]" joinstyle="round" startarrow="open" endarrow="open"/>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3854450</wp:posOffset>
                      </wp:positionH>
                      <wp:positionV relativeFrom="paragraph">
                        <wp:posOffset>731520</wp:posOffset>
                      </wp:positionV>
                      <wp:extent cx="665480" cy="369570"/>
                      <wp:effectExtent l="12700" t="12700" r="26670" b="17780"/>
                      <wp:wrapNone/>
                      <wp:docPr id="22" name="矩形 22"/>
                      <wp:cNvGraphicFramePr/>
                      <a:graphic xmlns:a="http://schemas.openxmlformats.org/drawingml/2006/main">
                        <a:graphicData uri="http://schemas.microsoft.com/office/word/2010/wordprocessingShape">
                          <wps:wsp>
                            <wps:cNvSpPr/>
                            <wps:spPr>
                              <a:xfrm>
                                <a:off x="5293360" y="2524125"/>
                                <a:ext cx="665480" cy="369570"/>
                              </a:xfrm>
                              <a:prstGeom prst="rect">
                                <a:avLst/>
                              </a:prstGeom>
                              <a:ln>
                                <a:solidFill>
                                  <a:srgbClr val="FF0000"/>
                                </a:solidFill>
                              </a:ln>
                            </wps:spPr>
                            <wps:style>
                              <a:lnRef idx="2">
                                <a:schemeClr val="accent1"/>
                              </a:lnRef>
                              <a:fillRef idx="0">
                                <a:srgbClr val="FFFFFF"/>
                              </a:fillRef>
                              <a:effectRef idx="0">
                                <a:srgbClr val="FFFFFF"/>
                              </a:effectRef>
                              <a:fontRef idx="minor">
                                <a:schemeClr val="dk1"/>
                              </a:fontRef>
                            </wps:style>
                            <wps:txbx>
                              <w:txbxContent>
                                <w:p>
                                  <w:pPr>
                                    <w:jc w:val="center"/>
                                    <w:rPr>
                                      <w:rFonts w:hint="default"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3.5pt;margin-top:57.6pt;height:29.1pt;width:52.4pt;z-index:251675648;v-text-anchor:middle;mso-width-relative:page;mso-height-relative:page;" filled="f" stroked="t" coordsize="21600,21600" o:gfxdata="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kcnT+NoAAAALAQAADwAAAAAAAAABACAAAAAiAAAAZHJzL2Rv&#10;d25yZXYueG1sUEsBAhQAFAAAAAgAh07iQOn8ehFxAgAAzAQAAA4AAAAAAAAAAQAgAAAAKQEAAGRy&#10;cy9lMm9Eb2MueG1sUEsFBgAAAAAGAAYAWQEAAAwGAAAAAA==&#10;">
                      <v:fill on="f" focussize="0,0"/>
                      <v:stroke weight="2pt" color="#FF0000 [3204]" joinstyle="round"/>
                      <v:imagedata o:title=""/>
                      <o:lock v:ext="edit" aspectratio="f"/>
                      <v:textbox>
                        <w:txbxContent>
                          <w:p>
                            <w:pPr>
                              <w:jc w:val="center"/>
                              <w:rPr>
                                <w:rFonts w:hint="default" w:eastAsia="宋体"/>
                                <w:color w:val="FF0000"/>
                                <w:lang w:val="en-US" w:eastAsia="zh-CN"/>
                              </w:rPr>
                            </w:pPr>
                            <w:r>
                              <w:rPr>
                                <w:rFonts w:hint="eastAsia"/>
                                <w:color w:val="FF0000"/>
                                <w:lang w:val="en-US" w:eastAsia="zh-CN"/>
                              </w:rPr>
                              <w:t>本项目</w:t>
                            </w:r>
                          </w:p>
                        </w:txbxContent>
                      </v:textbox>
                    </v:rect>
                  </w:pict>
                </mc:Fallback>
              </mc:AlternateContent>
            </w:r>
            <w:r>
              <w:rPr>
                <w:rFonts w:cs="Times New Roman"/>
              </w:rPr>
              <mc:AlternateContent>
                <mc:Choice Requires="wps">
                  <w:drawing>
                    <wp:anchor distT="0" distB="0" distL="114300" distR="114300" simplePos="0" relativeHeight="251668480" behindDoc="0" locked="0" layoutInCell="1" allowOverlap="1">
                      <wp:simplePos x="0" y="0"/>
                      <wp:positionH relativeFrom="column">
                        <wp:posOffset>3151505</wp:posOffset>
                      </wp:positionH>
                      <wp:positionV relativeFrom="paragraph">
                        <wp:posOffset>870585</wp:posOffset>
                      </wp:positionV>
                      <wp:extent cx="714375" cy="247650"/>
                      <wp:effectExtent l="10160" t="12700" r="18415" b="25400"/>
                      <wp:wrapNone/>
                      <wp:docPr id="5" name="任意多边形 5"/>
                      <wp:cNvGraphicFramePr/>
                      <a:graphic xmlns:a="http://schemas.openxmlformats.org/drawingml/2006/main">
                        <a:graphicData uri="http://schemas.microsoft.com/office/word/2010/wordprocessingShape">
                          <wps:wsp>
                            <wps:cNvSpPr/>
                            <wps:spPr>
                              <a:xfrm>
                                <a:off x="4743450" y="2663825"/>
                                <a:ext cx="714375" cy="247650"/>
                              </a:xfrm>
                              <a:custGeom>
                                <a:avLst/>
                                <a:gdLst>
                                  <a:gd name="connisteX0" fmla="*/ 0 w 714375"/>
                                  <a:gd name="connsiteY0" fmla="*/ 247650 h 247650"/>
                                  <a:gd name="connisteX1" fmla="*/ 190500 w 714375"/>
                                  <a:gd name="connsiteY1" fmla="*/ 9525 h 247650"/>
                                  <a:gd name="connisteX2" fmla="*/ 714375 w 714375"/>
                                  <a:gd name="connsiteY2" fmla="*/ 0 h 247650"/>
                                </a:gdLst>
                                <a:ahLst/>
                                <a:cxnLst>
                                  <a:cxn ang="0">
                                    <a:pos x="connisteX0" y="connsiteY0"/>
                                  </a:cxn>
                                  <a:cxn ang="0">
                                    <a:pos x="connisteX1" y="connsiteY1"/>
                                  </a:cxn>
                                  <a:cxn ang="0">
                                    <a:pos x="connisteX2" y="connsiteY2"/>
                                  </a:cxn>
                                </a:cxnLst>
                                <a:rect l="l" t="t" r="r" b="b"/>
                                <a:pathLst>
                                  <a:path w="714375" h="247650">
                                    <a:moveTo>
                                      <a:pt x="0" y="247650"/>
                                    </a:moveTo>
                                    <a:lnTo>
                                      <a:pt x="190500" y="9525"/>
                                    </a:lnTo>
                                    <a:lnTo>
                                      <a:pt x="714375"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248.15pt;margin-top:68.55pt;height:19.5pt;width:56.25pt;z-index:251668480;mso-width-relative:page;mso-height-relative:page;" filled="f" stroked="t" coordsize="714375,247650" o:gfxdata="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DopGhrZAAAACwEA&#10;AA8AAAAAAAAAAQAgAAAAIgAAAGRycy9kb3ducmV2LnhtbFBLAQIUABQAAAAIAIdO4kBHckV8xAIA&#10;AI8GAAAOAAAAAAAAAAEAIAAAACgBAABkcnMvZTJvRG9jLnhtbFBLBQYAAAAABgAGAFkBAABeBgAA&#10;AAA=&#10;" path="m0,247650l190500,9525,714375,0e">
                      <v:path o:connectlocs="0,247650;190500,9525;714375,0" o:connectangles="0,0,0"/>
                      <v:fill on="f" focussize="0,0"/>
                      <v:stroke weight="2pt" color="#FF0000 [3204]" joinstyle="round"/>
                      <v:imagedata o:title=""/>
                      <o:lock v:ext="edit" aspectratio="f"/>
                    </v:shape>
                  </w:pict>
                </mc:Fallback>
              </mc:AlternateContent>
            </w:r>
            <w:r>
              <w:rPr>
                <w:rFonts w:cs="Times New Roman"/>
              </w:rPr>
              <mc:AlternateContent>
                <mc:Choice Requires="wps">
                  <w:drawing>
                    <wp:anchor distT="0" distB="0" distL="114300" distR="114300" simplePos="0" relativeHeight="251665408" behindDoc="0" locked="0" layoutInCell="1" allowOverlap="1">
                      <wp:simplePos x="0" y="0"/>
                      <wp:positionH relativeFrom="column">
                        <wp:posOffset>2474595</wp:posOffset>
                      </wp:positionH>
                      <wp:positionV relativeFrom="paragraph">
                        <wp:posOffset>742315</wp:posOffset>
                      </wp:positionV>
                      <wp:extent cx="1133475" cy="758190"/>
                      <wp:effectExtent l="12700" t="12700" r="15875" b="29210"/>
                      <wp:wrapNone/>
                      <wp:docPr id="23" name="任意多边形 23"/>
                      <wp:cNvGraphicFramePr/>
                      <a:graphic xmlns:a="http://schemas.openxmlformats.org/drawingml/2006/main">
                        <a:graphicData uri="http://schemas.microsoft.com/office/word/2010/wordprocessingShape">
                          <wps:wsp>
                            <wps:cNvSpPr/>
                            <wps:spPr>
                              <a:xfrm>
                                <a:off x="4123690" y="1021080"/>
                                <a:ext cx="1133475" cy="758190"/>
                              </a:xfrm>
                              <a:custGeom>
                                <a:avLst/>
                                <a:gdLst>
                                  <a:gd name="connisteX0" fmla="*/ 0 w 1133475"/>
                                  <a:gd name="connsiteY0" fmla="*/ 209550 h 758190"/>
                                  <a:gd name="connisteX1" fmla="*/ 142875 w 1133475"/>
                                  <a:gd name="connsiteY1" fmla="*/ 0 h 758190"/>
                                  <a:gd name="connisteX2" fmla="*/ 819150 w 1133475"/>
                                  <a:gd name="connsiteY2" fmla="*/ 342900 h 758190"/>
                                  <a:gd name="connisteX3" fmla="*/ 1133475 w 1133475"/>
                                  <a:gd name="connsiteY3" fmla="*/ 466725 h 758190"/>
                                  <a:gd name="connisteX4" fmla="*/ 1123950 w 1133475"/>
                                  <a:gd name="connsiteY4" fmla="*/ 558165 h 758190"/>
                                  <a:gd name="connisteX5" fmla="*/ 1047750 w 1133475"/>
                                  <a:gd name="connsiteY5" fmla="*/ 529590 h 758190"/>
                                  <a:gd name="connisteX6" fmla="*/ 933450 w 1133475"/>
                                  <a:gd name="connsiteY6" fmla="*/ 529590 h 758190"/>
                                  <a:gd name="connisteX7" fmla="*/ 714375 w 1133475"/>
                                  <a:gd name="connsiteY7" fmla="*/ 758190 h 758190"/>
                                  <a:gd name="connisteX8" fmla="*/ 571500 w 1133475"/>
                                  <a:gd name="connsiteY8" fmla="*/ 720090 h 758190"/>
                                  <a:gd name="connisteX9" fmla="*/ 504825 w 1133475"/>
                                  <a:gd name="connsiteY9" fmla="*/ 472440 h 758190"/>
                                  <a:gd name="connisteX10" fmla="*/ 0 w 1133475"/>
                                  <a:gd name="connsiteY10" fmla="*/ 209550 h 75819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Lst>
                                <a:rect l="l" t="t" r="r" b="b"/>
                                <a:pathLst>
                                  <a:path w="1133475" h="758190">
                                    <a:moveTo>
                                      <a:pt x="0" y="209550"/>
                                    </a:moveTo>
                                    <a:lnTo>
                                      <a:pt x="142875" y="0"/>
                                    </a:lnTo>
                                    <a:lnTo>
                                      <a:pt x="819150" y="342900"/>
                                    </a:lnTo>
                                    <a:lnTo>
                                      <a:pt x="1133475" y="466725"/>
                                    </a:lnTo>
                                    <a:lnTo>
                                      <a:pt x="1123950" y="558165"/>
                                    </a:lnTo>
                                    <a:lnTo>
                                      <a:pt x="1047750" y="529590"/>
                                    </a:lnTo>
                                    <a:lnTo>
                                      <a:pt x="933450" y="529590"/>
                                    </a:lnTo>
                                    <a:lnTo>
                                      <a:pt x="714375" y="758190"/>
                                    </a:lnTo>
                                    <a:lnTo>
                                      <a:pt x="571500" y="720090"/>
                                    </a:lnTo>
                                    <a:lnTo>
                                      <a:pt x="504825" y="472440"/>
                                    </a:lnTo>
                                    <a:lnTo>
                                      <a:pt x="0" y="20955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94.85pt;margin-top:58.45pt;height:59.7pt;width:89.25pt;z-index:251665408;mso-width-relative:page;mso-height-relative:page;" filled="f" stroked="t" coordsize="1133475,758190" o:gfxdata="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" path="m0,209550l142875,0,819150,342900,1133475,466725,1123950,558165,1047750,529590,933450,529590,714375,758190,571500,720090,504825,472440,0,209550xe">
                      <v:path o:connectlocs="0,209550;142875,0;819150,342900;1133475,466725;1123950,558165;1047750,529590;933450,529590;714375,758190;571500,720090;504825,472440;0,209550" o:connectangles="0,0,0,0,0,0,0,0,0,0,0"/>
                      <v:fill on="f" focussize="0,0"/>
                      <v:stroke weight="2pt" color="#FF0000 [3204]" joinstyle="round"/>
                      <v:imagedata o:title=""/>
                      <o:lock v:ext="edit" aspectratio="f"/>
                    </v:shape>
                  </w:pict>
                </mc:Fallback>
              </mc:AlternateContent>
            </w:r>
            <w:r>
              <w:rPr>
                <w:rFonts w:cs="Times New Roman"/>
              </w:rPr>
              <mc:AlternateContent>
                <mc:Choice Requires="wps">
                  <w:drawing>
                    <wp:anchor distT="0" distB="0" distL="114300" distR="114300" simplePos="0" relativeHeight="251667456" behindDoc="0" locked="0" layoutInCell="1" allowOverlap="1">
                      <wp:simplePos x="0" y="0"/>
                      <wp:positionH relativeFrom="column">
                        <wp:posOffset>3293745</wp:posOffset>
                      </wp:positionH>
                      <wp:positionV relativeFrom="paragraph">
                        <wp:posOffset>208915</wp:posOffset>
                      </wp:positionV>
                      <wp:extent cx="694690" cy="2755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69469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9.35pt;margin-top:16.45pt;height:21.7pt;width:54.7pt;z-index:251667456;mso-width-relative:page;mso-height-relative:page;" filled="f" stroked="f" coordsize="21600,21600" o:gfxdata="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2iBK2wAAAAkBAAAPAAAAAAAAAAEAIAAAACIAAABkcnMv&#10;ZG93bnJldi54bWxQSwECFAAUAAAACACHTuJATFaEgDkCAABlBAAADgAAAAAAAAABACAAAAAqAQAA&#10;ZHJzL2Uyb0RvYy54bWxQSwUGAAAAAAYABgBZAQAA1QUAAAAA&#10;">
                      <v:fill on="f" focussize="0,0"/>
                      <v:stroke on="f" weight="0.5pt"/>
                      <v:imagedata o:title=""/>
                      <o:lock v:ext="edit" aspectratio="f"/>
                      <v:textbox>
                        <w:txbxContent>
                          <w:p/>
                        </w:txbxContent>
                      </v:textbox>
                    </v:shape>
                  </w:pict>
                </mc:Fallback>
              </mc:AlternateContent>
            </w:r>
            <w:r>
              <w:rPr>
                <w:rFonts w:cs="Times New Roman"/>
              </w:rPr>
              <mc:AlternateContent>
                <mc:Choice Requires="wps">
                  <w:drawing>
                    <wp:anchor distT="0" distB="0" distL="114300" distR="114300" simplePos="0" relativeHeight="251666432" behindDoc="0" locked="0" layoutInCell="1" allowOverlap="1">
                      <wp:simplePos x="0" y="0"/>
                      <wp:positionH relativeFrom="column">
                        <wp:posOffset>2741295</wp:posOffset>
                      </wp:positionH>
                      <wp:positionV relativeFrom="paragraph">
                        <wp:posOffset>2085340</wp:posOffset>
                      </wp:positionV>
                      <wp:extent cx="542290" cy="275590"/>
                      <wp:effectExtent l="0" t="0" r="0" b="0"/>
                      <wp:wrapNone/>
                      <wp:docPr id="26" name="文本框 26"/>
                      <wp:cNvGraphicFramePr/>
                      <a:graphic xmlns:a="http://schemas.openxmlformats.org/drawingml/2006/main">
                        <a:graphicData uri="http://schemas.microsoft.com/office/word/2010/wordprocessingShape">
                          <wps:wsp>
                            <wps:cNvSpPr txBox="1"/>
                            <wps:spPr>
                              <a:xfrm>
                                <a:off x="4904740" y="2878455"/>
                                <a:ext cx="54229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85pt;margin-top:164.2pt;height:21.7pt;width:42.7pt;z-index:251666432;mso-width-relative:page;mso-height-relative:page;" filled="f" stroked="f" coordsize="21600,21600" o:gfxdata="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3Yh3a3AAAAAsBAAAPAAAAAAAA&#10;AAEAIAAAACIAAABkcnMvZG93bnJldi54bWxQSwECFAAUAAAACACHTuJA9FQn/0cCAABzBAAADgAA&#10;AAAAAAABACAAAAArAQAAZHJzL2Uyb0RvYy54bWxQSwUGAAAAAAYABgBZAQAA5AUAAAAA&#10;">
                      <v:fill on="f" focussize="0,0"/>
                      <v:stroke on="f" weight="0.5pt"/>
                      <v:imagedata o:title=""/>
                      <o:lock v:ext="edit" aspectratio="f"/>
                      <v:textbox>
                        <w:txbxContent>
                          <w:p/>
                        </w:txbxContent>
                      </v:textbox>
                    </v:shape>
                  </w:pict>
                </mc:Fallback>
              </mc:AlternateContent>
            </w:r>
            <w:r>
              <w:drawing>
                <wp:inline distT="0" distB="0" distL="114300" distR="114300">
                  <wp:extent cx="5434965" cy="6321425"/>
                  <wp:effectExtent l="0" t="0" r="13335" b="317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8"/>
                          <a:stretch>
                            <a:fillRect/>
                          </a:stretch>
                        </pic:blipFill>
                        <pic:spPr>
                          <a:xfrm>
                            <a:off x="0" y="0"/>
                            <a:ext cx="5434965" cy="6321425"/>
                          </a:xfrm>
                          <a:prstGeom prst="rect">
                            <a:avLst/>
                          </a:prstGeom>
                          <a:noFill/>
                          <a:ln>
                            <a:noFill/>
                          </a:ln>
                        </pic:spPr>
                      </pic:pic>
                    </a:graphicData>
                  </a:graphic>
                </wp:inline>
              </w:drawing>
            </w:r>
          </w:p>
          <w:p>
            <w:pPr>
              <w:spacing w:line="360" w:lineRule="auto"/>
              <w:jc w:val="center"/>
              <w:rPr>
                <w:rFonts w:cs="Times New Roman"/>
                <w:b/>
                <w:bCs/>
                <w:sz w:val="24"/>
                <w:szCs w:val="24"/>
              </w:rPr>
            </w:pPr>
            <w:r>
              <w:rPr>
                <w:rFonts w:cs="Times New Roman"/>
                <w:b/>
                <w:bCs/>
                <w:sz w:val="24"/>
                <w:szCs w:val="24"/>
              </w:rPr>
              <w:t>图1-1 项目与饮用水源地位置关系图1</w:t>
            </w:r>
          </w:p>
          <w:p>
            <w:pPr>
              <w:spacing w:line="360" w:lineRule="auto"/>
              <w:ind w:firstLine="482" w:firstLineChars="200"/>
              <w:rPr>
                <w:rFonts w:cs="Times New Roman"/>
                <w:b/>
                <w:sz w:val="24"/>
                <w:szCs w:val="24"/>
              </w:rPr>
            </w:pPr>
            <w:r>
              <w:rPr>
                <w:rFonts w:cs="Times New Roman"/>
                <w:b/>
                <w:sz w:val="24"/>
                <w:szCs w:val="24"/>
              </w:rPr>
              <w:t>（2）</w:t>
            </w:r>
            <w:r>
              <w:rPr>
                <w:rFonts w:cs="Times New Roman"/>
                <w:b/>
                <w:sz w:val="24"/>
              </w:rPr>
              <w:t>后河徐家坡水源地</w:t>
            </w:r>
          </w:p>
          <w:p>
            <w:pPr>
              <w:spacing w:line="360" w:lineRule="auto"/>
              <w:ind w:firstLine="480" w:firstLineChars="200"/>
              <w:rPr>
                <w:rFonts w:hint="default" w:eastAsia="宋体" w:cs="Times New Roman"/>
                <w:bCs/>
                <w:color w:val="000000" w:themeColor="text1"/>
                <w:sz w:val="24"/>
                <w:szCs w:val="24"/>
                <w:lang w:val="en-US" w:eastAsia="zh-CN"/>
                <w14:textFill>
                  <w14:solidFill>
                    <w14:schemeClr w14:val="tx1"/>
                  </w14:solidFill>
                </w14:textFill>
              </w:rPr>
            </w:pPr>
            <w:r>
              <w:rPr>
                <w:rFonts w:cs="Times New Roman"/>
                <w:sz w:val="24"/>
              </w:rPr>
              <w:t>根据《</w:t>
            </w:r>
            <w:r>
              <w:rPr>
                <w:rFonts w:cs="Times New Roman"/>
                <w:bCs/>
                <w:sz w:val="24"/>
                <w:szCs w:val="24"/>
              </w:rPr>
              <w:t>四川省人民政府关于同意划定、调整、撤销部分城市集中式饮用水水源保护区的批复</w:t>
            </w:r>
            <w:r>
              <w:rPr>
                <w:rFonts w:cs="Times New Roman"/>
                <w:sz w:val="24"/>
              </w:rPr>
              <w:t>》（川府函〔2018〕144号）文件，后河徐家坡水源地取水口位于宣汉县东乡镇后河右岸徐家坡（107°43′35.67″E，31°22′36.22″N）。</w:t>
            </w:r>
            <w:r>
              <w:rPr>
                <w:rFonts w:hint="eastAsia" w:cs="Times New Roman"/>
                <w:color w:val="000000" w:themeColor="text1"/>
                <w:sz w:val="24"/>
                <w:lang w:val="en-US" w:eastAsia="zh-CN"/>
                <w14:textFill>
                  <w14:solidFill>
                    <w14:schemeClr w14:val="tx1"/>
                  </w14:solidFill>
                </w14:textFill>
              </w:rPr>
              <w:t>其中一级保护区范围为：</w:t>
            </w:r>
            <w:r>
              <w:rPr>
                <w:rFonts w:hint="eastAsia" w:cs="Times New Roman"/>
                <w:color w:val="000000" w:themeColor="text1"/>
                <w:sz w:val="24"/>
                <w14:textFill>
                  <w14:solidFill>
                    <w14:schemeClr w14:val="tx1"/>
                  </w14:solidFill>
                </w14:textFill>
              </w:rPr>
              <w:t>航道除外，取水口下游500米处至取水口上游1000米，多年平均水位对应的高程线下的水域范围。正常水位线以上一级保护区水域边界右岸纵深200米，左岸纵深至宣清路临河侧防撞墙的陆域范围</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二级保护区范围为：航道除外，取水口下游800米的梨湾溪入后河口下游侧至取水口上游3000米，多年平均水位对应的高程线下的水域范围。一、二级保护区水域边界沿两岸纵深至第一重山脊线的除一级保护区外的陆域范围；</w:t>
            </w:r>
            <w:r>
              <w:rPr>
                <w:rFonts w:cs="Times New Roman"/>
                <w:color w:val="000000" w:themeColor="text1"/>
                <w:sz w:val="24"/>
                <w14:textFill>
                  <w14:solidFill>
                    <w14:schemeClr w14:val="tx1"/>
                  </w14:solidFill>
                </w14:textFill>
              </w:rPr>
              <w:t>准保护区范围为：后河二级保护区上边界上溯2000米，多年平均水位对应的高程线下的水域范围，以及梨湾溪集水范围内的全部水域范围。准保护区水域边界沿两岸纵深至流域分水岭的陆域，以及梨湾溪集水域范围内的全部陆域范围。</w:t>
            </w:r>
            <w:r>
              <w:rPr>
                <w:rFonts w:cs="Times New Roman"/>
                <w:color w:val="000000" w:themeColor="text1"/>
                <w:sz w:val="24"/>
                <w:szCs w:val="24"/>
                <w14:textFill>
                  <w14:solidFill>
                    <w14:schemeClr w14:val="tx1"/>
                  </w14:solidFill>
                </w14:textFill>
              </w:rPr>
              <w:t>本项目边界距离</w:t>
            </w:r>
            <w:r>
              <w:rPr>
                <w:rFonts w:hint="eastAsia" w:cs="Times New Roman"/>
                <w:color w:val="000000" w:themeColor="text1"/>
                <w:sz w:val="24"/>
                <w:szCs w:val="24"/>
                <w14:textFill>
                  <w14:solidFill>
                    <w14:schemeClr w14:val="tx1"/>
                  </w14:solidFill>
                </w14:textFill>
              </w:rPr>
              <w:t>后</w:t>
            </w:r>
            <w:r>
              <w:rPr>
                <w:rFonts w:hint="eastAsia" w:cs="Times New Roman"/>
                <w:color w:val="000000" w:themeColor="text1"/>
                <w:sz w:val="24"/>
                <w:szCs w:val="24"/>
                <w:lang w:val="en-US" w:eastAsia="zh-CN"/>
                <w14:textFill>
                  <w14:solidFill>
                    <w14:schemeClr w14:val="tx1"/>
                  </w14:solidFill>
                </w14:textFill>
              </w:rPr>
              <w:t>一级保护区边界</w:t>
            </w:r>
            <w:r>
              <w:rPr>
                <w:rFonts w:cs="Times New Roman"/>
                <w:color w:val="000000" w:themeColor="text1"/>
                <w:sz w:val="24"/>
                <w:szCs w:val="24"/>
                <w14:textFill>
                  <w14:solidFill>
                    <w14:schemeClr w14:val="tx1"/>
                  </w14:solidFill>
                </w14:textFill>
              </w:rPr>
              <w:t>约7</w:t>
            </w:r>
            <w:r>
              <w:rPr>
                <w:rFonts w:hint="eastAsia" w:cs="Times New Roman"/>
                <w:color w:val="000000" w:themeColor="text1"/>
                <w:sz w:val="24"/>
                <w:szCs w:val="24"/>
                <w:lang w:val="en-US" w:eastAsia="zh-CN"/>
                <w14:textFill>
                  <w14:solidFill>
                    <w14:schemeClr w14:val="tx1"/>
                  </w14:solidFill>
                </w14:textFill>
              </w:rPr>
              <w:t>k</w:t>
            </w:r>
            <w:r>
              <w:rPr>
                <w:rFonts w:cs="Times New Roman"/>
                <w:color w:val="000000" w:themeColor="text1"/>
                <w:sz w:val="24"/>
                <w:szCs w:val="24"/>
                <w14:textFill>
                  <w14:solidFill>
                    <w14:schemeClr w14:val="tx1"/>
                  </w14:solidFill>
                </w14:textFill>
              </w:rPr>
              <w:t>m</w:t>
            </w:r>
            <w:r>
              <w:rPr>
                <w:rFonts w:hint="eastAsia"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距二级保护区边界约为4.5km。</w:t>
            </w:r>
          </w:p>
          <w:p>
            <w:pPr>
              <w:spacing w:line="360" w:lineRule="auto"/>
              <w:jc w:val="center"/>
              <w:rPr>
                <w:rFonts w:cs="Times New Roman"/>
                <w:bCs/>
                <w:sz w:val="24"/>
                <w:szCs w:val="24"/>
              </w:rPr>
            </w:pPr>
            <w:r>
              <w:rPr>
                <w:rFonts w:cs="Times New Roman"/>
                <w:sz w:val="24"/>
              </w:rPr>
              <mc:AlternateContent>
                <mc:Choice Requires="wps">
                  <w:drawing>
                    <wp:anchor distT="0" distB="0" distL="114300" distR="114300" simplePos="0" relativeHeight="251669504" behindDoc="0" locked="0" layoutInCell="1" allowOverlap="1">
                      <wp:simplePos x="0" y="0"/>
                      <wp:positionH relativeFrom="column">
                        <wp:posOffset>771525</wp:posOffset>
                      </wp:positionH>
                      <wp:positionV relativeFrom="paragraph">
                        <wp:posOffset>709295</wp:posOffset>
                      </wp:positionV>
                      <wp:extent cx="1314450" cy="390525"/>
                      <wp:effectExtent l="12700" t="211455" r="25400" b="26670"/>
                      <wp:wrapNone/>
                      <wp:docPr id="10" name="矩形标注 10"/>
                      <wp:cNvGraphicFramePr/>
                      <a:graphic xmlns:a="http://schemas.openxmlformats.org/drawingml/2006/main">
                        <a:graphicData uri="http://schemas.microsoft.com/office/word/2010/wordprocessingShape">
                          <wps:wsp>
                            <wps:cNvSpPr/>
                            <wps:spPr>
                              <a:xfrm>
                                <a:off x="2363470" y="2214880"/>
                                <a:ext cx="1314450" cy="390525"/>
                              </a:xfrm>
                              <a:prstGeom prst="wedgeRectCallout">
                                <a:avLst>
                                  <a:gd name="adj1" fmla="val -49806"/>
                                  <a:gd name="adj2" fmla="val -10089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60.75pt;margin-top:55.85pt;height:30.75pt;width:103.5pt;z-index:251669504;v-text-anchor:middle;mso-width-relative:page;mso-height-relative:page;" filled="f" stroked="t" coordsize="21600,21600" o:gfxdata="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PrTp7PWAAAACwEAAA8AAAAAAAAAAQAgAAAAIgAAAGRycy9kb3ducmV2&#10;LnhtbFBLAQIUABQAAAAIAIdO4kCdi6ClqQIAADMFAAAOAAAAAAAAAAEAIAAAACUBAABkcnMvZTJv&#10;RG9jLnhtbFBLBQYAAAAABgAGAFkBAABABgAAAAA=&#10;" adj="42,-10993">
                      <v:fill on="f" focussize="0,0"/>
                      <v:stroke weight="2pt" color="#FF0000 [3204]" joinstyle="round"/>
                      <v:imagedata o:title=""/>
                      <o:lock v:ext="edit" aspectratio="f"/>
                      <v:textbox>
                        <w:txbxContent>
                          <w:p>
                            <w:pPr>
                              <w:jc w:val="center"/>
                              <w:rPr>
                                <w:b/>
                                <w:bCs/>
                                <w:color w:val="FF0000"/>
                              </w:rPr>
                            </w:pPr>
                            <w:r>
                              <w:rPr>
                                <w:rFonts w:hint="eastAsia"/>
                                <w:b/>
                                <w:bCs/>
                                <w:color w:val="FF0000"/>
                              </w:rPr>
                              <w:t>本项目所在地</w:t>
                            </w:r>
                          </w:p>
                        </w:txbxContent>
                      </v:textbox>
                    </v:shape>
                  </w:pict>
                </mc:Fallback>
              </mc:AlternateContent>
            </w:r>
            <w:r>
              <w:rPr>
                <w:rFonts w:cs="Times New Roman"/>
                <w:bCs/>
                <w:sz w:val="24"/>
                <w:szCs w:val="24"/>
              </w:rPr>
              <w:drawing>
                <wp:inline distT="0" distB="0" distL="114300" distR="114300">
                  <wp:extent cx="5240655" cy="3532505"/>
                  <wp:effectExtent l="0" t="0" r="17145" b="10795"/>
                  <wp:docPr id="3" name="图片 3" descr="5febc8ea08d0ea945d0b4400800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febc8ea08d0ea945d0b44008001507"/>
                          <pic:cNvPicPr>
                            <a:picLocks noChangeAspect="1"/>
                          </pic:cNvPicPr>
                        </pic:nvPicPr>
                        <pic:blipFill>
                          <a:blip r:embed="rId9"/>
                          <a:srcRect b="4662"/>
                          <a:stretch>
                            <a:fillRect/>
                          </a:stretch>
                        </pic:blipFill>
                        <pic:spPr>
                          <a:xfrm>
                            <a:off x="0" y="0"/>
                            <a:ext cx="5240655" cy="3532505"/>
                          </a:xfrm>
                          <a:prstGeom prst="rect">
                            <a:avLst/>
                          </a:prstGeom>
                        </pic:spPr>
                      </pic:pic>
                    </a:graphicData>
                  </a:graphic>
                </wp:inline>
              </w:drawing>
            </w:r>
          </w:p>
          <w:p>
            <w:pPr>
              <w:spacing w:line="360" w:lineRule="auto"/>
              <w:jc w:val="center"/>
              <w:rPr>
                <w:rFonts w:cs="Times New Roman"/>
                <w:b/>
                <w:bCs/>
                <w:sz w:val="24"/>
                <w:szCs w:val="24"/>
              </w:rPr>
            </w:pPr>
            <w:r>
              <w:rPr>
                <w:rFonts w:cs="Times New Roman"/>
                <w:b/>
                <w:bCs/>
                <w:sz w:val="24"/>
                <w:szCs w:val="24"/>
              </w:rPr>
              <w:t>图1-2 项目与饮用水源地位置关系图2</w:t>
            </w:r>
          </w:p>
          <w:p>
            <w:pPr>
              <w:spacing w:line="360" w:lineRule="auto"/>
              <w:ind w:firstLine="480" w:firstLineChars="200"/>
              <w:rPr>
                <w:rFonts w:cs="Times New Roman"/>
                <w:bCs/>
                <w:sz w:val="24"/>
                <w:szCs w:val="24"/>
              </w:rPr>
            </w:pPr>
            <w:r>
              <w:rPr>
                <w:rFonts w:cs="Times New Roman"/>
                <w:bCs/>
                <w:sz w:val="24"/>
                <w:szCs w:val="24"/>
              </w:rPr>
              <w:t>项目涉及后河徐家坡饮用水水源准保护区，项目生产废水回用，不外排；生活污水（食堂废水先经隔油池处理）经化粪池收集后排入柳池工业园区污水处理厂处理达标后排放，不属于对水体污染严重的建设项目，满足饮用水水源地准保护区要求。</w:t>
            </w:r>
          </w:p>
          <w:p>
            <w:pPr>
              <w:spacing w:line="360" w:lineRule="auto"/>
              <w:ind w:firstLine="482" w:firstLineChars="200"/>
              <w:rPr>
                <w:rFonts w:cs="Times New Roman"/>
                <w:b/>
                <w:sz w:val="24"/>
                <w:szCs w:val="24"/>
              </w:rPr>
            </w:pPr>
            <w:r>
              <w:rPr>
                <w:rFonts w:cs="Times New Roman"/>
                <w:b/>
                <w:sz w:val="24"/>
                <w:szCs w:val="24"/>
              </w:rPr>
              <w:t>4、与《玻璃纤维行业准入条件》相关要求符合性分析</w:t>
            </w:r>
          </w:p>
          <w:p>
            <w:pPr>
              <w:spacing w:line="360" w:lineRule="auto"/>
              <w:ind w:firstLine="480" w:firstLineChars="200"/>
              <w:rPr>
                <w:rFonts w:cs="Times New Roman"/>
                <w:bCs/>
                <w:sz w:val="24"/>
                <w:szCs w:val="24"/>
              </w:rPr>
            </w:pPr>
            <w:r>
              <w:rPr>
                <w:rFonts w:cs="Times New Roman"/>
                <w:bCs/>
                <w:sz w:val="24"/>
                <w:szCs w:val="24"/>
              </w:rPr>
              <w:t>本项目产品为</w:t>
            </w:r>
            <w:r>
              <w:rPr>
                <w:rFonts w:cs="Times New Roman"/>
                <w:sz w:val="24"/>
                <w:szCs w:val="24"/>
              </w:rPr>
              <w:t>玻纤湿法毡</w:t>
            </w:r>
            <w:r>
              <w:rPr>
                <w:rFonts w:cs="Times New Roman"/>
                <w:bCs/>
                <w:sz w:val="24"/>
                <w:szCs w:val="24"/>
              </w:rPr>
              <w:t>，与《玻璃纤维行业准入条件》（2012 年修订）各项要求进行对比分析，详见表1-3。</w:t>
            </w:r>
          </w:p>
          <w:p>
            <w:pPr>
              <w:spacing w:line="360" w:lineRule="auto"/>
              <w:jc w:val="center"/>
              <w:rPr>
                <w:rFonts w:cs="Times New Roman"/>
                <w:b/>
                <w:sz w:val="24"/>
                <w:szCs w:val="24"/>
              </w:rPr>
            </w:pPr>
            <w:r>
              <w:rPr>
                <w:rFonts w:cs="Times New Roman"/>
                <w:b/>
                <w:sz w:val="24"/>
                <w:szCs w:val="24"/>
              </w:rPr>
              <w:t>表1-3 玻璃纤维行业准入条件分析表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79"/>
              <w:gridCol w:w="2528"/>
              <w:gridCol w:w="6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140" w:type="pct"/>
                  <w:vAlign w:val="center"/>
                </w:tcPr>
                <w:p>
                  <w:pPr>
                    <w:jc w:val="center"/>
                    <w:rPr>
                      <w:rFonts w:cs="Times New Roman"/>
                      <w:b/>
                      <w:szCs w:val="21"/>
                    </w:rPr>
                  </w:pPr>
                  <w:r>
                    <w:rPr>
                      <w:rFonts w:cs="Times New Roman"/>
                      <w:b/>
                      <w:szCs w:val="21"/>
                    </w:rPr>
                    <w:t>准入条件</w:t>
                  </w:r>
                </w:p>
              </w:tc>
              <w:tc>
                <w:tcPr>
                  <w:tcW w:w="1476" w:type="pct"/>
                  <w:vAlign w:val="center"/>
                </w:tcPr>
                <w:p>
                  <w:pPr>
                    <w:jc w:val="center"/>
                    <w:rPr>
                      <w:rFonts w:cs="Times New Roman"/>
                      <w:b/>
                      <w:szCs w:val="21"/>
                    </w:rPr>
                  </w:pPr>
                  <w:r>
                    <w:rPr>
                      <w:rFonts w:cs="Times New Roman"/>
                      <w:b/>
                      <w:szCs w:val="21"/>
                    </w:rPr>
                    <w:t>本项目</w:t>
                  </w:r>
                </w:p>
              </w:tc>
              <w:tc>
                <w:tcPr>
                  <w:tcW w:w="383" w:type="pct"/>
                  <w:vAlign w:val="center"/>
                </w:tcPr>
                <w:p>
                  <w:pPr>
                    <w:jc w:val="center"/>
                    <w:rPr>
                      <w:rFonts w:cs="Times New Roman"/>
                      <w:b/>
                      <w:szCs w:val="21"/>
                    </w:rPr>
                  </w:pPr>
                  <w:r>
                    <w:rPr>
                      <w:rFonts w:cs="Times New Roman"/>
                      <w:b/>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一、生产企业布局</w:t>
                  </w:r>
                </w:p>
              </w:tc>
              <w:tc>
                <w:tcPr>
                  <w:tcW w:w="1476" w:type="pct"/>
                  <w:vAlign w:val="center"/>
                </w:tcPr>
                <w:p>
                  <w:pPr>
                    <w:jc w:val="center"/>
                    <w:rPr>
                      <w:rFonts w:cs="Times New Roman"/>
                      <w:szCs w:val="21"/>
                    </w:rPr>
                  </w:pPr>
                </w:p>
              </w:tc>
              <w:tc>
                <w:tcPr>
                  <w:tcW w:w="383" w:type="pct"/>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新建玻璃纤维生产企业选址必须符合土地利用总体规划、城镇规划、主体功能区规划和产业发展规划。严禁在国务院、国家有关部门和省（自治区、直辖市）人民政府规定的风景名胜区、自然保护区、森林公园、地质公园、自然和文化遗产保护区以及饮用水源保护区新建玻璃纤维生产企业，禁止在城市建成区、城市非工业规划区以及不符合土地利用总体规划的其他区域新建玻璃纤维生产企业。上述区域内已经投产的玻璃纤维生产企业要根据该区域规划通过“搬迁、转产”等方式逐步退出。鼓励玻璃纤维生产企业入园区管理，污水纳管排放。原则禁止没有能源优势的地区新建、改扩建玻璃球、玻璃纤维生产线。鼓励发展玻璃纤维制品加工业。</w:t>
                  </w:r>
                </w:p>
              </w:tc>
              <w:tc>
                <w:tcPr>
                  <w:tcW w:w="1476" w:type="pct"/>
                  <w:vAlign w:val="center"/>
                </w:tcPr>
                <w:p>
                  <w:pPr>
                    <w:jc w:val="center"/>
                    <w:rPr>
                      <w:rFonts w:cs="Times New Roman"/>
                      <w:szCs w:val="21"/>
                    </w:rPr>
                  </w:pPr>
                  <w:r>
                    <w:rPr>
                      <w:rFonts w:cs="Times New Roman"/>
                      <w:szCs w:val="21"/>
                    </w:rPr>
                    <w:t>本项目位于四川达州普光经济开发区柳池工业园区，符合土地利用总体规划、城镇规划和产业布局规划；不在自然保护区森林公园、地质公园、自然和文化遗产保护区。项目涉及后河徐家坡饮用水水源准保护区，项目生产废水回用，不外排；生活污水（食堂废水经隔油池处理）经化粪池收集后排入柳池工业园区污水处理厂处理达标后排放，不属于对水体污染严重的建设项目，满足饮用水水源地准保护区要求，不涉及基本农田。</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140" w:type="pct"/>
                  <w:vAlign w:val="center"/>
                </w:tcPr>
                <w:p>
                  <w:pPr>
                    <w:jc w:val="center"/>
                    <w:rPr>
                      <w:rFonts w:cs="Times New Roman"/>
                      <w:szCs w:val="21"/>
                    </w:rPr>
                  </w:pPr>
                  <w:r>
                    <w:rPr>
                      <w:rFonts w:cs="Times New Roman"/>
                      <w:szCs w:val="21"/>
                    </w:rPr>
                    <w:t>二、工艺与装备</w:t>
                  </w:r>
                </w:p>
              </w:tc>
              <w:tc>
                <w:tcPr>
                  <w:tcW w:w="1476" w:type="pct"/>
                  <w:vAlign w:val="center"/>
                </w:tcPr>
                <w:p>
                  <w:pPr>
                    <w:jc w:val="center"/>
                    <w:rPr>
                      <w:rFonts w:cs="Times New Roman"/>
                      <w:szCs w:val="21"/>
                    </w:rPr>
                  </w:pPr>
                </w:p>
              </w:tc>
              <w:tc>
                <w:tcPr>
                  <w:tcW w:w="383" w:type="pct"/>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（一）新建无碱玻璃纤维池窑法粗纱拉丝生产线（单丝直径&gt;9 微米）单窑规模应达到50000吨/年及以上，新建细纱拉丝生产线（单丝直径≤9 微米）单窑规模应达到30000 吨/年及以上。严禁新建和扩建中碱玻璃纤维池窑法拉丝生产线。严禁新建和扩建无碱、中碱代铂坩埚拉丝生产线。新建高性能或特种玻璃纤维生产线，其生产规模池窑法单窑规模应达到20000 吨/年及以上，代铂坩埚法应达到2000 吨/年及以上且产品单丝直径≤7微米。</w:t>
                  </w:r>
                </w:p>
              </w:tc>
              <w:tc>
                <w:tcPr>
                  <w:tcW w:w="1476" w:type="pct"/>
                  <w:vAlign w:val="center"/>
                </w:tcPr>
                <w:p>
                  <w:pPr>
                    <w:jc w:val="center"/>
                    <w:rPr>
                      <w:rFonts w:cs="Times New Roman"/>
                      <w:szCs w:val="21"/>
                    </w:rPr>
                  </w:pPr>
                  <w:r>
                    <w:rPr>
                      <w:rFonts w:cs="Times New Roman"/>
                      <w:szCs w:val="21"/>
                    </w:rPr>
                    <w:t>本项目采用湿法成型法生产玻纤湿法毡，不属于玻璃纤维池窑生产</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140" w:type="pct"/>
                  <w:vAlign w:val="center"/>
                </w:tcPr>
                <w:p>
                  <w:pPr>
                    <w:jc w:val="center"/>
                    <w:rPr>
                      <w:rFonts w:cs="Times New Roman"/>
                      <w:szCs w:val="21"/>
                    </w:rPr>
                  </w:pPr>
                  <w:r>
                    <w:rPr>
                      <w:rFonts w:cs="Times New Roman"/>
                      <w:szCs w:val="21"/>
                    </w:rPr>
                    <w:t>（二）新建玻璃纤维池窑法拉丝生产线要采用纯氧燃烧、电助熔、物流自动化、废气余热利用等先进工艺和装备，并同步建设环保、安全生产配套设施。新建玻璃纤维代铂坩埚法拉丝生产线要采用分拉或大卷装先进工艺和装备。新建玻璃纤维制品加工生产线要采用高效、节能的先进纺织工艺和设备，禁止使用国家明令淘汰的落后纺织设备，禁止使用陶土坩埚玻璃纤维拉丝产品生产玻璃纤维制品。</w:t>
                  </w:r>
                </w:p>
              </w:tc>
              <w:tc>
                <w:tcPr>
                  <w:tcW w:w="1476" w:type="pct"/>
                  <w:vAlign w:val="center"/>
                </w:tcPr>
                <w:p>
                  <w:pPr>
                    <w:jc w:val="center"/>
                    <w:rPr>
                      <w:rFonts w:cs="Times New Roman"/>
                      <w:szCs w:val="21"/>
                    </w:rPr>
                  </w:pPr>
                  <w:r>
                    <w:rPr>
                      <w:rFonts w:cs="Times New Roman"/>
                      <w:szCs w:val="21"/>
                    </w:rPr>
                    <w:t>本项目生产玻纤湿法毡，属于玻璃纤维制品，玻璃纤维制品加工生产线采用湿法成型法先进工艺和装备，并同步建设环保、安全生产配套设施。</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（三）禁止新建、扩建无碱及中碱玻璃球生产线。改扩建特种成分的玻璃球窑，其单窑生产线规模应达到5000 吨/年及以上。</w:t>
                  </w:r>
                </w:p>
              </w:tc>
              <w:tc>
                <w:tcPr>
                  <w:tcW w:w="1476" w:type="pct"/>
                  <w:vAlign w:val="center"/>
                </w:tcPr>
                <w:p>
                  <w:pPr>
                    <w:jc w:val="center"/>
                    <w:rPr>
                      <w:rFonts w:cs="Times New Roman"/>
                      <w:szCs w:val="21"/>
                    </w:rPr>
                  </w:pPr>
                  <w:r>
                    <w:rPr>
                      <w:rFonts w:cs="Times New Roman"/>
                      <w:szCs w:val="21"/>
                    </w:rPr>
                    <w:t>本项目不属于玻璃球生产</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（四）禁止玻璃球生产企业向陶土坩埚拉丝生产企业提供玻璃球原料。禁止生产和销售高碱玻璃纤维制品。依法彻底淘汰陶土坩埚玻璃纤维拉丝生产工艺与装备。</w:t>
                  </w:r>
                </w:p>
              </w:tc>
              <w:tc>
                <w:tcPr>
                  <w:tcW w:w="1476" w:type="pct"/>
                  <w:vAlign w:val="center"/>
                </w:tcPr>
                <w:p>
                  <w:pPr>
                    <w:jc w:val="center"/>
                    <w:rPr>
                      <w:rFonts w:cs="Times New Roman"/>
                      <w:szCs w:val="21"/>
                    </w:rPr>
                  </w:pPr>
                  <w:r>
                    <w:rPr>
                      <w:rFonts w:cs="Times New Roman"/>
                      <w:szCs w:val="21"/>
                    </w:rPr>
                    <w:t>本项目生产和销售无碱玻璃纤维制品</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三、能源消耗</w:t>
                  </w:r>
                </w:p>
              </w:tc>
              <w:tc>
                <w:tcPr>
                  <w:tcW w:w="1476" w:type="pct"/>
                  <w:vAlign w:val="center"/>
                </w:tcPr>
                <w:p>
                  <w:pPr>
                    <w:jc w:val="center"/>
                    <w:rPr>
                      <w:rFonts w:cs="Times New Roman"/>
                      <w:szCs w:val="21"/>
                    </w:rPr>
                  </w:pPr>
                </w:p>
              </w:tc>
              <w:tc>
                <w:tcPr>
                  <w:tcW w:w="383" w:type="pct"/>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（一）新建或改扩建玻璃纤维池窑法拉丝生产线单位综合能耗粗纱≤0.55吨标煤/吨纱，单丝直径4～9 微米的细纱≤0.75 吨标煤/吨纱。新建高性能或特种玻璃纤维代铂坩埚法拉丝生产线单位综合能耗≤0.37 吨标煤/吨纱（不含玻璃球生产环节能耗）。</w:t>
                  </w:r>
                </w:p>
              </w:tc>
              <w:tc>
                <w:tcPr>
                  <w:tcW w:w="1476" w:type="pct"/>
                  <w:vAlign w:val="center"/>
                </w:tcPr>
                <w:p>
                  <w:pPr>
                    <w:jc w:val="center"/>
                    <w:rPr>
                      <w:rFonts w:cs="Times New Roman"/>
                      <w:szCs w:val="21"/>
                    </w:rPr>
                  </w:pPr>
                  <w:r>
                    <w:rPr>
                      <w:rFonts w:cs="Times New Roman"/>
                      <w:szCs w:val="21"/>
                    </w:rPr>
                    <w:t>本项目不属于玻璃纤维池窑生产</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3140" w:type="pct"/>
                  <w:vAlign w:val="center"/>
                </w:tcPr>
                <w:p>
                  <w:pPr>
                    <w:jc w:val="center"/>
                    <w:rPr>
                      <w:rFonts w:cs="Times New Roman"/>
                      <w:szCs w:val="21"/>
                    </w:rPr>
                  </w:pPr>
                  <w:r>
                    <w:rPr>
                      <w:rFonts w:cs="Times New Roman"/>
                      <w:szCs w:val="21"/>
                    </w:rPr>
                    <w:t>（二）玻璃球窑必须采用先进的窑炉熔制工艺和保温节能技术，无碱玻璃球窑单位综合能耗≤0.4吨标煤/吨球。中碱玻璃球窑单位综合能耗≤0.3 吨标煤/吨球。</w:t>
                  </w:r>
                </w:p>
              </w:tc>
              <w:tc>
                <w:tcPr>
                  <w:tcW w:w="1476" w:type="pct"/>
                  <w:vAlign w:val="center"/>
                </w:tcPr>
                <w:p>
                  <w:pPr>
                    <w:jc w:val="center"/>
                    <w:rPr>
                      <w:rFonts w:cs="Times New Roman"/>
                      <w:szCs w:val="21"/>
                    </w:rPr>
                  </w:pPr>
                  <w:r>
                    <w:rPr>
                      <w:rFonts w:cs="Times New Roman"/>
                      <w:szCs w:val="21"/>
                    </w:rPr>
                    <w:t>不属于玻璃球生产</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四、环境保护</w:t>
                  </w:r>
                </w:p>
              </w:tc>
              <w:tc>
                <w:tcPr>
                  <w:tcW w:w="1476" w:type="pct"/>
                  <w:vAlign w:val="center"/>
                </w:tcPr>
                <w:p>
                  <w:pPr>
                    <w:jc w:val="center"/>
                    <w:rPr>
                      <w:rFonts w:cs="Times New Roman"/>
                      <w:szCs w:val="21"/>
                    </w:rPr>
                  </w:pPr>
                </w:p>
              </w:tc>
              <w:tc>
                <w:tcPr>
                  <w:tcW w:w="383" w:type="pct"/>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一）玻璃纤维生产企业大气污染物排放必须达到《工业炉窑大气污染物排放标准》（GB9078-1996）二级及以上、《大气污染物综合排放标准》（GB16297－1996）二级及以上，外排污水必须达到《污水综合排放标准》（GB8978-1996）三级及以上，并符合其所在地相关环境标准的要求。</w:t>
                  </w:r>
                </w:p>
              </w:tc>
              <w:tc>
                <w:tcPr>
                  <w:tcW w:w="1476" w:type="pct"/>
                  <w:vAlign w:val="center"/>
                </w:tcPr>
                <w:p>
                  <w:pPr>
                    <w:jc w:val="center"/>
                    <w:rPr>
                      <w:rFonts w:cs="Times New Roman"/>
                      <w:szCs w:val="21"/>
                    </w:rPr>
                  </w:pPr>
                  <w:r>
                    <w:rPr>
                      <w:rFonts w:cs="Times New Roman"/>
                      <w:szCs w:val="21"/>
                    </w:rPr>
                    <w:t>废气满足</w:t>
                  </w:r>
                  <w:r>
                    <w:rPr>
                      <w:rFonts w:cs="Times New Roman"/>
                      <w:color w:val="000000" w:themeColor="text1"/>
                      <w14:textFill>
                        <w14:solidFill>
                          <w14:schemeClr w14:val="tx1"/>
                        </w14:solidFill>
                      </w14:textFill>
                    </w:rPr>
                    <w:t>《建材工业大气污染物排放标准》（DB37/2373-2018）</w:t>
                  </w:r>
                  <w:r>
                    <w:rPr>
                      <w:rFonts w:hint="eastAsia" w:cs="Times New Roman"/>
                      <w:color w:val="000000" w:themeColor="text1"/>
                      <w14:textFill>
                        <w14:solidFill>
                          <w14:schemeClr w14:val="tx1"/>
                        </w14:solidFill>
                      </w14:textFill>
                    </w:rPr>
                    <w:t>中相应标准</w:t>
                  </w:r>
                  <w:r>
                    <w:rPr>
                      <w:rFonts w:cs="Times New Roman"/>
                      <w:color w:val="000000" w:themeColor="text1"/>
                      <w:szCs w:val="21"/>
                      <w14:textFill>
                        <w14:solidFill>
                          <w14:schemeClr w14:val="tx1"/>
                        </w14:solidFill>
                      </w14:textFill>
                    </w:rPr>
                    <w:t>，</w:t>
                  </w:r>
                  <w:r>
                    <w:rPr>
                      <w:rFonts w:cs="Times New Roman"/>
                      <w:szCs w:val="21"/>
                    </w:rPr>
                    <w:t>废水排放达到《污水综合排放标准》GB8978-1996）三级标准的要求。</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（二）玻璃球熔制工艺中禁止使用白砒作为澄清剂。玻璃纤维和玻璃球生产中浸润剂废液、冷却水须经回收处理后综合利用。</w:t>
                  </w:r>
                </w:p>
              </w:tc>
              <w:tc>
                <w:tcPr>
                  <w:tcW w:w="1476" w:type="pct"/>
                  <w:vAlign w:val="center"/>
                </w:tcPr>
                <w:p>
                  <w:pPr>
                    <w:jc w:val="center"/>
                    <w:rPr>
                      <w:rFonts w:cs="Times New Roman"/>
                      <w:szCs w:val="21"/>
                    </w:rPr>
                  </w:pPr>
                  <w:r>
                    <w:rPr>
                      <w:rFonts w:cs="Times New Roman"/>
                      <w:szCs w:val="21"/>
                    </w:rPr>
                    <w:t>本项目不属于玻璃球生产</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（三）玻璃纤维拉丝、络纱、短切、制毡、整经、织造等生产加工过程产生的废丝均应采取回收利用，不得采用填埋方式进行消纳。</w:t>
                  </w:r>
                </w:p>
              </w:tc>
              <w:tc>
                <w:tcPr>
                  <w:tcW w:w="1476" w:type="pct"/>
                  <w:vAlign w:val="center"/>
                </w:tcPr>
                <w:p>
                  <w:pPr>
                    <w:jc w:val="center"/>
                    <w:rPr>
                      <w:rFonts w:cs="Times New Roman"/>
                      <w:szCs w:val="21"/>
                    </w:rPr>
                  </w:pPr>
                  <w:r>
                    <w:rPr>
                      <w:rFonts w:cs="Times New Roman"/>
                      <w:szCs w:val="21"/>
                    </w:rPr>
                    <w:t>本项目无废玻璃丝产生</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（四）玻璃纤维成分中有毒有害物质、重金属和三氧化二砷的含量必须达到相关标准的要求。</w:t>
                  </w:r>
                </w:p>
              </w:tc>
              <w:tc>
                <w:tcPr>
                  <w:tcW w:w="1476" w:type="pct"/>
                  <w:vAlign w:val="center"/>
                </w:tcPr>
                <w:p>
                  <w:pPr>
                    <w:jc w:val="center"/>
                    <w:rPr>
                      <w:rFonts w:cs="Times New Roman"/>
                      <w:szCs w:val="21"/>
                    </w:rPr>
                  </w:pPr>
                  <w:r>
                    <w:rPr>
                      <w:rFonts w:cs="Times New Roman"/>
                      <w:szCs w:val="21"/>
                    </w:rPr>
                    <w:t>本项目玻璃纤维中无有毒有害物质</w:t>
                  </w:r>
                  <w:r>
                    <w:rPr>
                      <w:rFonts w:hint="eastAsia" w:cs="Times New Roman"/>
                      <w:szCs w:val="21"/>
                    </w:rPr>
                    <w:t>、</w:t>
                  </w:r>
                  <w:r>
                    <w:rPr>
                      <w:rFonts w:cs="Times New Roman"/>
                      <w:szCs w:val="21"/>
                    </w:rPr>
                    <w:t>重金属、三氧化二砷</w:t>
                  </w:r>
                  <w:r>
                    <w:rPr>
                      <w:rFonts w:hint="eastAsia" w:cs="Times New Roman"/>
                      <w:szCs w:val="21"/>
                    </w:rPr>
                    <w:t>等</w:t>
                  </w:r>
                </w:p>
              </w:tc>
              <w:tc>
                <w:tcPr>
                  <w:tcW w:w="383"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140" w:type="pct"/>
                  <w:vAlign w:val="center"/>
                </w:tcPr>
                <w:p>
                  <w:pPr>
                    <w:jc w:val="center"/>
                    <w:rPr>
                      <w:rFonts w:cs="Times New Roman"/>
                      <w:szCs w:val="21"/>
                    </w:rPr>
                  </w:pPr>
                  <w:r>
                    <w:rPr>
                      <w:rFonts w:cs="Times New Roman"/>
                      <w:szCs w:val="21"/>
                    </w:rPr>
                    <w:t>（五）新建、改扩建玻璃纤维生产线必须同步设计、同步建设、同步投用相应的污染治理设施。主要污染物排放必须满足当地环保部门的总量控制要求。</w:t>
                  </w:r>
                </w:p>
              </w:tc>
              <w:tc>
                <w:tcPr>
                  <w:tcW w:w="1476" w:type="pct"/>
                  <w:vAlign w:val="center"/>
                </w:tcPr>
                <w:p>
                  <w:pPr>
                    <w:jc w:val="center"/>
                    <w:rPr>
                      <w:rFonts w:cs="Times New Roman"/>
                      <w:szCs w:val="21"/>
                    </w:rPr>
                  </w:pPr>
                  <w:r>
                    <w:rPr>
                      <w:rFonts w:cs="Times New Roman"/>
                      <w:szCs w:val="21"/>
                    </w:rPr>
                    <w:t>本项目废气均设置了废气处理装置，各废气均能达标排放。主要污染物排放满足当地环保部门的总量控制要求。</w:t>
                  </w:r>
                </w:p>
              </w:tc>
              <w:tc>
                <w:tcPr>
                  <w:tcW w:w="383" w:type="pct"/>
                  <w:vAlign w:val="center"/>
                </w:tcPr>
                <w:p>
                  <w:pPr>
                    <w:jc w:val="center"/>
                    <w:rPr>
                      <w:rFonts w:cs="Times New Roman"/>
                      <w:szCs w:val="21"/>
                    </w:rPr>
                  </w:pPr>
                  <w:r>
                    <w:rPr>
                      <w:rFonts w:cs="Times New Roman"/>
                      <w:szCs w:val="21"/>
                    </w:rPr>
                    <w:t>符合</w:t>
                  </w:r>
                </w:p>
              </w:tc>
            </w:tr>
          </w:tbl>
          <w:p>
            <w:pPr>
              <w:spacing w:line="360" w:lineRule="auto"/>
              <w:ind w:firstLine="482" w:firstLineChars="200"/>
              <w:rPr>
                <w:rFonts w:cs="Times New Roman"/>
                <w:b/>
                <w:sz w:val="24"/>
                <w:szCs w:val="24"/>
              </w:rPr>
            </w:pPr>
            <w:r>
              <w:rPr>
                <w:rFonts w:cs="Times New Roman"/>
                <w:b/>
                <w:sz w:val="24"/>
                <w:szCs w:val="24"/>
              </w:rPr>
              <w:t>5、与《四川省嘉陵江流域生态环境保护条例》的符合性分析</w:t>
            </w:r>
          </w:p>
          <w:p>
            <w:pPr>
              <w:spacing w:line="360" w:lineRule="auto"/>
              <w:ind w:firstLine="480" w:firstLineChars="200"/>
              <w:rPr>
                <w:rFonts w:cs="Times New Roman"/>
                <w:bCs/>
                <w:sz w:val="24"/>
                <w:szCs w:val="24"/>
              </w:rPr>
            </w:pPr>
            <w:r>
              <w:rPr>
                <w:rFonts w:cs="Times New Roman"/>
                <w:bCs/>
                <w:sz w:val="24"/>
                <w:szCs w:val="24"/>
              </w:rPr>
              <w:t>2021年11月25日四川省第十三届人民代表大会常务委员会第三十一次会议通过了《四川省嘉陵江流域生态环境保护条例》，本项目与其符合性分析见下表：</w:t>
            </w:r>
          </w:p>
          <w:p>
            <w:pPr>
              <w:spacing w:line="360" w:lineRule="auto"/>
              <w:jc w:val="center"/>
              <w:rPr>
                <w:rFonts w:cs="Times New Roman"/>
                <w:b/>
                <w:bCs/>
                <w:sz w:val="24"/>
                <w:szCs w:val="24"/>
              </w:rPr>
            </w:pPr>
            <w:r>
              <w:rPr>
                <w:rFonts w:cs="Times New Roman"/>
                <w:b/>
                <w:bCs/>
                <w:sz w:val="24"/>
                <w:szCs w:val="24"/>
              </w:rPr>
              <w:t>表1-4 与《四川省嘉陵江流域生态环境保护条例》的符合性分析</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4369"/>
              <w:gridCol w:w="2528"/>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552" w:type="pct"/>
                  <w:vAlign w:val="center"/>
                </w:tcPr>
                <w:p>
                  <w:pPr>
                    <w:jc w:val="center"/>
                    <w:rPr>
                      <w:rFonts w:cs="Times New Roman"/>
                      <w:b/>
                      <w:szCs w:val="21"/>
                    </w:rPr>
                  </w:pPr>
                  <w:r>
                    <w:rPr>
                      <w:rFonts w:cs="Times New Roman"/>
                      <w:b/>
                      <w:szCs w:val="21"/>
                    </w:rPr>
                    <w:t>名称</w:t>
                  </w:r>
                </w:p>
              </w:tc>
              <w:tc>
                <w:tcPr>
                  <w:tcW w:w="2550" w:type="pct"/>
                  <w:vAlign w:val="center"/>
                </w:tcPr>
                <w:p>
                  <w:pPr>
                    <w:jc w:val="center"/>
                    <w:rPr>
                      <w:rFonts w:cs="Times New Roman"/>
                      <w:b/>
                      <w:szCs w:val="21"/>
                    </w:rPr>
                  </w:pPr>
                  <w:r>
                    <w:rPr>
                      <w:rFonts w:cs="Times New Roman"/>
                      <w:b/>
                      <w:szCs w:val="21"/>
                    </w:rPr>
                    <w:t>法律条文</w:t>
                  </w:r>
                </w:p>
              </w:tc>
              <w:tc>
                <w:tcPr>
                  <w:tcW w:w="1475" w:type="pct"/>
                  <w:vAlign w:val="center"/>
                </w:tcPr>
                <w:p>
                  <w:pPr>
                    <w:jc w:val="center"/>
                    <w:rPr>
                      <w:rFonts w:cs="Times New Roman"/>
                      <w:b/>
                      <w:szCs w:val="21"/>
                    </w:rPr>
                  </w:pPr>
                  <w:r>
                    <w:rPr>
                      <w:rFonts w:cs="Times New Roman"/>
                      <w:b/>
                      <w:szCs w:val="21"/>
                    </w:rPr>
                    <w:t>本项目情况</w:t>
                  </w:r>
                </w:p>
              </w:tc>
              <w:tc>
                <w:tcPr>
                  <w:tcW w:w="421" w:type="pct"/>
                  <w:vAlign w:val="center"/>
                </w:tcPr>
                <w:p>
                  <w:pPr>
                    <w:jc w:val="center"/>
                    <w:rPr>
                      <w:rFonts w:cs="Times New Roman"/>
                      <w:b/>
                      <w:szCs w:val="21"/>
                    </w:rPr>
                  </w:pPr>
                  <w:r>
                    <w:rPr>
                      <w:rFonts w:cs="Times New Roman"/>
                      <w:b/>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jc w:val="center"/>
                    <w:rPr>
                      <w:rFonts w:cs="Times New Roman"/>
                      <w:szCs w:val="21"/>
                    </w:rPr>
                  </w:pPr>
                  <w:r>
                    <w:rPr>
                      <w:rFonts w:cs="Times New Roman"/>
                      <w:szCs w:val="21"/>
                    </w:rPr>
                    <w:t>第十七条</w:t>
                  </w:r>
                </w:p>
              </w:tc>
              <w:tc>
                <w:tcPr>
                  <w:tcW w:w="2550" w:type="pct"/>
                  <w:vAlign w:val="center"/>
                </w:tcPr>
                <w:p>
                  <w:pPr>
                    <w:jc w:val="left"/>
                    <w:rPr>
                      <w:rFonts w:cs="Times New Roman"/>
                      <w:szCs w:val="21"/>
                    </w:rPr>
                  </w:pPr>
                  <w:r>
                    <w:rPr>
                      <w:rFonts w:cs="Times New Roman"/>
                      <w:szCs w:val="21"/>
                    </w:rPr>
                    <w:t>禁止在嘉陵江干支流岸线一公里范围内新建、扩建化工园区和化工项目。</w:t>
                  </w:r>
                </w:p>
              </w:tc>
              <w:tc>
                <w:tcPr>
                  <w:tcW w:w="1475" w:type="pct"/>
                  <w:vAlign w:val="center"/>
                </w:tcPr>
                <w:p>
                  <w:pPr>
                    <w:jc w:val="center"/>
                    <w:rPr>
                      <w:rFonts w:cs="Times New Roman"/>
                      <w:szCs w:val="21"/>
                    </w:rPr>
                  </w:pPr>
                  <w:r>
                    <w:rPr>
                      <w:rFonts w:cs="Times New Roman"/>
                      <w:szCs w:val="21"/>
                    </w:rPr>
                    <w:t>项目不在嘉陵江干支流岸线一公里范围内，且项目不属于化工项目。</w:t>
                  </w:r>
                </w:p>
              </w:tc>
              <w:tc>
                <w:tcPr>
                  <w:tcW w:w="421"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jc w:val="center"/>
                    <w:rPr>
                      <w:rFonts w:cs="Times New Roman"/>
                      <w:szCs w:val="21"/>
                    </w:rPr>
                  </w:pPr>
                  <w:r>
                    <w:rPr>
                      <w:rFonts w:cs="Times New Roman"/>
                      <w:szCs w:val="21"/>
                    </w:rPr>
                    <w:t>第二十一条</w:t>
                  </w:r>
                </w:p>
              </w:tc>
              <w:tc>
                <w:tcPr>
                  <w:tcW w:w="2550" w:type="pct"/>
                  <w:vAlign w:val="center"/>
                </w:tcPr>
                <w:p>
                  <w:pPr>
                    <w:jc w:val="left"/>
                    <w:rPr>
                      <w:rFonts w:cs="Times New Roman"/>
                      <w:szCs w:val="21"/>
                    </w:rPr>
                  </w:pPr>
                  <w:r>
                    <w:rPr>
                      <w:rFonts w:cs="Times New Roman"/>
                      <w:szCs w:val="21"/>
                    </w:rPr>
                    <w:t>按照排污许可证的规定排放污染物；禁止未取得排污许可证或者违反排污许可证的规定排放污染物。</w:t>
                  </w:r>
                </w:p>
              </w:tc>
              <w:tc>
                <w:tcPr>
                  <w:tcW w:w="1475" w:type="pct"/>
                  <w:vAlign w:val="center"/>
                </w:tcPr>
                <w:p>
                  <w:pPr>
                    <w:jc w:val="left"/>
                    <w:rPr>
                      <w:rFonts w:cs="Times New Roman"/>
                      <w:szCs w:val="21"/>
                    </w:rPr>
                  </w:pPr>
                  <w:r>
                    <w:rPr>
                      <w:rFonts w:cs="Times New Roman"/>
                      <w:szCs w:val="21"/>
                    </w:rPr>
                    <w:t>项目建成后将按要求完善排污许可证的手续。</w:t>
                  </w:r>
                </w:p>
              </w:tc>
              <w:tc>
                <w:tcPr>
                  <w:tcW w:w="421"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jc w:val="center"/>
                    <w:rPr>
                      <w:rFonts w:cs="Times New Roman"/>
                      <w:szCs w:val="21"/>
                    </w:rPr>
                  </w:pPr>
                  <w:r>
                    <w:rPr>
                      <w:rFonts w:cs="Times New Roman"/>
                      <w:szCs w:val="21"/>
                    </w:rPr>
                    <w:t>第六十七条</w:t>
                  </w:r>
                </w:p>
              </w:tc>
              <w:tc>
                <w:tcPr>
                  <w:tcW w:w="2550" w:type="pct"/>
                  <w:vAlign w:val="center"/>
                </w:tcPr>
                <w:p>
                  <w:pPr>
                    <w:jc w:val="left"/>
                    <w:rPr>
                      <w:rFonts w:cs="Times New Roman"/>
                      <w:szCs w:val="21"/>
                    </w:rPr>
                  </w:pPr>
                  <w:r>
                    <w:rPr>
                      <w:rFonts w:cs="Times New Roman"/>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工业集聚区管理机构应当建设污水集中处理设施和配套管网，实行雨污分流，实现废水分类收集、分质处理。排污单位对污水进行预处理后向污水集中处理设施排放的，应当符合污水集中处理设施的接纳标准。</w:t>
                  </w:r>
                </w:p>
              </w:tc>
              <w:tc>
                <w:tcPr>
                  <w:tcW w:w="1475" w:type="pct"/>
                  <w:vAlign w:val="center"/>
                </w:tcPr>
                <w:p>
                  <w:pPr>
                    <w:jc w:val="center"/>
                    <w:rPr>
                      <w:rFonts w:cs="Times New Roman"/>
                      <w:szCs w:val="21"/>
                    </w:rPr>
                  </w:pPr>
                  <w:r>
                    <w:rPr>
                      <w:rFonts w:cs="Times New Roman"/>
                      <w:bCs/>
                      <w:szCs w:val="21"/>
                    </w:rPr>
                    <w:t>本项目位于宣汉县柳池工业园区内，项目</w:t>
                  </w:r>
                  <w:r>
                    <w:rPr>
                      <w:rFonts w:cs="Times New Roman"/>
                      <w:szCs w:val="21"/>
                    </w:rPr>
                    <w:t>生产废水回用，不外排；</w:t>
                  </w:r>
                  <w:r>
                    <w:rPr>
                      <w:rFonts w:cs="Times New Roman"/>
                      <w:bCs/>
                      <w:szCs w:val="21"/>
                    </w:rPr>
                    <w:t>生活污水经化粪池处理后，排入园区管网进入柳池工业园区污水处理厂处理达到《城镇污水处理厂污染物排放标准》（GB18918-2002）一级A标后排入后河。</w:t>
                  </w:r>
                  <w:r>
                    <w:rPr>
                      <w:rFonts w:cs="Times New Roman"/>
                      <w:szCs w:val="21"/>
                    </w:rPr>
                    <w:t>厂区采取雨污分流制。</w:t>
                  </w:r>
                </w:p>
              </w:tc>
              <w:tc>
                <w:tcPr>
                  <w:tcW w:w="421"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jc w:val="center"/>
                    <w:rPr>
                      <w:rFonts w:cs="Times New Roman"/>
                      <w:szCs w:val="21"/>
                    </w:rPr>
                  </w:pPr>
                  <w:r>
                    <w:rPr>
                      <w:rFonts w:cs="Times New Roman"/>
                      <w:szCs w:val="21"/>
                    </w:rPr>
                    <w:t>第七十三条</w:t>
                  </w:r>
                </w:p>
              </w:tc>
              <w:tc>
                <w:tcPr>
                  <w:tcW w:w="2550" w:type="pct"/>
                  <w:vAlign w:val="center"/>
                </w:tcPr>
                <w:p>
                  <w:pPr>
                    <w:jc w:val="left"/>
                    <w:rPr>
                      <w:rFonts w:cs="Times New Roman"/>
                      <w:szCs w:val="21"/>
                    </w:rPr>
                  </w:pPr>
                  <w:r>
                    <w:rPr>
                      <w:rFonts w:cs="Times New Roman"/>
                      <w:szCs w:val="21"/>
                    </w:rPr>
                    <w:t>禁止在嘉陵江流域河湖管理范围内倾倒、填埋、堆放、弃置、处理固体废物。</w:t>
                  </w:r>
                </w:p>
              </w:tc>
              <w:tc>
                <w:tcPr>
                  <w:tcW w:w="1475" w:type="pct"/>
                  <w:vAlign w:val="center"/>
                </w:tcPr>
                <w:p>
                  <w:pPr>
                    <w:jc w:val="center"/>
                    <w:rPr>
                      <w:rFonts w:cs="Times New Roman"/>
                      <w:szCs w:val="21"/>
                    </w:rPr>
                  </w:pPr>
                  <w:r>
                    <w:rPr>
                      <w:rFonts w:cs="Times New Roman"/>
                      <w:szCs w:val="21"/>
                    </w:rPr>
                    <w:t>本项目固体废物严格按照相关要求进行收集和处置。</w:t>
                  </w:r>
                </w:p>
              </w:tc>
              <w:tc>
                <w:tcPr>
                  <w:tcW w:w="421" w:type="pct"/>
                  <w:vAlign w:val="center"/>
                </w:tcPr>
                <w:p>
                  <w:pPr>
                    <w:jc w:val="center"/>
                    <w:rPr>
                      <w:rFonts w:cs="Times New Roman"/>
                      <w:szCs w:val="21"/>
                    </w:rPr>
                  </w:pPr>
                  <w:r>
                    <w:rPr>
                      <w:rFonts w:cs="Times New Roman"/>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2" w:type="pct"/>
                  <w:vAlign w:val="center"/>
                </w:tcPr>
                <w:p>
                  <w:pPr>
                    <w:jc w:val="center"/>
                    <w:rPr>
                      <w:rFonts w:cs="Times New Roman"/>
                      <w:szCs w:val="21"/>
                    </w:rPr>
                  </w:pPr>
                  <w:r>
                    <w:rPr>
                      <w:rFonts w:cs="Times New Roman"/>
                      <w:szCs w:val="21"/>
                    </w:rPr>
                    <w:t>第八十条</w:t>
                  </w:r>
                </w:p>
              </w:tc>
              <w:tc>
                <w:tcPr>
                  <w:tcW w:w="2550" w:type="pct"/>
                  <w:vAlign w:val="center"/>
                </w:tcPr>
                <w:p>
                  <w:pPr>
                    <w:jc w:val="left"/>
                    <w:rPr>
                      <w:rFonts w:cs="Times New Roman"/>
                      <w:szCs w:val="21"/>
                    </w:rPr>
                  </w:pPr>
                  <w:r>
                    <w:rPr>
                      <w:rFonts w:cs="Times New Roman"/>
                      <w:szCs w:val="21"/>
                    </w:rPr>
                    <w:t>限期禁止生产、销售、进口、使用、转让严重污染水环境的工艺和设备。</w:t>
                  </w:r>
                </w:p>
              </w:tc>
              <w:tc>
                <w:tcPr>
                  <w:tcW w:w="1475" w:type="pct"/>
                  <w:vAlign w:val="center"/>
                </w:tcPr>
                <w:p>
                  <w:pPr>
                    <w:jc w:val="center"/>
                    <w:rPr>
                      <w:rFonts w:cs="Times New Roman"/>
                      <w:szCs w:val="21"/>
                    </w:rPr>
                  </w:pPr>
                  <w:r>
                    <w:rPr>
                      <w:rFonts w:cs="Times New Roman"/>
                      <w:szCs w:val="21"/>
                    </w:rPr>
                    <w:t>项目所用的设备、工艺不属于严重污染水环境的工艺和设备</w:t>
                  </w:r>
                </w:p>
              </w:tc>
              <w:tc>
                <w:tcPr>
                  <w:tcW w:w="421" w:type="pct"/>
                  <w:vAlign w:val="center"/>
                </w:tcPr>
                <w:p>
                  <w:pPr>
                    <w:jc w:val="center"/>
                    <w:rPr>
                      <w:rFonts w:cs="Times New Roman"/>
                      <w:szCs w:val="21"/>
                    </w:rPr>
                  </w:pPr>
                  <w:r>
                    <w:rPr>
                      <w:rFonts w:cs="Times New Roman"/>
                      <w:szCs w:val="21"/>
                    </w:rPr>
                    <w:t>符合</w:t>
                  </w:r>
                </w:p>
              </w:tc>
            </w:tr>
          </w:tbl>
          <w:p>
            <w:pPr>
              <w:spacing w:line="360" w:lineRule="auto"/>
              <w:ind w:firstLine="482" w:firstLineChars="200"/>
              <w:rPr>
                <w:rFonts w:cs="Times New Roman"/>
                <w:b/>
                <w:bCs/>
                <w:sz w:val="24"/>
                <w:szCs w:val="24"/>
              </w:rPr>
            </w:pPr>
            <w:r>
              <w:rPr>
                <w:rFonts w:cs="Times New Roman"/>
                <w:b/>
                <w:bCs/>
                <w:sz w:val="24"/>
                <w:szCs w:val="24"/>
              </w:rPr>
              <w:t>6、与长江保护法符合性分析</w:t>
            </w:r>
          </w:p>
          <w:p>
            <w:pPr>
              <w:spacing w:line="360" w:lineRule="auto"/>
              <w:ind w:firstLine="480" w:firstLineChars="200"/>
              <w:rPr>
                <w:rFonts w:cs="Times New Roman"/>
                <w:b/>
                <w:bCs/>
                <w:sz w:val="24"/>
                <w:szCs w:val="24"/>
              </w:rPr>
            </w:pPr>
            <w:r>
              <w:rPr>
                <w:rFonts w:cs="Times New Roman"/>
                <w:sz w:val="24"/>
                <w:szCs w:val="24"/>
              </w:rPr>
              <w:t>自2021年3月1日起施行的《中华人民共和国长江保护法》，是为了加强</w:t>
            </w:r>
            <w:r>
              <w:fldChar w:fldCharType="begin"/>
            </w:r>
            <w:r>
              <w:instrText xml:space="preserve"> HYPERLINK "https://baike.baidu.com/item/%E9%95%BF%E6%B1%9F/388" \t "_blank" </w:instrText>
            </w:r>
            <w:r>
              <w:fldChar w:fldCharType="separate"/>
            </w:r>
            <w:r>
              <w:rPr>
                <w:rFonts w:cs="Times New Roman"/>
                <w:sz w:val="24"/>
                <w:szCs w:val="24"/>
              </w:rPr>
              <w:t>长江</w:t>
            </w:r>
            <w:r>
              <w:rPr>
                <w:rFonts w:cs="Times New Roman"/>
                <w:sz w:val="24"/>
                <w:szCs w:val="24"/>
              </w:rPr>
              <w:fldChar w:fldCharType="end"/>
            </w:r>
            <w:r>
              <w:rPr>
                <w:rFonts w:cs="Times New Roman"/>
                <w:sz w:val="24"/>
                <w:szCs w:val="24"/>
              </w:rPr>
              <w:t>流域生态环境保护和修复，促进资源合理高效利用，保障生态安全，实现人与自然和谐共生、中华民族永续发展制定的法律。</w:t>
            </w:r>
          </w:p>
          <w:p>
            <w:pPr>
              <w:spacing w:line="360" w:lineRule="auto"/>
              <w:jc w:val="center"/>
              <w:rPr>
                <w:rFonts w:cs="Times New Roman"/>
                <w:b/>
                <w:bCs/>
                <w:sz w:val="24"/>
                <w:szCs w:val="24"/>
              </w:rPr>
            </w:pPr>
            <w:r>
              <w:rPr>
                <w:rFonts w:cs="Times New Roman"/>
                <w:b/>
                <w:bCs/>
                <w:sz w:val="24"/>
                <w:szCs w:val="24"/>
              </w:rPr>
              <w:t>表1-5  本项目与“长江保护法”的符合性分析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1"/>
              <w:gridCol w:w="4633"/>
              <w:gridCol w:w="2309"/>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vAlign w:val="center"/>
                </w:tcPr>
                <w:p>
                  <w:pPr>
                    <w:adjustRightInd w:val="0"/>
                    <w:snapToGrid w:val="0"/>
                    <w:jc w:val="center"/>
                    <w:rPr>
                      <w:rFonts w:cs="Times New Roman"/>
                      <w:b/>
                      <w:bCs/>
                      <w:szCs w:val="21"/>
                    </w:rPr>
                  </w:pPr>
                  <w:r>
                    <w:rPr>
                      <w:rFonts w:cs="Times New Roman"/>
                      <w:b/>
                      <w:bCs/>
                      <w:szCs w:val="21"/>
                    </w:rPr>
                    <w:t>序号</w:t>
                  </w:r>
                </w:p>
              </w:tc>
              <w:tc>
                <w:tcPr>
                  <w:tcW w:w="2704" w:type="pct"/>
                  <w:tcBorders>
                    <w:tl2br w:val="nil"/>
                    <w:tr2bl w:val="nil"/>
                  </w:tcBorders>
                  <w:vAlign w:val="center"/>
                </w:tcPr>
                <w:p>
                  <w:pPr>
                    <w:adjustRightInd w:val="0"/>
                    <w:snapToGrid w:val="0"/>
                    <w:jc w:val="center"/>
                    <w:rPr>
                      <w:rFonts w:cs="Times New Roman"/>
                      <w:b/>
                      <w:bCs/>
                      <w:szCs w:val="21"/>
                    </w:rPr>
                  </w:pPr>
                  <w:r>
                    <w:rPr>
                      <w:rFonts w:cs="Times New Roman"/>
                      <w:b/>
                      <w:bCs/>
                      <w:szCs w:val="21"/>
                    </w:rPr>
                    <w:t>原文内容</w:t>
                  </w:r>
                </w:p>
              </w:tc>
              <w:tc>
                <w:tcPr>
                  <w:tcW w:w="1347" w:type="pct"/>
                  <w:tcBorders>
                    <w:tl2br w:val="nil"/>
                    <w:tr2bl w:val="nil"/>
                  </w:tcBorders>
                  <w:vAlign w:val="center"/>
                </w:tcPr>
                <w:p>
                  <w:pPr>
                    <w:adjustRightInd w:val="0"/>
                    <w:snapToGrid w:val="0"/>
                    <w:jc w:val="center"/>
                    <w:rPr>
                      <w:rFonts w:cs="Times New Roman"/>
                      <w:b/>
                      <w:bCs/>
                      <w:szCs w:val="21"/>
                    </w:rPr>
                  </w:pPr>
                  <w:r>
                    <w:rPr>
                      <w:rFonts w:cs="Times New Roman"/>
                      <w:b/>
                      <w:bCs/>
                      <w:szCs w:val="21"/>
                    </w:rPr>
                    <w:t>本项目情况</w:t>
                  </w:r>
                </w:p>
              </w:tc>
              <w:tc>
                <w:tcPr>
                  <w:tcW w:w="502" w:type="pct"/>
                  <w:tcBorders>
                    <w:tl2br w:val="nil"/>
                    <w:tr2bl w:val="nil"/>
                  </w:tcBorders>
                  <w:vAlign w:val="center"/>
                </w:tcPr>
                <w:p>
                  <w:pPr>
                    <w:adjustRightInd w:val="0"/>
                    <w:snapToGrid w:val="0"/>
                    <w:jc w:val="center"/>
                    <w:rPr>
                      <w:rFonts w:cs="Times New Roman"/>
                      <w:b/>
                      <w:bCs/>
                      <w:szCs w:val="21"/>
                    </w:rPr>
                  </w:pPr>
                  <w:r>
                    <w:rPr>
                      <w:rFonts w:cs="Times New Roman"/>
                      <w:b/>
                      <w:bCs/>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5" w:type="pct"/>
                  <w:tcBorders>
                    <w:tl2br w:val="nil"/>
                    <w:tr2bl w:val="nil"/>
                  </w:tcBorders>
                  <w:vAlign w:val="center"/>
                </w:tcPr>
                <w:p>
                  <w:pPr>
                    <w:adjustRightInd w:val="0"/>
                    <w:snapToGrid w:val="0"/>
                    <w:jc w:val="center"/>
                    <w:rPr>
                      <w:rFonts w:cs="Times New Roman"/>
                      <w:bCs/>
                      <w:szCs w:val="21"/>
                    </w:rPr>
                  </w:pPr>
                  <w:r>
                    <w:rPr>
                      <w:rFonts w:cs="Times New Roman"/>
                      <w:bCs/>
                      <w:szCs w:val="21"/>
                    </w:rPr>
                    <w:t>1</w:t>
                  </w:r>
                </w:p>
              </w:tc>
              <w:tc>
                <w:tcPr>
                  <w:tcW w:w="2704" w:type="pct"/>
                  <w:tcBorders>
                    <w:tl2br w:val="nil"/>
                    <w:tr2bl w:val="nil"/>
                  </w:tcBorders>
                  <w:vAlign w:val="center"/>
                </w:tcPr>
                <w:p>
                  <w:pPr>
                    <w:adjustRightInd w:val="0"/>
                    <w:snapToGrid w:val="0"/>
                    <w:jc w:val="center"/>
                    <w:rPr>
                      <w:rFonts w:cs="Times New Roman"/>
                      <w:bCs/>
                      <w:szCs w:val="21"/>
                    </w:rPr>
                  </w:pPr>
                  <w:r>
                    <w:rPr>
                      <w:rFonts w:cs="Times New Roman"/>
                      <w:bCs/>
                      <w:szCs w:val="21"/>
                    </w:rPr>
                    <w:t>第二十一条 长江流域水质超标的水功能区，应当实施更严格的污染物排放总量削减要求。企业事业单位应当按照要求，采取污染物排放总量控制措施。</w:t>
                  </w:r>
                </w:p>
              </w:tc>
              <w:tc>
                <w:tcPr>
                  <w:tcW w:w="1347" w:type="pct"/>
                  <w:tcBorders>
                    <w:tl2br w:val="nil"/>
                    <w:tr2bl w:val="nil"/>
                  </w:tcBorders>
                  <w:vAlign w:val="center"/>
                </w:tcPr>
                <w:p>
                  <w:pPr>
                    <w:adjustRightInd w:val="0"/>
                    <w:snapToGrid w:val="0"/>
                    <w:jc w:val="center"/>
                    <w:rPr>
                      <w:rFonts w:cs="Times New Roman"/>
                      <w:bCs/>
                      <w:szCs w:val="21"/>
                    </w:rPr>
                  </w:pPr>
                  <w:r>
                    <w:rPr>
                      <w:rFonts w:cs="Times New Roman"/>
                      <w:bCs/>
                      <w:szCs w:val="21"/>
                    </w:rPr>
                    <w:t>项目所在区域水环境质量满足相应功能区要求，项目</w:t>
                  </w:r>
                  <w:r>
                    <w:rPr>
                      <w:rFonts w:cs="Times New Roman"/>
                      <w:szCs w:val="21"/>
                    </w:rPr>
                    <w:t>生产废水回用，不外排；</w:t>
                  </w:r>
                  <w:r>
                    <w:rPr>
                      <w:rFonts w:cs="Times New Roman"/>
                      <w:bCs/>
                      <w:szCs w:val="21"/>
                    </w:rPr>
                    <w:t>生活污水经化粪池处理后，排入园区管网进入柳池工业园区污水处理厂处理达标后排放</w:t>
                  </w:r>
                  <w:r>
                    <w:rPr>
                      <w:rFonts w:cs="Times New Roman"/>
                      <w:szCs w:val="21"/>
                    </w:rPr>
                    <w:t>。</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5" w:type="pct"/>
                  <w:tcBorders>
                    <w:tl2br w:val="nil"/>
                    <w:tr2bl w:val="nil"/>
                  </w:tcBorders>
                  <w:vAlign w:val="center"/>
                </w:tcPr>
                <w:p>
                  <w:pPr>
                    <w:adjustRightInd w:val="0"/>
                    <w:snapToGrid w:val="0"/>
                    <w:jc w:val="center"/>
                    <w:rPr>
                      <w:rFonts w:cs="Times New Roman"/>
                      <w:bCs/>
                      <w:szCs w:val="21"/>
                    </w:rPr>
                  </w:pPr>
                  <w:r>
                    <w:rPr>
                      <w:rFonts w:cs="Times New Roman"/>
                      <w:bCs/>
                      <w:szCs w:val="21"/>
                    </w:rPr>
                    <w:t>2</w:t>
                  </w:r>
                </w:p>
              </w:tc>
              <w:tc>
                <w:tcPr>
                  <w:tcW w:w="2704" w:type="pct"/>
                  <w:tcBorders>
                    <w:tl2br w:val="nil"/>
                    <w:tr2bl w:val="nil"/>
                  </w:tcBorders>
                  <w:vAlign w:val="center"/>
                </w:tcPr>
                <w:p>
                  <w:pPr>
                    <w:adjustRightInd w:val="0"/>
                    <w:snapToGrid w:val="0"/>
                    <w:jc w:val="center"/>
                    <w:rPr>
                      <w:rFonts w:cs="Times New Roman"/>
                      <w:bCs/>
                      <w:szCs w:val="21"/>
                    </w:rPr>
                  </w:pPr>
                  <w:r>
                    <w:rPr>
                      <w:rFonts w:cs="Times New Roman"/>
                      <w:bCs/>
                      <w:szCs w:val="21"/>
                    </w:rPr>
                    <w:t>第二十二条 长江流域产业结构和布局应当与长江流域生态系统和资源环境承载能力相适应。禁止在长江流域重点生态功能区布局对生态系统有严重影响的产业。禁止重污染企业和项目向长江中上游转移。</w:t>
                  </w:r>
                </w:p>
              </w:tc>
              <w:tc>
                <w:tcPr>
                  <w:tcW w:w="1347" w:type="pct"/>
                  <w:tcBorders>
                    <w:tl2br w:val="nil"/>
                    <w:tr2bl w:val="nil"/>
                  </w:tcBorders>
                  <w:vAlign w:val="center"/>
                </w:tcPr>
                <w:p>
                  <w:pPr>
                    <w:adjustRightInd w:val="0"/>
                    <w:snapToGrid w:val="0"/>
                    <w:jc w:val="center"/>
                    <w:rPr>
                      <w:rFonts w:cs="Times New Roman"/>
                      <w:bCs/>
                      <w:szCs w:val="21"/>
                    </w:rPr>
                  </w:pPr>
                  <w:r>
                    <w:rPr>
                      <w:rFonts w:cs="Times New Roman"/>
                      <w:bCs/>
                      <w:szCs w:val="21"/>
                    </w:rPr>
                    <w:t>项目所在地不属于长江流域重点生态功能区，对生态系统不会造成严重影响，本项目也不属于重污染项目。</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5" w:type="pct"/>
                  <w:tcBorders>
                    <w:tl2br w:val="nil"/>
                    <w:tr2bl w:val="nil"/>
                  </w:tcBorders>
                  <w:vAlign w:val="center"/>
                </w:tcPr>
                <w:p>
                  <w:pPr>
                    <w:adjustRightInd w:val="0"/>
                    <w:snapToGrid w:val="0"/>
                    <w:jc w:val="center"/>
                    <w:rPr>
                      <w:rFonts w:cs="Times New Roman"/>
                      <w:bCs/>
                      <w:szCs w:val="21"/>
                    </w:rPr>
                  </w:pPr>
                  <w:r>
                    <w:rPr>
                      <w:rFonts w:cs="Times New Roman"/>
                      <w:bCs/>
                      <w:szCs w:val="21"/>
                    </w:rPr>
                    <w:t>3</w:t>
                  </w:r>
                </w:p>
              </w:tc>
              <w:tc>
                <w:tcPr>
                  <w:tcW w:w="2704" w:type="pct"/>
                  <w:tcBorders>
                    <w:tl2br w:val="nil"/>
                    <w:tr2bl w:val="nil"/>
                  </w:tcBorders>
                  <w:vAlign w:val="center"/>
                </w:tcPr>
                <w:p>
                  <w:pPr>
                    <w:adjustRightInd w:val="0"/>
                    <w:snapToGrid w:val="0"/>
                    <w:jc w:val="center"/>
                    <w:rPr>
                      <w:rFonts w:cs="Times New Roman"/>
                      <w:bCs/>
                      <w:szCs w:val="21"/>
                    </w:rPr>
                  </w:pPr>
                  <w:r>
                    <w:rPr>
                      <w:rFonts w:cs="Times New Roman"/>
                      <w:bCs/>
                      <w:szCs w:val="21"/>
                    </w:rPr>
                    <w:t>第二十六条 禁止在长江干支流岸线一公里范围内新建、扩建化工园区和化工项目。禁止在长江干流岸线</w:t>
                  </w:r>
                  <w:r>
                    <w:rPr>
                      <w:rFonts w:cs="Times New Roman"/>
                      <w:bCs/>
                      <w:szCs w:val="21"/>
                    </w:rPr>
                    <w:cr/>
                  </w:r>
                  <w:r>
                    <w:rPr>
                      <w:rFonts w:cs="Times New Roman"/>
                      <w:bCs/>
                      <w:szCs w:val="21"/>
                    </w:rPr>
                    <w:t>三公里范围内和重要支流岸线一公里范围内新建、改建、扩建尾矿库；但是以提升安全、生态环境保护水平为目的的改建除外。</w:t>
                  </w:r>
                </w:p>
              </w:tc>
              <w:tc>
                <w:tcPr>
                  <w:tcW w:w="1347" w:type="pct"/>
                  <w:tcBorders>
                    <w:tl2br w:val="nil"/>
                    <w:tr2bl w:val="nil"/>
                  </w:tcBorders>
                  <w:vAlign w:val="center"/>
                </w:tcPr>
                <w:p>
                  <w:pPr>
                    <w:adjustRightInd w:val="0"/>
                    <w:snapToGrid w:val="0"/>
                    <w:jc w:val="center"/>
                    <w:rPr>
                      <w:rFonts w:cs="Times New Roman"/>
                      <w:bCs/>
                      <w:szCs w:val="21"/>
                    </w:rPr>
                  </w:pPr>
                  <w:r>
                    <w:rPr>
                      <w:rFonts w:cs="Times New Roman"/>
                      <w:szCs w:val="21"/>
                    </w:rPr>
                    <w:t>项目不在</w:t>
                  </w:r>
                  <w:r>
                    <w:rPr>
                      <w:rFonts w:cs="Times New Roman"/>
                      <w:bCs/>
                      <w:szCs w:val="21"/>
                    </w:rPr>
                    <w:t>长江干支流岸线一公里范围内</w:t>
                  </w:r>
                  <w:r>
                    <w:rPr>
                      <w:rFonts w:cs="Times New Roman"/>
                      <w:szCs w:val="21"/>
                    </w:rPr>
                    <w:t>，且</w:t>
                  </w:r>
                  <w:r>
                    <w:rPr>
                      <w:rFonts w:cs="Times New Roman"/>
                      <w:bCs/>
                      <w:szCs w:val="21"/>
                    </w:rPr>
                    <w:t>项目不属于化工项目，也不属于尾矿库项目。</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5" w:type="pct"/>
                  <w:tcBorders>
                    <w:tl2br w:val="nil"/>
                    <w:tr2bl w:val="nil"/>
                  </w:tcBorders>
                  <w:vAlign w:val="center"/>
                </w:tcPr>
                <w:p>
                  <w:pPr>
                    <w:adjustRightInd w:val="0"/>
                    <w:snapToGrid w:val="0"/>
                    <w:jc w:val="center"/>
                    <w:rPr>
                      <w:rFonts w:cs="Times New Roman"/>
                      <w:bCs/>
                      <w:szCs w:val="21"/>
                    </w:rPr>
                  </w:pPr>
                  <w:r>
                    <w:rPr>
                      <w:rFonts w:cs="Times New Roman"/>
                      <w:bCs/>
                      <w:szCs w:val="21"/>
                    </w:rPr>
                    <w:t>4</w:t>
                  </w:r>
                </w:p>
              </w:tc>
              <w:tc>
                <w:tcPr>
                  <w:tcW w:w="2704" w:type="pct"/>
                  <w:tcBorders>
                    <w:tl2br w:val="nil"/>
                    <w:tr2bl w:val="nil"/>
                  </w:tcBorders>
                  <w:vAlign w:val="center"/>
                </w:tcPr>
                <w:p>
                  <w:pPr>
                    <w:adjustRightInd w:val="0"/>
                    <w:snapToGrid w:val="0"/>
                    <w:jc w:val="center"/>
                    <w:rPr>
                      <w:rFonts w:cs="Times New Roman"/>
                      <w:bCs/>
                      <w:szCs w:val="21"/>
                    </w:rPr>
                  </w:pPr>
                  <w:r>
                    <w:rPr>
                      <w:rFonts w:cs="Times New Roman"/>
                      <w:bCs/>
                      <w:szCs w:val="21"/>
                    </w:rPr>
                    <w:t>第二十八条 禁止在长江流域禁止采砂区和禁止采砂期从事采砂活动。</w:t>
                  </w:r>
                </w:p>
              </w:tc>
              <w:tc>
                <w:tcPr>
                  <w:tcW w:w="1347" w:type="pct"/>
                  <w:tcBorders>
                    <w:tl2br w:val="nil"/>
                    <w:tr2bl w:val="nil"/>
                  </w:tcBorders>
                  <w:vAlign w:val="center"/>
                </w:tcPr>
                <w:p>
                  <w:pPr>
                    <w:adjustRightInd w:val="0"/>
                    <w:snapToGrid w:val="0"/>
                    <w:jc w:val="center"/>
                    <w:rPr>
                      <w:rFonts w:cs="Times New Roman"/>
                      <w:bCs/>
                      <w:szCs w:val="21"/>
                    </w:rPr>
                  </w:pPr>
                  <w:r>
                    <w:rPr>
                      <w:rFonts w:cs="Times New Roman"/>
                      <w:bCs/>
                      <w:szCs w:val="21"/>
                    </w:rPr>
                    <w:t>本项目不涉及采砂活动。</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445" w:type="pct"/>
                  <w:tcBorders>
                    <w:tl2br w:val="nil"/>
                    <w:tr2bl w:val="nil"/>
                  </w:tcBorders>
                  <w:vAlign w:val="center"/>
                </w:tcPr>
                <w:p>
                  <w:pPr>
                    <w:adjustRightInd w:val="0"/>
                    <w:snapToGrid w:val="0"/>
                    <w:jc w:val="center"/>
                    <w:rPr>
                      <w:rFonts w:cs="Times New Roman"/>
                      <w:bCs/>
                      <w:szCs w:val="21"/>
                    </w:rPr>
                  </w:pPr>
                  <w:r>
                    <w:rPr>
                      <w:rFonts w:cs="Times New Roman"/>
                      <w:bCs/>
                      <w:szCs w:val="21"/>
                    </w:rPr>
                    <w:t>5</w:t>
                  </w:r>
                </w:p>
              </w:tc>
              <w:tc>
                <w:tcPr>
                  <w:tcW w:w="2704" w:type="pct"/>
                  <w:tcBorders>
                    <w:tl2br w:val="nil"/>
                    <w:tr2bl w:val="nil"/>
                  </w:tcBorders>
                  <w:vAlign w:val="center"/>
                </w:tcPr>
                <w:p>
                  <w:pPr>
                    <w:adjustRightInd w:val="0"/>
                    <w:snapToGrid w:val="0"/>
                    <w:jc w:val="center"/>
                    <w:rPr>
                      <w:rFonts w:cs="Times New Roman"/>
                      <w:bCs/>
                      <w:szCs w:val="21"/>
                    </w:rPr>
                  </w:pPr>
                  <w:r>
                    <w:rPr>
                      <w:rFonts w:cs="Times New Roman"/>
                      <w:bCs/>
                      <w:szCs w:val="21"/>
                    </w:rPr>
                    <w:t>第三十八条 加强对高耗水行业、重点用水单位的用水定额管理，严格控制高耗水项目建设。</w:t>
                  </w:r>
                </w:p>
              </w:tc>
              <w:tc>
                <w:tcPr>
                  <w:tcW w:w="1347" w:type="pct"/>
                  <w:tcBorders>
                    <w:tl2br w:val="nil"/>
                    <w:tr2bl w:val="nil"/>
                  </w:tcBorders>
                  <w:vAlign w:val="center"/>
                </w:tcPr>
                <w:p>
                  <w:pPr>
                    <w:adjustRightInd w:val="0"/>
                    <w:snapToGrid w:val="0"/>
                    <w:jc w:val="center"/>
                    <w:rPr>
                      <w:rFonts w:cs="Times New Roman"/>
                      <w:bCs/>
                      <w:szCs w:val="21"/>
                    </w:rPr>
                  </w:pPr>
                  <w:r>
                    <w:rPr>
                      <w:rFonts w:cs="Times New Roman"/>
                      <w:bCs/>
                      <w:szCs w:val="21"/>
                    </w:rPr>
                    <w:t>本项目不属于高耗水项目。</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bl>
          <w:p>
            <w:pPr>
              <w:spacing w:line="360" w:lineRule="auto"/>
              <w:ind w:firstLine="482" w:firstLineChars="200"/>
              <w:rPr>
                <w:rFonts w:cs="Times New Roman"/>
                <w:b/>
                <w:sz w:val="24"/>
                <w:szCs w:val="24"/>
              </w:rPr>
            </w:pPr>
            <w:r>
              <w:rPr>
                <w:rFonts w:cs="Times New Roman"/>
                <w:b/>
                <w:sz w:val="24"/>
                <w:szCs w:val="24"/>
              </w:rPr>
              <w:t>7、与《四川省 重庆市长江经济带发展负面清单实施细则》符合性分析</w:t>
            </w:r>
          </w:p>
          <w:p>
            <w:pPr>
              <w:spacing w:line="360" w:lineRule="auto"/>
              <w:ind w:firstLine="480" w:firstLineChars="200"/>
              <w:rPr>
                <w:rFonts w:cs="Times New Roman"/>
                <w:bCs/>
                <w:sz w:val="24"/>
                <w:szCs w:val="24"/>
              </w:rPr>
            </w:pPr>
            <w:r>
              <w:rPr>
                <w:rFonts w:cs="Times New Roman"/>
                <w:bCs/>
                <w:sz w:val="24"/>
                <w:szCs w:val="24"/>
              </w:rPr>
              <w:t>与四川省推动长江经济带发展领导小组办公室重庆市推动长江经济带发展领导小组办公室关于印发《四川省重庆市长江经济带发展负面清单实施细则（试行，2022年版）》的通知（川长江办</w:t>
            </w:r>
            <w:r>
              <w:rPr>
                <w:rFonts w:cs="Times New Roman"/>
                <w:sz w:val="24"/>
                <w:szCs w:val="24"/>
              </w:rPr>
              <w:t>〔2022〕</w:t>
            </w:r>
            <w:r>
              <w:rPr>
                <w:rFonts w:cs="Times New Roman"/>
                <w:bCs/>
                <w:sz w:val="24"/>
                <w:szCs w:val="24"/>
              </w:rPr>
              <w:t>17号）的符合性分析。</w:t>
            </w:r>
          </w:p>
          <w:p>
            <w:pPr>
              <w:spacing w:line="360" w:lineRule="auto"/>
              <w:jc w:val="center"/>
              <w:rPr>
                <w:rFonts w:cs="Times New Roman"/>
                <w:b/>
                <w:bCs/>
                <w:sz w:val="24"/>
                <w:szCs w:val="24"/>
              </w:rPr>
            </w:pPr>
            <w:r>
              <w:rPr>
                <w:rFonts w:cs="Times New Roman"/>
                <w:b/>
                <w:bCs/>
                <w:sz w:val="24"/>
                <w:szCs w:val="24"/>
              </w:rPr>
              <w:t>表1-6  本项目与“川长江办〔2022〕17号”的符合性分析</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60"/>
              <w:gridCol w:w="4717"/>
              <w:gridCol w:w="2226"/>
              <w:gridCol w:w="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
                      <w:bCs/>
                      <w:szCs w:val="21"/>
                    </w:rPr>
                  </w:pPr>
                  <w:r>
                    <w:rPr>
                      <w:rFonts w:cs="Times New Roman"/>
                      <w:b/>
                      <w:bCs/>
                      <w:szCs w:val="21"/>
                    </w:rPr>
                    <w:t>序号</w:t>
                  </w:r>
                </w:p>
              </w:tc>
              <w:tc>
                <w:tcPr>
                  <w:tcW w:w="2753" w:type="pct"/>
                  <w:tcBorders>
                    <w:tl2br w:val="nil"/>
                    <w:tr2bl w:val="nil"/>
                  </w:tcBorders>
                  <w:vAlign w:val="center"/>
                </w:tcPr>
                <w:p>
                  <w:pPr>
                    <w:adjustRightInd w:val="0"/>
                    <w:snapToGrid w:val="0"/>
                    <w:jc w:val="center"/>
                    <w:rPr>
                      <w:rFonts w:cs="Times New Roman"/>
                      <w:b/>
                      <w:bCs/>
                      <w:szCs w:val="21"/>
                    </w:rPr>
                  </w:pPr>
                  <w:r>
                    <w:rPr>
                      <w:rFonts w:cs="Times New Roman"/>
                      <w:b/>
                      <w:bCs/>
                      <w:szCs w:val="21"/>
                    </w:rPr>
                    <w:t>原文内容</w:t>
                  </w:r>
                </w:p>
              </w:tc>
              <w:tc>
                <w:tcPr>
                  <w:tcW w:w="1299" w:type="pct"/>
                  <w:tcBorders>
                    <w:tl2br w:val="nil"/>
                    <w:tr2bl w:val="nil"/>
                  </w:tcBorders>
                  <w:vAlign w:val="center"/>
                </w:tcPr>
                <w:p>
                  <w:pPr>
                    <w:adjustRightInd w:val="0"/>
                    <w:snapToGrid w:val="0"/>
                    <w:jc w:val="center"/>
                    <w:rPr>
                      <w:rFonts w:cs="Times New Roman"/>
                      <w:b/>
                      <w:bCs/>
                      <w:szCs w:val="21"/>
                    </w:rPr>
                  </w:pPr>
                  <w:r>
                    <w:rPr>
                      <w:rFonts w:cs="Times New Roman"/>
                      <w:b/>
                      <w:bCs/>
                      <w:szCs w:val="21"/>
                    </w:rPr>
                    <w:t>本项目情况</w:t>
                  </w:r>
                </w:p>
              </w:tc>
              <w:tc>
                <w:tcPr>
                  <w:tcW w:w="502" w:type="pct"/>
                  <w:tcBorders>
                    <w:tl2br w:val="nil"/>
                    <w:tr2bl w:val="nil"/>
                  </w:tcBorders>
                  <w:vAlign w:val="center"/>
                </w:tcPr>
                <w:p>
                  <w:pPr>
                    <w:adjustRightInd w:val="0"/>
                    <w:snapToGrid w:val="0"/>
                    <w:jc w:val="center"/>
                    <w:rPr>
                      <w:rFonts w:cs="Times New Roman"/>
                      <w:b/>
                      <w:bCs/>
                      <w:szCs w:val="21"/>
                    </w:rPr>
                  </w:pPr>
                  <w:r>
                    <w:rPr>
                      <w:rFonts w:cs="Times New Roman"/>
                      <w:b/>
                      <w:bCs/>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1</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第九条禁止在饮用水水源准保护区的岸线和河段范围内新建、扩建对水体污染严重的建设项目，禁止改建增加排污量的建设项目。</w:t>
                  </w:r>
                </w:p>
              </w:tc>
              <w:tc>
                <w:tcPr>
                  <w:tcW w:w="1299" w:type="pct"/>
                  <w:vMerge w:val="restart"/>
                  <w:tcBorders>
                    <w:tl2br w:val="nil"/>
                    <w:tr2bl w:val="nil"/>
                  </w:tcBorders>
                  <w:vAlign w:val="center"/>
                </w:tcPr>
                <w:p>
                  <w:pPr>
                    <w:adjustRightInd w:val="0"/>
                    <w:snapToGrid w:val="0"/>
                    <w:jc w:val="center"/>
                    <w:rPr>
                      <w:rFonts w:cs="Times New Roman"/>
                      <w:bCs/>
                      <w:szCs w:val="21"/>
                    </w:rPr>
                  </w:pPr>
                  <w:r>
                    <w:rPr>
                      <w:rFonts w:cs="Times New Roman"/>
                      <w:bCs/>
                      <w:szCs w:val="21"/>
                    </w:rPr>
                    <w:t>本项目位于宣汉县柳池工业园区内</w:t>
                  </w:r>
                  <w:r>
                    <w:rPr>
                      <w:rFonts w:cs="Times New Roman"/>
                      <w:szCs w:val="21"/>
                    </w:rPr>
                    <w:t>，本项目不在饮用水水源一级保护区、二级保护区及水产种质资源保护区岸线和河段范围内。</w:t>
                  </w:r>
                  <w:r>
                    <w:rPr>
                      <w:rFonts w:hint="eastAsia" w:cs="Times New Roman"/>
                      <w:color w:val="000000" w:themeColor="text1"/>
                      <w:szCs w:val="21"/>
                      <w14:textFill>
                        <w14:solidFill>
                          <w14:schemeClr w14:val="tx1"/>
                        </w14:solidFill>
                      </w14:textFill>
                    </w:rPr>
                    <w:t>项目</w:t>
                  </w:r>
                  <w:r>
                    <w:rPr>
                      <w:rFonts w:cs="Times New Roman"/>
                      <w:color w:val="000000" w:themeColor="text1"/>
                      <w:szCs w:val="21"/>
                      <w14:textFill>
                        <w14:solidFill>
                          <w14:schemeClr w14:val="tx1"/>
                        </w14:solidFill>
                      </w14:textFill>
                    </w:rPr>
                    <w:t>涉及后河徐家坡饮用水水源准保护区，项目生产废水回用，不外排，不属于对水体污染严重的建设项目</w:t>
                  </w:r>
                  <w:r>
                    <w:rPr>
                      <w:rFonts w:hint="eastAsia" w:cs="Times New Roman"/>
                      <w:color w:val="000000" w:themeColor="text1"/>
                      <w:szCs w:val="21"/>
                      <w14:textFill>
                        <w14:solidFill>
                          <w14:schemeClr w14:val="tx1"/>
                        </w14:solidFill>
                      </w14:textFill>
                    </w:rPr>
                    <w:t>，未新增生产废水</w:t>
                  </w:r>
                  <w:r>
                    <w:rPr>
                      <w:rFonts w:cs="Times New Roman"/>
                      <w:bCs/>
                      <w:color w:val="000000" w:themeColor="text1"/>
                      <w:szCs w:val="21"/>
                      <w14:textFill>
                        <w14:solidFill>
                          <w14:schemeClr w14:val="tx1"/>
                        </w14:solidFill>
                      </w14:textFill>
                    </w:rPr>
                    <w:t>排污量</w:t>
                  </w:r>
                  <w:r>
                    <w:rPr>
                      <w:rFonts w:cs="Times New Roman"/>
                      <w:szCs w:val="21"/>
                    </w:rPr>
                    <w:t>。</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2</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第十条饮用水水源二级保护区的岸线和河段范围内，除遵守准保护区规定外，禁止新建、改建、扩建排放污染物的投资建设项目；禁止从事对水体有污染的水产养殖等活动。</w:t>
                  </w:r>
                </w:p>
              </w:tc>
              <w:tc>
                <w:tcPr>
                  <w:tcW w:w="1299" w:type="pct"/>
                  <w:vMerge w:val="continue"/>
                  <w:tcBorders>
                    <w:tl2br w:val="nil"/>
                    <w:tr2bl w:val="nil"/>
                  </w:tcBorders>
                  <w:vAlign w:val="center"/>
                </w:tcPr>
                <w:p>
                  <w:pPr>
                    <w:adjustRightInd w:val="0"/>
                    <w:snapToGrid w:val="0"/>
                    <w:jc w:val="center"/>
                    <w:rPr>
                      <w:rFonts w:cs="Times New Roman"/>
                      <w:bCs/>
                      <w:szCs w:val="21"/>
                    </w:rPr>
                  </w:pP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3</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299" w:type="pct"/>
                  <w:vMerge w:val="continue"/>
                  <w:tcBorders>
                    <w:tl2br w:val="nil"/>
                    <w:tr2bl w:val="nil"/>
                  </w:tcBorders>
                  <w:vAlign w:val="center"/>
                </w:tcPr>
                <w:p>
                  <w:pPr>
                    <w:adjustRightInd w:val="0"/>
                    <w:snapToGrid w:val="0"/>
                    <w:jc w:val="center"/>
                    <w:rPr>
                      <w:rFonts w:cs="Times New Roman"/>
                      <w:bCs/>
                      <w:szCs w:val="21"/>
                    </w:rPr>
                  </w:pP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4</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第十六条禁止在长江流域江河、湖泊新设、改设或者扩大排污口，经有管辖权的生态环境主管部门或者长江流域生态环境监督管理机构同意的除外。</w:t>
                  </w:r>
                </w:p>
              </w:tc>
              <w:tc>
                <w:tcPr>
                  <w:tcW w:w="1299" w:type="pct"/>
                  <w:tcBorders>
                    <w:tl2br w:val="nil"/>
                    <w:tr2bl w:val="nil"/>
                  </w:tcBorders>
                  <w:vAlign w:val="center"/>
                </w:tcPr>
                <w:p>
                  <w:pPr>
                    <w:adjustRightInd w:val="0"/>
                    <w:snapToGrid w:val="0"/>
                    <w:jc w:val="center"/>
                    <w:rPr>
                      <w:rFonts w:cs="Times New Roman"/>
                      <w:bCs/>
                      <w:szCs w:val="21"/>
                    </w:rPr>
                  </w:pPr>
                  <w:r>
                    <w:rPr>
                      <w:rFonts w:cs="Times New Roman"/>
                      <w:bCs/>
                      <w:szCs w:val="21"/>
                    </w:rPr>
                    <w:t>本项目不在长江流域江河、湖泊新设、改设或者扩大排污口</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5</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第十八条禁止在长江干支流、重要湖泊岸线一公里范围内新建、扩建化工园区和化工项目。</w:t>
                  </w:r>
                </w:p>
              </w:tc>
              <w:tc>
                <w:tcPr>
                  <w:tcW w:w="1299" w:type="pct"/>
                  <w:tcBorders>
                    <w:tl2br w:val="nil"/>
                    <w:tr2bl w:val="nil"/>
                  </w:tcBorders>
                  <w:vAlign w:val="center"/>
                </w:tcPr>
                <w:p>
                  <w:pPr>
                    <w:adjustRightInd w:val="0"/>
                    <w:snapToGrid w:val="0"/>
                    <w:jc w:val="center"/>
                    <w:rPr>
                      <w:rFonts w:cs="Times New Roman"/>
                      <w:bCs/>
                      <w:szCs w:val="21"/>
                    </w:rPr>
                  </w:pPr>
                  <w:r>
                    <w:rPr>
                      <w:rFonts w:cs="Times New Roman"/>
                      <w:szCs w:val="21"/>
                    </w:rPr>
                    <w:t>项目不在</w:t>
                  </w:r>
                  <w:r>
                    <w:rPr>
                      <w:rFonts w:cs="Times New Roman"/>
                      <w:bCs/>
                      <w:szCs w:val="21"/>
                    </w:rPr>
                    <w:t>长江干支流岸线一公里范围内</w:t>
                  </w:r>
                  <w:r>
                    <w:rPr>
                      <w:rFonts w:cs="Times New Roman"/>
                      <w:szCs w:val="21"/>
                    </w:rPr>
                    <w:t>，且</w:t>
                  </w:r>
                  <w:r>
                    <w:rPr>
                      <w:rFonts w:cs="Times New Roman"/>
                      <w:bCs/>
                      <w:szCs w:val="21"/>
                    </w:rPr>
                    <w:t>本项目不属于化工项目</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6</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第十九条禁止在长江干流岸线三公里范围内和重要支流岸线一公里范围内新建、改建、扩建尾矿库、冶炼渣库、磷石膏库，以提升安全、生态环境保护水平为目的的改建除外。</w:t>
                  </w:r>
                </w:p>
              </w:tc>
              <w:tc>
                <w:tcPr>
                  <w:tcW w:w="1299" w:type="pct"/>
                  <w:tcBorders>
                    <w:tl2br w:val="nil"/>
                    <w:tr2bl w:val="nil"/>
                  </w:tcBorders>
                  <w:vAlign w:val="center"/>
                </w:tcPr>
                <w:p>
                  <w:pPr>
                    <w:adjustRightInd w:val="0"/>
                    <w:snapToGrid w:val="0"/>
                    <w:jc w:val="center"/>
                    <w:rPr>
                      <w:rFonts w:cs="Times New Roman"/>
                      <w:bCs/>
                      <w:szCs w:val="21"/>
                    </w:rPr>
                  </w:pPr>
                  <w:r>
                    <w:rPr>
                      <w:rFonts w:cs="Times New Roman"/>
                      <w:bCs/>
                      <w:szCs w:val="21"/>
                    </w:rPr>
                    <w:t>本项目属于玻璃纤维及制品制造</w:t>
                  </w:r>
                  <w:r>
                    <w:rPr>
                      <w:rFonts w:cs="Times New Roman"/>
                      <w:szCs w:val="21"/>
                    </w:rPr>
                    <w:t>，不属于上述项目</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7</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第二十一条禁止在合规园区外新建、扩建钢铁、石化、化工、焦化、建材、有色、制浆造纸等高污染项目。</w:t>
                  </w:r>
                </w:p>
              </w:tc>
              <w:tc>
                <w:tcPr>
                  <w:tcW w:w="1299" w:type="pct"/>
                  <w:tcBorders>
                    <w:tl2br w:val="nil"/>
                    <w:tr2bl w:val="nil"/>
                  </w:tcBorders>
                  <w:vAlign w:val="center"/>
                </w:tcPr>
                <w:p>
                  <w:pPr>
                    <w:adjustRightInd w:val="0"/>
                    <w:snapToGrid w:val="0"/>
                    <w:jc w:val="center"/>
                    <w:rPr>
                      <w:rFonts w:cs="Times New Roman"/>
                      <w:bCs/>
                      <w:szCs w:val="21"/>
                    </w:rPr>
                  </w:pPr>
                  <w:r>
                    <w:rPr>
                      <w:rFonts w:cs="Times New Roman"/>
                      <w:bCs/>
                      <w:szCs w:val="21"/>
                    </w:rPr>
                    <w:t>本项目位于宣汉县柳池工业园区内</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8</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299" w:type="pct"/>
                  <w:tcBorders>
                    <w:tl2br w:val="nil"/>
                    <w:tr2bl w:val="nil"/>
                  </w:tcBorders>
                  <w:vAlign w:val="center"/>
                </w:tcPr>
                <w:p>
                  <w:pPr>
                    <w:adjustRightInd w:val="0"/>
                    <w:snapToGrid w:val="0"/>
                    <w:jc w:val="center"/>
                    <w:rPr>
                      <w:rFonts w:cs="Times New Roman"/>
                      <w:bCs/>
                      <w:szCs w:val="21"/>
                    </w:rPr>
                  </w:pPr>
                  <w:r>
                    <w:rPr>
                      <w:rFonts w:cs="Times New Roman"/>
                      <w:szCs w:val="21"/>
                    </w:rPr>
                    <w:t>项目产品不属于落后产能和过剩产能。项目工艺技术路线上在物耗、能耗上属于国内先进水平</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4" w:type="pct"/>
                  <w:tcBorders>
                    <w:tl2br w:val="nil"/>
                    <w:tr2bl w:val="nil"/>
                  </w:tcBorders>
                  <w:vAlign w:val="center"/>
                </w:tcPr>
                <w:p>
                  <w:pPr>
                    <w:adjustRightInd w:val="0"/>
                    <w:snapToGrid w:val="0"/>
                    <w:jc w:val="center"/>
                    <w:rPr>
                      <w:rFonts w:cs="Times New Roman"/>
                      <w:bCs/>
                      <w:szCs w:val="21"/>
                    </w:rPr>
                  </w:pPr>
                  <w:r>
                    <w:rPr>
                      <w:rFonts w:cs="Times New Roman"/>
                      <w:bCs/>
                      <w:szCs w:val="21"/>
                    </w:rPr>
                    <w:t>9</w:t>
                  </w:r>
                </w:p>
              </w:tc>
              <w:tc>
                <w:tcPr>
                  <w:tcW w:w="2753" w:type="pct"/>
                  <w:tcBorders>
                    <w:tl2br w:val="nil"/>
                    <w:tr2bl w:val="nil"/>
                  </w:tcBorders>
                  <w:vAlign w:val="center"/>
                </w:tcPr>
                <w:p>
                  <w:pPr>
                    <w:adjustRightInd w:val="0"/>
                    <w:snapToGrid w:val="0"/>
                    <w:jc w:val="center"/>
                    <w:rPr>
                      <w:rFonts w:cs="Times New Roman"/>
                      <w:bCs/>
                      <w:szCs w:val="21"/>
                    </w:rPr>
                  </w:pPr>
                  <w:r>
                    <w:rPr>
                      <w:rFonts w:cs="Times New Roman"/>
                      <w:bCs/>
                      <w:szCs w:val="21"/>
                    </w:rPr>
                    <w:t>第二十六条禁止新建、扩建不符合要求的高耗能、高排放、低水平项目。</w:t>
                  </w:r>
                </w:p>
              </w:tc>
              <w:tc>
                <w:tcPr>
                  <w:tcW w:w="1299" w:type="pct"/>
                  <w:tcBorders>
                    <w:tl2br w:val="nil"/>
                    <w:tr2bl w:val="nil"/>
                  </w:tcBorders>
                  <w:vAlign w:val="center"/>
                </w:tcPr>
                <w:p>
                  <w:pPr>
                    <w:adjustRightInd w:val="0"/>
                    <w:snapToGrid w:val="0"/>
                    <w:jc w:val="center"/>
                    <w:rPr>
                      <w:rFonts w:cs="Times New Roman"/>
                      <w:bCs/>
                      <w:szCs w:val="21"/>
                    </w:rPr>
                  </w:pPr>
                  <w:r>
                    <w:rPr>
                      <w:rFonts w:cs="Times New Roman"/>
                      <w:bCs/>
                      <w:szCs w:val="21"/>
                    </w:rPr>
                    <w:t>本项目不属于高耗能、高排放、低水平项目</w:t>
                  </w:r>
                </w:p>
              </w:tc>
              <w:tc>
                <w:tcPr>
                  <w:tcW w:w="502" w:type="pct"/>
                  <w:tcBorders>
                    <w:tl2br w:val="nil"/>
                    <w:tr2bl w:val="nil"/>
                  </w:tcBorders>
                  <w:vAlign w:val="center"/>
                </w:tcPr>
                <w:p>
                  <w:pPr>
                    <w:adjustRightInd w:val="0"/>
                    <w:snapToGrid w:val="0"/>
                    <w:jc w:val="center"/>
                    <w:rPr>
                      <w:rFonts w:cs="Times New Roman"/>
                      <w:bCs/>
                      <w:szCs w:val="21"/>
                    </w:rPr>
                  </w:pPr>
                  <w:r>
                    <w:rPr>
                      <w:rFonts w:cs="Times New Roman"/>
                      <w:bCs/>
                      <w:szCs w:val="21"/>
                    </w:rPr>
                    <w:t>符合</w:t>
                  </w:r>
                </w:p>
              </w:tc>
            </w:tr>
          </w:tbl>
          <w:p>
            <w:pPr>
              <w:spacing w:line="360" w:lineRule="auto"/>
              <w:ind w:firstLine="482" w:firstLineChars="200"/>
              <w:rPr>
                <w:rFonts w:cs="Times New Roman"/>
                <w:b/>
                <w:sz w:val="24"/>
                <w:szCs w:val="24"/>
              </w:rPr>
            </w:pPr>
            <w:r>
              <w:rPr>
                <w:rFonts w:cs="Times New Roman"/>
                <w:b/>
                <w:sz w:val="24"/>
                <w:szCs w:val="24"/>
              </w:rPr>
              <w:t>8、与“三线一单”符合性</w:t>
            </w:r>
          </w:p>
          <w:p>
            <w:pPr>
              <w:spacing w:line="360" w:lineRule="auto"/>
              <w:ind w:firstLine="480" w:firstLineChars="200"/>
              <w:rPr>
                <w:rFonts w:cs="Times New Roman"/>
                <w:sz w:val="24"/>
                <w:szCs w:val="24"/>
              </w:rPr>
            </w:pPr>
            <w:r>
              <w:rPr>
                <w:rFonts w:cs="Times New Roman"/>
                <w:sz w:val="24"/>
                <w:szCs w:val="24"/>
              </w:rPr>
              <w:t>根据四川省生态环境厅办公室关于印发《产业园区规划环评“三线一单”符合性分析技术要点（试行）》和《项目环评“三线一单”符合性分析技术要点（试行）》的通知（川环办函〔2021〕469 号）中相关要求对本项目与“三线一单”的符合性进行分析。若污染类建设项目位于园区内，规划环评论述了“三线一单”，仅需对其进行管控要求符合性分析。本项目位于产业园区内（四川达州普光经济开发区柳池工业园区），因此仅对“三线一单”符合性作简单分析。</w:t>
            </w:r>
          </w:p>
          <w:p>
            <w:pPr>
              <w:spacing w:line="360" w:lineRule="auto"/>
              <w:ind w:firstLine="482" w:firstLineChars="200"/>
              <w:rPr>
                <w:rFonts w:cs="Times New Roman"/>
                <w:b/>
                <w:sz w:val="24"/>
                <w:szCs w:val="24"/>
              </w:rPr>
            </w:pPr>
            <w:r>
              <w:rPr>
                <w:rFonts w:cs="Times New Roman"/>
                <w:b/>
                <w:sz w:val="24"/>
                <w:szCs w:val="24"/>
              </w:rPr>
              <w:t>（1）《关于落实生态保护红线、环境质量底线、资源利用上线 制定生态环境准入清单实施生态环境分区管控的通知》（川府发〔2020〕9 号）符合性分析</w:t>
            </w:r>
          </w:p>
          <w:p>
            <w:pPr>
              <w:spacing w:line="360" w:lineRule="auto"/>
              <w:ind w:firstLine="480" w:firstLineChars="200"/>
              <w:rPr>
                <w:rFonts w:cs="Times New Roman"/>
                <w:sz w:val="24"/>
                <w:szCs w:val="24"/>
              </w:rPr>
            </w:pPr>
            <w:r>
              <w:rPr>
                <w:rFonts w:cs="Times New Roman"/>
                <w:sz w:val="24"/>
                <w:szCs w:val="24"/>
              </w:rPr>
              <w:t>根据四川省人民政府《关于落实生态保护红线、环境质量底线、资源利用上线制定生态环境准入清单实施生态环境分区管控的通知》（川府发〔2020〕9 号）。本项目位于四川达州普光经济开发区柳池工业园区1号干道2号，为优先保护单元，所在区域属于川东北经济区。本项目与四川省生态环境分区管控情况相符性分析见表1-7。</w:t>
            </w:r>
          </w:p>
          <w:p>
            <w:pPr>
              <w:spacing w:line="360" w:lineRule="auto"/>
              <w:jc w:val="center"/>
              <w:rPr>
                <w:rFonts w:cs="Times New Roman"/>
                <w:b/>
                <w:bCs/>
                <w:sz w:val="24"/>
                <w:szCs w:val="24"/>
              </w:rPr>
            </w:pPr>
            <w:r>
              <w:rPr>
                <w:rFonts w:cs="Times New Roman"/>
                <w:b/>
                <w:bCs/>
                <w:sz w:val="24"/>
                <w:szCs w:val="24"/>
              </w:rPr>
              <w:t>表1-7  项目与四川省生态环境分区管控情况相符性分析</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12"/>
              <w:gridCol w:w="4101"/>
              <w:gridCol w:w="2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jc w:val="center"/>
                    <w:rPr>
                      <w:rFonts w:cs="Times New Roman"/>
                      <w:b/>
                      <w:bCs/>
                      <w:szCs w:val="21"/>
                    </w:rPr>
                  </w:pPr>
                  <w:r>
                    <w:rPr>
                      <w:rFonts w:cs="Times New Roman"/>
                      <w:b/>
                      <w:bCs/>
                      <w:szCs w:val="21"/>
                    </w:rPr>
                    <w:t>环境管控单元类型</w:t>
                  </w:r>
                </w:p>
              </w:tc>
              <w:tc>
                <w:tcPr>
                  <w:tcW w:w="2393" w:type="pct"/>
                  <w:tcBorders>
                    <w:tl2br w:val="nil"/>
                    <w:tr2bl w:val="nil"/>
                  </w:tcBorders>
                  <w:vAlign w:val="center"/>
                </w:tcPr>
                <w:p>
                  <w:pPr>
                    <w:jc w:val="center"/>
                    <w:rPr>
                      <w:rFonts w:cs="Times New Roman"/>
                      <w:b/>
                      <w:bCs/>
                      <w:szCs w:val="21"/>
                    </w:rPr>
                  </w:pPr>
                  <w:r>
                    <w:rPr>
                      <w:rFonts w:cs="Times New Roman"/>
                      <w:b/>
                      <w:bCs/>
                      <w:szCs w:val="21"/>
                    </w:rPr>
                    <w:t>总体生态环境管控要求</w:t>
                  </w:r>
                </w:p>
              </w:tc>
              <w:tc>
                <w:tcPr>
                  <w:tcW w:w="1314" w:type="pct"/>
                  <w:tcBorders>
                    <w:tl2br w:val="nil"/>
                    <w:tr2bl w:val="nil"/>
                  </w:tcBorders>
                  <w:vAlign w:val="center"/>
                </w:tcPr>
                <w:p>
                  <w:pPr>
                    <w:jc w:val="center"/>
                    <w:rPr>
                      <w:rFonts w:cs="Times New Roman"/>
                      <w:b/>
                      <w:bCs/>
                      <w:szCs w:val="21"/>
                    </w:rPr>
                  </w:pPr>
                  <w:r>
                    <w:rPr>
                      <w:rFonts w:cs="Times New Roman"/>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jc w:val="center"/>
                    <w:rPr>
                      <w:rFonts w:cs="Times New Roman"/>
                      <w:szCs w:val="21"/>
                    </w:rPr>
                  </w:pPr>
                  <w:r>
                    <w:rPr>
                      <w:rFonts w:cs="Times New Roman"/>
                      <w:szCs w:val="21"/>
                    </w:rPr>
                    <w:t>优先保护单元</w:t>
                  </w:r>
                </w:p>
              </w:tc>
              <w:tc>
                <w:tcPr>
                  <w:tcW w:w="2393" w:type="pct"/>
                  <w:tcBorders>
                    <w:tl2br w:val="nil"/>
                    <w:tr2bl w:val="nil"/>
                  </w:tcBorders>
                  <w:vAlign w:val="center"/>
                </w:tcPr>
                <w:p>
                  <w:pPr>
                    <w:jc w:val="center"/>
                    <w:rPr>
                      <w:rFonts w:cs="Times New Roman"/>
                      <w:szCs w:val="21"/>
                    </w:rPr>
                  </w:pPr>
                  <w:r>
                    <w:rPr>
                      <w:rFonts w:cs="Times New Roman"/>
                      <w:szCs w:val="21"/>
                    </w:rPr>
                    <w:t>优先保护单元中，应以生态环境保护优先为原则，严格执行相关法律法规要求，严守生态环境质量底线，确保生态环境功能不降低。</w:t>
                  </w:r>
                </w:p>
              </w:tc>
              <w:tc>
                <w:tcPr>
                  <w:tcW w:w="1314" w:type="pct"/>
                  <w:vMerge w:val="restart"/>
                  <w:tcBorders>
                    <w:tl2br w:val="nil"/>
                    <w:tr2bl w:val="nil"/>
                  </w:tcBorders>
                  <w:vAlign w:val="center"/>
                </w:tcPr>
                <w:p>
                  <w:pPr>
                    <w:jc w:val="center"/>
                    <w:rPr>
                      <w:rFonts w:cs="Times New Roman"/>
                      <w:szCs w:val="21"/>
                    </w:rPr>
                  </w:pPr>
                  <w:r>
                    <w:rPr>
                      <w:rFonts w:cs="Times New Roman"/>
                      <w:szCs w:val="21"/>
                    </w:rPr>
                    <w:t>本项目位于优先保护单元，项目位于达标区域，不涉及生态红线，建设单位</w:t>
                  </w:r>
                  <w:r>
                    <w:rPr>
                      <w:rFonts w:cs="Times New Roman"/>
                      <w:bCs/>
                      <w:szCs w:val="21"/>
                      <w:lang w:bidi="en-US"/>
                    </w:rPr>
                    <w:t>在采取本项目提出的环保措施后，废水、废气、噪声能够达标排放，固废能够得到妥善处置，能够</w:t>
                  </w:r>
                  <w:r>
                    <w:rPr>
                      <w:rFonts w:cs="Times New Roman"/>
                      <w:szCs w:val="21"/>
                    </w:rPr>
                    <w:t>确保生态环境功能不降低</w:t>
                  </w:r>
                  <w:r>
                    <w:rPr>
                      <w:rFonts w:cs="Times New Roman"/>
                      <w:bCs/>
                      <w:szCs w:val="21"/>
                      <w:lang w:bidi="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91" w:type="pct"/>
                  <w:tcBorders>
                    <w:tl2br w:val="nil"/>
                    <w:tr2bl w:val="nil"/>
                  </w:tcBorders>
                  <w:vAlign w:val="center"/>
                </w:tcPr>
                <w:p>
                  <w:pPr>
                    <w:jc w:val="center"/>
                    <w:rPr>
                      <w:rFonts w:cs="Times New Roman"/>
                      <w:szCs w:val="21"/>
                    </w:rPr>
                  </w:pPr>
                  <w:r>
                    <w:rPr>
                      <w:rFonts w:cs="Times New Roman"/>
                      <w:szCs w:val="21"/>
                    </w:rPr>
                    <w:t>重点管控单元</w:t>
                  </w:r>
                </w:p>
              </w:tc>
              <w:tc>
                <w:tcPr>
                  <w:tcW w:w="2393" w:type="pct"/>
                  <w:tcBorders>
                    <w:tl2br w:val="nil"/>
                    <w:tr2bl w:val="nil"/>
                  </w:tcBorders>
                  <w:vAlign w:val="center"/>
                </w:tcPr>
                <w:p>
                  <w:pPr>
                    <w:jc w:val="center"/>
                    <w:rPr>
                      <w:rFonts w:cs="Times New Roman"/>
                      <w:szCs w:val="21"/>
                    </w:rPr>
                  </w:pPr>
                  <w:r>
                    <w:rPr>
                      <w:rFonts w:cs="Times New Roman"/>
                      <w:szCs w:val="21"/>
                    </w:rPr>
                    <w:t>重点管控单元中，针对环境质量是否达标以及经济社会发展水平等因素制定别化的生态环境准入要求。对环境质量不达标区域，环境质量不达标区域，提出污染物削减比例要求，对环境质量达标区域，提出允许排放量建议指标。</w:t>
                  </w:r>
                </w:p>
              </w:tc>
              <w:tc>
                <w:tcPr>
                  <w:tcW w:w="1314"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91" w:type="pct"/>
                  <w:tcBorders>
                    <w:tl2br w:val="nil"/>
                    <w:tr2bl w:val="nil"/>
                  </w:tcBorders>
                  <w:vAlign w:val="center"/>
                </w:tcPr>
                <w:p>
                  <w:pPr>
                    <w:jc w:val="center"/>
                    <w:rPr>
                      <w:rFonts w:cs="Times New Roman"/>
                      <w:szCs w:val="21"/>
                    </w:rPr>
                  </w:pPr>
                  <w:r>
                    <w:rPr>
                      <w:rFonts w:cs="Times New Roman"/>
                      <w:szCs w:val="21"/>
                    </w:rPr>
                    <w:t>一般管控单元</w:t>
                  </w:r>
                </w:p>
              </w:tc>
              <w:tc>
                <w:tcPr>
                  <w:tcW w:w="2393" w:type="pct"/>
                  <w:tcBorders>
                    <w:tl2br w:val="nil"/>
                    <w:tr2bl w:val="nil"/>
                  </w:tcBorders>
                  <w:vAlign w:val="center"/>
                </w:tcPr>
                <w:p>
                  <w:pPr>
                    <w:jc w:val="center"/>
                    <w:rPr>
                      <w:rFonts w:cs="Times New Roman"/>
                      <w:szCs w:val="21"/>
                    </w:rPr>
                  </w:pPr>
                  <w:r>
                    <w:rPr>
                      <w:rFonts w:cs="Times New Roman"/>
                      <w:szCs w:val="21"/>
                    </w:rPr>
                    <w:t>一般管控单元中，执行区域生态环境保护的基本要求。重点加强农业、生活等领域污染治理。</w:t>
                  </w:r>
                </w:p>
              </w:tc>
              <w:tc>
                <w:tcPr>
                  <w:tcW w:w="1314"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jc w:val="center"/>
                    <w:rPr>
                      <w:rFonts w:cs="Times New Roman"/>
                      <w:b/>
                      <w:bCs/>
                      <w:szCs w:val="21"/>
                    </w:rPr>
                  </w:pPr>
                  <w:r>
                    <w:rPr>
                      <w:rFonts w:cs="Times New Roman"/>
                      <w:b/>
                      <w:bCs/>
                      <w:szCs w:val="21"/>
                    </w:rPr>
                    <w:t>区域</w:t>
                  </w:r>
                </w:p>
              </w:tc>
              <w:tc>
                <w:tcPr>
                  <w:tcW w:w="2393" w:type="pct"/>
                  <w:tcBorders>
                    <w:tl2br w:val="nil"/>
                    <w:tr2bl w:val="nil"/>
                  </w:tcBorders>
                  <w:vAlign w:val="center"/>
                </w:tcPr>
                <w:p>
                  <w:pPr>
                    <w:jc w:val="center"/>
                    <w:rPr>
                      <w:rFonts w:cs="Times New Roman"/>
                      <w:b/>
                      <w:bCs/>
                      <w:szCs w:val="21"/>
                    </w:rPr>
                  </w:pPr>
                  <w:r>
                    <w:rPr>
                      <w:rFonts w:cs="Times New Roman"/>
                      <w:b/>
                      <w:bCs/>
                      <w:szCs w:val="21"/>
                    </w:rPr>
                    <w:t>总体生态环境管控要求</w:t>
                  </w:r>
                </w:p>
              </w:tc>
              <w:tc>
                <w:tcPr>
                  <w:tcW w:w="1314" w:type="pct"/>
                  <w:tcBorders>
                    <w:tl2br w:val="nil"/>
                    <w:tr2bl w:val="nil"/>
                  </w:tcBorders>
                  <w:vAlign w:val="center"/>
                </w:tcPr>
                <w:p>
                  <w:pPr>
                    <w:jc w:val="center"/>
                    <w:rPr>
                      <w:rFonts w:cs="Times New Roman"/>
                      <w:b/>
                      <w:bCs/>
                      <w:szCs w:val="21"/>
                    </w:rPr>
                  </w:pPr>
                  <w:r>
                    <w:rPr>
                      <w:rFonts w:cs="Times New Roman"/>
                      <w:b/>
                      <w:bCs/>
                      <w:szCs w:val="21"/>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91" w:type="pct"/>
                  <w:tcBorders>
                    <w:tl2br w:val="nil"/>
                    <w:tr2bl w:val="nil"/>
                  </w:tcBorders>
                  <w:vAlign w:val="center"/>
                </w:tcPr>
                <w:p>
                  <w:pPr>
                    <w:jc w:val="center"/>
                    <w:rPr>
                      <w:rFonts w:cs="Times New Roman"/>
                      <w:szCs w:val="21"/>
                    </w:rPr>
                  </w:pPr>
                  <w:r>
                    <w:rPr>
                      <w:rFonts w:cs="Times New Roman"/>
                      <w:szCs w:val="21"/>
                    </w:rPr>
                    <w:t>川东北经济区</w:t>
                  </w:r>
                </w:p>
              </w:tc>
              <w:tc>
                <w:tcPr>
                  <w:tcW w:w="2393" w:type="pct"/>
                  <w:tcBorders>
                    <w:tl2br w:val="nil"/>
                    <w:tr2bl w:val="nil"/>
                  </w:tcBorders>
                  <w:vAlign w:val="center"/>
                </w:tcPr>
                <w:p>
                  <w:pPr>
                    <w:jc w:val="left"/>
                    <w:rPr>
                      <w:rFonts w:cs="Times New Roman"/>
                      <w:szCs w:val="21"/>
                    </w:rPr>
                  </w:pPr>
                  <w:r>
                    <w:rPr>
                      <w:rFonts w:cs="Times New Roman"/>
                      <w:szCs w:val="21"/>
                    </w:rPr>
                    <w:t>①控制农村面源污染，提高废水收集处理率，加快乡镇污水处理基础设施建设。</w:t>
                  </w:r>
                </w:p>
                <w:p>
                  <w:pPr>
                    <w:jc w:val="left"/>
                    <w:rPr>
                      <w:rFonts w:cs="Times New Roman"/>
                      <w:szCs w:val="21"/>
                    </w:rPr>
                  </w:pPr>
                  <w:r>
                    <w:rPr>
                      <w:rFonts w:cs="Times New Roman"/>
                      <w:szCs w:val="21"/>
                    </w:rPr>
                    <w:t>②建设流域水环境风险联防联控体系。</w:t>
                  </w:r>
                </w:p>
                <w:p>
                  <w:pPr>
                    <w:jc w:val="left"/>
                    <w:rPr>
                      <w:rFonts w:cs="Times New Roman"/>
                      <w:szCs w:val="21"/>
                    </w:rPr>
                  </w:pPr>
                  <w:r>
                    <w:rPr>
                      <w:rFonts w:cs="Times New Roman"/>
                      <w:szCs w:val="21"/>
                    </w:rPr>
                    <w:t>③提高大气污染治理水平。</w:t>
                  </w:r>
                </w:p>
              </w:tc>
              <w:tc>
                <w:tcPr>
                  <w:tcW w:w="1314" w:type="pct"/>
                  <w:tcBorders>
                    <w:tl2br w:val="nil"/>
                    <w:tr2bl w:val="nil"/>
                  </w:tcBorders>
                  <w:vAlign w:val="center"/>
                </w:tcPr>
                <w:p>
                  <w:pPr>
                    <w:jc w:val="center"/>
                    <w:rPr>
                      <w:rFonts w:cs="Times New Roman"/>
                      <w:szCs w:val="21"/>
                    </w:rPr>
                  </w:pPr>
                  <w:r>
                    <w:rPr>
                      <w:rFonts w:cs="Times New Roman"/>
                      <w:szCs w:val="21"/>
                    </w:rPr>
                    <w:t>本项目生产废水回用，不外排；生活污水经化粪池（食堂废水先经隔油池处理）处理后排入园区管网进入柳池工业园区污水处理厂处理达标后排放</w:t>
                  </w:r>
                  <w:r>
                    <w:rPr>
                      <w:rFonts w:hint="eastAsia" w:cs="Times New Roman"/>
                      <w:szCs w:val="21"/>
                    </w:rPr>
                    <w:t>；产生的废气经处理达标后排放。</w:t>
                  </w:r>
                </w:p>
              </w:tc>
            </w:tr>
          </w:tbl>
          <w:p>
            <w:pPr>
              <w:spacing w:line="360" w:lineRule="auto"/>
              <w:ind w:firstLine="480" w:firstLineChars="200"/>
              <w:rPr>
                <w:rFonts w:cs="Times New Roman"/>
                <w:sz w:val="24"/>
                <w:szCs w:val="24"/>
              </w:rPr>
            </w:pPr>
            <w:r>
              <w:rPr>
                <w:rFonts w:cs="Times New Roman"/>
                <w:sz w:val="24"/>
                <w:szCs w:val="24"/>
              </w:rPr>
              <w:t>综上，本项目符合《关于落实生态保护红线、环境质量底线、资源利用上线制定生态环境准入清单实施生态环境分区管控的通知》（川府发〔2020〕9号）相关内容。</w:t>
            </w:r>
          </w:p>
          <w:p>
            <w:pPr>
              <w:spacing w:line="360" w:lineRule="auto"/>
              <w:ind w:firstLine="482" w:firstLineChars="200"/>
              <w:rPr>
                <w:rFonts w:cs="Times New Roman"/>
                <w:b/>
                <w:bCs/>
                <w:sz w:val="24"/>
                <w:szCs w:val="24"/>
              </w:rPr>
            </w:pPr>
            <w:r>
              <w:rPr>
                <w:rFonts w:cs="Times New Roman"/>
                <w:b/>
                <w:bCs/>
                <w:sz w:val="24"/>
                <w:szCs w:val="24"/>
              </w:rPr>
              <w:t>（2）与《关于落实生态保护红线、环境质量底线、资源利用上线制定生态环境准入清单实施生态环境分区管控的通知》（达市府发〔2021〕17号）符合性分析</w:t>
            </w:r>
          </w:p>
          <w:p>
            <w:pPr>
              <w:spacing w:line="360" w:lineRule="auto"/>
              <w:ind w:firstLine="480" w:firstLineChars="200"/>
              <w:rPr>
                <w:rFonts w:cs="Times New Roman"/>
                <w:sz w:val="24"/>
                <w:szCs w:val="24"/>
              </w:rPr>
            </w:pPr>
            <w:r>
              <w:rPr>
                <w:rFonts w:cs="Times New Roman"/>
                <w:sz w:val="24"/>
                <w:szCs w:val="24"/>
              </w:rPr>
              <w:t>根据《达州市政府办公室〈关于落实生态保护红线、环境质量底线、资源利用上线制定生态环境准人清单实施生态环境分区管控的通知〉》（达市府发〔2021〕17号），本项目区域为</w:t>
            </w:r>
            <w:r>
              <w:rPr>
                <w:rFonts w:cs="Times New Roman"/>
                <w:b/>
                <w:bCs/>
                <w:sz w:val="24"/>
                <w:szCs w:val="24"/>
              </w:rPr>
              <w:t>优先保护单元</w:t>
            </w:r>
            <w:r>
              <w:rPr>
                <w:rFonts w:cs="Times New Roman"/>
                <w:sz w:val="24"/>
                <w:szCs w:val="24"/>
              </w:rPr>
              <w:t>。</w:t>
            </w:r>
          </w:p>
          <w:p>
            <w:pPr>
              <w:spacing w:line="360" w:lineRule="auto"/>
              <w:jc w:val="center"/>
              <w:rPr>
                <w:rFonts w:cs="Times New Roman"/>
                <w:bCs/>
                <w:sz w:val="24"/>
                <w:szCs w:val="24"/>
              </w:rPr>
            </w:pPr>
            <w:r>
              <w:rPr>
                <w:rFonts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1186180</wp:posOffset>
                      </wp:positionH>
                      <wp:positionV relativeFrom="paragraph">
                        <wp:posOffset>901700</wp:posOffset>
                      </wp:positionV>
                      <wp:extent cx="981075" cy="317500"/>
                      <wp:effectExtent l="4445" t="4445" r="24130" b="478155"/>
                      <wp:wrapNone/>
                      <wp:docPr id="21" name="矩形标注 21"/>
                      <wp:cNvGraphicFramePr/>
                      <a:graphic xmlns:a="http://schemas.openxmlformats.org/drawingml/2006/main">
                        <a:graphicData uri="http://schemas.microsoft.com/office/word/2010/wordprocessingShape">
                          <wps:wsp>
                            <wps:cNvSpPr>
                              <a:spLocks noChangeArrowheads="1"/>
                            </wps:cNvSpPr>
                            <wps:spPr bwMode="auto">
                              <a:xfrm>
                                <a:off x="0" y="0"/>
                                <a:ext cx="981075" cy="317500"/>
                              </a:xfrm>
                              <a:prstGeom prst="wedgeRectCallout">
                                <a:avLst>
                                  <a:gd name="adj1" fmla="val 50157"/>
                                  <a:gd name="adj2" fmla="val 191000"/>
                                </a:avLst>
                              </a:prstGeom>
                              <a:solidFill>
                                <a:srgbClr val="FFFFFF"/>
                              </a:solidFill>
                              <a:ln w="9525">
                                <a:solidFill>
                                  <a:srgbClr val="FF0000"/>
                                </a:solidFill>
                                <a:miter lim="800000"/>
                              </a:ln>
                              <a:effectLst/>
                            </wps:spPr>
                            <wps:txbx>
                              <w:txbxContent>
                                <w:p>
                                  <w:pPr>
                                    <w:jc w:val="center"/>
                                    <w:rPr>
                                      <w:color w:val="FF0000"/>
                                    </w:rPr>
                                  </w:pPr>
                                  <w:r>
                                    <w:rPr>
                                      <w:rFonts w:hint="eastAsia"/>
                                      <w:color w:val="FF0000"/>
                                    </w:rPr>
                                    <w:t>项目所在地</w:t>
                                  </w:r>
                                </w:p>
                              </w:txbxContent>
                            </wps:txbx>
                            <wps:bodyPr rot="0" vert="horz" wrap="square" lIns="91440" tIns="45720" rIns="91440" bIns="45720" anchor="t" anchorCtr="0" upright="1">
                              <a:noAutofit/>
                            </wps:bodyPr>
                          </wps:wsp>
                        </a:graphicData>
                      </a:graphic>
                    </wp:anchor>
                  </w:drawing>
                </mc:Choice>
                <mc:Fallback>
                  <w:pict>
                    <v:shape id="_x0000_s1026" o:spid="_x0000_s1026" o:spt="61" type="#_x0000_t61" style="position:absolute;left:0pt;margin-left:93.4pt;margin-top:71pt;height:25pt;width:77.25pt;z-index:251664384;mso-width-relative:page;mso-height-relative:page;" fillcolor="#FFFFFF" filled="t" stroked="t" coordsize="21600,21600" o:gfxdata="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SP+H02QAAAAsBAAAPAAAAAAAAAAEAIAAAACIAAABkcnMv&#10;ZG93bnJldi54bWxQSwECFAAUAAAACACHTuJAnoyI0XQCAADtBAAADgAAAAAAAAABACAAAAAoAQAA&#10;ZHJzL2Uyb0RvYy54bWxQSwUGAAAAAAYABgBZAQAADgYAAAAA&#10;" adj="21634,52056">
                      <v:fill on="t" focussize="0,0"/>
                      <v:stroke color="#FF0000" miterlimit="8" joinstyle="miter"/>
                      <v:imagedata o:title=""/>
                      <o:lock v:ext="edit" aspectratio="f"/>
                      <v:textbox>
                        <w:txbxContent>
                          <w:p>
                            <w:pPr>
                              <w:jc w:val="center"/>
                              <w:rPr>
                                <w:color w:val="FF0000"/>
                              </w:rPr>
                            </w:pPr>
                            <w:r>
                              <w:rPr>
                                <w:rFonts w:hint="eastAsia"/>
                                <w:color w:val="FF0000"/>
                              </w:rPr>
                              <w:t>项目所在地</w:t>
                            </w:r>
                          </w:p>
                        </w:txbxContent>
                      </v:textbox>
                    </v:shape>
                  </w:pict>
                </mc:Fallback>
              </mc:AlternateContent>
            </w:r>
            <w:r>
              <w:rPr>
                <w:rFonts w:eastAsia="仿宋_GB2312" w:cs="Times New Roman"/>
                <w:sz w:val="24"/>
                <w:szCs w:val="24"/>
              </w:rPr>
              <w:drawing>
                <wp:inline distT="0" distB="0" distL="0" distR="0">
                  <wp:extent cx="4670425" cy="3297555"/>
                  <wp:effectExtent l="0" t="0" r="15875" b="17145"/>
                  <wp:docPr id="58" name="图片 58" descr="G:\达州7月出图\环境管控单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G:\达州7月出图\环境管控单元.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670425" cy="3297555"/>
                          </a:xfrm>
                          <a:prstGeom prst="rect">
                            <a:avLst/>
                          </a:prstGeom>
                          <a:noFill/>
                          <a:ln>
                            <a:noFill/>
                          </a:ln>
                        </pic:spPr>
                      </pic:pic>
                    </a:graphicData>
                  </a:graphic>
                </wp:inline>
              </w:drawing>
            </w:r>
          </w:p>
          <w:p>
            <w:pPr>
              <w:spacing w:line="360" w:lineRule="auto"/>
              <w:jc w:val="center"/>
              <w:rPr>
                <w:rFonts w:cs="Times New Roman"/>
                <w:b/>
                <w:sz w:val="24"/>
                <w:szCs w:val="24"/>
              </w:rPr>
            </w:pPr>
            <w:r>
              <w:rPr>
                <w:rFonts w:cs="Times New Roman"/>
                <w:b/>
                <w:sz w:val="24"/>
                <w:szCs w:val="24"/>
              </w:rPr>
              <w:t>图1-3  达州市综合环境管控单元分布图</w:t>
            </w:r>
          </w:p>
          <w:p>
            <w:pPr>
              <w:spacing w:line="360" w:lineRule="auto"/>
              <w:ind w:firstLine="480" w:firstLineChars="200"/>
              <w:rPr>
                <w:rFonts w:cs="Times New Roman"/>
                <w:sz w:val="24"/>
                <w:szCs w:val="24"/>
              </w:rPr>
            </w:pPr>
            <w:r>
              <w:rPr>
                <w:rFonts w:cs="Times New Roman"/>
                <w:sz w:val="24"/>
                <w:szCs w:val="24"/>
              </w:rPr>
              <w:t>根据四川省“三线一单”数据分析系统：年产1.4亿平米玻纤湿法毡生产线技改项目位于达州市宣汉县环境综合管控单元优先保护单元（管控单元名称：后河特有鱼类国家级水产种质资源保护区、后河徐家坡水源地、达州市罗江库区集中式饮用水水源保护区，管控单元编号：ZH51172210002）。</w:t>
            </w:r>
          </w:p>
          <w:p>
            <w:pPr>
              <w:spacing w:line="360" w:lineRule="auto"/>
              <w:ind w:firstLine="480" w:firstLineChars="200"/>
              <w:jc w:val="left"/>
              <w:rPr>
                <w:rFonts w:cs="Times New Roman"/>
                <w:sz w:val="24"/>
                <w:szCs w:val="24"/>
              </w:rPr>
            </w:pPr>
            <w:r>
              <w:rPr>
                <w:rFonts w:cs="Times New Roman"/>
                <w:sz w:val="24"/>
                <w:szCs w:val="24"/>
              </w:rPr>
              <w:t>项目与管控单元相对位置如下图所示：（图中▼表示项目位置）</w:t>
            </w:r>
          </w:p>
          <w:p>
            <w:pPr>
              <w:spacing w:line="360" w:lineRule="auto"/>
              <w:jc w:val="center"/>
              <w:rPr>
                <w:rFonts w:cs="Times New Roman"/>
              </w:rPr>
            </w:pPr>
            <w:r>
              <w:rPr>
                <w:rFonts w:cs="Times New Roman"/>
              </w:rPr>
              <mc:AlternateContent>
                <mc:Choice Requires="wps">
                  <w:drawing>
                    <wp:anchor distT="0" distB="0" distL="114300" distR="114300" simplePos="0" relativeHeight="251674624" behindDoc="0" locked="0" layoutInCell="1" allowOverlap="1">
                      <wp:simplePos x="0" y="0"/>
                      <wp:positionH relativeFrom="column">
                        <wp:posOffset>1275080</wp:posOffset>
                      </wp:positionH>
                      <wp:positionV relativeFrom="paragraph">
                        <wp:posOffset>454660</wp:posOffset>
                      </wp:positionV>
                      <wp:extent cx="886460" cy="304800"/>
                      <wp:effectExtent l="0" t="0" r="0" b="0"/>
                      <wp:wrapNone/>
                      <wp:docPr id="20" name="文本框 20"/>
                      <wp:cNvGraphicFramePr/>
                      <a:graphic xmlns:a="http://schemas.openxmlformats.org/drawingml/2006/main">
                        <a:graphicData uri="http://schemas.microsoft.com/office/word/2010/wordprocessingShape">
                          <wps:wsp>
                            <wps:cNvSpPr txBox="1"/>
                            <wps:spPr>
                              <a:xfrm>
                                <a:off x="3380740" y="6475095"/>
                                <a:ext cx="886460"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0000"/>
                                    </w:rPr>
                                  </w:pPr>
                                  <w:r>
                                    <w:rPr>
                                      <w:rFonts w:hint="eastAsia"/>
                                      <w:color w:val="FF0000"/>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0.4pt;margin-top:35.8pt;height:24pt;width:69.8pt;z-index:251674624;mso-width-relative:page;mso-height-relative:page;" filled="f" stroked="f" coordsize="21600,21600" o:gfxdata="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sq86baAAAACgEAAA8AAAAAAAAA&#10;AQAgAAAAIgAAAGRycy9kb3ducmV2LnhtbFBLAQIUABQAAAAIAIdO4kBGZ4gHSAIAAHMEAAAOAAAA&#10;AAAAAAEAIAAAACkBAABkcnMvZTJvRG9jLnhtbFBLBQYAAAAABgAGAFkBAADjBQAAAAA=&#10;">
                      <v:fill on="f" focussize="0,0"/>
                      <v:stroke on="f" weight="0.5pt"/>
                      <v:imagedata o:title=""/>
                      <o:lock v:ext="edit" aspectratio="f"/>
                      <v:textbox>
                        <w:txbxContent>
                          <w:p>
                            <w:pPr>
                              <w:rPr>
                                <w:color w:val="FF0000"/>
                              </w:rPr>
                            </w:pPr>
                            <w:r>
                              <w:rPr>
                                <w:rFonts w:hint="eastAsia"/>
                                <w:color w:val="FF0000"/>
                              </w:rPr>
                              <w:t>项目所在地</w:t>
                            </w:r>
                          </w:p>
                        </w:txbxContent>
                      </v:textbox>
                    </v:shape>
                  </w:pict>
                </mc:Fallback>
              </mc:AlternateContent>
            </w:r>
            <w:r>
              <w:rPr>
                <w:rFonts w:cs="Times New Roman"/>
              </w:rPr>
              <mc:AlternateContent>
                <mc:Choice Requires="wps">
                  <w:drawing>
                    <wp:anchor distT="0" distB="0" distL="114300" distR="114300" simplePos="0" relativeHeight="251673600" behindDoc="0" locked="0" layoutInCell="1" allowOverlap="1">
                      <wp:simplePos x="0" y="0"/>
                      <wp:positionH relativeFrom="column">
                        <wp:posOffset>913130</wp:posOffset>
                      </wp:positionH>
                      <wp:positionV relativeFrom="paragraph">
                        <wp:posOffset>1359535</wp:posOffset>
                      </wp:positionV>
                      <wp:extent cx="457200" cy="428625"/>
                      <wp:effectExtent l="3175" t="3175" r="15875" b="6350"/>
                      <wp:wrapNone/>
                      <wp:docPr id="19" name="直接连接符 19"/>
                      <wp:cNvGraphicFramePr/>
                      <a:graphic xmlns:a="http://schemas.openxmlformats.org/drawingml/2006/main">
                        <a:graphicData uri="http://schemas.microsoft.com/office/word/2010/wordprocessingShape">
                          <wps:wsp>
                            <wps:cNvCnPr/>
                            <wps:spPr>
                              <a:xfrm flipV="1">
                                <a:off x="2313940" y="7237095"/>
                                <a:ext cx="457200" cy="4286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1.9pt;margin-top:107.05pt;height:33.75pt;width:36pt;z-index:251673600;mso-width-relative:page;mso-height-relative:page;" filled="f" stroked="t" coordsize="21600,21600" o:gfxdata="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TYXODYAAAACwEAAA8AAAAAAAAAAQAgAAAAIgAAAGRycy9kb3ducmV2LnhtbFBLAQIU&#10;ABQAAAAIAIdO4kBi8OLb8wEAALYDAAAOAAAAAAAAAAEAIAAAACcBAABkcnMvZTJvRG9jLnhtbFBL&#10;BQYAAAAABgAGAFkBAACMBQAAAAA=&#10;">
                      <v:fill on="f" focussize="0,0"/>
                      <v:stroke color="#000000 [3213]" joinstyle="round"/>
                      <v:imagedata o:title=""/>
                      <o:lock v:ext="edit" aspectratio="f"/>
                    </v:line>
                  </w:pict>
                </mc:Fallback>
              </mc:AlternateContent>
            </w:r>
            <w:r>
              <w:rPr>
                <w:rFonts w:cs="Times New Roman"/>
              </w:rPr>
              <mc:AlternateContent>
                <mc:Choice Requires="wps">
                  <w:drawing>
                    <wp:anchor distT="0" distB="0" distL="114300" distR="114300" simplePos="0" relativeHeight="251672576" behindDoc="0" locked="0" layoutInCell="1" allowOverlap="1">
                      <wp:simplePos x="0" y="0"/>
                      <wp:positionH relativeFrom="column">
                        <wp:posOffset>903605</wp:posOffset>
                      </wp:positionH>
                      <wp:positionV relativeFrom="paragraph">
                        <wp:posOffset>1369060</wp:posOffset>
                      </wp:positionV>
                      <wp:extent cx="152400" cy="419100"/>
                      <wp:effectExtent l="4445" t="1905" r="14605" b="17145"/>
                      <wp:wrapNone/>
                      <wp:docPr id="18" name="直接连接符 18"/>
                      <wp:cNvGraphicFramePr/>
                      <a:graphic xmlns:a="http://schemas.openxmlformats.org/drawingml/2006/main">
                        <a:graphicData uri="http://schemas.microsoft.com/office/word/2010/wordprocessingShape">
                          <wps:wsp>
                            <wps:cNvCnPr/>
                            <wps:spPr>
                              <a:xfrm flipV="1">
                                <a:off x="2304415" y="7246620"/>
                                <a:ext cx="15240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1.15pt;margin-top:107.8pt;height:33pt;width:12pt;z-index:251672576;mso-width-relative:page;mso-height-relative:page;" filled="f" stroked="t" coordsize="21600,21600" o:gfxdata="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svGPTXAAAACwEAAA8AAAAAAAAAAQAgAAAAIgAAAGRycy9kb3ducmV2LnhtbFBLAQIUABQA&#10;AAAIAIdO4kAC3mZc8QEAALYDAAAOAAAAAAAAAAEAIAAAACYBAABkcnMvZTJvRG9jLnhtbFBLBQYA&#10;AAAABgAGAFkBAACJBQAAAAA=&#10;">
                      <v:fill on="f" focussize="0,0"/>
                      <v:stroke color="#000000 [3213]" joinstyle="round"/>
                      <v:imagedata o:title=""/>
                      <o:lock v:ext="edit" aspectratio="f"/>
                    </v:line>
                  </w:pict>
                </mc:Fallback>
              </mc:AlternateContent>
            </w:r>
            <w:r>
              <w:rPr>
                <w:rFonts w:cs="Times New Roman"/>
              </w:rPr>
              <mc:AlternateContent>
                <mc:Choice Requires="wps">
                  <w:drawing>
                    <wp:anchor distT="0" distB="0" distL="114300" distR="114300" simplePos="0" relativeHeight="251671552" behindDoc="0" locked="0" layoutInCell="1" allowOverlap="1">
                      <wp:simplePos x="0" y="0"/>
                      <wp:positionH relativeFrom="column">
                        <wp:posOffset>1579880</wp:posOffset>
                      </wp:positionH>
                      <wp:positionV relativeFrom="paragraph">
                        <wp:posOffset>826135</wp:posOffset>
                      </wp:positionV>
                      <wp:extent cx="190500" cy="180975"/>
                      <wp:effectExtent l="12700" t="12700" r="25400" b="15875"/>
                      <wp:wrapNone/>
                      <wp:docPr id="17" name="任意多边形 17"/>
                      <wp:cNvGraphicFramePr/>
                      <a:graphic xmlns:a="http://schemas.openxmlformats.org/drawingml/2006/main">
                        <a:graphicData uri="http://schemas.microsoft.com/office/word/2010/wordprocessingShape">
                          <wps:wsp>
                            <wps:cNvSpPr/>
                            <wps:spPr>
                              <a:xfrm>
                                <a:off x="2980690" y="6703695"/>
                                <a:ext cx="190500" cy="180975"/>
                              </a:xfrm>
                              <a:custGeom>
                                <a:avLst/>
                                <a:gdLst>
                                  <a:gd name="connisteX0" fmla="*/ 0 w 190500"/>
                                  <a:gd name="connsiteY0" fmla="*/ 57150 h 180975"/>
                                  <a:gd name="connisteX1" fmla="*/ 47625 w 190500"/>
                                  <a:gd name="connsiteY1" fmla="*/ 0 h 180975"/>
                                  <a:gd name="connisteX2" fmla="*/ 190500 w 190500"/>
                                  <a:gd name="connsiteY2" fmla="*/ 114300 h 180975"/>
                                  <a:gd name="connisteX3" fmla="*/ 142875 w 190500"/>
                                  <a:gd name="connsiteY3" fmla="*/ 180975 h 180975"/>
                                  <a:gd name="connisteX4" fmla="*/ 0 w 190500"/>
                                  <a:gd name="connsiteY4" fmla="*/ 57150 h 1809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190500" h="180975">
                                    <a:moveTo>
                                      <a:pt x="0" y="57150"/>
                                    </a:moveTo>
                                    <a:lnTo>
                                      <a:pt x="47625" y="0"/>
                                    </a:lnTo>
                                    <a:lnTo>
                                      <a:pt x="190500" y="114300"/>
                                    </a:lnTo>
                                    <a:lnTo>
                                      <a:pt x="142875" y="180975"/>
                                    </a:lnTo>
                                    <a:lnTo>
                                      <a:pt x="0" y="5715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id="_x0000_s1026" o:spid="_x0000_s1026" o:spt="100" style="position:absolute;left:0pt;margin-left:124.4pt;margin-top:65.05pt;height:14.25pt;width:15pt;z-index:251671552;mso-width-relative:page;mso-height-relative:page;" filled="f" stroked="t" coordsize="190500,180975" o:gfxdata="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b&#10;OEdC1gAAAAsBAAAPAAAAAAAAAAEAIAAAACIAAABkcnMvZG93bnJldi54bWxQSwECFAAUAAAACACH&#10;TuJAaswrzQoDAAAxCAAADgAAAAAAAAABACAAAAAlAQAAZHJzL2Uyb0RvYy54bWxQSwUGAAAAAAYA&#10;BgBZAQAAoQYAAAAA&#10;" path="m0,57150l47625,0,190500,114300,142875,180975,0,57150xe">
                      <v:path o:connectlocs="0,57150;47625,0;190500,114300;142875,180975;0,57150" o:connectangles="0,0,0,0,0"/>
                      <v:fill on="f" focussize="0,0"/>
                      <v:stroke weight="2pt" color="#FF0000 [3204]" joinstyle="round"/>
                      <v:imagedata o:title=""/>
                      <o:lock v:ext="edit" aspectratio="f"/>
                    </v:shape>
                  </w:pict>
                </mc:Fallback>
              </mc:AlternateContent>
            </w:r>
            <w:r>
              <w:rPr>
                <w:rFonts w:cs="Times New Roman"/>
              </w:rPr>
              <w:drawing>
                <wp:anchor distT="0" distB="0" distL="114300" distR="114300" simplePos="0" relativeHeight="251670528" behindDoc="0" locked="0" layoutInCell="1" allowOverlap="1">
                  <wp:simplePos x="0" y="0"/>
                  <wp:positionH relativeFrom="column">
                    <wp:posOffset>1056640</wp:posOffset>
                  </wp:positionH>
                  <wp:positionV relativeFrom="paragraph">
                    <wp:posOffset>403860</wp:posOffset>
                  </wp:positionV>
                  <wp:extent cx="1271905" cy="948690"/>
                  <wp:effectExtent l="9525" t="9525" r="13970" b="13335"/>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1"/>
                          <a:stretch>
                            <a:fillRect/>
                          </a:stretch>
                        </pic:blipFill>
                        <pic:spPr>
                          <a:xfrm>
                            <a:off x="0" y="0"/>
                            <a:ext cx="1271905" cy="948690"/>
                          </a:xfrm>
                          <a:prstGeom prst="rect">
                            <a:avLst/>
                          </a:prstGeom>
                          <a:noFill/>
                          <a:ln>
                            <a:solidFill>
                              <a:schemeClr val="tx1"/>
                            </a:solidFill>
                          </a:ln>
                        </pic:spPr>
                      </pic:pic>
                    </a:graphicData>
                  </a:graphic>
                </wp:anchor>
              </w:drawing>
            </w:r>
            <w:r>
              <w:rPr>
                <w:rFonts w:eastAsia="Helvetica" w:cs="Times New Roman"/>
                <w:sz w:val="28"/>
                <w:szCs w:val="24"/>
              </w:rPr>
              <w:drawing>
                <wp:inline distT="0" distB="0" distL="114300" distR="114300">
                  <wp:extent cx="5073650" cy="3044190"/>
                  <wp:effectExtent l="9525" t="9525" r="22225" b="1333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2"/>
                          <a:stretch>
                            <a:fillRect/>
                          </a:stretch>
                        </pic:blipFill>
                        <pic:spPr>
                          <a:xfrm>
                            <a:off x="0" y="0"/>
                            <a:ext cx="5073650" cy="3044190"/>
                          </a:xfrm>
                          <a:prstGeom prst="rect">
                            <a:avLst/>
                          </a:prstGeom>
                          <a:noFill/>
                          <a:ln>
                            <a:solidFill>
                              <a:schemeClr val="tx1"/>
                            </a:solidFill>
                          </a:ln>
                        </pic:spPr>
                      </pic:pic>
                    </a:graphicData>
                  </a:graphic>
                </wp:inline>
              </w:drawing>
            </w:r>
            <w:r>
              <w:rPr>
                <w:rFonts w:cs="Times New Roman"/>
              </w:rPr>
              <w:drawing>
                <wp:inline distT="0" distB="0" distL="114300" distR="114300">
                  <wp:extent cx="5003165" cy="3721100"/>
                  <wp:effectExtent l="0" t="0" r="6985" b="1270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13"/>
                          <a:stretch>
                            <a:fillRect/>
                          </a:stretch>
                        </pic:blipFill>
                        <pic:spPr>
                          <a:xfrm>
                            <a:off x="0" y="0"/>
                            <a:ext cx="5003165" cy="3721100"/>
                          </a:xfrm>
                          <a:prstGeom prst="rect">
                            <a:avLst/>
                          </a:prstGeom>
                          <a:noFill/>
                          <a:ln>
                            <a:noFill/>
                          </a:ln>
                        </pic:spPr>
                      </pic:pic>
                    </a:graphicData>
                  </a:graphic>
                </wp:inline>
              </w:drawing>
            </w:r>
          </w:p>
          <w:p>
            <w:pPr>
              <w:spacing w:line="360" w:lineRule="auto"/>
              <w:jc w:val="center"/>
              <w:rPr>
                <w:rFonts w:ascii="Times New Roman" w:hAnsi="Times New Roman" w:eastAsia="宋体" w:cs="Times New Roman"/>
                <w:b/>
                <w:sz w:val="24"/>
                <w:szCs w:val="24"/>
              </w:rPr>
            </w:pPr>
            <w:r>
              <w:rPr>
                <w:rFonts w:hint="default" w:ascii="Times New Roman" w:hAnsi="Times New Roman" w:eastAsia="宋体" w:cs="Times New Roman"/>
                <w:b/>
                <w:sz w:val="24"/>
                <w:szCs w:val="24"/>
                <w:lang w:val="en-US" w:eastAsia="zh-CN"/>
              </w:rPr>
              <w:t>图1-</w:t>
            </w:r>
            <w:r>
              <w:rPr>
                <w:rFonts w:hint="eastAsia" w:ascii="Times New Roman" w:hAnsi="Times New Roman" w:eastAsia="宋体" w:cs="Times New Roman"/>
                <w:b/>
                <w:sz w:val="24"/>
                <w:szCs w:val="24"/>
                <w:lang w:val="en-US" w:eastAsia="zh-CN"/>
              </w:rPr>
              <w:t>4</w:t>
            </w:r>
            <w:r>
              <w:rPr>
                <w:rFonts w:hint="default" w:ascii="Times New Roman" w:hAnsi="Times New Roman" w:eastAsia="宋体" w:cs="Times New Roman"/>
                <w:b/>
                <w:sz w:val="24"/>
                <w:szCs w:val="24"/>
                <w:lang w:val="en-US" w:eastAsia="zh-CN"/>
              </w:rPr>
              <w:t xml:space="preserve"> 四川省“三线一单”数据分析系统查询</w:t>
            </w:r>
            <w:r>
              <w:rPr>
                <w:rFonts w:hint="eastAsia" w:ascii="Times New Roman" w:hAnsi="Times New Roman" w:eastAsia="宋体" w:cs="Times New Roman"/>
                <w:b/>
                <w:sz w:val="24"/>
                <w:szCs w:val="24"/>
                <w:lang w:val="en-US" w:eastAsia="zh-CN"/>
              </w:rPr>
              <w:t>结果截图</w:t>
            </w:r>
          </w:p>
          <w:p>
            <w:pPr>
              <w:spacing w:line="360" w:lineRule="auto"/>
              <w:ind w:firstLine="480" w:firstLineChars="200"/>
              <w:rPr>
                <w:rFonts w:cs="Times New Roman"/>
                <w:sz w:val="24"/>
                <w:szCs w:val="24"/>
              </w:rPr>
            </w:pPr>
            <w:r>
              <w:rPr>
                <w:rFonts w:cs="Times New Roman"/>
                <w:sz w:val="24"/>
                <w:szCs w:val="24"/>
              </w:rPr>
              <w:t>本项目属于非金属矿物制品业，利用玻璃纤维短切原丝、加筋纱等原料生产玻纤湿法毡，不属于区域重点管控项目，区域环境质量良好，污染物均能实现达标排放。本项目用地为工业用地，不改变土地利用规划，满足土壤风险管控底线相关要求。同时项目使用清洁能源电、天然气，合理利用水资源，符合资源利用上限要求。</w:t>
            </w:r>
          </w:p>
          <w:p>
            <w:pPr>
              <w:spacing w:line="360" w:lineRule="auto"/>
              <w:ind w:firstLine="480" w:firstLineChars="200"/>
              <w:rPr>
                <w:rFonts w:cs="Times New Roman"/>
                <w:sz w:val="24"/>
                <w:szCs w:val="24"/>
              </w:rPr>
            </w:pPr>
            <w:r>
              <w:rPr>
                <w:rFonts w:cs="Times New Roman"/>
                <w:sz w:val="24"/>
                <w:szCs w:val="24"/>
              </w:rPr>
              <w:t>本项目废水、废气、噪声、固废等均提出了相应的治理措施，在落实好相关的治理措施后，符合达州市达川区总体生态环境管控要求。</w:t>
            </w:r>
          </w:p>
          <w:p>
            <w:pPr>
              <w:spacing w:line="360" w:lineRule="auto"/>
              <w:ind w:firstLine="480" w:firstLineChars="200"/>
              <w:rPr>
                <w:rFonts w:cs="Times New Roman"/>
                <w:sz w:val="24"/>
                <w:szCs w:val="24"/>
              </w:rPr>
            </w:pPr>
            <w:r>
              <w:rPr>
                <w:rFonts w:cs="Times New Roman"/>
                <w:sz w:val="24"/>
                <w:szCs w:val="24"/>
              </w:rPr>
              <w:t>年产1.4亿平米玻纤湿法毡生产线技改项目所属非金属矿物制品业中玻璃纤维和玻璃纤维增强塑料制品制造，共涉及4个管控单元。查询情况见下图，涉及到的管控单元见表1-8。</w:t>
            </w:r>
          </w:p>
          <w:p>
            <w:pPr>
              <w:spacing w:line="360" w:lineRule="auto"/>
              <w:jc w:val="center"/>
              <w:rPr>
                <w:rFonts w:cs="Times New Roman"/>
                <w:b/>
                <w:bCs/>
                <w:sz w:val="24"/>
                <w:szCs w:val="24"/>
              </w:rPr>
            </w:pPr>
            <w:r>
              <w:rPr>
                <w:rFonts w:cs="Times New Roman"/>
                <w:b/>
                <w:bCs/>
                <w:sz w:val="24"/>
                <w:szCs w:val="24"/>
              </w:rPr>
              <w:t>表1-8 本项目涉及的环境管控单元一览表</w:t>
            </w:r>
          </w:p>
          <w:tbl>
            <w:tblPr>
              <w:tblStyle w:val="26"/>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23"/>
              <w:gridCol w:w="1932"/>
              <w:gridCol w:w="978"/>
              <w:gridCol w:w="987"/>
              <w:gridCol w:w="1250"/>
              <w:gridCol w:w="1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05" w:type="pct"/>
                  <w:tcBorders>
                    <w:tl2br w:val="nil"/>
                    <w:tr2bl w:val="nil"/>
                  </w:tcBorders>
                  <w:shd w:val="clear" w:color="000000" w:themeColor="text1" w:fill="auto"/>
                  <w:vAlign w:val="center"/>
                </w:tcPr>
                <w:p>
                  <w:pPr>
                    <w:widowControl/>
                    <w:jc w:val="center"/>
                    <w:rPr>
                      <w:rFonts w:cs="Times New Roman"/>
                      <w:b/>
                      <w:bCs/>
                      <w:kern w:val="0"/>
                      <w:szCs w:val="21"/>
                      <w:lang w:bidi="ar"/>
                    </w:rPr>
                  </w:pPr>
                  <w:r>
                    <w:rPr>
                      <w:rFonts w:cs="Times New Roman"/>
                      <w:b/>
                      <w:bCs/>
                      <w:kern w:val="0"/>
                      <w:szCs w:val="21"/>
                      <w:lang w:bidi="ar"/>
                    </w:rPr>
                    <w:t>环境管控单元编码</w:t>
                  </w:r>
                </w:p>
              </w:tc>
              <w:tc>
                <w:tcPr>
                  <w:tcW w:w="1127" w:type="pct"/>
                  <w:tcBorders>
                    <w:tl2br w:val="nil"/>
                    <w:tr2bl w:val="nil"/>
                  </w:tcBorders>
                  <w:shd w:val="clear" w:color="000000" w:themeColor="text1" w:fill="auto"/>
                  <w:vAlign w:val="center"/>
                </w:tcPr>
                <w:p>
                  <w:pPr>
                    <w:widowControl/>
                    <w:jc w:val="center"/>
                    <w:rPr>
                      <w:rFonts w:cs="Times New Roman"/>
                      <w:b/>
                      <w:bCs/>
                      <w:kern w:val="0"/>
                      <w:szCs w:val="21"/>
                      <w:lang w:bidi="ar"/>
                    </w:rPr>
                  </w:pPr>
                  <w:r>
                    <w:rPr>
                      <w:rFonts w:cs="Times New Roman"/>
                      <w:b/>
                      <w:bCs/>
                      <w:kern w:val="0"/>
                      <w:szCs w:val="21"/>
                      <w:lang w:bidi="ar"/>
                    </w:rPr>
                    <w:t>环境管控单元名称</w:t>
                  </w:r>
                </w:p>
              </w:tc>
              <w:tc>
                <w:tcPr>
                  <w:tcW w:w="571" w:type="pct"/>
                  <w:tcBorders>
                    <w:tl2br w:val="nil"/>
                    <w:tr2bl w:val="nil"/>
                  </w:tcBorders>
                  <w:shd w:val="clear" w:color="000000" w:themeColor="text1" w:fill="auto"/>
                  <w:vAlign w:val="center"/>
                </w:tcPr>
                <w:p>
                  <w:pPr>
                    <w:widowControl/>
                    <w:jc w:val="center"/>
                    <w:rPr>
                      <w:rFonts w:cs="Times New Roman"/>
                      <w:b/>
                      <w:bCs/>
                      <w:kern w:val="0"/>
                      <w:szCs w:val="21"/>
                      <w:lang w:bidi="ar"/>
                    </w:rPr>
                  </w:pPr>
                  <w:r>
                    <w:rPr>
                      <w:rFonts w:cs="Times New Roman"/>
                      <w:b/>
                      <w:bCs/>
                      <w:kern w:val="0"/>
                      <w:szCs w:val="21"/>
                      <w:lang w:bidi="ar"/>
                    </w:rPr>
                    <w:t>所属城市</w:t>
                  </w:r>
                </w:p>
              </w:tc>
              <w:tc>
                <w:tcPr>
                  <w:tcW w:w="576" w:type="pct"/>
                  <w:tcBorders>
                    <w:tl2br w:val="nil"/>
                    <w:tr2bl w:val="nil"/>
                  </w:tcBorders>
                  <w:shd w:val="clear" w:color="000000" w:themeColor="text1" w:fill="auto"/>
                  <w:vAlign w:val="center"/>
                </w:tcPr>
                <w:p>
                  <w:pPr>
                    <w:widowControl/>
                    <w:jc w:val="center"/>
                    <w:rPr>
                      <w:rFonts w:cs="Times New Roman"/>
                      <w:b/>
                      <w:bCs/>
                      <w:kern w:val="0"/>
                      <w:szCs w:val="21"/>
                      <w:lang w:bidi="ar"/>
                    </w:rPr>
                  </w:pPr>
                  <w:r>
                    <w:rPr>
                      <w:rFonts w:cs="Times New Roman"/>
                      <w:b/>
                      <w:bCs/>
                      <w:kern w:val="0"/>
                      <w:szCs w:val="21"/>
                      <w:lang w:bidi="ar"/>
                    </w:rPr>
                    <w:t>所属区（县）</w:t>
                  </w:r>
                </w:p>
              </w:tc>
              <w:tc>
                <w:tcPr>
                  <w:tcW w:w="730" w:type="pct"/>
                  <w:tcBorders>
                    <w:tl2br w:val="nil"/>
                    <w:tr2bl w:val="nil"/>
                  </w:tcBorders>
                  <w:shd w:val="clear" w:color="000000" w:themeColor="text1" w:fill="auto"/>
                  <w:vAlign w:val="center"/>
                </w:tcPr>
                <w:p>
                  <w:pPr>
                    <w:widowControl/>
                    <w:jc w:val="center"/>
                    <w:rPr>
                      <w:rFonts w:cs="Times New Roman"/>
                      <w:b/>
                      <w:bCs/>
                      <w:kern w:val="0"/>
                      <w:szCs w:val="21"/>
                      <w:lang w:bidi="ar"/>
                    </w:rPr>
                  </w:pPr>
                  <w:r>
                    <w:rPr>
                      <w:rFonts w:cs="Times New Roman"/>
                      <w:b/>
                      <w:bCs/>
                      <w:kern w:val="0"/>
                      <w:szCs w:val="21"/>
                      <w:lang w:bidi="ar"/>
                    </w:rPr>
                    <w:t>准入清单类型</w:t>
                  </w:r>
                </w:p>
              </w:tc>
              <w:tc>
                <w:tcPr>
                  <w:tcW w:w="988" w:type="pct"/>
                  <w:tcBorders>
                    <w:tl2br w:val="nil"/>
                    <w:tr2bl w:val="nil"/>
                  </w:tcBorders>
                  <w:shd w:val="clear" w:color="000000" w:themeColor="text1" w:fill="auto"/>
                  <w:vAlign w:val="center"/>
                </w:tcPr>
                <w:p>
                  <w:pPr>
                    <w:widowControl/>
                    <w:jc w:val="center"/>
                    <w:rPr>
                      <w:rFonts w:cs="Times New Roman"/>
                      <w:b/>
                      <w:bCs/>
                      <w:kern w:val="0"/>
                      <w:szCs w:val="21"/>
                      <w:lang w:bidi="ar"/>
                    </w:rPr>
                  </w:pPr>
                  <w:r>
                    <w:rPr>
                      <w:rFonts w:cs="Times New Roman"/>
                      <w:b/>
                      <w:bCs/>
                      <w:kern w:val="0"/>
                      <w:szCs w:val="21"/>
                      <w:lang w:bidi="ar"/>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05"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ZH51172210002</w:t>
                  </w:r>
                </w:p>
              </w:tc>
              <w:tc>
                <w:tcPr>
                  <w:tcW w:w="1127"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后河特有鱼类国家级水产种质资源保护区、后河徐家坡水源地、达州市罗江库区集中式饮用水水源保护区</w:t>
                  </w:r>
                </w:p>
              </w:tc>
              <w:tc>
                <w:tcPr>
                  <w:tcW w:w="571"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达州市</w:t>
                  </w:r>
                </w:p>
              </w:tc>
              <w:tc>
                <w:tcPr>
                  <w:tcW w:w="576"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宣汉县</w:t>
                  </w:r>
                </w:p>
              </w:tc>
              <w:tc>
                <w:tcPr>
                  <w:tcW w:w="730"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环境管控单元</w:t>
                  </w:r>
                </w:p>
              </w:tc>
              <w:tc>
                <w:tcPr>
                  <w:tcW w:w="988"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环境综合管控单元优先保护单元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05"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YS5117221130019</w:t>
                  </w:r>
                </w:p>
              </w:tc>
              <w:tc>
                <w:tcPr>
                  <w:tcW w:w="1127"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生态优先保护区（一般生态空间）19</w:t>
                  </w:r>
                </w:p>
              </w:tc>
              <w:tc>
                <w:tcPr>
                  <w:tcW w:w="571"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达州市</w:t>
                  </w:r>
                </w:p>
              </w:tc>
              <w:tc>
                <w:tcPr>
                  <w:tcW w:w="576"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宣汉县</w:t>
                  </w:r>
                </w:p>
              </w:tc>
              <w:tc>
                <w:tcPr>
                  <w:tcW w:w="730"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生态空间分区</w:t>
                  </w:r>
                </w:p>
              </w:tc>
              <w:tc>
                <w:tcPr>
                  <w:tcW w:w="988"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生态空间分区一般生态空间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05"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YS5117221210003</w:t>
                  </w:r>
                </w:p>
              </w:tc>
              <w:tc>
                <w:tcPr>
                  <w:tcW w:w="1127"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州河宣汉县张鼓坪控制单元</w:t>
                  </w:r>
                </w:p>
              </w:tc>
              <w:tc>
                <w:tcPr>
                  <w:tcW w:w="571"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达州市</w:t>
                  </w:r>
                </w:p>
              </w:tc>
              <w:tc>
                <w:tcPr>
                  <w:tcW w:w="576"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宣汉县</w:t>
                  </w:r>
                </w:p>
              </w:tc>
              <w:tc>
                <w:tcPr>
                  <w:tcW w:w="730"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水环境管控分区</w:t>
                  </w:r>
                </w:p>
              </w:tc>
              <w:tc>
                <w:tcPr>
                  <w:tcW w:w="988"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水环境优先保护区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005"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YS5117222310001</w:t>
                  </w:r>
                </w:p>
              </w:tc>
              <w:tc>
                <w:tcPr>
                  <w:tcW w:w="1127"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四川达州普光经济开发区（含锂钾综合开发产业园）</w:t>
                  </w:r>
                </w:p>
              </w:tc>
              <w:tc>
                <w:tcPr>
                  <w:tcW w:w="571"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达州市</w:t>
                  </w:r>
                </w:p>
              </w:tc>
              <w:tc>
                <w:tcPr>
                  <w:tcW w:w="576"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宣汉县</w:t>
                  </w:r>
                </w:p>
              </w:tc>
              <w:tc>
                <w:tcPr>
                  <w:tcW w:w="730"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大气环境管控分区</w:t>
                  </w:r>
                </w:p>
              </w:tc>
              <w:tc>
                <w:tcPr>
                  <w:tcW w:w="988" w:type="pct"/>
                  <w:tcBorders>
                    <w:tl2br w:val="nil"/>
                    <w:tr2bl w:val="nil"/>
                  </w:tcBorders>
                  <w:vAlign w:val="center"/>
                </w:tcPr>
                <w:p>
                  <w:pPr>
                    <w:widowControl/>
                    <w:jc w:val="center"/>
                    <w:rPr>
                      <w:rFonts w:cs="Times New Roman"/>
                      <w:kern w:val="0"/>
                      <w:szCs w:val="21"/>
                      <w:lang w:bidi="ar"/>
                    </w:rPr>
                  </w:pPr>
                  <w:r>
                    <w:rPr>
                      <w:rFonts w:cs="Times New Roman"/>
                      <w:kern w:val="0"/>
                      <w:szCs w:val="21"/>
                      <w:lang w:bidi="ar"/>
                    </w:rPr>
                    <w:t>大气环境高排放重点管控区</w:t>
                  </w:r>
                </w:p>
              </w:tc>
            </w:tr>
          </w:tbl>
          <w:p>
            <w:pPr>
              <w:spacing w:line="360" w:lineRule="auto"/>
              <w:ind w:firstLine="480" w:firstLineChars="200"/>
              <w:rPr>
                <w:rFonts w:cs="Times New Roman"/>
                <w:sz w:val="24"/>
                <w:szCs w:val="24"/>
              </w:rPr>
            </w:pPr>
          </w:p>
        </w:tc>
      </w:tr>
    </w:tbl>
    <w:p>
      <w:pPr>
        <w:rPr>
          <w:rFonts w:cs="Times New Roman"/>
          <w:b/>
          <w:sz w:val="24"/>
          <w:szCs w:val="24"/>
        </w:rPr>
        <w:sectPr>
          <w:footerReference r:id="rId5" w:type="default"/>
          <w:pgSz w:w="11906" w:h="16838"/>
          <w:pgMar w:top="1134" w:right="1134" w:bottom="1134" w:left="1418" w:header="851" w:footer="992" w:gutter="0"/>
          <w:pgNumType w:start="1"/>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86" w:type="dxa"/>
          </w:tcPr>
          <w:p>
            <w:pPr>
              <w:spacing w:line="360" w:lineRule="auto"/>
              <w:ind w:firstLine="480" w:firstLineChars="200"/>
              <w:rPr>
                <w:rFonts w:cs="Times New Roman"/>
                <w:sz w:val="24"/>
                <w:szCs w:val="24"/>
              </w:rPr>
            </w:pPr>
            <w:r>
              <w:rPr>
                <w:rFonts w:cs="Times New Roman"/>
                <w:sz w:val="24"/>
                <w:szCs w:val="24"/>
              </w:rPr>
              <w:t>本项目与上述环境管控单元符合性分析见下表。</w:t>
            </w:r>
          </w:p>
          <w:p>
            <w:pPr>
              <w:spacing w:line="360" w:lineRule="auto"/>
              <w:jc w:val="center"/>
              <w:rPr>
                <w:rFonts w:cs="Times New Roman"/>
                <w:b/>
                <w:sz w:val="24"/>
                <w:szCs w:val="24"/>
              </w:rPr>
            </w:pPr>
            <w:r>
              <w:rPr>
                <w:rFonts w:hint="eastAsia" w:cs="Times New Roman"/>
                <w:b/>
                <w:sz w:val="24"/>
                <w:szCs w:val="24"/>
              </w:rPr>
              <w:t>表1-9 本项目与所涉及环境管控单元符合性分析一览表</w:t>
            </w:r>
          </w:p>
          <w:tbl>
            <w:tblPr>
              <w:tblStyle w:val="85"/>
              <w:tblW w:w="499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335"/>
              <w:gridCol w:w="6228"/>
              <w:gridCol w:w="772"/>
              <w:gridCol w:w="2609"/>
              <w:gridCol w:w="2026"/>
              <w:gridCol w:w="5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6" w:type="pct"/>
                  <w:gridSpan w:val="5"/>
                  <w:tcBorders>
                    <w:tl2br w:val="nil"/>
                    <w:tr2bl w:val="nil"/>
                  </w:tcBorders>
                  <w:vAlign w:val="center"/>
                </w:tcPr>
                <w:p>
                  <w:pPr>
                    <w:widowControl/>
                    <w:jc w:val="center"/>
                    <w:rPr>
                      <w:rFonts w:hint="eastAsia" w:ascii="宋体" w:hAnsi="宋体" w:eastAsia="宋体" w:cs="宋体"/>
                      <w:b/>
                      <w:bCs/>
                      <w:kern w:val="0"/>
                      <w:szCs w:val="21"/>
                    </w:rPr>
                  </w:pPr>
                  <w:r>
                    <w:rPr>
                      <w:rFonts w:hint="eastAsia" w:ascii="宋体" w:hAnsi="宋体" w:eastAsia="宋体" w:cs="宋体"/>
                      <w:b/>
                      <w:bCs/>
                      <w:szCs w:val="21"/>
                    </w:rPr>
                    <w:t>“三线一单”的具体要求</w:t>
                  </w:r>
                </w:p>
              </w:tc>
              <w:tc>
                <w:tcPr>
                  <w:tcW w:w="696" w:type="pct"/>
                  <w:vMerge w:val="restart"/>
                  <w:tcBorders>
                    <w:tl2br w:val="nil"/>
                    <w:tr2bl w:val="nil"/>
                  </w:tcBorders>
                  <w:vAlign w:val="center"/>
                </w:tcPr>
                <w:p>
                  <w:pPr>
                    <w:jc w:val="center"/>
                    <w:rPr>
                      <w:rFonts w:hint="eastAsia" w:ascii="宋体" w:hAnsi="宋体" w:eastAsia="宋体" w:cs="宋体"/>
                      <w:b/>
                      <w:bCs/>
                      <w:kern w:val="0"/>
                      <w:szCs w:val="21"/>
                    </w:rPr>
                  </w:pPr>
                  <w:r>
                    <w:rPr>
                      <w:rFonts w:hint="eastAsia" w:ascii="宋体" w:hAnsi="宋体" w:eastAsia="宋体" w:cs="宋体"/>
                      <w:b/>
                      <w:bCs/>
                      <w:szCs w:val="21"/>
                    </w:rPr>
                    <w:t>项目对应情况介绍</w:t>
                  </w:r>
                </w:p>
              </w:tc>
              <w:tc>
                <w:tcPr>
                  <w:tcW w:w="197" w:type="pct"/>
                  <w:vMerge w:val="restart"/>
                  <w:tcBorders>
                    <w:tl2br w:val="nil"/>
                    <w:tr2bl w:val="nil"/>
                  </w:tcBorders>
                  <w:vAlign w:val="center"/>
                </w:tcPr>
                <w:p>
                  <w:pPr>
                    <w:jc w:val="center"/>
                    <w:rPr>
                      <w:rFonts w:hint="eastAsia" w:ascii="宋体" w:hAnsi="宋体" w:eastAsia="宋体" w:cs="宋体"/>
                      <w:b/>
                      <w:bCs/>
                      <w:kern w:val="0"/>
                      <w:szCs w:val="21"/>
                    </w:rPr>
                  </w:pPr>
                  <w:r>
                    <w:rPr>
                      <w:rFonts w:hint="eastAsia" w:ascii="宋体" w:hAnsi="宋体" w:eastAsia="宋体" w:cs="宋体"/>
                      <w:b/>
                      <w:bCs/>
                      <w:szCs w:val="21"/>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tcBorders>
                    <w:tl2br w:val="nil"/>
                    <w:tr2bl w:val="nil"/>
                  </w:tcBorders>
                  <w:vAlign w:val="center"/>
                </w:tcPr>
                <w:p>
                  <w:pPr>
                    <w:pStyle w:val="84"/>
                    <w:widowControl/>
                    <w:spacing w:line="240" w:lineRule="auto"/>
                    <w:ind w:firstLine="0" w:firstLineChars="0"/>
                    <w:jc w:val="center"/>
                    <w:rPr>
                      <w:rFonts w:eastAsia="宋体"/>
                      <w:b/>
                      <w:bCs/>
                      <w:sz w:val="21"/>
                    </w:rPr>
                  </w:pPr>
                  <w:r>
                    <w:rPr>
                      <w:rFonts w:eastAsia="宋体"/>
                      <w:b/>
                      <w:bCs/>
                      <w:sz w:val="21"/>
                    </w:rPr>
                    <w:t>环境管控单元编码</w:t>
                  </w:r>
                </w:p>
              </w:tc>
              <w:tc>
                <w:tcPr>
                  <w:tcW w:w="458" w:type="pct"/>
                  <w:tcBorders>
                    <w:tl2br w:val="nil"/>
                    <w:tr2bl w:val="nil"/>
                  </w:tcBorders>
                  <w:vAlign w:val="center"/>
                </w:tcPr>
                <w:p>
                  <w:pPr>
                    <w:pStyle w:val="84"/>
                    <w:widowControl/>
                    <w:spacing w:line="240" w:lineRule="auto"/>
                    <w:ind w:firstLine="0" w:firstLineChars="0"/>
                    <w:jc w:val="center"/>
                    <w:rPr>
                      <w:rFonts w:eastAsia="宋体"/>
                      <w:b/>
                      <w:bCs/>
                      <w:sz w:val="21"/>
                    </w:rPr>
                  </w:pPr>
                  <w:r>
                    <w:rPr>
                      <w:rFonts w:eastAsia="宋体"/>
                      <w:b/>
                      <w:bCs/>
                      <w:sz w:val="21"/>
                    </w:rPr>
                    <w:t>环境管控单元名称</w:t>
                  </w:r>
                </w:p>
              </w:tc>
              <w:tc>
                <w:tcPr>
                  <w:tcW w:w="2139" w:type="pct"/>
                  <w:tcBorders>
                    <w:tl2br w:val="nil"/>
                    <w:tr2bl w:val="nil"/>
                  </w:tcBorders>
                  <w:vAlign w:val="center"/>
                </w:tcPr>
                <w:p>
                  <w:pPr>
                    <w:jc w:val="center"/>
                    <w:rPr>
                      <w:rFonts w:hint="eastAsia" w:ascii="宋体" w:hAnsi="宋体" w:eastAsia="宋体" w:cs="宋体"/>
                      <w:b/>
                      <w:bCs/>
                      <w:kern w:val="0"/>
                      <w:szCs w:val="21"/>
                    </w:rPr>
                  </w:pPr>
                  <w:r>
                    <w:rPr>
                      <w:rFonts w:hint="eastAsia" w:ascii="宋体" w:hAnsi="宋体" w:eastAsia="宋体" w:cs="宋体"/>
                      <w:b/>
                      <w:bCs/>
                      <w:kern w:val="0"/>
                      <w:szCs w:val="21"/>
                    </w:rPr>
                    <w:t>达州市普适性清单</w:t>
                  </w:r>
                </w:p>
              </w:tc>
              <w:tc>
                <w:tcPr>
                  <w:tcW w:w="265" w:type="pct"/>
                  <w:tcBorders>
                    <w:tl2br w:val="nil"/>
                    <w:tr2bl w:val="nil"/>
                  </w:tcBorders>
                  <w:vAlign w:val="center"/>
                </w:tcPr>
                <w:p>
                  <w:pPr>
                    <w:widowControl/>
                    <w:jc w:val="center"/>
                    <w:rPr>
                      <w:rFonts w:hint="eastAsia" w:ascii="宋体" w:hAnsi="宋体" w:eastAsia="宋体" w:cs="宋体"/>
                      <w:b/>
                      <w:bCs/>
                      <w:szCs w:val="21"/>
                    </w:rPr>
                  </w:pPr>
                  <w:r>
                    <w:rPr>
                      <w:rFonts w:hint="eastAsia" w:ascii="宋体" w:hAnsi="宋体" w:eastAsia="宋体" w:cs="宋体"/>
                      <w:b/>
                      <w:bCs/>
                      <w:kern w:val="0"/>
                      <w:szCs w:val="21"/>
                    </w:rPr>
                    <w:t>管控类别</w:t>
                  </w:r>
                </w:p>
              </w:tc>
              <w:tc>
                <w:tcPr>
                  <w:tcW w:w="893" w:type="pct"/>
                  <w:tcBorders>
                    <w:tl2br w:val="nil"/>
                    <w:tr2bl w:val="nil"/>
                  </w:tcBorders>
                  <w:vAlign w:val="center"/>
                </w:tcPr>
                <w:p>
                  <w:pPr>
                    <w:widowControl/>
                    <w:jc w:val="center"/>
                    <w:rPr>
                      <w:rFonts w:hint="eastAsia" w:ascii="宋体" w:hAnsi="宋体" w:eastAsia="宋体" w:cs="宋体"/>
                      <w:b/>
                      <w:bCs/>
                      <w:szCs w:val="21"/>
                    </w:rPr>
                  </w:pPr>
                  <w:r>
                    <w:rPr>
                      <w:rFonts w:hint="eastAsia" w:ascii="宋体" w:hAnsi="宋体" w:eastAsia="宋体" w:cs="宋体"/>
                      <w:b/>
                      <w:bCs/>
                      <w:kern w:val="0"/>
                      <w:szCs w:val="21"/>
                    </w:rPr>
                    <w:t>单元特性管控要求</w:t>
                  </w:r>
                </w:p>
              </w:tc>
              <w:tc>
                <w:tcPr>
                  <w:tcW w:w="696" w:type="pct"/>
                  <w:vMerge w:val="continue"/>
                  <w:tcBorders>
                    <w:tl2br w:val="nil"/>
                    <w:tr2bl w:val="nil"/>
                  </w:tcBorders>
                  <w:vAlign w:val="center"/>
                </w:tcPr>
                <w:p>
                  <w:pPr>
                    <w:widowControl/>
                    <w:jc w:val="center"/>
                    <w:rPr>
                      <w:rFonts w:hint="eastAsia" w:ascii="宋体" w:hAnsi="宋体" w:eastAsia="宋体" w:cs="宋体"/>
                      <w:b/>
                      <w:bCs/>
                      <w:kern w:val="0"/>
                      <w:szCs w:val="21"/>
                    </w:rPr>
                  </w:pPr>
                </w:p>
              </w:tc>
              <w:tc>
                <w:tcPr>
                  <w:tcW w:w="197" w:type="pct"/>
                  <w:vMerge w:val="continue"/>
                  <w:tcBorders>
                    <w:tl2br w:val="nil"/>
                    <w:tr2bl w:val="nil"/>
                  </w:tcBorders>
                  <w:vAlign w:val="center"/>
                </w:tcPr>
                <w:p>
                  <w:pPr>
                    <w:widowControl/>
                    <w:jc w:val="center"/>
                    <w:rPr>
                      <w:rFonts w:hint="eastAsia" w:ascii="宋体" w:hAnsi="宋体" w:eastAsia="宋体" w:cs="宋体"/>
                      <w:b/>
                      <w:bCs/>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ZH51172210002</w:t>
                  </w:r>
                </w:p>
              </w:tc>
              <w:tc>
                <w:tcPr>
                  <w:tcW w:w="458" w:type="pct"/>
                  <w:vMerge w:val="restar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后河特有鱼类国家级水产种质资源保护区、后河徐家坡水源地、达州市罗江库区集中式饮用水水源保护区</w:t>
                  </w:r>
                </w:p>
              </w:tc>
              <w:tc>
                <w:tcPr>
                  <w:tcW w:w="2139" w:type="pct"/>
                  <w:vMerge w:val="restar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空间布局约束：</w:t>
                  </w:r>
                </w:p>
                <w:p>
                  <w:pPr>
                    <w:pStyle w:val="84"/>
                    <w:spacing w:line="240" w:lineRule="auto"/>
                    <w:ind w:firstLine="0" w:firstLineChars="0"/>
                    <w:jc w:val="left"/>
                    <w:rPr>
                      <w:rFonts w:eastAsia="宋体"/>
                      <w:kern w:val="0"/>
                      <w:sz w:val="21"/>
                    </w:rPr>
                  </w:pPr>
                  <w:r>
                    <w:rPr>
                      <w:rFonts w:eastAsia="宋体"/>
                      <w:kern w:val="0"/>
                      <w:sz w:val="21"/>
                    </w:rPr>
                    <w:t>禁止开发建设活动的要求</w:t>
                  </w:r>
                </w:p>
                <w:p>
                  <w:pPr>
                    <w:pStyle w:val="84"/>
                    <w:spacing w:line="240" w:lineRule="auto"/>
                    <w:ind w:firstLine="0" w:firstLineChars="0"/>
                    <w:jc w:val="left"/>
                    <w:rPr>
                      <w:rFonts w:eastAsia="宋体"/>
                      <w:kern w:val="0"/>
                      <w:sz w:val="21"/>
                    </w:rPr>
                  </w:pPr>
                  <w:r>
                    <w:rPr>
                      <w:rFonts w:eastAsia="宋体"/>
                      <w:kern w:val="0"/>
                      <w:sz w:val="21"/>
                    </w:rPr>
                    <w:t>生态保护红线：生态保护红线内严格禁止其他开发性、生产性建设活动，原则上自然保护地核心保护区内禁止人为活动，其他区域在符合现行法律法规前提下，除国家重大战略项目外，仅允许对生态功能不造成破坏的有限人为活动。涉及相关法定保护地的，按照相应法律法规进行管控。自然保护区：禁止任何人进入自然保护区的核心区。因科学研究的需要，必须进入核心区从事科学研究观测、调查活动的，应当事先向自然保护区管理机构提交申请和活动计划，并经省级以上人民政府有关自然保护区行政主管部门批准；其中，进入国家级自然保护区核心区的，必须经国务院有关自然保护区行政主管部门批准。自然保护区核心区内原有居民确有必要迁出的，由自然保护区所在地的县级以上地方人民政府制定方案，予以妥善安置。</w:t>
                  </w:r>
                </w:p>
                <w:p>
                  <w:pPr>
                    <w:pStyle w:val="84"/>
                    <w:spacing w:line="240" w:lineRule="auto"/>
                    <w:ind w:firstLine="0" w:firstLineChars="0"/>
                    <w:jc w:val="left"/>
                    <w:rPr>
                      <w:rFonts w:eastAsia="宋体"/>
                      <w:kern w:val="0"/>
                      <w:sz w:val="21"/>
                    </w:rPr>
                  </w:pPr>
                  <w:r>
                    <w:rPr>
                      <w:rFonts w:eastAsia="宋体"/>
                      <w:kern w:val="0"/>
                      <w:sz w:val="21"/>
                    </w:rPr>
                    <w:t>禁止在自然保护区的缓冲区开展旅游和生产经营活动。因教学科学研的目的，需要进入自然保护区的缓冲区从事非破坏性的科学研究、教学实习和标本采集活动的，应当事先向自然保护区管理机构提交申请和活动计划，经自然保护区管理机构批准。</w:t>
                  </w:r>
                </w:p>
                <w:p>
                  <w:pPr>
                    <w:pStyle w:val="84"/>
                    <w:spacing w:line="240" w:lineRule="auto"/>
                    <w:ind w:firstLine="0" w:firstLineChars="0"/>
                    <w:jc w:val="left"/>
                    <w:rPr>
                      <w:rFonts w:eastAsia="宋体"/>
                      <w:kern w:val="0"/>
                      <w:sz w:val="21"/>
                    </w:rPr>
                  </w:pPr>
                  <w:r>
                    <w:rPr>
                      <w:rFonts w:eastAsia="宋体"/>
                      <w:kern w:val="0"/>
                      <w:sz w:val="21"/>
                    </w:rPr>
                    <w:t>在自然保护区的实验区内开展参观、旅游活动的，由自然保护区管理机构编制方案，方案应当符合自然保护区管理目标。严禁开设与自然保护区保护方向不一致的参观、旅游项目。</w:t>
                  </w:r>
                </w:p>
                <w:p>
                  <w:pPr>
                    <w:pStyle w:val="84"/>
                    <w:spacing w:line="240" w:lineRule="auto"/>
                    <w:ind w:firstLine="0" w:firstLineChars="0"/>
                    <w:jc w:val="left"/>
                    <w:rPr>
                      <w:rFonts w:eastAsia="宋体"/>
                      <w:kern w:val="0"/>
                      <w:sz w:val="21"/>
                    </w:rPr>
                  </w:pPr>
                  <w:r>
                    <w:rPr>
                      <w:rFonts w:eastAsia="宋体"/>
                      <w:kern w:val="0"/>
                      <w:sz w:val="21"/>
                    </w:rPr>
                    <w:t>禁止在自然保护区内进行砍伐、放牧、狩猎、捕捞、采药、开垦、烧荒、开矿、采石、挖沙等活动（法律、行政法规另有规定除外）。在自然保护区的核心区和缓冲区内，禁止建设任何生产设施。在自然保护区的实验区内，不得建设污染环境、破坏资源或者景观的生产设施；建设其他项目，其污染物排放不得超过国家和地方规定的污染物排放标准。</w:t>
                  </w:r>
                </w:p>
                <w:p>
                  <w:pPr>
                    <w:pStyle w:val="84"/>
                    <w:spacing w:line="240" w:lineRule="auto"/>
                    <w:ind w:firstLine="0" w:firstLineChars="0"/>
                    <w:jc w:val="left"/>
                    <w:rPr>
                      <w:rFonts w:eastAsia="宋体"/>
                      <w:kern w:val="0"/>
                      <w:sz w:val="21"/>
                    </w:rPr>
                  </w:pPr>
                  <w:r>
                    <w:rPr>
                      <w:rFonts w:eastAsia="宋体"/>
                      <w:kern w:val="0"/>
                      <w:sz w:val="21"/>
                    </w:rPr>
                    <w:t>自然保护区的内部未分区的，依照本条例有关核心区和缓冲区的规定管理。</w:t>
                  </w:r>
                </w:p>
                <w:p>
                  <w:pPr>
                    <w:pStyle w:val="84"/>
                    <w:spacing w:line="240" w:lineRule="auto"/>
                    <w:ind w:firstLine="0" w:firstLineChars="0"/>
                    <w:jc w:val="left"/>
                    <w:rPr>
                      <w:rFonts w:eastAsia="宋体"/>
                      <w:kern w:val="0"/>
                      <w:sz w:val="21"/>
                    </w:rPr>
                  </w:pPr>
                  <w:r>
                    <w:rPr>
                      <w:rFonts w:eastAsia="宋体"/>
                      <w:kern w:val="0"/>
                      <w:sz w:val="21"/>
                    </w:rPr>
                    <w:t>风景名胜区：禁止开山、采石、开矿、开荒、修坟立碑等破坏景观、植被和地形地貌的活动；禁止违反风景名胜区规划，在风景名胜区内设立各类开发区和在核心景区内建设宾馆、招待所、培训中心、疗养院以及与风景名胜资源保护无关的其他建筑物；已经建设的，应当按照风景名胜区规划，逐步迁出；禁止风景名胜区内修建储存或者输送爆炸性、易燃性、放射性、毒害性、腐蚀性物品等危险品的设施，或者其他破坏景观、污染环境、妨碍游览和危害风景名胜区生态、公共安全的建筑物和构筑物。在风景名胜区及其外围保护地带内，不得设立开发区、度假区，不得建设破坏景观、污染环境的工矿企业和其他项目、设施。在游人集中的游览区和自然环境保留地内，不得建设旅馆、招待所、休疗养机构、生活区以及其他影响观瞻或污染环境的工程设施。在重要景点上，除必需的保护设施外，不得兴建其他工程设施。禁止超过风景名胜区总体规划确定的容量接待游客。世界自然遗产地：禁止在世界遗产保护范围内实施以下行为：建设污染环境、破坏生态和造成水土流失的设施；在世界遗产核心保护区、保护区范围内进行开山、采石、垦荒、开矿、取土等破坏地表、地貌的活动；在世界遗产核心保护区、保护区范围内修建储存爆炸性、易燃性、放射性、毒害性、腐蚀性等物品设施；在世界遗产核心保护区、保护区设立各类开发区、度假区；在世界遗产核心保护区建设宾馆、招待所、疗养院及各类培训中心等建筑物、构筑物和其他设施；在世界遗产保护区、缓冲区未经省人民政府世界遗产行政主管部门审核进行建设；其他损害或者破坏世界遗产真实性和完整性的行为。饮用水水源保护区：禁止在饮用水水源保护区内，禁止设置排污口。</w:t>
                  </w:r>
                </w:p>
                <w:p>
                  <w:pPr>
                    <w:pStyle w:val="84"/>
                    <w:spacing w:line="240" w:lineRule="auto"/>
                    <w:ind w:firstLine="0" w:firstLineChars="0"/>
                    <w:jc w:val="left"/>
                    <w:rPr>
                      <w:rFonts w:eastAsia="宋体"/>
                      <w:kern w:val="0"/>
                      <w:sz w:val="21"/>
                    </w:rPr>
                  </w:pPr>
                  <w:r>
                    <w:rPr>
                      <w:rFonts w:eastAsia="宋体"/>
                      <w:kern w:val="0"/>
                      <w:sz w:val="21"/>
                    </w:rPr>
                    <w:t>禁止在饮用水水源一级保护区内新建、改建、扩建与供水设施和保护水源无关的建设项目；已建成的与供水设施和保护水源无关的建设项目，由县级以上人民政府责令拆除或者关闭。</w:t>
                  </w:r>
                </w:p>
                <w:p>
                  <w:pPr>
                    <w:pStyle w:val="84"/>
                    <w:spacing w:line="240" w:lineRule="auto"/>
                    <w:ind w:firstLine="0" w:firstLineChars="0"/>
                    <w:jc w:val="left"/>
                    <w:rPr>
                      <w:rFonts w:eastAsia="宋体"/>
                      <w:kern w:val="0"/>
                      <w:sz w:val="21"/>
                    </w:rPr>
                  </w:pPr>
                  <w:r>
                    <w:rPr>
                      <w:rFonts w:eastAsia="宋体"/>
                      <w:kern w:val="0"/>
                      <w:sz w:val="21"/>
                    </w:rPr>
                    <w:t>禁止在饮用水水源一级保护区内从事网箱养殖、旅游、游泳、垂钓或者其他可能污染饮用水水体的活动。</w:t>
                  </w:r>
                </w:p>
                <w:p>
                  <w:pPr>
                    <w:pStyle w:val="84"/>
                    <w:spacing w:line="240" w:lineRule="auto"/>
                    <w:ind w:firstLine="0" w:firstLineChars="0"/>
                    <w:jc w:val="left"/>
                    <w:rPr>
                      <w:rFonts w:eastAsia="宋体"/>
                      <w:kern w:val="0"/>
                      <w:sz w:val="21"/>
                    </w:rPr>
                  </w:pPr>
                  <w:r>
                    <w:rPr>
                      <w:rFonts w:eastAsia="宋体"/>
                      <w:kern w:val="0"/>
                      <w:sz w:val="21"/>
                    </w:rPr>
                    <w:t>禁止在饮用水水源二级保护区内新建、改建、扩建排放污染物的建设项目；已建成的排放污染物的建设项目，由县级以上人民政府责令拆除或者关闭。禁止在饮用水水源准保护区内新建、扩建对水体污染严重的建设项目；改建建设项目，不得增加排污量。</w:t>
                  </w:r>
                </w:p>
                <w:p>
                  <w:pPr>
                    <w:pStyle w:val="84"/>
                    <w:spacing w:line="240" w:lineRule="auto"/>
                    <w:ind w:firstLine="0" w:firstLineChars="0"/>
                    <w:jc w:val="left"/>
                    <w:rPr>
                      <w:rFonts w:eastAsia="宋体"/>
                      <w:kern w:val="0"/>
                      <w:sz w:val="21"/>
                    </w:rPr>
                  </w:pPr>
                  <w:r>
                    <w:rPr>
                      <w:rFonts w:eastAsia="宋体"/>
                      <w:kern w:val="0"/>
                      <w:sz w:val="21"/>
                    </w:rPr>
                    <w:t>地表水饮用水水源一级保护区内禁止新建、改建、扩建与供水设施和保护水源无关的建设项目；已建成的与供水设施和保护水源无关的建设项目，由县级以上地方人民政府责令拆除或者关闭；二级保护区内，禁止新建、改建、扩建排放污染物的建设项目；已建成的排放污染物的建设项目，由县级以上地方人民政府责令拆除或者关闭；准保护区内，禁止新建、扩建对水体污染严重的建设项目；改建建设项目，不得增加排污量。森林公园：-禁止擅自填堵森林公园的自然水系；禁止在森林公园内超标准排放污水，乱倒乱扔生活垃圾和其他污染物。</w:t>
                  </w:r>
                </w:p>
                <w:p>
                  <w:pPr>
                    <w:pStyle w:val="84"/>
                    <w:spacing w:line="240" w:lineRule="auto"/>
                    <w:ind w:firstLine="0" w:firstLineChars="0"/>
                    <w:jc w:val="left"/>
                    <w:rPr>
                      <w:rFonts w:eastAsia="宋体"/>
                      <w:kern w:val="0"/>
                      <w:sz w:val="21"/>
                    </w:rPr>
                  </w:pPr>
                  <w:r>
                    <w:rPr>
                      <w:rFonts w:eastAsia="宋体"/>
                      <w:kern w:val="0"/>
                      <w:sz w:val="21"/>
                    </w:rPr>
                    <w:t>-禁止擅自占用森林公园内的林地。确需征用、占用的，用地单位应当提出申请，经县级以上林业行政主管部门审核同意后，按照土地管理法律、法规的规定办理审批手续。</w:t>
                  </w:r>
                </w:p>
                <w:p>
                  <w:pPr>
                    <w:pStyle w:val="84"/>
                    <w:spacing w:line="240" w:lineRule="auto"/>
                    <w:ind w:firstLine="0" w:firstLineChars="0"/>
                    <w:jc w:val="left"/>
                    <w:rPr>
                      <w:rFonts w:eastAsia="宋体"/>
                      <w:kern w:val="0"/>
                      <w:sz w:val="21"/>
                    </w:rPr>
                  </w:pPr>
                  <w:r>
                    <w:rPr>
                      <w:rFonts w:eastAsia="宋体"/>
                      <w:kern w:val="0"/>
                      <w:sz w:val="21"/>
                    </w:rPr>
                    <w:t>-禁止在森林公园毁林开垦和毁林采石、采砂、采土以及其他毁林行为。采伐森林公园的林木，必须遵守有关林业法规、经营方案和技术规程的规定。在珍贵景物、重要景点和核心景区，除必要的保护和附属设施外，禁止建设宾馆、招待所、疗养院和其他工程设施。</w:t>
                  </w:r>
                </w:p>
                <w:p>
                  <w:pPr>
                    <w:pStyle w:val="84"/>
                    <w:spacing w:line="240" w:lineRule="auto"/>
                    <w:ind w:firstLine="0" w:firstLineChars="0"/>
                    <w:jc w:val="left"/>
                    <w:rPr>
                      <w:rFonts w:eastAsia="宋体"/>
                      <w:kern w:val="0"/>
                      <w:sz w:val="21"/>
                    </w:rPr>
                  </w:pPr>
                  <w:r>
                    <w:rPr>
                      <w:rFonts w:eastAsia="宋体"/>
                      <w:kern w:val="0"/>
                      <w:sz w:val="21"/>
                    </w:rPr>
                    <w:t>新增：</w:t>
                  </w:r>
                </w:p>
                <w:p>
                  <w:pPr>
                    <w:pStyle w:val="84"/>
                    <w:spacing w:line="240" w:lineRule="auto"/>
                    <w:ind w:firstLine="0" w:firstLineChars="0"/>
                    <w:jc w:val="left"/>
                    <w:rPr>
                      <w:rFonts w:eastAsia="宋体"/>
                      <w:kern w:val="0"/>
                      <w:sz w:val="21"/>
                    </w:rPr>
                  </w:pPr>
                  <w:r>
                    <w:rPr>
                      <w:rFonts w:eastAsia="宋体"/>
                      <w:kern w:val="0"/>
                      <w:sz w:val="21"/>
                    </w:rPr>
                    <w:t>-严格控制建设项目使用国家级森林公园林地，但是因保护森林及其他风景资源、建设森林防火设施和林业生态文化示范基地、保障游客安全等直接为林业生产服务的工程设施除外。</w:t>
                  </w:r>
                </w:p>
                <w:p>
                  <w:pPr>
                    <w:pStyle w:val="84"/>
                    <w:spacing w:line="240" w:lineRule="auto"/>
                    <w:ind w:firstLine="0" w:firstLineChars="0"/>
                    <w:jc w:val="left"/>
                    <w:rPr>
                      <w:rFonts w:eastAsia="宋体"/>
                      <w:kern w:val="0"/>
                      <w:sz w:val="21"/>
                    </w:rPr>
                  </w:pPr>
                  <w:r>
                    <w:rPr>
                      <w:rFonts w:eastAsia="宋体"/>
                      <w:kern w:val="0"/>
                      <w:sz w:val="21"/>
                    </w:rPr>
                    <w:t>-在森林公园内从事经营活动，应经森林公园管理机构同意，并依法取得经营证照，在指定地点经营。</w:t>
                  </w:r>
                </w:p>
                <w:p>
                  <w:pPr>
                    <w:pStyle w:val="84"/>
                    <w:spacing w:line="240" w:lineRule="auto"/>
                    <w:ind w:firstLine="0" w:firstLineChars="0"/>
                    <w:jc w:val="left"/>
                    <w:rPr>
                      <w:rFonts w:eastAsia="宋体"/>
                      <w:kern w:val="0"/>
                      <w:sz w:val="21"/>
                    </w:rPr>
                  </w:pPr>
                  <w:r>
                    <w:rPr>
                      <w:rFonts w:eastAsia="宋体"/>
                      <w:kern w:val="0"/>
                      <w:sz w:val="21"/>
                    </w:rPr>
                    <w:t>湿地公园：禁止开（围）垦、填埋或者排干湿地。禁止截断湿地水源。禁止挖沙、采矿、挖塘、采集泥炭、揭取草皮。禁止计件制倾倒有毒有害（（根据GB 8978中第一类污染物以及《优先控制化学品名录》、《有毒有害大气污染物名录》、《有毒有害水污染物名录》确定））物质、废弃物、垃圾。禁止擅自排放污水。禁止破坏野生动物栖息地和迁徙通道、鱼类洄游通道，滥采滥捕野生动植物。禁止擅自放牧、捕捞、取土、取水、放生。禁止其他破坏湿地及其生态功能的活动。</w:t>
                  </w:r>
                </w:p>
                <w:p>
                  <w:pPr>
                    <w:pStyle w:val="84"/>
                    <w:spacing w:line="240" w:lineRule="auto"/>
                    <w:ind w:firstLine="0" w:firstLineChars="0"/>
                    <w:jc w:val="left"/>
                    <w:rPr>
                      <w:rFonts w:eastAsia="宋体"/>
                      <w:kern w:val="0"/>
                      <w:sz w:val="21"/>
                    </w:rPr>
                  </w:pPr>
                  <w:r>
                    <w:rPr>
                      <w:rFonts w:eastAsia="宋体"/>
                      <w:kern w:val="0"/>
                      <w:sz w:val="21"/>
                    </w:rPr>
                    <w:t>-禁止从事房地产、度假村、高尔夫球场、风力发电、光伏发电等任何不符合主体功能定位的建设项目和开发活动。</w:t>
                  </w:r>
                </w:p>
                <w:p>
                  <w:pPr>
                    <w:pStyle w:val="84"/>
                    <w:spacing w:line="240" w:lineRule="auto"/>
                    <w:ind w:firstLine="0" w:firstLineChars="0"/>
                    <w:jc w:val="left"/>
                    <w:rPr>
                      <w:rFonts w:eastAsia="宋体"/>
                      <w:kern w:val="0"/>
                      <w:sz w:val="21"/>
                    </w:rPr>
                  </w:pPr>
                  <w:r>
                    <w:rPr>
                      <w:rFonts w:eastAsia="宋体"/>
                      <w:kern w:val="0"/>
                      <w:sz w:val="21"/>
                    </w:rPr>
                    <w:t>-禁止擅自砍伐林木、采集野生植物、猎捕野生动物、捡拾鸟卵；禁止采用灭绝性方式捕捞鱼类及其他水生生物。</w:t>
                  </w:r>
                </w:p>
                <w:p>
                  <w:pPr>
                    <w:pStyle w:val="84"/>
                    <w:spacing w:line="240" w:lineRule="auto"/>
                    <w:ind w:firstLine="0" w:firstLineChars="0"/>
                    <w:jc w:val="left"/>
                    <w:rPr>
                      <w:rFonts w:eastAsia="宋体"/>
                      <w:kern w:val="0"/>
                      <w:sz w:val="21"/>
                    </w:rPr>
                  </w:pPr>
                  <w:r>
                    <w:rPr>
                      <w:rFonts w:eastAsia="宋体"/>
                      <w:kern w:val="0"/>
                      <w:sz w:val="21"/>
                    </w:rPr>
                    <w:t>地质公园：禁止在保护区内及可能对地质遗迹造成影响的一定范围内进行采石、取土、开矿、放牧、砍伐以及其它对保护对象有损害的活动。未经管理机构批准，禁止在保护区范围内采集标本和化石。禁止在保护区内修建与地质遗迹保护无关的厂房或其他建筑设施。基本农田：-永久基本农田，实行严格保护，除法律规定的重点建设项目选址确实无法避让外，其他任何建设不得占用。</w:t>
                  </w:r>
                </w:p>
                <w:p>
                  <w:pPr>
                    <w:pStyle w:val="84"/>
                    <w:spacing w:line="240" w:lineRule="auto"/>
                    <w:ind w:firstLine="0" w:firstLineChars="0"/>
                    <w:jc w:val="left"/>
                    <w:rPr>
                      <w:rFonts w:eastAsia="宋体"/>
                      <w:kern w:val="0"/>
                      <w:sz w:val="21"/>
                    </w:rPr>
                  </w:pPr>
                  <w:r>
                    <w:rPr>
                      <w:rFonts w:eastAsia="宋体"/>
                      <w:kern w:val="0"/>
                      <w:sz w:val="21"/>
                    </w:rPr>
                    <w:t>-在永久基本农田集中区域，不得新建可能造成土壤污染的建设项目；已经建成的，应当限期关闭拆除。</w:t>
                  </w:r>
                </w:p>
                <w:p>
                  <w:pPr>
                    <w:pStyle w:val="84"/>
                    <w:spacing w:line="240" w:lineRule="auto"/>
                    <w:ind w:firstLine="0" w:firstLineChars="0"/>
                    <w:jc w:val="left"/>
                    <w:rPr>
                      <w:rFonts w:eastAsia="宋体"/>
                      <w:kern w:val="0"/>
                      <w:sz w:val="21"/>
                    </w:rPr>
                  </w:pPr>
                  <w:r>
                    <w:rPr>
                      <w:rFonts w:eastAsia="宋体"/>
                      <w:kern w:val="0"/>
                      <w:sz w:val="21"/>
                    </w:rPr>
                    <w:t>-基本农田保护区经依法划定后，任何单位和个人不得改变或者占用。禁止任何单位和个人在基本农田保护区内建窑、建房、建坟、挖砂、采石、采矿、取土、堆放固体废弃物或者进行其他破坏基本农田的活动。禁止占用基本农田发展林果业和挖塘养鱼。水产种质资源保护区：禁止在水产种质资源保护区内从事围湖造田、围海造地或围填海工程。禁止在水产种质资源保护区内新建排污口。在水产种质资源保护区附近新建、改建、扩建排污口，应当保证保护区水体不受污染。生物多样性维护-生态功能区：严格执行《全国主体功能区规划》、《全国生态功能区划（修编）》、《关于贯彻实施国家主体功能区环境政策的若干意见》等中相关要求，主要要求如下：</w:t>
                  </w:r>
                </w:p>
                <w:p>
                  <w:pPr>
                    <w:pStyle w:val="84"/>
                    <w:spacing w:line="240" w:lineRule="auto"/>
                    <w:ind w:firstLine="0" w:firstLineChars="0"/>
                    <w:jc w:val="left"/>
                    <w:rPr>
                      <w:rFonts w:eastAsia="宋体"/>
                      <w:kern w:val="0"/>
                      <w:sz w:val="21"/>
                    </w:rPr>
                  </w:pPr>
                  <w:r>
                    <w:rPr>
                      <w:rFonts w:eastAsia="宋体"/>
                      <w:kern w:val="0"/>
                      <w:sz w:val="21"/>
                    </w:rPr>
                    <w:t xml:space="preserve"> -禁止对野生动植物进行滥捕滥采，保持并恢复野生动植物物种和种群的平衡，实现野生动植物资源的良性循环和永续利用。</w:t>
                  </w:r>
                </w:p>
                <w:p>
                  <w:pPr>
                    <w:pStyle w:val="84"/>
                    <w:spacing w:line="240" w:lineRule="auto"/>
                    <w:ind w:firstLine="0" w:firstLineChars="0"/>
                    <w:jc w:val="left"/>
                    <w:rPr>
                      <w:rFonts w:eastAsia="宋体"/>
                      <w:kern w:val="0"/>
                      <w:sz w:val="21"/>
                    </w:rPr>
                  </w:pPr>
                  <w:r>
                    <w:rPr>
                      <w:rFonts w:eastAsia="宋体"/>
                      <w:kern w:val="0"/>
                      <w:sz w:val="21"/>
                    </w:rPr>
                    <w:t>-禁止对野生动植物进行滥捕、乱采、乱猎；</w:t>
                  </w:r>
                </w:p>
                <w:p>
                  <w:pPr>
                    <w:pStyle w:val="84"/>
                    <w:spacing w:line="240" w:lineRule="auto"/>
                    <w:ind w:firstLine="0" w:firstLineChars="0"/>
                    <w:jc w:val="left"/>
                    <w:rPr>
                      <w:rFonts w:eastAsia="宋体"/>
                      <w:kern w:val="0"/>
                      <w:sz w:val="21"/>
                    </w:rPr>
                  </w:pPr>
                  <w:r>
                    <w:rPr>
                      <w:rFonts w:eastAsia="宋体"/>
                      <w:kern w:val="0"/>
                      <w:sz w:val="21"/>
                    </w:rPr>
                    <w:t>-保护自然生态系统与重要物种栖息地，限制或禁止各种损害栖息地的经济社会活动和生产方式，如无序采矿、毁林开荒、湿地和草地开垦、道路建设等，防止生态建设导致栖息环境的改变；</w:t>
                  </w:r>
                </w:p>
                <w:p>
                  <w:pPr>
                    <w:pStyle w:val="84"/>
                    <w:spacing w:line="240" w:lineRule="auto"/>
                    <w:ind w:firstLine="0" w:firstLineChars="0"/>
                    <w:jc w:val="left"/>
                    <w:rPr>
                      <w:rFonts w:eastAsia="宋体"/>
                      <w:kern w:val="0"/>
                      <w:sz w:val="21"/>
                    </w:rPr>
                  </w:pPr>
                  <w:r>
                    <w:rPr>
                      <w:rFonts w:eastAsia="宋体"/>
                      <w:kern w:val="0"/>
                      <w:sz w:val="21"/>
                    </w:rPr>
                    <w:t>-加强对外来物种入侵的控制，禁止在生物多样性维护功能区引进外来物种禁止毁林开荒、烧山开荒和陡坡地开垦，合理开发自然资源，保护和恢复自然生态系统，增强区域水土保持能力 禁止生物多样性维护生态功能区的大规模水电开发和林纸一体化产业发展。水源涵养-生态功能区：严格保护具有水源涵养功能的自然植被，禁止过度放牧、无序采矿、毁林开荒、开垦草原等行为。</w:t>
                  </w:r>
                </w:p>
                <w:p>
                  <w:pPr>
                    <w:pStyle w:val="84"/>
                    <w:spacing w:line="240" w:lineRule="auto"/>
                    <w:ind w:firstLine="0" w:firstLineChars="0"/>
                    <w:jc w:val="left"/>
                    <w:rPr>
                      <w:rFonts w:eastAsia="宋体"/>
                      <w:kern w:val="0"/>
                      <w:sz w:val="21"/>
                    </w:rPr>
                  </w:pPr>
                  <w:r>
                    <w:rPr>
                      <w:rFonts w:eastAsia="宋体"/>
                      <w:kern w:val="0"/>
                      <w:sz w:val="21"/>
                    </w:rPr>
                    <w:t>-严格保护具有重要水源涵养功能的自然植被，限制或禁止各种损害生态系统水源涵养功能的经济社会活动和生产方式，如无序采矿、毁林开荒、湿地和草地开垦、过度放牧、道路建设等；</w:t>
                  </w:r>
                </w:p>
                <w:p>
                  <w:pPr>
                    <w:pStyle w:val="84"/>
                    <w:spacing w:line="240" w:lineRule="auto"/>
                    <w:ind w:firstLine="0" w:firstLineChars="0"/>
                    <w:jc w:val="left"/>
                    <w:rPr>
                      <w:rFonts w:eastAsia="宋体"/>
                      <w:kern w:val="0"/>
                      <w:sz w:val="21"/>
                    </w:rPr>
                  </w:pPr>
                  <w:r>
                    <w:rPr>
                      <w:rFonts w:eastAsia="宋体"/>
                      <w:kern w:val="0"/>
                      <w:sz w:val="21"/>
                    </w:rPr>
                    <w:t>控制水污染，减轻水污染负荷，禁止导致水体污染的产业发展，开展生态清洁小流域的建设。禁止高水资源消耗产业布局。水土保持-生态功能区：严禁陡坡垦殖和过度放牧。</w:t>
                  </w:r>
                </w:p>
                <w:p>
                  <w:pPr>
                    <w:pStyle w:val="84"/>
                    <w:spacing w:line="240" w:lineRule="auto"/>
                    <w:ind w:firstLine="0" w:firstLineChars="0"/>
                    <w:jc w:val="left"/>
                    <w:rPr>
                      <w:rFonts w:eastAsia="宋体"/>
                      <w:kern w:val="0"/>
                      <w:sz w:val="21"/>
                    </w:rPr>
                  </w:pPr>
                  <w:r>
                    <w:rPr>
                      <w:rFonts w:eastAsia="宋体"/>
                      <w:kern w:val="0"/>
                      <w:sz w:val="21"/>
                    </w:rPr>
                    <w:t>-禁止毁林开荒、烧山开荒和陡坡地开垦。</w:t>
                  </w:r>
                </w:p>
                <w:p>
                  <w:pPr>
                    <w:pStyle w:val="84"/>
                    <w:spacing w:line="240" w:lineRule="auto"/>
                    <w:ind w:firstLine="0" w:firstLineChars="0"/>
                    <w:jc w:val="left"/>
                    <w:rPr>
                      <w:rFonts w:eastAsia="宋体"/>
                      <w:kern w:val="0"/>
                      <w:sz w:val="21"/>
                    </w:rPr>
                  </w:pPr>
                  <w:r>
                    <w:rPr>
                      <w:rFonts w:eastAsia="宋体"/>
                      <w:kern w:val="0"/>
                      <w:sz w:val="21"/>
                    </w:rPr>
                    <w:t>-禁止在二十五度以上陡坡地开垦种植农作物。</w:t>
                  </w:r>
                </w:p>
                <w:p>
                  <w:pPr>
                    <w:pStyle w:val="84"/>
                    <w:spacing w:line="240" w:lineRule="auto"/>
                    <w:ind w:firstLine="0" w:firstLineChars="0"/>
                    <w:jc w:val="left"/>
                    <w:rPr>
                      <w:rFonts w:eastAsia="宋体"/>
                      <w:kern w:val="0"/>
                      <w:sz w:val="21"/>
                    </w:rPr>
                  </w:pPr>
                  <w:r>
                    <w:rPr>
                      <w:rFonts w:eastAsia="宋体"/>
                      <w:kern w:val="0"/>
                      <w:sz w:val="21"/>
                    </w:rPr>
                    <w:t>禁止在崩塌、滑坡危险区和泥石流易发区从事取土、挖砂、采石等可能造成水土流失的活动。禁止毁林、毁草开垦和采集发菜。禁止在水土流失重点预防区和重点治理区铲草皮、挖树兜或者滥挖虫草、甘草、麻黄等。</w:t>
                  </w:r>
                </w:p>
                <w:p>
                  <w:pPr>
                    <w:pStyle w:val="84"/>
                    <w:spacing w:line="240" w:lineRule="auto"/>
                    <w:ind w:firstLine="0" w:firstLineChars="0"/>
                    <w:jc w:val="left"/>
                    <w:rPr>
                      <w:rFonts w:eastAsia="宋体"/>
                      <w:kern w:val="0"/>
                      <w:sz w:val="21"/>
                    </w:rPr>
                  </w:pPr>
                </w:p>
                <w:p>
                  <w:pPr>
                    <w:pStyle w:val="84"/>
                    <w:spacing w:line="240" w:lineRule="auto"/>
                    <w:ind w:firstLine="0" w:firstLineChars="0"/>
                    <w:jc w:val="left"/>
                    <w:rPr>
                      <w:rFonts w:eastAsia="宋体"/>
                      <w:kern w:val="0"/>
                      <w:sz w:val="21"/>
                    </w:rPr>
                  </w:pPr>
                  <w:r>
                    <w:rPr>
                      <w:rFonts w:eastAsia="宋体"/>
                      <w:kern w:val="0"/>
                      <w:sz w:val="21"/>
                    </w:rPr>
                    <w:t>限制开发建设活动的要求</w:t>
                  </w:r>
                </w:p>
                <w:p>
                  <w:pPr>
                    <w:pStyle w:val="84"/>
                    <w:spacing w:line="240" w:lineRule="auto"/>
                    <w:ind w:firstLine="0" w:firstLineChars="0"/>
                    <w:jc w:val="left"/>
                    <w:rPr>
                      <w:rFonts w:eastAsia="宋体"/>
                      <w:kern w:val="0"/>
                      <w:sz w:val="21"/>
                    </w:rPr>
                  </w:pPr>
                  <w:r>
                    <w:rPr>
                      <w:rFonts w:eastAsia="宋体"/>
                      <w:kern w:val="0"/>
                      <w:sz w:val="21"/>
                    </w:rPr>
                    <w:t>生态保护红线：涉及无法避让的重大基础设施应采取无害化穿越方式。</w:t>
                  </w:r>
                </w:p>
                <w:p>
                  <w:pPr>
                    <w:pStyle w:val="84"/>
                    <w:spacing w:line="240" w:lineRule="auto"/>
                    <w:ind w:firstLine="0" w:firstLineChars="0"/>
                    <w:jc w:val="left"/>
                    <w:rPr>
                      <w:rFonts w:eastAsia="宋体"/>
                      <w:kern w:val="0"/>
                      <w:sz w:val="21"/>
                    </w:rPr>
                  </w:pPr>
                  <w:r>
                    <w:rPr>
                      <w:rFonts w:eastAsia="宋体"/>
                      <w:kern w:val="0"/>
                      <w:sz w:val="21"/>
                    </w:rPr>
                    <w:t>自然保护区：严格限制在长江流域自然保护地水域实施航道整治工程；确需整治的，应当经科学论证，并依法办理相关手续。</w:t>
                  </w:r>
                </w:p>
                <w:p>
                  <w:pPr>
                    <w:pStyle w:val="84"/>
                    <w:spacing w:line="240" w:lineRule="auto"/>
                    <w:ind w:firstLine="0" w:firstLineChars="0"/>
                    <w:jc w:val="left"/>
                    <w:rPr>
                      <w:rFonts w:eastAsia="宋体"/>
                      <w:kern w:val="0"/>
                      <w:sz w:val="21"/>
                    </w:rPr>
                  </w:pPr>
                  <w:r>
                    <w:rPr>
                      <w:rFonts w:eastAsia="宋体"/>
                      <w:kern w:val="0"/>
                      <w:sz w:val="21"/>
                    </w:rPr>
                    <w:t>在自然保护区的实验区内开展参观、旅游活动的，由自然保护区管理机构编制方案，方案应当符合自然保护区管理目标。严禁开设与自然保护区保护方向不一致的参观、旅游项目。饮用水水源保护区：禁止在饮用水水源准保护区内新建、扩建对水体污染严重的建设项目；改建建设项目，不得增加排污量。基本农田：国家重大战略资源勘查、生态保护修复和环境治理、重大基础设施、军事国防以及农牧民基本生产生活等必要的民生项目（包括深度贫困地区、集中连片特困地区、国家扶贫开发工作重点县省级以下基础设施、易地扶贫搬迁、民生发展等建设项目），选址确实难以避让永久基本农田的，按程序严格论证后依法依规报批。水产种质资源保护区：严格限制在长江流域生态保护红线、自然保护地、水生生物重要栖息地水域实施航道整治工程；确需整治的，应当经科学论证，并依法办理相关手续。生物多样性维护-生态功能区：减少林木采伐，恢复山地植被，保护野生物种。水源涵养-生态功能区：严格限制在水源涵养区大规模人工造林。严格控制载畜量，实行以草定畜，在农牧交错区提倡农牧结合，发展生态产业，培育替代产业，减轻区内畜牧-提高水源涵养能力。在水源涵养生态功能保护区内，结合已有的生态保护和建设重大工程，加强森林、草地和湿地的管护和恢复，严格监管矿产、水资源开发，严肃查处毁林、毁草、破坏湿地等行为，合理开发水电，提高区域水源涵养生态功能。业对水源和生态系统的压力。</w:t>
                  </w:r>
                </w:p>
                <w:p>
                  <w:pPr>
                    <w:pStyle w:val="84"/>
                    <w:spacing w:line="240" w:lineRule="auto"/>
                    <w:ind w:firstLine="0" w:firstLineChars="0"/>
                    <w:jc w:val="left"/>
                    <w:rPr>
                      <w:rFonts w:eastAsia="宋体"/>
                      <w:kern w:val="0"/>
                      <w:sz w:val="21"/>
                    </w:rPr>
                  </w:pPr>
                  <w:r>
                    <w:rPr>
                      <w:rFonts w:eastAsia="宋体"/>
                      <w:kern w:val="0"/>
                      <w:sz w:val="21"/>
                    </w:rPr>
                    <w:t>水土保持-生态功能区：限制陡坡垦殖和超载过牧；加强小流域综合治理，实行封山禁牧，恢复退化植被。加强对能源和矿产资源开发及建设项目的监管，加大矿山环境整治修复力度，最大限度地减少人为因素造成新的水土流失。拓宽农民增收渠道，解决农民长远生计，巩固水土流失治理、退耕还林、退牧还草成果。</w:t>
                  </w:r>
                </w:p>
                <w:p>
                  <w:pPr>
                    <w:pStyle w:val="84"/>
                    <w:spacing w:line="240" w:lineRule="auto"/>
                    <w:ind w:firstLine="0" w:firstLineChars="0"/>
                    <w:jc w:val="left"/>
                    <w:rPr>
                      <w:rFonts w:eastAsia="宋体"/>
                      <w:kern w:val="0"/>
                      <w:sz w:val="21"/>
                    </w:rPr>
                  </w:pPr>
                  <w:r>
                    <w:rPr>
                      <w:rFonts w:eastAsia="宋体"/>
                      <w:kern w:val="0"/>
                      <w:sz w:val="21"/>
                    </w:rPr>
                    <w:t>-调整产业结构，加速城镇化和新农村建设的进程，加快农业人口的转移，降低人口对生态系统的压力。</w:t>
                  </w:r>
                </w:p>
                <w:p>
                  <w:pPr>
                    <w:pStyle w:val="84"/>
                    <w:spacing w:line="240" w:lineRule="auto"/>
                    <w:ind w:firstLine="0" w:firstLineChars="0"/>
                    <w:jc w:val="left"/>
                    <w:rPr>
                      <w:rFonts w:eastAsia="宋体"/>
                      <w:kern w:val="0"/>
                      <w:sz w:val="21"/>
                    </w:rPr>
                  </w:pPr>
                  <w:r>
                    <w:rPr>
                      <w:rFonts w:eastAsia="宋体"/>
                      <w:kern w:val="0"/>
                      <w:sz w:val="21"/>
                    </w:rPr>
                    <w:t>-严格资源开发和建设项目的生态监管，控制新的人为水土流失。</w:t>
                  </w:r>
                </w:p>
                <w:p>
                  <w:pPr>
                    <w:pStyle w:val="84"/>
                    <w:spacing w:line="240" w:lineRule="auto"/>
                    <w:ind w:firstLine="0" w:firstLineChars="0"/>
                    <w:jc w:val="left"/>
                    <w:rPr>
                      <w:rFonts w:eastAsia="宋体"/>
                      <w:kern w:val="0"/>
                      <w:sz w:val="21"/>
                    </w:rPr>
                  </w:pPr>
                  <w:r>
                    <w:rPr>
                      <w:rFonts w:eastAsia="宋体"/>
                      <w:kern w:val="0"/>
                      <w:sz w:val="21"/>
                    </w:rPr>
                    <w:t>-水土流失严重、生态脆弱的地区，应当限制或者禁止可能造成水土流失的生产建设活动，严格保护植物、沙壳、结皮、地衣等。</w:t>
                  </w:r>
                </w:p>
                <w:p>
                  <w:pPr>
                    <w:pStyle w:val="84"/>
                    <w:spacing w:line="240" w:lineRule="auto"/>
                    <w:ind w:firstLine="0" w:firstLineChars="0"/>
                    <w:jc w:val="left"/>
                    <w:rPr>
                      <w:rFonts w:eastAsia="宋体"/>
                      <w:kern w:val="0"/>
                      <w:sz w:val="21"/>
                    </w:rPr>
                  </w:pPr>
                  <w:r>
                    <w:rPr>
                      <w:rFonts w:eastAsia="宋体"/>
                      <w:kern w:val="0"/>
                      <w:sz w:val="21"/>
                    </w:rPr>
                    <w:t>-生产建设项目选址、选线应当避让水土流失重点预防区和重点治理区；无法避让的，应当提高防治标准，优化施工工艺，减少地表扰动和植被损坏范围，有效控制可能造成的水土流失。</w:t>
                  </w:r>
                </w:p>
                <w:p>
                  <w:pPr>
                    <w:pStyle w:val="84"/>
                    <w:spacing w:line="240" w:lineRule="auto"/>
                    <w:ind w:firstLine="0" w:firstLineChars="0"/>
                    <w:jc w:val="left"/>
                    <w:rPr>
                      <w:rFonts w:eastAsia="宋体"/>
                      <w:kern w:val="0"/>
                      <w:sz w:val="21"/>
                    </w:rPr>
                  </w:pPr>
                </w:p>
                <w:p>
                  <w:pPr>
                    <w:pStyle w:val="84"/>
                    <w:spacing w:line="240" w:lineRule="auto"/>
                    <w:ind w:firstLine="0" w:firstLineChars="0"/>
                    <w:jc w:val="left"/>
                    <w:rPr>
                      <w:rFonts w:eastAsia="宋体"/>
                      <w:kern w:val="0"/>
                      <w:sz w:val="21"/>
                    </w:rPr>
                  </w:pPr>
                  <w:r>
                    <w:rPr>
                      <w:rFonts w:eastAsia="宋体"/>
                      <w:kern w:val="0"/>
                      <w:sz w:val="21"/>
                    </w:rPr>
                    <w:t>不符合空间布局要求活动的退出要求</w:t>
                  </w:r>
                </w:p>
                <w:p>
                  <w:pPr>
                    <w:pStyle w:val="84"/>
                    <w:spacing w:line="240" w:lineRule="auto"/>
                    <w:ind w:firstLine="0" w:firstLineChars="0"/>
                    <w:jc w:val="left"/>
                    <w:rPr>
                      <w:rFonts w:eastAsia="宋体"/>
                      <w:kern w:val="0"/>
                      <w:sz w:val="21"/>
                    </w:rPr>
                  </w:pPr>
                  <w:r>
                    <w:rPr>
                      <w:rFonts w:eastAsia="宋体"/>
                      <w:kern w:val="0"/>
                      <w:sz w:val="21"/>
                    </w:rPr>
                    <w:t>对不符合相关保护区法律法规和规划的项目，应限期整改或关闭。对已造成的污染或损害，应限期治理。</w:t>
                  </w:r>
                </w:p>
                <w:p>
                  <w:pPr>
                    <w:pStyle w:val="84"/>
                    <w:spacing w:line="240" w:lineRule="auto"/>
                    <w:ind w:firstLine="0" w:firstLineChars="0"/>
                    <w:jc w:val="left"/>
                    <w:rPr>
                      <w:rFonts w:eastAsia="宋体"/>
                      <w:kern w:val="0"/>
                      <w:sz w:val="21"/>
                    </w:rPr>
                  </w:pPr>
                  <w:r>
                    <w:rPr>
                      <w:rFonts w:eastAsia="宋体"/>
                      <w:kern w:val="0"/>
                      <w:sz w:val="21"/>
                    </w:rPr>
                    <w:t>其他空间布局约束要求</w:t>
                  </w:r>
                </w:p>
                <w:p>
                  <w:pPr>
                    <w:pStyle w:val="84"/>
                    <w:spacing w:line="240" w:lineRule="auto"/>
                    <w:ind w:firstLine="0" w:firstLineChars="0"/>
                    <w:jc w:val="left"/>
                    <w:rPr>
                      <w:rFonts w:eastAsia="宋体"/>
                      <w:kern w:val="0"/>
                      <w:sz w:val="21"/>
                    </w:rPr>
                  </w:pPr>
                  <w:r>
                    <w:rPr>
                      <w:rFonts w:eastAsia="宋体"/>
                      <w:kern w:val="0"/>
                      <w:sz w:val="21"/>
                    </w:rPr>
                    <w:t>允许开发建设活动要求：1、生态保护红线：①零星的原住民在不扩大现有建设用地和耕地规模前提下，修缮生产生活设施，保留生活必须的少量种植、放牧、捕捞、养殖；②因国家重大能源资源安全需要开展的战略性能源资源勘查、公益性自然资源调查和地质勘查；③自然资源、生态环境监测和执法，灾害防治和应急抢险活动；④经依法批准进行的非破坏性科学研究观测、标本采集；⑤经依法批准进行的考古调查发掘和文物保护活动；⑥不破坏生态功能的适度参观旅游和自然公园内必要的公共设施建设；⑦必须且无法避让、符合县级以上国土空间规划的线性基础设施建设、堤防防洪和供水设施建设；⑧重要生态修复工程。2、水产种质资源保护区：①在水产种质资源保护区内从事修建水利工程、疏浚航道、建闸筑坝、勘探和开采矿产资源、港口建设等工程建设的，或者在水产种质资源保护区内从事可能损害保护区功能的工程建设活动的，应当按照国家有关规定编制建设项目对水产种质资源保护区的影响专题论证报告，并将其纳入环境影响评价报告书。②开展珍稀特有鱼类人工繁育研究及增殖放流，分别在达州境内的土溪口水库、固军水库、鲜家湾水库建设鱼类增殖放流站一座，并依托已建的四川诺水河珍稀水生动物国家级自然保护区救护中心开展增殖放流。</w:t>
                  </w:r>
                </w:p>
                <w:p>
                  <w:pPr>
                    <w:pStyle w:val="84"/>
                    <w:spacing w:line="240" w:lineRule="auto"/>
                    <w:ind w:firstLine="0" w:firstLineChars="0"/>
                    <w:jc w:val="left"/>
                    <w:rPr>
                      <w:rFonts w:eastAsia="宋体"/>
                      <w:kern w:val="0"/>
                      <w:sz w:val="21"/>
                    </w:rPr>
                  </w:pPr>
                </w:p>
                <w:p>
                  <w:pPr>
                    <w:pStyle w:val="84"/>
                    <w:spacing w:line="240" w:lineRule="auto"/>
                    <w:ind w:firstLine="0" w:firstLineChars="0"/>
                    <w:jc w:val="left"/>
                    <w:rPr>
                      <w:rFonts w:eastAsia="宋体"/>
                      <w:kern w:val="0"/>
                      <w:sz w:val="21"/>
                    </w:rPr>
                  </w:pPr>
                  <w:r>
                    <w:rPr>
                      <w:rFonts w:eastAsia="宋体"/>
                      <w:kern w:val="0"/>
                      <w:sz w:val="21"/>
                    </w:rPr>
                    <w:t>污染物排放管控：</w:t>
                  </w:r>
                </w:p>
                <w:p>
                  <w:pPr>
                    <w:pStyle w:val="84"/>
                    <w:spacing w:line="240" w:lineRule="auto"/>
                    <w:ind w:firstLine="0" w:firstLineChars="0"/>
                    <w:jc w:val="left"/>
                    <w:rPr>
                      <w:rFonts w:eastAsia="宋体"/>
                      <w:kern w:val="0"/>
                      <w:sz w:val="21"/>
                    </w:rPr>
                  </w:pPr>
                  <w:r>
                    <w:rPr>
                      <w:rFonts w:eastAsia="宋体"/>
                      <w:kern w:val="0"/>
                      <w:sz w:val="21"/>
                    </w:rPr>
                    <w:t>允许排放量要求</w:t>
                  </w:r>
                </w:p>
                <w:p>
                  <w:pPr>
                    <w:pStyle w:val="84"/>
                    <w:spacing w:line="240" w:lineRule="auto"/>
                    <w:ind w:firstLine="0" w:firstLineChars="0"/>
                    <w:jc w:val="left"/>
                    <w:rPr>
                      <w:rFonts w:eastAsia="宋体"/>
                      <w:kern w:val="0"/>
                      <w:sz w:val="21"/>
                    </w:rPr>
                  </w:pPr>
                  <w:r>
                    <w:rPr>
                      <w:rFonts w:eastAsia="宋体"/>
                      <w:kern w:val="0"/>
                      <w:sz w:val="21"/>
                    </w:rPr>
                    <w:t>暂无</w:t>
                  </w:r>
                </w:p>
                <w:p>
                  <w:pPr>
                    <w:pStyle w:val="84"/>
                    <w:spacing w:line="240" w:lineRule="auto"/>
                    <w:ind w:firstLine="0" w:firstLineChars="0"/>
                    <w:jc w:val="left"/>
                    <w:rPr>
                      <w:rFonts w:eastAsia="宋体"/>
                      <w:kern w:val="0"/>
                      <w:sz w:val="21"/>
                    </w:rPr>
                  </w:pPr>
                  <w:r>
                    <w:rPr>
                      <w:rFonts w:eastAsia="宋体"/>
                      <w:kern w:val="0"/>
                      <w:sz w:val="21"/>
                    </w:rPr>
                    <w:t>现有源提标升级改造</w:t>
                  </w:r>
                </w:p>
                <w:p>
                  <w:pPr>
                    <w:pStyle w:val="84"/>
                    <w:spacing w:line="240" w:lineRule="auto"/>
                    <w:ind w:firstLine="0" w:firstLineChars="0"/>
                    <w:jc w:val="left"/>
                    <w:rPr>
                      <w:rFonts w:eastAsia="宋体"/>
                      <w:kern w:val="0"/>
                      <w:sz w:val="21"/>
                    </w:rPr>
                  </w:pPr>
                  <w:r>
                    <w:rPr>
                      <w:rFonts w:eastAsia="宋体"/>
                      <w:kern w:val="0"/>
                      <w:sz w:val="21"/>
                    </w:rPr>
                    <w:t>暂无</w:t>
                  </w:r>
                </w:p>
                <w:p>
                  <w:pPr>
                    <w:pStyle w:val="84"/>
                    <w:spacing w:line="240" w:lineRule="auto"/>
                    <w:ind w:firstLine="0" w:firstLineChars="0"/>
                    <w:jc w:val="left"/>
                    <w:rPr>
                      <w:rFonts w:eastAsia="宋体"/>
                      <w:kern w:val="0"/>
                      <w:sz w:val="21"/>
                    </w:rPr>
                  </w:pPr>
                  <w:r>
                    <w:rPr>
                      <w:rFonts w:eastAsia="宋体"/>
                      <w:kern w:val="0"/>
                      <w:sz w:val="21"/>
                    </w:rPr>
                    <w:t>其他污染物排放管控要求</w:t>
                  </w:r>
                </w:p>
                <w:p>
                  <w:pPr>
                    <w:pStyle w:val="84"/>
                    <w:spacing w:line="240" w:lineRule="auto"/>
                    <w:ind w:firstLine="0" w:firstLineChars="0"/>
                    <w:jc w:val="left"/>
                    <w:rPr>
                      <w:rFonts w:eastAsia="宋体"/>
                      <w:kern w:val="0"/>
                      <w:sz w:val="21"/>
                    </w:rPr>
                  </w:pPr>
                  <w:r>
                    <w:rPr>
                      <w:rFonts w:eastAsia="宋体"/>
                      <w:kern w:val="0"/>
                      <w:sz w:val="21"/>
                    </w:rPr>
                    <w:t>暂无</w:t>
                  </w:r>
                </w:p>
                <w:p>
                  <w:pPr>
                    <w:pStyle w:val="84"/>
                    <w:spacing w:line="240" w:lineRule="auto"/>
                    <w:ind w:firstLine="0" w:firstLineChars="0"/>
                    <w:jc w:val="left"/>
                    <w:rPr>
                      <w:rFonts w:eastAsia="宋体"/>
                      <w:kern w:val="0"/>
                      <w:sz w:val="21"/>
                    </w:rPr>
                  </w:pPr>
                  <w:r>
                    <w:rPr>
                      <w:rFonts w:eastAsia="宋体"/>
                      <w:kern w:val="0"/>
                      <w:sz w:val="21"/>
                    </w:rPr>
                    <w:t>环境风险防控：</w:t>
                  </w:r>
                </w:p>
                <w:p>
                  <w:pPr>
                    <w:pStyle w:val="84"/>
                    <w:spacing w:line="240" w:lineRule="auto"/>
                    <w:ind w:firstLine="0" w:firstLineChars="0"/>
                    <w:jc w:val="left"/>
                    <w:rPr>
                      <w:rFonts w:eastAsia="宋体"/>
                      <w:kern w:val="0"/>
                      <w:sz w:val="21"/>
                    </w:rPr>
                  </w:pPr>
                  <w:r>
                    <w:rPr>
                      <w:rFonts w:eastAsia="宋体"/>
                      <w:kern w:val="0"/>
                      <w:sz w:val="21"/>
                    </w:rPr>
                    <w:t>联防联控要求</w:t>
                  </w:r>
                </w:p>
                <w:p>
                  <w:pPr>
                    <w:pStyle w:val="84"/>
                    <w:spacing w:line="240" w:lineRule="auto"/>
                    <w:ind w:firstLine="0" w:firstLineChars="0"/>
                    <w:jc w:val="left"/>
                    <w:rPr>
                      <w:rFonts w:eastAsia="宋体"/>
                      <w:kern w:val="0"/>
                      <w:sz w:val="21"/>
                    </w:rPr>
                  </w:pPr>
                  <w:r>
                    <w:rPr>
                      <w:rFonts w:eastAsia="宋体"/>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spacing w:line="240" w:lineRule="auto"/>
                    <w:ind w:firstLine="0" w:firstLineChars="0"/>
                    <w:jc w:val="left"/>
                    <w:rPr>
                      <w:rFonts w:eastAsia="宋体"/>
                      <w:kern w:val="0"/>
                      <w:sz w:val="21"/>
                    </w:rPr>
                  </w:pPr>
                  <w:r>
                    <w:rPr>
                      <w:rFonts w:eastAsia="宋体"/>
                      <w:kern w:val="0"/>
                      <w:sz w:val="21"/>
                    </w:rPr>
                    <w:t>其他环境风险防控要求</w:t>
                  </w:r>
                </w:p>
                <w:p>
                  <w:pPr>
                    <w:pStyle w:val="84"/>
                    <w:spacing w:line="240" w:lineRule="auto"/>
                    <w:ind w:firstLine="0" w:firstLineChars="0"/>
                    <w:jc w:val="left"/>
                    <w:rPr>
                      <w:rFonts w:eastAsia="宋体"/>
                      <w:kern w:val="0"/>
                      <w:sz w:val="21"/>
                    </w:rPr>
                  </w:pPr>
                  <w:r>
                    <w:rPr>
                      <w:rFonts w:eastAsia="宋体"/>
                      <w:kern w:val="0"/>
                      <w:sz w:val="21"/>
                    </w:rPr>
                    <w:t>暂无</w:t>
                  </w:r>
                </w:p>
                <w:p>
                  <w:pPr>
                    <w:pStyle w:val="84"/>
                    <w:spacing w:line="240" w:lineRule="auto"/>
                    <w:ind w:firstLine="0" w:firstLineChars="0"/>
                    <w:jc w:val="left"/>
                    <w:rPr>
                      <w:rFonts w:eastAsia="宋体"/>
                      <w:kern w:val="0"/>
                      <w:sz w:val="21"/>
                    </w:rPr>
                  </w:pPr>
                  <w:r>
                    <w:rPr>
                      <w:rFonts w:eastAsia="宋体"/>
                      <w:kern w:val="0"/>
                      <w:sz w:val="21"/>
                    </w:rPr>
                    <w:t>资源开发利用效率要求：</w:t>
                  </w:r>
                </w:p>
                <w:p>
                  <w:pPr>
                    <w:pStyle w:val="84"/>
                    <w:spacing w:line="240" w:lineRule="auto"/>
                    <w:ind w:firstLine="0" w:firstLineChars="0"/>
                    <w:jc w:val="left"/>
                    <w:rPr>
                      <w:rFonts w:eastAsia="宋体"/>
                      <w:kern w:val="0"/>
                      <w:sz w:val="21"/>
                    </w:rPr>
                  </w:pPr>
                  <w:r>
                    <w:rPr>
                      <w:rFonts w:eastAsia="宋体"/>
                      <w:kern w:val="0"/>
                      <w:sz w:val="21"/>
                    </w:rPr>
                    <w:t>水资源利用总量要求</w:t>
                  </w:r>
                </w:p>
                <w:p>
                  <w:pPr>
                    <w:pStyle w:val="84"/>
                    <w:spacing w:line="240" w:lineRule="auto"/>
                    <w:ind w:firstLine="0" w:firstLineChars="0"/>
                    <w:jc w:val="left"/>
                    <w:rPr>
                      <w:rFonts w:eastAsia="宋体"/>
                      <w:kern w:val="0"/>
                      <w:sz w:val="21"/>
                    </w:rPr>
                  </w:pPr>
                  <w:r>
                    <w:rPr>
                      <w:rFonts w:eastAsia="宋体"/>
                      <w:kern w:val="0"/>
                      <w:sz w:val="21"/>
                    </w:rPr>
                    <w:t>暂无</w:t>
                  </w:r>
                </w:p>
                <w:p>
                  <w:pPr>
                    <w:pStyle w:val="84"/>
                    <w:spacing w:line="240" w:lineRule="auto"/>
                    <w:ind w:firstLine="0" w:firstLineChars="0"/>
                    <w:jc w:val="left"/>
                    <w:rPr>
                      <w:rFonts w:eastAsia="宋体"/>
                      <w:kern w:val="0"/>
                      <w:sz w:val="21"/>
                    </w:rPr>
                  </w:pPr>
                  <w:r>
                    <w:rPr>
                      <w:rFonts w:eastAsia="宋体"/>
                      <w:kern w:val="0"/>
                      <w:sz w:val="21"/>
                    </w:rPr>
                    <w:t>地下水开采要求</w:t>
                  </w:r>
                </w:p>
                <w:p>
                  <w:pPr>
                    <w:pStyle w:val="84"/>
                    <w:spacing w:line="240" w:lineRule="auto"/>
                    <w:ind w:firstLine="0" w:firstLineChars="0"/>
                    <w:jc w:val="left"/>
                    <w:rPr>
                      <w:rFonts w:eastAsia="宋体"/>
                      <w:kern w:val="0"/>
                      <w:sz w:val="21"/>
                    </w:rPr>
                  </w:pPr>
                  <w:r>
                    <w:rPr>
                      <w:rFonts w:eastAsia="宋体"/>
                      <w:kern w:val="0"/>
                      <w:sz w:val="21"/>
                    </w:rPr>
                    <w:t>以省市下发指标为准</w:t>
                  </w:r>
                </w:p>
                <w:p>
                  <w:pPr>
                    <w:pStyle w:val="84"/>
                    <w:spacing w:line="240" w:lineRule="auto"/>
                    <w:ind w:firstLine="0" w:firstLineChars="0"/>
                    <w:jc w:val="left"/>
                    <w:rPr>
                      <w:rFonts w:eastAsia="宋体"/>
                      <w:kern w:val="0"/>
                      <w:sz w:val="21"/>
                    </w:rPr>
                  </w:pPr>
                  <w:r>
                    <w:rPr>
                      <w:rFonts w:eastAsia="宋体"/>
                      <w:kern w:val="0"/>
                      <w:sz w:val="21"/>
                    </w:rPr>
                    <w:t>能源利用总量及效率要求</w:t>
                  </w:r>
                </w:p>
                <w:p>
                  <w:pPr>
                    <w:pStyle w:val="84"/>
                    <w:spacing w:line="240" w:lineRule="auto"/>
                    <w:ind w:firstLine="0" w:firstLineChars="0"/>
                    <w:jc w:val="left"/>
                    <w:rPr>
                      <w:rFonts w:eastAsia="宋体"/>
                      <w:kern w:val="0"/>
                      <w:sz w:val="21"/>
                    </w:rPr>
                  </w:pPr>
                  <w:r>
                    <w:rPr>
                      <w:rFonts w:eastAsia="宋体"/>
                      <w:kern w:val="0"/>
                      <w:sz w:val="21"/>
                    </w:rPr>
                    <w:t>暂无</w:t>
                  </w:r>
                </w:p>
                <w:p>
                  <w:pPr>
                    <w:pStyle w:val="84"/>
                    <w:spacing w:line="240" w:lineRule="auto"/>
                    <w:ind w:firstLine="0" w:firstLineChars="0"/>
                    <w:jc w:val="left"/>
                    <w:rPr>
                      <w:rFonts w:eastAsia="宋体"/>
                      <w:kern w:val="0"/>
                      <w:sz w:val="21"/>
                    </w:rPr>
                  </w:pPr>
                  <w:r>
                    <w:rPr>
                      <w:rFonts w:eastAsia="宋体"/>
                      <w:kern w:val="0"/>
                      <w:sz w:val="21"/>
                    </w:rPr>
                    <w:t>禁燃区要求</w:t>
                  </w:r>
                </w:p>
                <w:p>
                  <w:pPr>
                    <w:pStyle w:val="84"/>
                    <w:spacing w:line="240" w:lineRule="auto"/>
                    <w:ind w:firstLine="0" w:firstLineChars="0"/>
                    <w:jc w:val="left"/>
                    <w:rPr>
                      <w:rFonts w:eastAsia="宋体"/>
                      <w:kern w:val="0"/>
                      <w:sz w:val="21"/>
                    </w:rPr>
                  </w:pPr>
                </w:p>
                <w:p>
                  <w:pPr>
                    <w:pStyle w:val="84"/>
                    <w:spacing w:line="240" w:lineRule="auto"/>
                    <w:ind w:firstLine="0" w:firstLineChars="0"/>
                    <w:jc w:val="left"/>
                    <w:rPr>
                      <w:rFonts w:eastAsia="宋体"/>
                      <w:kern w:val="0"/>
                      <w:sz w:val="21"/>
                    </w:rPr>
                  </w:pPr>
                </w:p>
                <w:p>
                  <w:pPr>
                    <w:pStyle w:val="84"/>
                    <w:spacing w:line="240" w:lineRule="auto"/>
                    <w:ind w:firstLine="0" w:firstLineChars="0"/>
                    <w:jc w:val="left"/>
                    <w:rPr>
                      <w:rFonts w:eastAsia="宋体"/>
                      <w:kern w:val="0"/>
                      <w:sz w:val="21"/>
                    </w:rPr>
                  </w:pPr>
                  <w:r>
                    <w:rPr>
                      <w:rFonts w:eastAsia="宋体"/>
                      <w:kern w:val="0"/>
                      <w:sz w:val="21"/>
                    </w:rPr>
                    <w:t>其他资源利用效率要求</w:t>
                  </w:r>
                </w:p>
                <w:p>
                  <w:pPr>
                    <w:pStyle w:val="84"/>
                    <w:spacing w:line="240" w:lineRule="auto"/>
                    <w:ind w:firstLine="0" w:firstLineChars="0"/>
                    <w:jc w:val="left"/>
                    <w:rPr>
                      <w:rFonts w:eastAsia="宋体"/>
                      <w:kern w:val="0"/>
                      <w:sz w:val="21"/>
                    </w:rPr>
                  </w:pPr>
                  <w:r>
                    <w:rPr>
                      <w:rFonts w:eastAsia="宋体"/>
                      <w:kern w:val="0"/>
                      <w:sz w:val="21"/>
                    </w:rPr>
                    <w:t>暂无</w:t>
                  </w:r>
                </w:p>
              </w:tc>
              <w:tc>
                <w:tcPr>
                  <w:tcW w:w="265"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空间布局约束</w:t>
                  </w:r>
                </w:p>
              </w:tc>
              <w:tc>
                <w:tcPr>
                  <w:tcW w:w="893" w:type="pct"/>
                  <w:tcBorders>
                    <w:tl2br w:val="nil"/>
                    <w:tr2bl w:val="nil"/>
                  </w:tcBorders>
                  <w:vAlign w:val="center"/>
                </w:tcPr>
                <w:p>
                  <w:pPr>
                    <w:pStyle w:val="84"/>
                    <w:widowControl/>
                    <w:spacing w:line="240" w:lineRule="auto"/>
                    <w:ind w:firstLine="0" w:firstLineChars="0"/>
                    <w:jc w:val="left"/>
                    <w:rPr>
                      <w:rFonts w:eastAsia="宋体"/>
                      <w:sz w:val="21"/>
                    </w:rPr>
                  </w:pPr>
                  <w:r>
                    <w:rPr>
                      <w:rFonts w:eastAsia="宋体"/>
                      <w:sz w:val="21"/>
                    </w:rPr>
                    <w:t>禁止开发建设活动的要求</w:t>
                  </w:r>
                </w:p>
                <w:p>
                  <w:pPr>
                    <w:pStyle w:val="84"/>
                    <w:widowControl/>
                    <w:spacing w:line="240" w:lineRule="auto"/>
                    <w:ind w:firstLine="0" w:firstLineChars="0"/>
                    <w:jc w:val="left"/>
                    <w:rPr>
                      <w:rFonts w:eastAsia="宋体"/>
                      <w:sz w:val="21"/>
                    </w:rPr>
                  </w:pPr>
                  <w:r>
                    <w:rPr>
                      <w:rFonts w:eastAsia="宋体"/>
                      <w:sz w:val="21"/>
                    </w:rPr>
                    <w:t>同优先保护的单元总体准入要求</w:t>
                  </w:r>
                </w:p>
                <w:p>
                  <w:pPr>
                    <w:pStyle w:val="84"/>
                    <w:widowControl/>
                    <w:spacing w:line="240" w:lineRule="auto"/>
                    <w:ind w:firstLine="0" w:firstLineChars="0"/>
                    <w:jc w:val="left"/>
                    <w:rPr>
                      <w:rFonts w:eastAsia="宋体"/>
                      <w:sz w:val="21"/>
                    </w:rPr>
                  </w:pPr>
                  <w:r>
                    <w:rPr>
                      <w:rFonts w:eastAsia="宋体"/>
                      <w:sz w:val="21"/>
                    </w:rPr>
                    <w:t>限制开发建设活动的要求</w:t>
                  </w:r>
                </w:p>
                <w:p>
                  <w:pPr>
                    <w:pStyle w:val="84"/>
                    <w:widowControl/>
                    <w:spacing w:line="240" w:lineRule="auto"/>
                    <w:ind w:firstLine="0" w:firstLineChars="0"/>
                    <w:jc w:val="left"/>
                    <w:rPr>
                      <w:rFonts w:eastAsia="宋体"/>
                      <w:sz w:val="21"/>
                    </w:rPr>
                  </w:pPr>
                  <w:r>
                    <w:rPr>
                      <w:rFonts w:eastAsia="宋体"/>
                      <w:sz w:val="21"/>
                    </w:rPr>
                    <w:t>同优先保护的单元总体准入要求</w:t>
                  </w:r>
                </w:p>
                <w:p>
                  <w:pPr>
                    <w:pStyle w:val="84"/>
                    <w:widowControl/>
                    <w:spacing w:line="240" w:lineRule="auto"/>
                    <w:ind w:firstLine="0" w:firstLineChars="0"/>
                    <w:jc w:val="left"/>
                    <w:rPr>
                      <w:rFonts w:eastAsia="宋体"/>
                      <w:sz w:val="21"/>
                    </w:rPr>
                  </w:pPr>
                  <w:r>
                    <w:rPr>
                      <w:rFonts w:eastAsia="宋体"/>
                      <w:sz w:val="21"/>
                    </w:rPr>
                    <w:t>允许开发建设活动的要求</w:t>
                  </w:r>
                </w:p>
                <w:p>
                  <w:pPr>
                    <w:pStyle w:val="84"/>
                    <w:widowControl/>
                    <w:spacing w:line="240" w:lineRule="auto"/>
                    <w:ind w:firstLine="0" w:firstLineChars="0"/>
                    <w:jc w:val="left"/>
                    <w:rPr>
                      <w:rFonts w:eastAsia="宋体"/>
                      <w:sz w:val="21"/>
                    </w:rPr>
                  </w:pPr>
                  <w:r>
                    <w:rPr>
                      <w:rFonts w:eastAsia="宋体"/>
                      <w:sz w:val="21"/>
                    </w:rPr>
                    <w:t>同优先保护的单元总体准入要求</w:t>
                  </w:r>
                </w:p>
                <w:p>
                  <w:pPr>
                    <w:pStyle w:val="84"/>
                    <w:widowControl/>
                    <w:spacing w:line="240" w:lineRule="auto"/>
                    <w:ind w:firstLine="0" w:firstLineChars="0"/>
                    <w:jc w:val="left"/>
                    <w:rPr>
                      <w:rFonts w:eastAsia="宋体"/>
                      <w:sz w:val="21"/>
                    </w:rPr>
                  </w:pPr>
                  <w:r>
                    <w:rPr>
                      <w:rFonts w:eastAsia="宋体"/>
                      <w:sz w:val="21"/>
                    </w:rPr>
                    <w:t>不符合空间布局要求活动的退出要求</w:t>
                  </w:r>
                </w:p>
                <w:p>
                  <w:pPr>
                    <w:pStyle w:val="84"/>
                    <w:widowControl/>
                    <w:spacing w:line="240" w:lineRule="auto"/>
                    <w:ind w:firstLine="0" w:firstLineChars="0"/>
                    <w:jc w:val="left"/>
                    <w:rPr>
                      <w:rFonts w:eastAsia="宋体"/>
                      <w:sz w:val="21"/>
                    </w:rPr>
                  </w:pPr>
                  <w:r>
                    <w:rPr>
                      <w:rFonts w:eastAsia="宋体"/>
                      <w:sz w:val="21"/>
                    </w:rPr>
                    <w:t>区外企业：位于一般生态空间内的工业园区外工业企业：符合所在法定保护地管理规定、具有合法手续、且污染物排放及环境风险满足管理要求的企业，可继续保留，污染物排放只降不增，并进一步加强日常环保监管；允许以提升安全、生态环境保护水平为目的的改建，引导企业结合产业结构调整、技改升级等，适时搬迁；不具备合法手续，或污染物排放超标、环境风险不可控的企业，属地政府应按相关要求责令关停并退出其他同优先保护的单元总体准入要求</w:t>
                  </w:r>
                </w:p>
                <w:p>
                  <w:pPr>
                    <w:pStyle w:val="84"/>
                    <w:widowControl/>
                    <w:spacing w:line="240" w:lineRule="auto"/>
                    <w:ind w:firstLine="0" w:firstLineChars="0"/>
                    <w:jc w:val="left"/>
                    <w:rPr>
                      <w:rFonts w:eastAsia="宋体"/>
                      <w:sz w:val="21"/>
                    </w:rPr>
                  </w:pPr>
                  <w:r>
                    <w:rPr>
                      <w:rFonts w:eastAsia="宋体"/>
                      <w:sz w:val="21"/>
                    </w:rPr>
                    <w:t>其他空间布局约束要求</w:t>
                  </w:r>
                </w:p>
              </w:tc>
              <w:tc>
                <w:tcPr>
                  <w:tcW w:w="696"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本项目位于柳池工业园区，为玻璃纤维及制品制造项目，不在生态保护红线内，不在自然保护区的缓冲区和实验区，项目不在风景名胜区、饮用水水源一级保护区、二级保护区、森林公园、湿地公园、地质公园、永久基本农田、</w:t>
                  </w:r>
                  <w:r>
                    <w:rPr>
                      <w:rFonts w:eastAsia="宋体"/>
                      <w:kern w:val="0"/>
                      <w:sz w:val="21"/>
                    </w:rPr>
                    <w:t>自然遗产地、水产种质资源保护区</w:t>
                  </w:r>
                  <w:r>
                    <w:rPr>
                      <w:rFonts w:eastAsia="宋体"/>
                      <w:sz w:val="21"/>
                    </w:rPr>
                    <w:t>。项目涉及后河徐家坡饮用水水源准保护区，项目生产废水回用，不外排，不属于对水体污染严重的建设项目，未新增生产废水排污量，满足饮用水水源地准保护区要求。</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ZH51172230001</w:t>
                  </w:r>
                </w:p>
              </w:tc>
              <w:tc>
                <w:tcPr>
                  <w:tcW w:w="45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宣汉县一般管控单元</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r>
                    <w:rPr>
                      <w:rFonts w:eastAsia="宋体"/>
                      <w:kern w:val="0"/>
                      <w:sz w:val="21"/>
                    </w:rPr>
                    <w:t>空间布局约束：</w:t>
                  </w:r>
                </w:p>
                <w:p>
                  <w:pPr>
                    <w:pStyle w:val="84"/>
                    <w:spacing w:line="240" w:lineRule="auto"/>
                    <w:ind w:firstLine="0" w:firstLineChars="0"/>
                    <w:jc w:val="center"/>
                    <w:rPr>
                      <w:rFonts w:eastAsia="宋体"/>
                      <w:kern w:val="0"/>
                      <w:sz w:val="21"/>
                    </w:rPr>
                  </w:pPr>
                  <w:r>
                    <w:rPr>
                      <w:rFonts w:eastAsia="宋体"/>
                      <w:kern w:val="0"/>
                      <w:sz w:val="21"/>
                    </w:rPr>
                    <w:t>禁止开发建设活动的要求</w:t>
                  </w:r>
                </w:p>
                <w:p>
                  <w:pPr>
                    <w:pStyle w:val="84"/>
                    <w:spacing w:line="240" w:lineRule="auto"/>
                    <w:ind w:firstLine="0" w:firstLineChars="0"/>
                    <w:jc w:val="center"/>
                    <w:rPr>
                      <w:rFonts w:eastAsia="宋体"/>
                      <w:kern w:val="0"/>
                      <w:sz w:val="21"/>
                    </w:rPr>
                  </w:pPr>
                  <w:r>
                    <w:rPr>
                      <w:rFonts w:eastAsia="宋体"/>
                      <w:kern w:val="0"/>
                      <w:sz w:val="21"/>
                    </w:rPr>
                    <w:t>-禁止在长江干支流1公里范围内新建、扩建化工园区和化工项目。</w:t>
                  </w:r>
                </w:p>
                <w:p>
                  <w:pPr>
                    <w:pStyle w:val="84"/>
                    <w:spacing w:line="240" w:lineRule="auto"/>
                    <w:ind w:firstLine="0" w:firstLineChars="0"/>
                    <w:jc w:val="center"/>
                    <w:rPr>
                      <w:rFonts w:eastAsia="宋体"/>
                      <w:kern w:val="0"/>
                      <w:sz w:val="21"/>
                    </w:rPr>
                  </w:pPr>
                  <w:r>
                    <w:rPr>
                      <w:rFonts w:eastAsia="宋体"/>
                      <w:kern w:val="0"/>
                      <w:sz w:val="21"/>
                    </w:rPr>
                    <w:t>-禁止在法律法规规定的禁采区内新建矿山；禁止土法采、选、冶严重污染环境的矿产资源。</w:t>
                  </w:r>
                </w:p>
                <w:p>
                  <w:pPr>
                    <w:pStyle w:val="84"/>
                    <w:spacing w:line="240" w:lineRule="auto"/>
                    <w:ind w:firstLine="0" w:firstLineChars="0"/>
                    <w:jc w:val="center"/>
                    <w:rPr>
                      <w:rFonts w:eastAsia="宋体"/>
                      <w:kern w:val="0"/>
                      <w:sz w:val="21"/>
                    </w:rPr>
                  </w:pPr>
                  <w:r>
                    <w:rPr>
                      <w:rFonts w:eastAsia="宋体"/>
                      <w:kern w:val="0"/>
                      <w:sz w:val="21"/>
                    </w:rPr>
                    <w:t>-涉及永久基本农田的区域，除法律规定的重点建设项目选址确实无法避让外，其他任何建设不得占用。</w:t>
                  </w:r>
                </w:p>
                <w:p>
                  <w:pPr>
                    <w:pStyle w:val="84"/>
                    <w:spacing w:line="240" w:lineRule="auto"/>
                    <w:ind w:firstLine="0" w:firstLineChars="0"/>
                    <w:jc w:val="center"/>
                    <w:rPr>
                      <w:rFonts w:eastAsia="宋体"/>
                      <w:kern w:val="0"/>
                      <w:sz w:val="21"/>
                    </w:rPr>
                  </w:pPr>
                  <w:r>
                    <w:rPr>
                      <w:rFonts w:eastAsia="宋体"/>
                      <w:kern w:val="0"/>
                      <w:sz w:val="21"/>
                    </w:rPr>
                    <w:t>-禁止在长江流域河湖管理范围内倾倒、填埋、堆放、弃置、处理固体废物。</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限制开发建设活动的要求</w:t>
                  </w:r>
                </w:p>
                <w:p>
                  <w:pPr>
                    <w:pStyle w:val="84"/>
                    <w:spacing w:line="240" w:lineRule="auto"/>
                    <w:ind w:firstLine="0" w:firstLineChars="0"/>
                    <w:jc w:val="center"/>
                    <w:rPr>
                      <w:rFonts w:eastAsia="宋体"/>
                      <w:kern w:val="0"/>
                      <w:sz w:val="21"/>
                    </w:rPr>
                  </w:pPr>
                  <w:r>
                    <w:rPr>
                      <w:rFonts w:eastAsia="宋体"/>
                      <w:kern w:val="0"/>
                      <w:sz w:val="21"/>
                    </w:rPr>
                    <w:t>-按照相关要求严控水泥新增产能。</w:t>
                  </w:r>
                </w:p>
                <w:p>
                  <w:pPr>
                    <w:pStyle w:val="84"/>
                    <w:spacing w:line="240" w:lineRule="auto"/>
                    <w:ind w:firstLine="0" w:firstLineChars="0"/>
                    <w:jc w:val="center"/>
                    <w:rPr>
                      <w:rFonts w:eastAsia="宋体"/>
                      <w:kern w:val="0"/>
                      <w:sz w:val="21"/>
                    </w:rPr>
                  </w:pPr>
                  <w:r>
                    <w:rPr>
                      <w:rFonts w:eastAsia="宋体"/>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84"/>
                    <w:spacing w:line="240" w:lineRule="auto"/>
                    <w:ind w:firstLine="0" w:firstLineChars="0"/>
                    <w:jc w:val="center"/>
                    <w:rPr>
                      <w:rFonts w:eastAsia="宋体"/>
                      <w:kern w:val="0"/>
                      <w:sz w:val="21"/>
                    </w:rPr>
                  </w:pPr>
                  <w:r>
                    <w:rPr>
                      <w:rFonts w:eastAsia="宋体"/>
                      <w:kern w:val="0"/>
                      <w:sz w:val="21"/>
                    </w:rPr>
                    <w:t>按照相关要求严控水泥新增产能。</w:t>
                  </w:r>
                </w:p>
                <w:p>
                  <w:pPr>
                    <w:pStyle w:val="84"/>
                    <w:spacing w:line="240" w:lineRule="auto"/>
                    <w:ind w:firstLine="0" w:firstLineChars="0"/>
                    <w:jc w:val="center"/>
                    <w:rPr>
                      <w:rFonts w:eastAsia="宋体"/>
                      <w:kern w:val="0"/>
                      <w:sz w:val="21"/>
                    </w:rPr>
                  </w:pPr>
                  <w:r>
                    <w:rPr>
                      <w:rFonts w:eastAsia="宋体"/>
                      <w:kern w:val="0"/>
                      <w:sz w:val="21"/>
                    </w:rPr>
                    <w:t>禁止在长江干流岸线三公里范围内和重要支流岸线一公里范围内新建、改建、扩建尾矿库；但是以提升安全、生态环境保护水平为目的的改建除外。</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不符合空间布局要求活动的退出要求</w:t>
                  </w:r>
                </w:p>
                <w:p>
                  <w:pPr>
                    <w:pStyle w:val="84"/>
                    <w:spacing w:line="240" w:lineRule="auto"/>
                    <w:ind w:firstLine="0" w:firstLineChars="0"/>
                    <w:jc w:val="center"/>
                    <w:rPr>
                      <w:rFonts w:eastAsia="宋体"/>
                      <w:kern w:val="0"/>
                      <w:sz w:val="21"/>
                    </w:rPr>
                  </w:pPr>
                  <w:r>
                    <w:rPr>
                      <w:rFonts w:eastAsia="宋体"/>
                      <w:kern w:val="0"/>
                      <w:sz w:val="21"/>
                    </w:rPr>
                    <w:t>针对现有水泥企业，强化污染治理和污染物减排，依法依规整治或搬迁。</w:t>
                  </w:r>
                </w:p>
                <w:p>
                  <w:pPr>
                    <w:pStyle w:val="84"/>
                    <w:spacing w:line="240" w:lineRule="auto"/>
                    <w:ind w:firstLine="0" w:firstLineChars="0"/>
                    <w:jc w:val="center"/>
                    <w:rPr>
                      <w:rFonts w:eastAsia="宋体"/>
                      <w:kern w:val="0"/>
                      <w:sz w:val="21"/>
                    </w:rPr>
                  </w:pPr>
                  <w:r>
                    <w:rPr>
                      <w:rFonts w:eastAsia="宋体"/>
                      <w:kern w:val="0"/>
                      <w:sz w:val="21"/>
                    </w:rPr>
                    <w:t>全面取缔禁养区内规模化畜禽养殖场。</w:t>
                  </w:r>
                </w:p>
                <w:p>
                  <w:pPr>
                    <w:pStyle w:val="84"/>
                    <w:spacing w:line="240" w:lineRule="auto"/>
                    <w:ind w:firstLine="0" w:firstLineChars="0"/>
                    <w:jc w:val="center"/>
                    <w:rPr>
                      <w:rFonts w:eastAsia="宋体"/>
                      <w:kern w:val="0"/>
                      <w:sz w:val="21"/>
                    </w:rPr>
                  </w:pPr>
                  <w:r>
                    <w:rPr>
                      <w:rFonts w:eastAsia="宋体"/>
                      <w:kern w:val="0"/>
                      <w:sz w:val="21"/>
                    </w:rPr>
                    <w:t>2025年基本完成全域内“散乱污”企业整治工作。</w:t>
                  </w:r>
                </w:p>
                <w:p>
                  <w:pPr>
                    <w:pStyle w:val="84"/>
                    <w:spacing w:line="240" w:lineRule="auto"/>
                    <w:ind w:firstLine="0" w:firstLineChars="0"/>
                    <w:jc w:val="center"/>
                    <w:rPr>
                      <w:rFonts w:eastAsia="宋体"/>
                      <w:kern w:val="0"/>
                      <w:sz w:val="21"/>
                    </w:rPr>
                  </w:pPr>
                  <w:r>
                    <w:rPr>
                      <w:rFonts w:eastAsia="宋体"/>
                      <w:kern w:val="0"/>
                      <w:sz w:val="21"/>
                    </w:rPr>
                    <w:t>在全市范围深入开展集中整治“散乱污”工业企业，对不符合产业政策和规划布局的，一律责令停产、限期搬迁或关停；</w:t>
                  </w:r>
                </w:p>
                <w:p>
                  <w:pPr>
                    <w:pStyle w:val="84"/>
                    <w:spacing w:line="240" w:lineRule="auto"/>
                    <w:ind w:firstLine="0" w:firstLineChars="0"/>
                    <w:jc w:val="center"/>
                    <w:rPr>
                      <w:rFonts w:eastAsia="宋体"/>
                      <w:kern w:val="0"/>
                      <w:sz w:val="21"/>
                    </w:rPr>
                  </w:pPr>
                  <w:r>
                    <w:rPr>
                      <w:rFonts w:eastAsia="宋体"/>
                      <w:kern w:val="0"/>
                      <w:sz w:val="21"/>
                    </w:rPr>
                    <w:t>其他空间布局约束要求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污染物排放管控：</w:t>
                  </w:r>
                </w:p>
                <w:p>
                  <w:pPr>
                    <w:pStyle w:val="84"/>
                    <w:spacing w:line="240" w:lineRule="auto"/>
                    <w:ind w:firstLine="0" w:firstLineChars="0"/>
                    <w:jc w:val="center"/>
                    <w:rPr>
                      <w:rFonts w:eastAsia="宋体"/>
                      <w:kern w:val="0"/>
                      <w:sz w:val="21"/>
                    </w:rPr>
                  </w:pPr>
                  <w:r>
                    <w:rPr>
                      <w:rFonts w:eastAsia="宋体"/>
                      <w:kern w:val="0"/>
                      <w:sz w:val="21"/>
                    </w:rPr>
                    <w:t>允许排放量要求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现有源提标升级改造</w:t>
                  </w:r>
                </w:p>
                <w:p>
                  <w:pPr>
                    <w:pStyle w:val="84"/>
                    <w:spacing w:line="240" w:lineRule="auto"/>
                    <w:ind w:firstLine="0" w:firstLineChars="0"/>
                    <w:jc w:val="center"/>
                    <w:rPr>
                      <w:rFonts w:eastAsia="宋体"/>
                      <w:kern w:val="0"/>
                      <w:sz w:val="21"/>
                    </w:rPr>
                  </w:pPr>
                  <w:r>
                    <w:rPr>
                      <w:rFonts w:eastAsia="宋体"/>
                      <w:kern w:val="0"/>
                      <w:sz w:val="21"/>
                    </w:rPr>
                    <w:t>加快现有乡镇污水处理设施升级改造，按要求达《城镇污水处理厂污染物排放标准》一级A标后排放。</w:t>
                  </w:r>
                </w:p>
                <w:p>
                  <w:pPr>
                    <w:pStyle w:val="84"/>
                    <w:spacing w:line="240" w:lineRule="auto"/>
                    <w:ind w:firstLine="0" w:firstLineChars="0"/>
                    <w:jc w:val="center"/>
                    <w:rPr>
                      <w:rFonts w:eastAsia="宋体"/>
                      <w:kern w:val="0"/>
                      <w:sz w:val="21"/>
                    </w:rPr>
                  </w:pPr>
                  <w:r>
                    <w:rPr>
                      <w:rFonts w:eastAsia="宋体"/>
                      <w:kern w:val="0"/>
                      <w:sz w:val="21"/>
                    </w:rPr>
                    <w:t>在矿产资源开发活动集中区域，废水执行重金属污染物排放特别限值。</w:t>
                  </w:r>
                </w:p>
                <w:p>
                  <w:pPr>
                    <w:pStyle w:val="84"/>
                    <w:spacing w:line="240" w:lineRule="auto"/>
                    <w:ind w:firstLine="0" w:firstLineChars="0"/>
                    <w:jc w:val="center"/>
                    <w:rPr>
                      <w:rFonts w:eastAsia="宋体"/>
                      <w:kern w:val="0"/>
                      <w:sz w:val="21"/>
                    </w:rPr>
                  </w:pPr>
                  <w:r>
                    <w:rPr>
                      <w:rFonts w:eastAsia="宋体"/>
                      <w:kern w:val="0"/>
                      <w:sz w:val="21"/>
                    </w:rPr>
                    <w:t>火电、水泥等行业按相关要求推进大气污染物超低排放和深度治理。</w:t>
                  </w:r>
                </w:p>
                <w:p>
                  <w:pPr>
                    <w:pStyle w:val="84"/>
                    <w:spacing w:line="240" w:lineRule="auto"/>
                    <w:ind w:firstLine="0" w:firstLineChars="0"/>
                    <w:jc w:val="center"/>
                    <w:rPr>
                      <w:rFonts w:eastAsia="宋体"/>
                      <w:kern w:val="0"/>
                      <w:sz w:val="21"/>
                    </w:rPr>
                  </w:pPr>
                  <w:r>
                    <w:rPr>
                      <w:rFonts w:eastAsia="宋体"/>
                      <w:kern w:val="0"/>
                      <w:sz w:val="21"/>
                    </w:rPr>
                    <w:t>砖瓦行业实施脱硫、除尘升级改造，污染物排放达到《砖瓦工业大气污染物排放标准》相关要求。</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其他污染物排放管控要求</w:t>
                  </w:r>
                </w:p>
                <w:p>
                  <w:pPr>
                    <w:pStyle w:val="84"/>
                    <w:spacing w:line="240" w:lineRule="auto"/>
                    <w:ind w:firstLine="0" w:firstLineChars="0"/>
                    <w:jc w:val="center"/>
                    <w:rPr>
                      <w:rFonts w:eastAsia="宋体"/>
                      <w:kern w:val="0"/>
                      <w:sz w:val="21"/>
                    </w:rPr>
                  </w:pPr>
                  <w:r>
                    <w:rPr>
                      <w:rFonts w:eastAsia="宋体"/>
                      <w:kern w:val="0"/>
                      <w:sz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84"/>
                    <w:spacing w:line="240" w:lineRule="auto"/>
                    <w:ind w:firstLine="0" w:firstLineChars="0"/>
                    <w:jc w:val="center"/>
                    <w:rPr>
                      <w:rFonts w:eastAsia="宋体"/>
                      <w:kern w:val="0"/>
                      <w:sz w:val="21"/>
                    </w:rPr>
                  </w:pPr>
                  <w:r>
                    <w:rPr>
                      <w:rFonts w:eastAsia="宋体"/>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84"/>
                    <w:spacing w:line="240" w:lineRule="auto"/>
                    <w:ind w:firstLine="0" w:firstLineChars="0"/>
                    <w:jc w:val="center"/>
                    <w:rPr>
                      <w:rFonts w:eastAsia="宋体"/>
                      <w:kern w:val="0"/>
                      <w:sz w:val="21"/>
                    </w:rPr>
                  </w:pPr>
                  <w:r>
                    <w:rPr>
                      <w:rFonts w:eastAsia="宋体"/>
                      <w:kern w:val="0"/>
                      <w:sz w:val="21"/>
                    </w:rPr>
                    <w:t>-到2023年底，力争全市生活垃圾焚烧处理能力占比达60%以上，各县（市）生活垃圾无害化处理率保持95%以上，乡镇及行政村生活垃圾收转运处置体系基本实现全覆盖。</w:t>
                  </w:r>
                </w:p>
                <w:p>
                  <w:pPr>
                    <w:pStyle w:val="84"/>
                    <w:spacing w:line="240" w:lineRule="auto"/>
                    <w:ind w:firstLine="0" w:firstLineChars="0"/>
                    <w:jc w:val="center"/>
                    <w:rPr>
                      <w:rFonts w:eastAsia="宋体"/>
                      <w:kern w:val="0"/>
                      <w:sz w:val="21"/>
                    </w:rPr>
                  </w:pPr>
                  <w:r>
                    <w:rPr>
                      <w:rFonts w:eastAsia="宋体"/>
                      <w:kern w:val="0"/>
                      <w:sz w:val="21"/>
                    </w:rPr>
                    <w:t>-到2025年，农药包装废弃物回收率达80%；粮油绿色高质高效示范区、茶叶主产区和现代农业园区农药包装废弃物回收率100%。</w:t>
                  </w:r>
                </w:p>
                <w:p>
                  <w:pPr>
                    <w:pStyle w:val="84"/>
                    <w:spacing w:line="240" w:lineRule="auto"/>
                    <w:ind w:firstLine="0" w:firstLineChars="0"/>
                    <w:jc w:val="center"/>
                    <w:rPr>
                      <w:rFonts w:eastAsia="宋体"/>
                      <w:kern w:val="0"/>
                      <w:sz w:val="21"/>
                    </w:rPr>
                  </w:pPr>
                  <w:r>
                    <w:rPr>
                      <w:rFonts w:eastAsia="宋体"/>
                      <w:kern w:val="0"/>
                      <w:sz w:val="21"/>
                    </w:rPr>
                    <w:t>-到2025年，全国主要农作物化肥、农药利用率达43%，测土配方施肥技术推广覆盖率保持在90%以上，控制农村面源污染，采取灌排分离等措施控制农田氮磷流失。</w:t>
                  </w:r>
                </w:p>
                <w:p>
                  <w:pPr>
                    <w:pStyle w:val="84"/>
                    <w:spacing w:line="240" w:lineRule="auto"/>
                    <w:ind w:firstLine="0" w:firstLineChars="0"/>
                    <w:jc w:val="center"/>
                    <w:rPr>
                      <w:rFonts w:eastAsia="宋体"/>
                      <w:kern w:val="0"/>
                      <w:sz w:val="21"/>
                    </w:rPr>
                  </w:pPr>
                  <w:r>
                    <w:rPr>
                      <w:rFonts w:eastAsia="宋体"/>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84"/>
                    <w:spacing w:line="240" w:lineRule="auto"/>
                    <w:ind w:firstLine="0" w:firstLineChars="0"/>
                    <w:jc w:val="center"/>
                    <w:rPr>
                      <w:rFonts w:eastAsia="宋体"/>
                      <w:kern w:val="0"/>
                      <w:sz w:val="21"/>
                    </w:rPr>
                  </w:pPr>
                  <w:r>
                    <w:rPr>
                      <w:rFonts w:eastAsia="宋体"/>
                      <w:kern w:val="0"/>
                      <w:sz w:val="21"/>
                    </w:rPr>
                    <w:t>-到2025年，废旧农膜回收利用率达到85%以上。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环境风险防控：</w:t>
                  </w:r>
                </w:p>
                <w:p>
                  <w:pPr>
                    <w:pStyle w:val="84"/>
                    <w:spacing w:line="240" w:lineRule="auto"/>
                    <w:ind w:firstLine="0" w:firstLineChars="0"/>
                    <w:jc w:val="center"/>
                    <w:rPr>
                      <w:rFonts w:eastAsia="宋体"/>
                      <w:kern w:val="0"/>
                      <w:sz w:val="21"/>
                    </w:rPr>
                  </w:pPr>
                  <w:r>
                    <w:rPr>
                      <w:rFonts w:eastAsia="宋体"/>
                      <w:kern w:val="0"/>
                      <w:sz w:val="21"/>
                    </w:rPr>
                    <w:t>联防联控要求</w:t>
                  </w:r>
                </w:p>
                <w:p>
                  <w:pPr>
                    <w:pStyle w:val="84"/>
                    <w:spacing w:line="240" w:lineRule="auto"/>
                    <w:ind w:firstLine="0" w:firstLineChars="0"/>
                    <w:jc w:val="center"/>
                    <w:rPr>
                      <w:rFonts w:eastAsia="宋体"/>
                      <w:kern w:val="0"/>
                      <w:sz w:val="21"/>
                    </w:rPr>
                  </w:pPr>
                  <w:r>
                    <w:rPr>
                      <w:rFonts w:eastAsia="宋体"/>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spacing w:line="240" w:lineRule="auto"/>
                    <w:ind w:firstLine="0" w:firstLineChars="0"/>
                    <w:jc w:val="center"/>
                    <w:rPr>
                      <w:rFonts w:eastAsia="宋体"/>
                      <w:kern w:val="0"/>
                      <w:sz w:val="21"/>
                    </w:rPr>
                  </w:pPr>
                  <w:r>
                    <w:rPr>
                      <w:rFonts w:eastAsia="宋体"/>
                      <w:kern w:val="0"/>
                      <w:sz w:val="21"/>
                    </w:rPr>
                    <w:t>其他环境风险防控要求</w:t>
                  </w:r>
                </w:p>
                <w:p>
                  <w:pPr>
                    <w:pStyle w:val="84"/>
                    <w:spacing w:line="240" w:lineRule="auto"/>
                    <w:ind w:firstLine="0" w:firstLineChars="0"/>
                    <w:jc w:val="center"/>
                    <w:rPr>
                      <w:rFonts w:eastAsia="宋体"/>
                      <w:kern w:val="0"/>
                      <w:sz w:val="21"/>
                    </w:rPr>
                  </w:pPr>
                  <w:r>
                    <w:rPr>
                      <w:rFonts w:eastAsia="宋体"/>
                      <w:kern w:val="0"/>
                      <w:sz w:val="21"/>
                    </w:rPr>
                    <w:t>企业环境风险防控要求:工业企业退出用地，须经评估、修复满足相应用地功能后，方可改变用途。</w:t>
                  </w:r>
                </w:p>
                <w:p>
                  <w:pPr>
                    <w:pStyle w:val="84"/>
                    <w:spacing w:line="240" w:lineRule="auto"/>
                    <w:ind w:firstLine="0" w:firstLineChars="0"/>
                    <w:jc w:val="center"/>
                    <w:rPr>
                      <w:rFonts w:eastAsia="宋体"/>
                      <w:kern w:val="0"/>
                      <w:sz w:val="21"/>
                    </w:rPr>
                  </w:pPr>
                  <w:r>
                    <w:rPr>
                      <w:rFonts w:eastAsia="宋体"/>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84"/>
                    <w:spacing w:line="240" w:lineRule="auto"/>
                    <w:ind w:firstLine="0" w:firstLineChars="0"/>
                    <w:jc w:val="center"/>
                    <w:rPr>
                      <w:rFonts w:eastAsia="宋体"/>
                      <w:kern w:val="0"/>
                      <w:sz w:val="21"/>
                    </w:rPr>
                  </w:pPr>
                  <w:r>
                    <w:rPr>
                      <w:rFonts w:eastAsia="宋体"/>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84"/>
                    <w:spacing w:line="240" w:lineRule="auto"/>
                    <w:ind w:firstLine="0" w:firstLineChars="0"/>
                    <w:jc w:val="center"/>
                    <w:rPr>
                      <w:rFonts w:eastAsia="宋体"/>
                      <w:kern w:val="0"/>
                      <w:sz w:val="21"/>
                    </w:rPr>
                  </w:pPr>
                  <w:r>
                    <w:rPr>
                      <w:rFonts w:eastAsia="宋体"/>
                      <w:kern w:val="0"/>
                      <w:sz w:val="21"/>
                    </w:rPr>
                    <w:t>规范排土场、渣场等整治。禁止处理不达标的污泥进入耕地。</w:t>
                  </w:r>
                </w:p>
                <w:p>
                  <w:pPr>
                    <w:pStyle w:val="84"/>
                    <w:spacing w:line="240" w:lineRule="auto"/>
                    <w:ind w:firstLine="0" w:firstLineChars="0"/>
                    <w:jc w:val="center"/>
                    <w:rPr>
                      <w:rFonts w:eastAsia="宋体"/>
                      <w:kern w:val="0"/>
                      <w:sz w:val="21"/>
                    </w:rPr>
                  </w:pPr>
                  <w:r>
                    <w:rPr>
                      <w:rFonts w:eastAsia="宋体"/>
                      <w:kern w:val="0"/>
                      <w:sz w:val="21"/>
                    </w:rPr>
                    <w:t>严格控制林地、草地、园地的农药使用量，禁止使用高毒、高残留农药。</w:t>
                  </w:r>
                </w:p>
                <w:p>
                  <w:pPr>
                    <w:pStyle w:val="84"/>
                    <w:spacing w:line="240" w:lineRule="auto"/>
                    <w:ind w:firstLine="0" w:firstLineChars="0"/>
                    <w:jc w:val="center"/>
                    <w:rPr>
                      <w:rFonts w:eastAsia="宋体"/>
                      <w:kern w:val="0"/>
                      <w:sz w:val="21"/>
                    </w:rPr>
                  </w:pPr>
                  <w:r>
                    <w:rPr>
                      <w:rFonts w:eastAsia="宋体"/>
                      <w:kern w:val="0"/>
                      <w:sz w:val="21"/>
                    </w:rPr>
                    <w:t>到2030年，全市受污染耕地安全利用率达到95%以上，污染地块安全利用率达到95%以上。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资源开发利用效率要求：</w:t>
                  </w:r>
                </w:p>
                <w:p>
                  <w:pPr>
                    <w:pStyle w:val="84"/>
                    <w:spacing w:line="240" w:lineRule="auto"/>
                    <w:ind w:firstLine="0" w:firstLineChars="0"/>
                    <w:jc w:val="center"/>
                    <w:rPr>
                      <w:rFonts w:eastAsia="宋体"/>
                      <w:kern w:val="0"/>
                      <w:sz w:val="21"/>
                    </w:rPr>
                  </w:pPr>
                  <w:r>
                    <w:rPr>
                      <w:rFonts w:eastAsia="宋体"/>
                      <w:kern w:val="0"/>
                      <w:sz w:val="21"/>
                    </w:rPr>
                    <w:t>水资源利用总量要求</w:t>
                  </w:r>
                </w:p>
                <w:p>
                  <w:pPr>
                    <w:pStyle w:val="84"/>
                    <w:spacing w:line="240" w:lineRule="auto"/>
                    <w:ind w:firstLine="0" w:firstLineChars="0"/>
                    <w:jc w:val="center"/>
                    <w:rPr>
                      <w:rFonts w:eastAsia="宋体"/>
                      <w:kern w:val="0"/>
                      <w:sz w:val="21"/>
                    </w:rPr>
                  </w:pPr>
                  <w:r>
                    <w:rPr>
                      <w:rFonts w:eastAsia="宋体"/>
                      <w:kern w:val="0"/>
                      <w:sz w:val="21"/>
                    </w:rPr>
                    <w:t>-到2025年，农田灌溉水有效利用系数达到0.57以上。</w:t>
                  </w:r>
                </w:p>
                <w:p>
                  <w:pPr>
                    <w:pStyle w:val="84"/>
                    <w:spacing w:line="240" w:lineRule="auto"/>
                    <w:ind w:firstLine="0" w:firstLineChars="0"/>
                    <w:jc w:val="center"/>
                    <w:rPr>
                      <w:rFonts w:eastAsia="宋体"/>
                      <w:kern w:val="0"/>
                      <w:sz w:val="21"/>
                    </w:rPr>
                  </w:pPr>
                  <w:r>
                    <w:rPr>
                      <w:rFonts w:eastAsia="宋体"/>
                      <w:kern w:val="0"/>
                      <w:sz w:val="21"/>
                    </w:rPr>
                    <w:t>地下水开采要求</w:t>
                  </w:r>
                </w:p>
                <w:p>
                  <w:pPr>
                    <w:pStyle w:val="84"/>
                    <w:spacing w:line="240" w:lineRule="auto"/>
                    <w:ind w:firstLine="0" w:firstLineChars="0"/>
                    <w:jc w:val="center"/>
                    <w:rPr>
                      <w:rFonts w:eastAsia="宋体"/>
                      <w:kern w:val="0"/>
                      <w:sz w:val="21"/>
                    </w:rPr>
                  </w:pPr>
                  <w:r>
                    <w:rPr>
                      <w:rFonts w:eastAsia="宋体"/>
                      <w:kern w:val="0"/>
                      <w:sz w:val="21"/>
                    </w:rPr>
                    <w:t>以省市下发指标为准</w:t>
                  </w:r>
                </w:p>
                <w:p>
                  <w:pPr>
                    <w:pStyle w:val="84"/>
                    <w:spacing w:line="240" w:lineRule="auto"/>
                    <w:ind w:firstLine="0" w:firstLineChars="0"/>
                    <w:jc w:val="center"/>
                    <w:rPr>
                      <w:rFonts w:eastAsia="宋体"/>
                      <w:kern w:val="0"/>
                      <w:sz w:val="21"/>
                    </w:rPr>
                  </w:pPr>
                  <w:r>
                    <w:rPr>
                      <w:rFonts w:eastAsia="宋体"/>
                      <w:kern w:val="0"/>
                      <w:sz w:val="21"/>
                    </w:rPr>
                    <w:t>能源利用总量及效率要求</w:t>
                  </w:r>
                </w:p>
                <w:p>
                  <w:pPr>
                    <w:pStyle w:val="84"/>
                    <w:spacing w:line="240" w:lineRule="auto"/>
                    <w:ind w:firstLine="0" w:firstLineChars="0"/>
                    <w:jc w:val="center"/>
                    <w:rPr>
                      <w:rFonts w:eastAsia="宋体"/>
                      <w:kern w:val="0"/>
                      <w:sz w:val="21"/>
                    </w:rPr>
                  </w:pPr>
                  <w:r>
                    <w:rPr>
                      <w:rFonts w:eastAsia="宋体"/>
                      <w:kern w:val="0"/>
                      <w:sz w:val="21"/>
                    </w:rPr>
                    <w:t>推进清洁能源的推广使用，全面推进散煤清洁化整治；禁止新建每小时10蒸吨以下的燃煤锅炉及其他燃煤设施。</w:t>
                  </w:r>
                </w:p>
                <w:p>
                  <w:pPr>
                    <w:pStyle w:val="84"/>
                    <w:spacing w:line="240" w:lineRule="auto"/>
                    <w:ind w:firstLine="0" w:firstLineChars="0"/>
                    <w:jc w:val="center"/>
                    <w:rPr>
                      <w:rFonts w:eastAsia="宋体"/>
                      <w:kern w:val="0"/>
                      <w:sz w:val="21"/>
                    </w:rPr>
                  </w:pPr>
                  <w:r>
                    <w:rPr>
                      <w:rFonts w:eastAsia="宋体"/>
                      <w:kern w:val="0"/>
                      <w:sz w:val="21"/>
                    </w:rPr>
                    <w:t>禁止焚烧秸秆和垃圾，到2025年底，秸秆综合利用率达到86%以上。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禁燃区要求</w:t>
                  </w:r>
                </w:p>
                <w:p>
                  <w:pPr>
                    <w:pStyle w:val="84"/>
                    <w:spacing w:line="240" w:lineRule="auto"/>
                    <w:ind w:firstLine="0" w:firstLineChars="0"/>
                    <w:jc w:val="center"/>
                    <w:rPr>
                      <w:rFonts w:eastAsia="宋体"/>
                      <w:kern w:val="0"/>
                      <w:sz w:val="21"/>
                    </w:rPr>
                  </w:pPr>
                  <w:r>
                    <w:rPr>
                      <w:rFonts w:eastAsia="宋体"/>
                      <w:kern w:val="0"/>
                      <w:sz w:val="21"/>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84"/>
                    <w:spacing w:line="240" w:lineRule="auto"/>
                    <w:ind w:firstLine="0" w:firstLineChars="0"/>
                    <w:jc w:val="center"/>
                    <w:rPr>
                      <w:rFonts w:eastAsia="宋体"/>
                      <w:kern w:val="0"/>
                      <w:sz w:val="21"/>
                    </w:rPr>
                  </w:pPr>
                  <w:r>
                    <w:rPr>
                      <w:rFonts w:eastAsia="宋体"/>
                      <w:kern w:val="0"/>
                      <w:sz w:val="21"/>
                    </w:rPr>
                    <w:t>-禁燃区内禁止销售、燃用高污染燃料；禁止新建、改建、扩建燃用高污染燃料的设施和设备。</w:t>
                  </w:r>
                </w:p>
                <w:p>
                  <w:pPr>
                    <w:pStyle w:val="84"/>
                    <w:spacing w:line="240" w:lineRule="auto"/>
                    <w:ind w:firstLine="0" w:firstLineChars="0"/>
                    <w:jc w:val="center"/>
                    <w:rPr>
                      <w:rFonts w:eastAsia="宋体"/>
                      <w:kern w:val="0"/>
                      <w:sz w:val="21"/>
                    </w:rPr>
                  </w:pPr>
                  <w:r>
                    <w:rPr>
                      <w:rFonts w:eastAsia="宋体"/>
                      <w:kern w:val="0"/>
                      <w:sz w:val="21"/>
                    </w:rPr>
                    <w:t>-禁燃区内已建成的高污染燃料燃用设施由辖区人民政府制定限期改造计划，改用天然气、页岩气、液化石油气、电或其他清洁能源。</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其他资源利用效率要求</w:t>
                  </w:r>
                </w:p>
                <w:p>
                  <w:pPr>
                    <w:pStyle w:val="84"/>
                    <w:spacing w:line="240" w:lineRule="auto"/>
                    <w:ind w:firstLine="0" w:firstLineChars="0"/>
                    <w:jc w:val="center"/>
                    <w:rPr>
                      <w:rFonts w:eastAsia="宋体"/>
                      <w:kern w:val="0"/>
                      <w:sz w:val="21"/>
                    </w:rPr>
                  </w:pPr>
                  <w:r>
                    <w:rPr>
                      <w:rFonts w:eastAsia="宋体"/>
                      <w:kern w:val="0"/>
                      <w:sz w:val="21"/>
                    </w:rPr>
                    <w:t>暂无</w:t>
                  </w:r>
                </w:p>
              </w:tc>
              <w:tc>
                <w:tcPr>
                  <w:tcW w:w="265"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污染物排放管控</w:t>
                  </w:r>
                </w:p>
              </w:tc>
              <w:tc>
                <w:tcPr>
                  <w:tcW w:w="893" w:type="pct"/>
                  <w:tcBorders>
                    <w:tl2br w:val="nil"/>
                    <w:tr2bl w:val="nil"/>
                  </w:tcBorders>
                  <w:vAlign w:val="center"/>
                </w:tcPr>
                <w:p>
                  <w:pPr>
                    <w:pStyle w:val="84"/>
                    <w:widowControl/>
                    <w:spacing w:line="240" w:lineRule="auto"/>
                    <w:ind w:firstLine="0" w:firstLineChars="0"/>
                    <w:jc w:val="left"/>
                    <w:rPr>
                      <w:rFonts w:eastAsia="宋体"/>
                      <w:sz w:val="21"/>
                    </w:rPr>
                  </w:pPr>
                  <w:r>
                    <w:rPr>
                      <w:rFonts w:eastAsia="宋体"/>
                      <w:sz w:val="21"/>
                    </w:rPr>
                    <w:t>现有源提标升级改造</w:t>
                  </w:r>
                </w:p>
                <w:p>
                  <w:pPr>
                    <w:pStyle w:val="84"/>
                    <w:widowControl/>
                    <w:spacing w:line="240" w:lineRule="auto"/>
                    <w:ind w:firstLine="0" w:firstLineChars="0"/>
                    <w:jc w:val="left"/>
                    <w:rPr>
                      <w:rFonts w:eastAsia="宋体"/>
                      <w:sz w:val="21"/>
                    </w:rPr>
                  </w:pPr>
                  <w:r>
                    <w:rPr>
                      <w:rFonts w:eastAsia="宋体"/>
                      <w:sz w:val="21"/>
                    </w:rPr>
                    <w:t>新增源等量或倍量替代</w:t>
                  </w:r>
                </w:p>
                <w:p>
                  <w:pPr>
                    <w:pStyle w:val="84"/>
                    <w:widowControl/>
                    <w:spacing w:line="240" w:lineRule="auto"/>
                    <w:ind w:firstLine="0" w:firstLineChars="0"/>
                    <w:jc w:val="left"/>
                    <w:rPr>
                      <w:rFonts w:eastAsia="宋体"/>
                      <w:sz w:val="21"/>
                    </w:rPr>
                  </w:pPr>
                  <w:r>
                    <w:rPr>
                      <w:rFonts w:eastAsia="宋体"/>
                      <w:sz w:val="21"/>
                    </w:rPr>
                    <w:t>新增源排放标准限值</w:t>
                  </w:r>
                </w:p>
                <w:p>
                  <w:pPr>
                    <w:pStyle w:val="84"/>
                    <w:widowControl/>
                    <w:spacing w:line="240" w:lineRule="auto"/>
                    <w:ind w:firstLine="0" w:firstLineChars="0"/>
                    <w:jc w:val="left"/>
                    <w:rPr>
                      <w:rFonts w:eastAsia="宋体"/>
                      <w:sz w:val="21"/>
                    </w:rPr>
                  </w:pPr>
                  <w:r>
                    <w:rPr>
                      <w:rFonts w:eastAsia="宋体"/>
                      <w:sz w:val="21"/>
                    </w:rPr>
                    <w:t>污染物排放绩效水平准入要求</w:t>
                  </w:r>
                </w:p>
                <w:p>
                  <w:pPr>
                    <w:pStyle w:val="84"/>
                    <w:widowControl/>
                    <w:spacing w:line="240" w:lineRule="auto"/>
                    <w:ind w:firstLine="0" w:firstLineChars="0"/>
                    <w:jc w:val="left"/>
                    <w:rPr>
                      <w:rFonts w:eastAsia="宋体"/>
                      <w:sz w:val="21"/>
                    </w:rPr>
                  </w:pPr>
                  <w:r>
                    <w:rPr>
                      <w:rFonts w:eastAsia="宋体"/>
                      <w:sz w:val="21"/>
                    </w:rPr>
                    <w:t>其他污染物排放管控要求</w:t>
                  </w:r>
                </w:p>
              </w:tc>
              <w:tc>
                <w:tcPr>
                  <w:tcW w:w="696"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本项目生产废水回用，不外排；生活污水（食堂废水经隔油池处理后）经化粪池收集后排入柳池工业园区污水处理厂处理达标后排放，废气、噪声能做到达标排放，固废合理处置。</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ZH51172230001</w:t>
                  </w:r>
                </w:p>
              </w:tc>
              <w:tc>
                <w:tcPr>
                  <w:tcW w:w="45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宣汉县一般管控单元</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r>
                    <w:rPr>
                      <w:rFonts w:eastAsia="宋体"/>
                      <w:kern w:val="0"/>
                      <w:sz w:val="21"/>
                    </w:rPr>
                    <w:t>空间布局约束：</w:t>
                  </w:r>
                </w:p>
                <w:p>
                  <w:pPr>
                    <w:pStyle w:val="84"/>
                    <w:spacing w:line="240" w:lineRule="auto"/>
                    <w:ind w:firstLine="0" w:firstLineChars="0"/>
                    <w:jc w:val="center"/>
                    <w:rPr>
                      <w:rFonts w:eastAsia="宋体"/>
                      <w:kern w:val="0"/>
                      <w:sz w:val="21"/>
                    </w:rPr>
                  </w:pPr>
                  <w:r>
                    <w:rPr>
                      <w:rFonts w:eastAsia="宋体"/>
                      <w:kern w:val="0"/>
                      <w:sz w:val="21"/>
                    </w:rPr>
                    <w:t>禁止开发建设活动的要求</w:t>
                  </w:r>
                </w:p>
                <w:p>
                  <w:pPr>
                    <w:pStyle w:val="84"/>
                    <w:spacing w:line="240" w:lineRule="auto"/>
                    <w:ind w:firstLine="0" w:firstLineChars="0"/>
                    <w:jc w:val="center"/>
                    <w:rPr>
                      <w:rFonts w:eastAsia="宋体"/>
                      <w:kern w:val="0"/>
                      <w:sz w:val="21"/>
                    </w:rPr>
                  </w:pPr>
                  <w:r>
                    <w:rPr>
                      <w:rFonts w:eastAsia="宋体"/>
                      <w:kern w:val="0"/>
                      <w:sz w:val="21"/>
                    </w:rPr>
                    <w:t>-禁止在长江干支流1公里范围内新建、扩建化工园区和化工项目。</w:t>
                  </w:r>
                </w:p>
                <w:p>
                  <w:pPr>
                    <w:pStyle w:val="84"/>
                    <w:spacing w:line="240" w:lineRule="auto"/>
                    <w:ind w:firstLine="0" w:firstLineChars="0"/>
                    <w:jc w:val="center"/>
                    <w:rPr>
                      <w:rFonts w:eastAsia="宋体"/>
                      <w:kern w:val="0"/>
                      <w:sz w:val="21"/>
                    </w:rPr>
                  </w:pPr>
                  <w:r>
                    <w:rPr>
                      <w:rFonts w:eastAsia="宋体"/>
                      <w:kern w:val="0"/>
                      <w:sz w:val="21"/>
                    </w:rPr>
                    <w:t>-禁止在法律法规规定的禁采区内新建矿山；禁止土法采、选、冶严重污染环境的矿产资源。</w:t>
                  </w:r>
                </w:p>
                <w:p>
                  <w:pPr>
                    <w:pStyle w:val="84"/>
                    <w:spacing w:line="240" w:lineRule="auto"/>
                    <w:ind w:firstLine="0" w:firstLineChars="0"/>
                    <w:jc w:val="center"/>
                    <w:rPr>
                      <w:rFonts w:eastAsia="宋体"/>
                      <w:kern w:val="0"/>
                      <w:sz w:val="21"/>
                    </w:rPr>
                  </w:pPr>
                  <w:r>
                    <w:rPr>
                      <w:rFonts w:eastAsia="宋体"/>
                      <w:kern w:val="0"/>
                      <w:sz w:val="21"/>
                    </w:rPr>
                    <w:t>-涉及永久基本农田的区域，除法律规定的重点建设项目选址确实无法避让外，其他任何建设不得占用。</w:t>
                  </w:r>
                </w:p>
                <w:p>
                  <w:pPr>
                    <w:pStyle w:val="84"/>
                    <w:spacing w:line="240" w:lineRule="auto"/>
                    <w:ind w:firstLine="0" w:firstLineChars="0"/>
                    <w:jc w:val="center"/>
                    <w:rPr>
                      <w:rFonts w:eastAsia="宋体"/>
                      <w:kern w:val="0"/>
                      <w:sz w:val="21"/>
                    </w:rPr>
                  </w:pPr>
                  <w:r>
                    <w:rPr>
                      <w:rFonts w:eastAsia="宋体"/>
                      <w:kern w:val="0"/>
                      <w:sz w:val="21"/>
                    </w:rPr>
                    <w:t>-禁止在长江流域河湖管理范围内倾倒、填埋、堆放、弃置、处理固体废物。</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限制开发建设活动的要求</w:t>
                  </w:r>
                </w:p>
                <w:p>
                  <w:pPr>
                    <w:pStyle w:val="84"/>
                    <w:spacing w:line="240" w:lineRule="auto"/>
                    <w:ind w:firstLine="0" w:firstLineChars="0"/>
                    <w:jc w:val="center"/>
                    <w:rPr>
                      <w:rFonts w:eastAsia="宋体"/>
                      <w:kern w:val="0"/>
                      <w:sz w:val="21"/>
                    </w:rPr>
                  </w:pPr>
                  <w:r>
                    <w:rPr>
                      <w:rFonts w:eastAsia="宋体"/>
                      <w:kern w:val="0"/>
                      <w:sz w:val="21"/>
                    </w:rPr>
                    <w:t>-按照相关要求严控水泥新增产能。</w:t>
                  </w:r>
                </w:p>
                <w:p>
                  <w:pPr>
                    <w:pStyle w:val="84"/>
                    <w:spacing w:line="240" w:lineRule="auto"/>
                    <w:ind w:firstLine="0" w:firstLineChars="0"/>
                    <w:jc w:val="center"/>
                    <w:rPr>
                      <w:rFonts w:eastAsia="宋体"/>
                      <w:kern w:val="0"/>
                      <w:sz w:val="21"/>
                    </w:rPr>
                  </w:pPr>
                  <w:r>
                    <w:rPr>
                      <w:rFonts w:eastAsia="宋体"/>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84"/>
                    <w:spacing w:line="240" w:lineRule="auto"/>
                    <w:ind w:firstLine="0" w:firstLineChars="0"/>
                    <w:jc w:val="center"/>
                    <w:rPr>
                      <w:rFonts w:eastAsia="宋体"/>
                      <w:kern w:val="0"/>
                      <w:sz w:val="21"/>
                    </w:rPr>
                  </w:pPr>
                  <w:r>
                    <w:rPr>
                      <w:rFonts w:eastAsia="宋体"/>
                      <w:kern w:val="0"/>
                      <w:sz w:val="21"/>
                    </w:rPr>
                    <w:t>按照相关要求严控水泥新增产能。</w:t>
                  </w:r>
                </w:p>
                <w:p>
                  <w:pPr>
                    <w:pStyle w:val="84"/>
                    <w:spacing w:line="240" w:lineRule="auto"/>
                    <w:ind w:firstLine="0" w:firstLineChars="0"/>
                    <w:jc w:val="center"/>
                    <w:rPr>
                      <w:rFonts w:eastAsia="宋体"/>
                      <w:kern w:val="0"/>
                      <w:sz w:val="21"/>
                    </w:rPr>
                  </w:pPr>
                  <w:r>
                    <w:rPr>
                      <w:rFonts w:eastAsia="宋体"/>
                      <w:kern w:val="0"/>
                      <w:sz w:val="21"/>
                    </w:rPr>
                    <w:t>禁止在长江干流岸线三公里范围内和重要支流岸线一公里范围内新建、改建、扩建尾矿库；但是以提升安全、生态环境保护水平为目的的改建除外。</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不符合空间布局要求活动的退出要求</w:t>
                  </w:r>
                </w:p>
                <w:p>
                  <w:pPr>
                    <w:pStyle w:val="84"/>
                    <w:spacing w:line="240" w:lineRule="auto"/>
                    <w:ind w:firstLine="0" w:firstLineChars="0"/>
                    <w:jc w:val="center"/>
                    <w:rPr>
                      <w:rFonts w:eastAsia="宋体"/>
                      <w:kern w:val="0"/>
                      <w:sz w:val="21"/>
                    </w:rPr>
                  </w:pPr>
                  <w:r>
                    <w:rPr>
                      <w:rFonts w:eastAsia="宋体"/>
                      <w:kern w:val="0"/>
                      <w:sz w:val="21"/>
                    </w:rPr>
                    <w:t>针对现有水泥企业，强化污染治理和污染物减排，依法依规整治或搬迁。</w:t>
                  </w:r>
                </w:p>
                <w:p>
                  <w:pPr>
                    <w:pStyle w:val="84"/>
                    <w:spacing w:line="240" w:lineRule="auto"/>
                    <w:ind w:firstLine="0" w:firstLineChars="0"/>
                    <w:jc w:val="center"/>
                    <w:rPr>
                      <w:rFonts w:eastAsia="宋体"/>
                      <w:kern w:val="0"/>
                      <w:sz w:val="21"/>
                    </w:rPr>
                  </w:pPr>
                  <w:r>
                    <w:rPr>
                      <w:rFonts w:eastAsia="宋体"/>
                      <w:kern w:val="0"/>
                      <w:sz w:val="21"/>
                    </w:rPr>
                    <w:t>全面取缔禁养区内规模化畜禽养殖场。</w:t>
                  </w:r>
                </w:p>
                <w:p>
                  <w:pPr>
                    <w:pStyle w:val="84"/>
                    <w:spacing w:line="240" w:lineRule="auto"/>
                    <w:ind w:firstLine="0" w:firstLineChars="0"/>
                    <w:jc w:val="center"/>
                    <w:rPr>
                      <w:rFonts w:eastAsia="宋体"/>
                      <w:kern w:val="0"/>
                      <w:sz w:val="21"/>
                    </w:rPr>
                  </w:pPr>
                  <w:r>
                    <w:rPr>
                      <w:rFonts w:eastAsia="宋体"/>
                      <w:kern w:val="0"/>
                      <w:sz w:val="21"/>
                    </w:rPr>
                    <w:t>2025年基本完成全域内“散乱污”企业整治工作。</w:t>
                  </w:r>
                </w:p>
                <w:p>
                  <w:pPr>
                    <w:pStyle w:val="84"/>
                    <w:spacing w:line="240" w:lineRule="auto"/>
                    <w:ind w:firstLine="0" w:firstLineChars="0"/>
                    <w:jc w:val="center"/>
                    <w:rPr>
                      <w:rFonts w:eastAsia="宋体"/>
                      <w:kern w:val="0"/>
                      <w:sz w:val="21"/>
                    </w:rPr>
                  </w:pPr>
                  <w:r>
                    <w:rPr>
                      <w:rFonts w:eastAsia="宋体"/>
                      <w:kern w:val="0"/>
                      <w:sz w:val="21"/>
                    </w:rPr>
                    <w:t>在全市范围深入开展集中整治“散乱污”工业企业，对不符合产业政策和规划布局的，一律责令停产、限期搬迁或关停；</w:t>
                  </w:r>
                </w:p>
                <w:p>
                  <w:pPr>
                    <w:pStyle w:val="84"/>
                    <w:spacing w:line="240" w:lineRule="auto"/>
                    <w:ind w:firstLine="0" w:firstLineChars="0"/>
                    <w:jc w:val="center"/>
                    <w:rPr>
                      <w:rFonts w:eastAsia="宋体"/>
                      <w:kern w:val="0"/>
                      <w:sz w:val="21"/>
                    </w:rPr>
                  </w:pPr>
                  <w:r>
                    <w:rPr>
                      <w:rFonts w:eastAsia="宋体"/>
                      <w:kern w:val="0"/>
                      <w:sz w:val="21"/>
                    </w:rPr>
                    <w:t>其他空间布局约束要求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污染物排放管控：</w:t>
                  </w:r>
                </w:p>
                <w:p>
                  <w:pPr>
                    <w:pStyle w:val="84"/>
                    <w:spacing w:line="240" w:lineRule="auto"/>
                    <w:ind w:firstLine="0" w:firstLineChars="0"/>
                    <w:jc w:val="center"/>
                    <w:rPr>
                      <w:rFonts w:eastAsia="宋体"/>
                      <w:kern w:val="0"/>
                      <w:sz w:val="21"/>
                    </w:rPr>
                  </w:pPr>
                  <w:r>
                    <w:rPr>
                      <w:rFonts w:eastAsia="宋体"/>
                      <w:kern w:val="0"/>
                      <w:sz w:val="21"/>
                    </w:rPr>
                    <w:t>允许排放量要求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现有源提标升级改造</w:t>
                  </w:r>
                </w:p>
                <w:p>
                  <w:pPr>
                    <w:pStyle w:val="84"/>
                    <w:spacing w:line="240" w:lineRule="auto"/>
                    <w:ind w:firstLine="0" w:firstLineChars="0"/>
                    <w:jc w:val="center"/>
                    <w:rPr>
                      <w:rFonts w:eastAsia="宋体"/>
                      <w:kern w:val="0"/>
                      <w:sz w:val="21"/>
                    </w:rPr>
                  </w:pPr>
                  <w:r>
                    <w:rPr>
                      <w:rFonts w:eastAsia="宋体"/>
                      <w:kern w:val="0"/>
                      <w:sz w:val="21"/>
                    </w:rPr>
                    <w:t>加快现有乡镇污水处理设施升级改造，按要求达《城镇污水处理厂污染物排放标准》一级A标后排放。</w:t>
                  </w:r>
                </w:p>
                <w:p>
                  <w:pPr>
                    <w:pStyle w:val="84"/>
                    <w:spacing w:line="240" w:lineRule="auto"/>
                    <w:ind w:firstLine="0" w:firstLineChars="0"/>
                    <w:jc w:val="center"/>
                    <w:rPr>
                      <w:rFonts w:eastAsia="宋体"/>
                      <w:kern w:val="0"/>
                      <w:sz w:val="21"/>
                    </w:rPr>
                  </w:pPr>
                  <w:r>
                    <w:rPr>
                      <w:rFonts w:eastAsia="宋体"/>
                      <w:kern w:val="0"/>
                      <w:sz w:val="21"/>
                    </w:rPr>
                    <w:t>在矿产资源开发活动集中区域，废水执行重金属污染物排放特别限值。</w:t>
                  </w:r>
                </w:p>
                <w:p>
                  <w:pPr>
                    <w:pStyle w:val="84"/>
                    <w:spacing w:line="240" w:lineRule="auto"/>
                    <w:ind w:firstLine="0" w:firstLineChars="0"/>
                    <w:jc w:val="center"/>
                    <w:rPr>
                      <w:rFonts w:eastAsia="宋体"/>
                      <w:kern w:val="0"/>
                      <w:sz w:val="21"/>
                    </w:rPr>
                  </w:pPr>
                  <w:r>
                    <w:rPr>
                      <w:rFonts w:eastAsia="宋体"/>
                      <w:kern w:val="0"/>
                      <w:sz w:val="21"/>
                    </w:rPr>
                    <w:t>火电、水泥等行业按相关要求推进大气污染物超低排放和深度治理。</w:t>
                  </w:r>
                </w:p>
                <w:p>
                  <w:pPr>
                    <w:pStyle w:val="84"/>
                    <w:spacing w:line="240" w:lineRule="auto"/>
                    <w:ind w:firstLine="0" w:firstLineChars="0"/>
                    <w:jc w:val="center"/>
                    <w:rPr>
                      <w:rFonts w:eastAsia="宋体"/>
                      <w:kern w:val="0"/>
                      <w:sz w:val="21"/>
                    </w:rPr>
                  </w:pPr>
                  <w:r>
                    <w:rPr>
                      <w:rFonts w:eastAsia="宋体"/>
                      <w:kern w:val="0"/>
                      <w:sz w:val="21"/>
                    </w:rPr>
                    <w:t>砖瓦行业实施脱硫、除尘升级改造，污染物排放达到《砖瓦工业大气污染物排放标准》相关要求。</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其他污染物排放管控要求</w:t>
                  </w:r>
                </w:p>
                <w:p>
                  <w:pPr>
                    <w:pStyle w:val="84"/>
                    <w:spacing w:line="240" w:lineRule="auto"/>
                    <w:ind w:firstLine="0" w:firstLineChars="0"/>
                    <w:jc w:val="center"/>
                    <w:rPr>
                      <w:rFonts w:eastAsia="宋体"/>
                      <w:kern w:val="0"/>
                      <w:sz w:val="21"/>
                    </w:rPr>
                  </w:pPr>
                  <w:r>
                    <w:rPr>
                      <w:rFonts w:eastAsia="宋体"/>
                      <w:kern w:val="0"/>
                      <w:sz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84"/>
                    <w:spacing w:line="240" w:lineRule="auto"/>
                    <w:ind w:firstLine="0" w:firstLineChars="0"/>
                    <w:jc w:val="center"/>
                    <w:rPr>
                      <w:rFonts w:eastAsia="宋体"/>
                      <w:kern w:val="0"/>
                      <w:sz w:val="21"/>
                    </w:rPr>
                  </w:pPr>
                  <w:r>
                    <w:rPr>
                      <w:rFonts w:eastAsia="宋体"/>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84"/>
                    <w:spacing w:line="240" w:lineRule="auto"/>
                    <w:ind w:firstLine="0" w:firstLineChars="0"/>
                    <w:jc w:val="center"/>
                    <w:rPr>
                      <w:rFonts w:eastAsia="宋体"/>
                      <w:kern w:val="0"/>
                      <w:sz w:val="21"/>
                    </w:rPr>
                  </w:pPr>
                  <w:r>
                    <w:rPr>
                      <w:rFonts w:eastAsia="宋体"/>
                      <w:kern w:val="0"/>
                      <w:sz w:val="21"/>
                    </w:rPr>
                    <w:t>-到2023年底，力争全市生活垃圾焚烧处理能力占比达60%以上，各县（市）生活垃圾无害化处理率保持95%以上，乡镇及行政村生活垃圾收转运处置体系基本实现全覆盖。</w:t>
                  </w:r>
                </w:p>
                <w:p>
                  <w:pPr>
                    <w:pStyle w:val="84"/>
                    <w:spacing w:line="240" w:lineRule="auto"/>
                    <w:ind w:firstLine="0" w:firstLineChars="0"/>
                    <w:jc w:val="center"/>
                    <w:rPr>
                      <w:rFonts w:eastAsia="宋体"/>
                      <w:kern w:val="0"/>
                      <w:sz w:val="21"/>
                    </w:rPr>
                  </w:pPr>
                  <w:r>
                    <w:rPr>
                      <w:rFonts w:eastAsia="宋体"/>
                      <w:kern w:val="0"/>
                      <w:sz w:val="21"/>
                    </w:rPr>
                    <w:t>-到2025年，农药包装废弃物回收率达80%；粮油绿色高质高效示范区、茶叶主产区和现代农业园区农药包装废弃物回收率100%。</w:t>
                  </w:r>
                </w:p>
                <w:p>
                  <w:pPr>
                    <w:pStyle w:val="84"/>
                    <w:spacing w:line="240" w:lineRule="auto"/>
                    <w:ind w:firstLine="0" w:firstLineChars="0"/>
                    <w:jc w:val="center"/>
                    <w:rPr>
                      <w:rFonts w:eastAsia="宋体"/>
                      <w:kern w:val="0"/>
                      <w:sz w:val="21"/>
                    </w:rPr>
                  </w:pPr>
                  <w:r>
                    <w:rPr>
                      <w:rFonts w:eastAsia="宋体"/>
                      <w:kern w:val="0"/>
                      <w:sz w:val="21"/>
                    </w:rPr>
                    <w:t>-到2025年，全国主要农作物化肥、农药利用率达43%，测土配方施肥技术推广覆盖率保持在90%以上，控制农村面源污染，采取灌排分离等措施控制农田氮磷流失。</w:t>
                  </w:r>
                </w:p>
                <w:p>
                  <w:pPr>
                    <w:pStyle w:val="84"/>
                    <w:spacing w:line="240" w:lineRule="auto"/>
                    <w:ind w:firstLine="0" w:firstLineChars="0"/>
                    <w:jc w:val="center"/>
                    <w:rPr>
                      <w:rFonts w:eastAsia="宋体"/>
                      <w:kern w:val="0"/>
                      <w:sz w:val="21"/>
                    </w:rPr>
                  </w:pPr>
                  <w:r>
                    <w:rPr>
                      <w:rFonts w:eastAsia="宋体"/>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84"/>
                    <w:spacing w:line="240" w:lineRule="auto"/>
                    <w:ind w:firstLine="0" w:firstLineChars="0"/>
                    <w:jc w:val="center"/>
                    <w:rPr>
                      <w:rFonts w:eastAsia="宋体"/>
                      <w:kern w:val="0"/>
                      <w:sz w:val="21"/>
                    </w:rPr>
                  </w:pPr>
                  <w:r>
                    <w:rPr>
                      <w:rFonts w:eastAsia="宋体"/>
                      <w:kern w:val="0"/>
                      <w:sz w:val="21"/>
                    </w:rPr>
                    <w:t>-到2025年，废旧农膜回收利用率达到85%以上。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环境风险防控：</w:t>
                  </w:r>
                </w:p>
                <w:p>
                  <w:pPr>
                    <w:pStyle w:val="84"/>
                    <w:spacing w:line="240" w:lineRule="auto"/>
                    <w:ind w:firstLine="0" w:firstLineChars="0"/>
                    <w:jc w:val="center"/>
                    <w:rPr>
                      <w:rFonts w:eastAsia="宋体"/>
                      <w:kern w:val="0"/>
                      <w:sz w:val="21"/>
                    </w:rPr>
                  </w:pPr>
                  <w:r>
                    <w:rPr>
                      <w:rFonts w:eastAsia="宋体"/>
                      <w:kern w:val="0"/>
                      <w:sz w:val="21"/>
                    </w:rPr>
                    <w:t>联防联控要求</w:t>
                  </w:r>
                </w:p>
                <w:p>
                  <w:pPr>
                    <w:pStyle w:val="84"/>
                    <w:spacing w:line="240" w:lineRule="auto"/>
                    <w:ind w:firstLine="0" w:firstLineChars="0"/>
                    <w:jc w:val="center"/>
                    <w:rPr>
                      <w:rFonts w:eastAsia="宋体"/>
                      <w:kern w:val="0"/>
                      <w:sz w:val="21"/>
                    </w:rPr>
                  </w:pPr>
                  <w:r>
                    <w:rPr>
                      <w:rFonts w:eastAsia="宋体"/>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spacing w:line="240" w:lineRule="auto"/>
                    <w:ind w:firstLine="0" w:firstLineChars="0"/>
                    <w:jc w:val="center"/>
                    <w:rPr>
                      <w:rFonts w:eastAsia="宋体"/>
                      <w:kern w:val="0"/>
                      <w:sz w:val="21"/>
                    </w:rPr>
                  </w:pPr>
                  <w:r>
                    <w:rPr>
                      <w:rFonts w:eastAsia="宋体"/>
                      <w:kern w:val="0"/>
                      <w:sz w:val="21"/>
                    </w:rPr>
                    <w:t>其他环境风险防控要求</w:t>
                  </w:r>
                </w:p>
                <w:p>
                  <w:pPr>
                    <w:pStyle w:val="84"/>
                    <w:spacing w:line="240" w:lineRule="auto"/>
                    <w:ind w:firstLine="0" w:firstLineChars="0"/>
                    <w:jc w:val="center"/>
                    <w:rPr>
                      <w:rFonts w:eastAsia="宋体"/>
                      <w:kern w:val="0"/>
                      <w:sz w:val="21"/>
                    </w:rPr>
                  </w:pPr>
                  <w:r>
                    <w:rPr>
                      <w:rFonts w:eastAsia="宋体"/>
                      <w:kern w:val="0"/>
                      <w:sz w:val="21"/>
                    </w:rPr>
                    <w:t>企业环境风险防控要求:工业企业退出用地，须经评估、修复满足相应用地功能后，方可改变用途。</w:t>
                  </w:r>
                </w:p>
                <w:p>
                  <w:pPr>
                    <w:pStyle w:val="84"/>
                    <w:spacing w:line="240" w:lineRule="auto"/>
                    <w:ind w:firstLine="0" w:firstLineChars="0"/>
                    <w:jc w:val="center"/>
                    <w:rPr>
                      <w:rFonts w:eastAsia="宋体"/>
                      <w:kern w:val="0"/>
                      <w:sz w:val="21"/>
                    </w:rPr>
                  </w:pPr>
                  <w:r>
                    <w:rPr>
                      <w:rFonts w:eastAsia="宋体"/>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84"/>
                    <w:spacing w:line="240" w:lineRule="auto"/>
                    <w:ind w:firstLine="0" w:firstLineChars="0"/>
                    <w:jc w:val="center"/>
                    <w:rPr>
                      <w:rFonts w:eastAsia="宋体"/>
                      <w:kern w:val="0"/>
                      <w:sz w:val="21"/>
                    </w:rPr>
                  </w:pPr>
                  <w:r>
                    <w:rPr>
                      <w:rFonts w:eastAsia="宋体"/>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84"/>
                    <w:spacing w:line="240" w:lineRule="auto"/>
                    <w:ind w:firstLine="0" w:firstLineChars="0"/>
                    <w:jc w:val="center"/>
                    <w:rPr>
                      <w:rFonts w:eastAsia="宋体"/>
                      <w:kern w:val="0"/>
                      <w:sz w:val="21"/>
                    </w:rPr>
                  </w:pPr>
                  <w:r>
                    <w:rPr>
                      <w:rFonts w:eastAsia="宋体"/>
                      <w:kern w:val="0"/>
                      <w:sz w:val="21"/>
                    </w:rPr>
                    <w:t>规范排土场、渣场等整治。禁止处理不达标的污泥进入耕地。</w:t>
                  </w:r>
                </w:p>
                <w:p>
                  <w:pPr>
                    <w:pStyle w:val="84"/>
                    <w:spacing w:line="240" w:lineRule="auto"/>
                    <w:ind w:firstLine="0" w:firstLineChars="0"/>
                    <w:jc w:val="center"/>
                    <w:rPr>
                      <w:rFonts w:eastAsia="宋体"/>
                      <w:kern w:val="0"/>
                      <w:sz w:val="21"/>
                    </w:rPr>
                  </w:pPr>
                  <w:r>
                    <w:rPr>
                      <w:rFonts w:eastAsia="宋体"/>
                      <w:kern w:val="0"/>
                      <w:sz w:val="21"/>
                    </w:rPr>
                    <w:t>严格控制林地、草地、园地的农药使用量，禁止使用高毒、高残留农药。</w:t>
                  </w:r>
                </w:p>
                <w:p>
                  <w:pPr>
                    <w:pStyle w:val="84"/>
                    <w:spacing w:line="240" w:lineRule="auto"/>
                    <w:ind w:firstLine="0" w:firstLineChars="0"/>
                    <w:jc w:val="center"/>
                    <w:rPr>
                      <w:rFonts w:eastAsia="宋体"/>
                      <w:kern w:val="0"/>
                      <w:sz w:val="21"/>
                    </w:rPr>
                  </w:pPr>
                  <w:r>
                    <w:rPr>
                      <w:rFonts w:eastAsia="宋体"/>
                      <w:kern w:val="0"/>
                      <w:sz w:val="21"/>
                    </w:rPr>
                    <w:t>到2030年，全市受污染耕地安全利用率达到95%以上，污染地块安全利用率达到95%以上。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资源开发利用效率要求：</w:t>
                  </w:r>
                </w:p>
                <w:p>
                  <w:pPr>
                    <w:pStyle w:val="84"/>
                    <w:spacing w:line="240" w:lineRule="auto"/>
                    <w:ind w:firstLine="0" w:firstLineChars="0"/>
                    <w:jc w:val="center"/>
                    <w:rPr>
                      <w:rFonts w:eastAsia="宋体"/>
                      <w:kern w:val="0"/>
                      <w:sz w:val="21"/>
                    </w:rPr>
                  </w:pPr>
                  <w:r>
                    <w:rPr>
                      <w:rFonts w:eastAsia="宋体"/>
                      <w:kern w:val="0"/>
                      <w:sz w:val="21"/>
                    </w:rPr>
                    <w:t>水资源利用总量要求</w:t>
                  </w:r>
                </w:p>
                <w:p>
                  <w:pPr>
                    <w:pStyle w:val="84"/>
                    <w:spacing w:line="240" w:lineRule="auto"/>
                    <w:ind w:firstLine="0" w:firstLineChars="0"/>
                    <w:jc w:val="center"/>
                    <w:rPr>
                      <w:rFonts w:eastAsia="宋体"/>
                      <w:kern w:val="0"/>
                      <w:sz w:val="21"/>
                    </w:rPr>
                  </w:pPr>
                  <w:r>
                    <w:rPr>
                      <w:rFonts w:eastAsia="宋体"/>
                      <w:kern w:val="0"/>
                      <w:sz w:val="21"/>
                    </w:rPr>
                    <w:t>-到2025年，农田灌溉水有效利用系数达到0.57以上。</w:t>
                  </w:r>
                </w:p>
                <w:p>
                  <w:pPr>
                    <w:pStyle w:val="84"/>
                    <w:spacing w:line="240" w:lineRule="auto"/>
                    <w:ind w:firstLine="0" w:firstLineChars="0"/>
                    <w:jc w:val="center"/>
                    <w:rPr>
                      <w:rFonts w:eastAsia="宋体"/>
                      <w:kern w:val="0"/>
                      <w:sz w:val="21"/>
                    </w:rPr>
                  </w:pPr>
                  <w:r>
                    <w:rPr>
                      <w:rFonts w:eastAsia="宋体"/>
                      <w:kern w:val="0"/>
                      <w:sz w:val="21"/>
                    </w:rPr>
                    <w:t>地下水开采要求</w:t>
                  </w:r>
                </w:p>
                <w:p>
                  <w:pPr>
                    <w:pStyle w:val="84"/>
                    <w:spacing w:line="240" w:lineRule="auto"/>
                    <w:ind w:firstLine="0" w:firstLineChars="0"/>
                    <w:jc w:val="center"/>
                    <w:rPr>
                      <w:rFonts w:eastAsia="宋体"/>
                      <w:kern w:val="0"/>
                      <w:sz w:val="21"/>
                    </w:rPr>
                  </w:pPr>
                  <w:r>
                    <w:rPr>
                      <w:rFonts w:eastAsia="宋体"/>
                      <w:kern w:val="0"/>
                      <w:sz w:val="21"/>
                    </w:rPr>
                    <w:t>以省市下发指标为准</w:t>
                  </w:r>
                </w:p>
                <w:p>
                  <w:pPr>
                    <w:pStyle w:val="84"/>
                    <w:spacing w:line="240" w:lineRule="auto"/>
                    <w:ind w:firstLine="0" w:firstLineChars="0"/>
                    <w:jc w:val="center"/>
                    <w:rPr>
                      <w:rFonts w:eastAsia="宋体"/>
                      <w:kern w:val="0"/>
                      <w:sz w:val="21"/>
                    </w:rPr>
                  </w:pPr>
                  <w:r>
                    <w:rPr>
                      <w:rFonts w:eastAsia="宋体"/>
                      <w:kern w:val="0"/>
                      <w:sz w:val="21"/>
                    </w:rPr>
                    <w:t>能源利用总量及效率要求</w:t>
                  </w:r>
                </w:p>
                <w:p>
                  <w:pPr>
                    <w:pStyle w:val="84"/>
                    <w:spacing w:line="240" w:lineRule="auto"/>
                    <w:ind w:firstLine="0" w:firstLineChars="0"/>
                    <w:jc w:val="center"/>
                    <w:rPr>
                      <w:rFonts w:eastAsia="宋体"/>
                      <w:kern w:val="0"/>
                      <w:sz w:val="21"/>
                    </w:rPr>
                  </w:pPr>
                  <w:r>
                    <w:rPr>
                      <w:rFonts w:eastAsia="宋体"/>
                      <w:kern w:val="0"/>
                      <w:sz w:val="21"/>
                    </w:rPr>
                    <w:t>推进清洁能源的推广使用，全面推进散煤清洁化整治；禁止新建每小时10蒸吨以下的燃煤锅炉及其他燃煤设施。</w:t>
                  </w:r>
                </w:p>
                <w:p>
                  <w:pPr>
                    <w:pStyle w:val="84"/>
                    <w:spacing w:line="240" w:lineRule="auto"/>
                    <w:ind w:firstLine="0" w:firstLineChars="0"/>
                    <w:jc w:val="center"/>
                    <w:rPr>
                      <w:rFonts w:eastAsia="宋体"/>
                      <w:kern w:val="0"/>
                      <w:sz w:val="21"/>
                    </w:rPr>
                  </w:pPr>
                  <w:r>
                    <w:rPr>
                      <w:rFonts w:eastAsia="宋体"/>
                      <w:kern w:val="0"/>
                      <w:sz w:val="21"/>
                    </w:rPr>
                    <w:t>禁止焚烧秸秆和垃圾，到2025年底，秸秆综合利用率达到86%以上。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禁燃区要求</w:t>
                  </w:r>
                </w:p>
                <w:p>
                  <w:pPr>
                    <w:pStyle w:val="84"/>
                    <w:spacing w:line="240" w:lineRule="auto"/>
                    <w:ind w:firstLine="0" w:firstLineChars="0"/>
                    <w:jc w:val="center"/>
                    <w:rPr>
                      <w:rFonts w:eastAsia="宋体"/>
                      <w:kern w:val="0"/>
                      <w:sz w:val="21"/>
                    </w:rPr>
                  </w:pPr>
                  <w:r>
                    <w:rPr>
                      <w:rFonts w:eastAsia="宋体"/>
                      <w:kern w:val="0"/>
                      <w:sz w:val="21"/>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84"/>
                    <w:spacing w:line="240" w:lineRule="auto"/>
                    <w:ind w:firstLine="0" w:firstLineChars="0"/>
                    <w:jc w:val="center"/>
                    <w:rPr>
                      <w:rFonts w:eastAsia="宋体"/>
                      <w:kern w:val="0"/>
                      <w:sz w:val="21"/>
                    </w:rPr>
                  </w:pPr>
                  <w:r>
                    <w:rPr>
                      <w:rFonts w:eastAsia="宋体"/>
                      <w:kern w:val="0"/>
                      <w:sz w:val="21"/>
                    </w:rPr>
                    <w:t>-禁燃区内禁止销售、燃用高污染燃料；禁止新建、改建、扩建燃用高污染燃料的设施和设备。</w:t>
                  </w:r>
                </w:p>
                <w:p>
                  <w:pPr>
                    <w:pStyle w:val="84"/>
                    <w:spacing w:line="240" w:lineRule="auto"/>
                    <w:ind w:firstLine="0" w:firstLineChars="0"/>
                    <w:jc w:val="center"/>
                    <w:rPr>
                      <w:rFonts w:eastAsia="宋体"/>
                      <w:kern w:val="0"/>
                      <w:sz w:val="21"/>
                    </w:rPr>
                  </w:pPr>
                  <w:r>
                    <w:rPr>
                      <w:rFonts w:eastAsia="宋体"/>
                      <w:kern w:val="0"/>
                      <w:sz w:val="21"/>
                    </w:rPr>
                    <w:t>-禁燃区内已建成的高污染燃料燃用设施由辖区人民政府制定限期改造计划，改用天然气、页岩气、液化石油气、电或其他清洁能源。</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其他资源利用效率要求</w:t>
                  </w:r>
                </w:p>
                <w:p>
                  <w:pPr>
                    <w:pStyle w:val="84"/>
                    <w:spacing w:line="240" w:lineRule="auto"/>
                    <w:ind w:firstLine="0" w:firstLineChars="0"/>
                    <w:jc w:val="center"/>
                    <w:rPr>
                      <w:rFonts w:eastAsia="宋体"/>
                      <w:kern w:val="0"/>
                      <w:sz w:val="21"/>
                    </w:rPr>
                  </w:pPr>
                  <w:r>
                    <w:rPr>
                      <w:rFonts w:eastAsia="宋体"/>
                      <w:kern w:val="0"/>
                      <w:sz w:val="21"/>
                    </w:rPr>
                    <w:t>暂无</w:t>
                  </w:r>
                </w:p>
              </w:tc>
              <w:tc>
                <w:tcPr>
                  <w:tcW w:w="265"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环境风险防控</w:t>
                  </w:r>
                </w:p>
              </w:tc>
              <w:tc>
                <w:tcPr>
                  <w:tcW w:w="893" w:type="pct"/>
                  <w:tcBorders>
                    <w:tl2br w:val="nil"/>
                    <w:tr2bl w:val="nil"/>
                  </w:tcBorders>
                  <w:vAlign w:val="center"/>
                </w:tcPr>
                <w:p>
                  <w:pPr>
                    <w:pStyle w:val="84"/>
                    <w:widowControl/>
                    <w:spacing w:line="240" w:lineRule="auto"/>
                    <w:ind w:firstLine="0" w:firstLineChars="0"/>
                    <w:jc w:val="left"/>
                    <w:rPr>
                      <w:rFonts w:eastAsia="宋体"/>
                      <w:sz w:val="21"/>
                    </w:rPr>
                  </w:pPr>
                  <w:r>
                    <w:rPr>
                      <w:rFonts w:eastAsia="宋体"/>
                      <w:sz w:val="21"/>
                    </w:rPr>
                    <w:t>严格管控类农用地管控要求</w:t>
                  </w:r>
                </w:p>
                <w:p>
                  <w:pPr>
                    <w:pStyle w:val="84"/>
                    <w:widowControl/>
                    <w:spacing w:line="240" w:lineRule="auto"/>
                    <w:ind w:firstLine="0" w:firstLineChars="0"/>
                    <w:jc w:val="left"/>
                    <w:rPr>
                      <w:rFonts w:eastAsia="宋体"/>
                      <w:sz w:val="21"/>
                    </w:rPr>
                  </w:pPr>
                  <w:r>
                    <w:rPr>
                      <w:rFonts w:eastAsia="宋体"/>
                      <w:sz w:val="21"/>
                    </w:rPr>
                    <w:t>安全利用类农用地管控要求</w:t>
                  </w:r>
                </w:p>
                <w:p>
                  <w:pPr>
                    <w:pStyle w:val="84"/>
                    <w:widowControl/>
                    <w:spacing w:line="240" w:lineRule="auto"/>
                    <w:ind w:firstLine="0" w:firstLineChars="0"/>
                    <w:jc w:val="left"/>
                    <w:rPr>
                      <w:rFonts w:eastAsia="宋体"/>
                      <w:sz w:val="21"/>
                    </w:rPr>
                  </w:pPr>
                  <w:r>
                    <w:rPr>
                      <w:rFonts w:eastAsia="宋体"/>
                      <w:sz w:val="21"/>
                    </w:rPr>
                    <w:t>污染地块管控要求</w:t>
                  </w:r>
                </w:p>
                <w:p>
                  <w:pPr>
                    <w:pStyle w:val="84"/>
                    <w:widowControl/>
                    <w:spacing w:line="240" w:lineRule="auto"/>
                    <w:ind w:firstLine="0" w:firstLineChars="0"/>
                    <w:jc w:val="left"/>
                    <w:rPr>
                      <w:rFonts w:eastAsia="宋体"/>
                      <w:sz w:val="21"/>
                    </w:rPr>
                  </w:pPr>
                  <w:r>
                    <w:rPr>
                      <w:rFonts w:eastAsia="宋体"/>
                      <w:sz w:val="21"/>
                    </w:rPr>
                    <w:t>园区环境风险防控要求</w:t>
                  </w:r>
                </w:p>
                <w:p>
                  <w:pPr>
                    <w:pStyle w:val="84"/>
                    <w:widowControl/>
                    <w:spacing w:line="240" w:lineRule="auto"/>
                    <w:ind w:firstLine="0" w:firstLineChars="0"/>
                    <w:jc w:val="left"/>
                    <w:rPr>
                      <w:rFonts w:eastAsia="宋体"/>
                      <w:sz w:val="21"/>
                    </w:rPr>
                  </w:pPr>
                  <w:r>
                    <w:rPr>
                      <w:rFonts w:eastAsia="宋体"/>
                      <w:sz w:val="21"/>
                    </w:rPr>
                    <w:t>企业环境风险防控要求</w:t>
                  </w:r>
                </w:p>
                <w:p>
                  <w:pPr>
                    <w:pStyle w:val="84"/>
                    <w:widowControl/>
                    <w:spacing w:line="240" w:lineRule="auto"/>
                    <w:ind w:firstLine="0" w:firstLineChars="0"/>
                    <w:jc w:val="left"/>
                    <w:rPr>
                      <w:rFonts w:eastAsia="宋体"/>
                      <w:sz w:val="21"/>
                    </w:rPr>
                  </w:pPr>
                  <w:r>
                    <w:rPr>
                      <w:rFonts w:eastAsia="宋体"/>
                      <w:sz w:val="21"/>
                    </w:rPr>
                    <w:t>其他环境风险防控要求</w:t>
                  </w:r>
                </w:p>
              </w:tc>
              <w:tc>
                <w:tcPr>
                  <w:tcW w:w="696"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本项目涉及的风险物质与环节将采取相应的风险防控措施</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ZH51172230001</w:t>
                  </w:r>
                </w:p>
              </w:tc>
              <w:tc>
                <w:tcPr>
                  <w:tcW w:w="45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宣汉县一般管控单元</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r>
                    <w:rPr>
                      <w:rFonts w:eastAsia="宋体"/>
                      <w:kern w:val="0"/>
                      <w:sz w:val="21"/>
                    </w:rPr>
                    <w:t>空间布局约束：</w:t>
                  </w:r>
                </w:p>
                <w:p>
                  <w:pPr>
                    <w:pStyle w:val="84"/>
                    <w:spacing w:line="240" w:lineRule="auto"/>
                    <w:ind w:firstLine="0" w:firstLineChars="0"/>
                    <w:jc w:val="center"/>
                    <w:rPr>
                      <w:rFonts w:eastAsia="宋体"/>
                      <w:kern w:val="0"/>
                      <w:sz w:val="21"/>
                    </w:rPr>
                  </w:pPr>
                  <w:r>
                    <w:rPr>
                      <w:rFonts w:eastAsia="宋体"/>
                      <w:kern w:val="0"/>
                      <w:sz w:val="21"/>
                    </w:rPr>
                    <w:t>禁止开发建设活动的要求</w:t>
                  </w:r>
                </w:p>
                <w:p>
                  <w:pPr>
                    <w:pStyle w:val="84"/>
                    <w:spacing w:line="240" w:lineRule="auto"/>
                    <w:ind w:firstLine="0" w:firstLineChars="0"/>
                    <w:jc w:val="center"/>
                    <w:rPr>
                      <w:rFonts w:eastAsia="宋体"/>
                      <w:kern w:val="0"/>
                      <w:sz w:val="21"/>
                    </w:rPr>
                  </w:pPr>
                  <w:r>
                    <w:rPr>
                      <w:rFonts w:eastAsia="宋体"/>
                      <w:kern w:val="0"/>
                      <w:sz w:val="21"/>
                    </w:rPr>
                    <w:t>-禁止在长江干支流1公里范围内新建、扩建化工园区和化工项目。</w:t>
                  </w:r>
                </w:p>
                <w:p>
                  <w:pPr>
                    <w:pStyle w:val="84"/>
                    <w:spacing w:line="240" w:lineRule="auto"/>
                    <w:ind w:firstLine="0" w:firstLineChars="0"/>
                    <w:jc w:val="center"/>
                    <w:rPr>
                      <w:rFonts w:eastAsia="宋体"/>
                      <w:kern w:val="0"/>
                      <w:sz w:val="21"/>
                    </w:rPr>
                  </w:pPr>
                  <w:r>
                    <w:rPr>
                      <w:rFonts w:eastAsia="宋体"/>
                      <w:kern w:val="0"/>
                      <w:sz w:val="21"/>
                    </w:rPr>
                    <w:t>-禁止在法律法规规定的禁采区内新建矿山；禁止土法采、选、冶严重污染环境的矿产资源。</w:t>
                  </w:r>
                </w:p>
                <w:p>
                  <w:pPr>
                    <w:pStyle w:val="84"/>
                    <w:spacing w:line="240" w:lineRule="auto"/>
                    <w:ind w:firstLine="0" w:firstLineChars="0"/>
                    <w:jc w:val="center"/>
                    <w:rPr>
                      <w:rFonts w:eastAsia="宋体"/>
                      <w:kern w:val="0"/>
                      <w:sz w:val="21"/>
                    </w:rPr>
                  </w:pPr>
                  <w:r>
                    <w:rPr>
                      <w:rFonts w:eastAsia="宋体"/>
                      <w:kern w:val="0"/>
                      <w:sz w:val="21"/>
                    </w:rPr>
                    <w:t>-涉及永久基本农田的区域，除法律规定的重点建设项目选址确实无法避让外，其他任何建设不得占用。</w:t>
                  </w:r>
                </w:p>
                <w:p>
                  <w:pPr>
                    <w:pStyle w:val="84"/>
                    <w:spacing w:line="240" w:lineRule="auto"/>
                    <w:ind w:firstLine="0" w:firstLineChars="0"/>
                    <w:jc w:val="center"/>
                    <w:rPr>
                      <w:rFonts w:eastAsia="宋体"/>
                      <w:kern w:val="0"/>
                      <w:sz w:val="21"/>
                    </w:rPr>
                  </w:pPr>
                  <w:r>
                    <w:rPr>
                      <w:rFonts w:eastAsia="宋体"/>
                      <w:kern w:val="0"/>
                      <w:sz w:val="21"/>
                    </w:rPr>
                    <w:t>-禁止在长江流域河湖管理范围内倾倒、填埋、堆放、弃置、处理固体废物。</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限制开发建设活动的要求</w:t>
                  </w:r>
                </w:p>
                <w:p>
                  <w:pPr>
                    <w:pStyle w:val="84"/>
                    <w:spacing w:line="240" w:lineRule="auto"/>
                    <w:ind w:firstLine="0" w:firstLineChars="0"/>
                    <w:jc w:val="center"/>
                    <w:rPr>
                      <w:rFonts w:eastAsia="宋体"/>
                      <w:kern w:val="0"/>
                      <w:sz w:val="21"/>
                    </w:rPr>
                  </w:pPr>
                  <w:r>
                    <w:rPr>
                      <w:rFonts w:eastAsia="宋体"/>
                      <w:kern w:val="0"/>
                      <w:sz w:val="21"/>
                    </w:rPr>
                    <w:t>-按照相关要求严控水泥新增产能。</w:t>
                  </w:r>
                </w:p>
                <w:p>
                  <w:pPr>
                    <w:pStyle w:val="84"/>
                    <w:spacing w:line="240" w:lineRule="auto"/>
                    <w:ind w:firstLine="0" w:firstLineChars="0"/>
                    <w:jc w:val="center"/>
                    <w:rPr>
                      <w:rFonts w:eastAsia="宋体"/>
                      <w:kern w:val="0"/>
                      <w:sz w:val="21"/>
                    </w:rPr>
                  </w:pPr>
                  <w:r>
                    <w:rPr>
                      <w:rFonts w:eastAsia="宋体"/>
                      <w:kern w:val="0"/>
                      <w:sz w:val="21"/>
                    </w:rPr>
                    <w:t>涉及法定保护地，严格按照国家及地方法律法规、管理办法等相关要求进行控制。配套旅游、基础设施等建设项目，在符合规划和相关保护要求的前提下，应实施生态避让、减缓影响及生态恢复措施。</w:t>
                  </w:r>
                </w:p>
                <w:p>
                  <w:pPr>
                    <w:pStyle w:val="84"/>
                    <w:spacing w:line="240" w:lineRule="auto"/>
                    <w:ind w:firstLine="0" w:firstLineChars="0"/>
                    <w:jc w:val="center"/>
                    <w:rPr>
                      <w:rFonts w:eastAsia="宋体"/>
                      <w:kern w:val="0"/>
                      <w:sz w:val="21"/>
                    </w:rPr>
                  </w:pPr>
                  <w:r>
                    <w:rPr>
                      <w:rFonts w:eastAsia="宋体"/>
                      <w:kern w:val="0"/>
                      <w:sz w:val="21"/>
                    </w:rPr>
                    <w:t>按照相关要求严控水泥新增产能。</w:t>
                  </w:r>
                </w:p>
                <w:p>
                  <w:pPr>
                    <w:pStyle w:val="84"/>
                    <w:spacing w:line="240" w:lineRule="auto"/>
                    <w:ind w:firstLine="0" w:firstLineChars="0"/>
                    <w:jc w:val="center"/>
                    <w:rPr>
                      <w:rFonts w:eastAsia="宋体"/>
                      <w:kern w:val="0"/>
                      <w:sz w:val="21"/>
                    </w:rPr>
                  </w:pPr>
                  <w:r>
                    <w:rPr>
                      <w:rFonts w:eastAsia="宋体"/>
                      <w:kern w:val="0"/>
                      <w:sz w:val="21"/>
                    </w:rPr>
                    <w:t>禁止在长江干流岸线三公里范围内和重要支流岸线一公里范围内新建、改建、扩建尾矿库；但是以提升安全、生态环境保护水平为目的的改建除外。</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不符合空间布局要求活动的退出要求</w:t>
                  </w:r>
                </w:p>
                <w:p>
                  <w:pPr>
                    <w:pStyle w:val="84"/>
                    <w:spacing w:line="240" w:lineRule="auto"/>
                    <w:ind w:firstLine="0" w:firstLineChars="0"/>
                    <w:jc w:val="center"/>
                    <w:rPr>
                      <w:rFonts w:eastAsia="宋体"/>
                      <w:kern w:val="0"/>
                      <w:sz w:val="21"/>
                    </w:rPr>
                  </w:pPr>
                  <w:r>
                    <w:rPr>
                      <w:rFonts w:eastAsia="宋体"/>
                      <w:kern w:val="0"/>
                      <w:sz w:val="21"/>
                    </w:rPr>
                    <w:t>针对现有水泥企业，强化污染治理和污染物减排，依法依规整治或搬迁。</w:t>
                  </w:r>
                </w:p>
                <w:p>
                  <w:pPr>
                    <w:pStyle w:val="84"/>
                    <w:spacing w:line="240" w:lineRule="auto"/>
                    <w:ind w:firstLine="0" w:firstLineChars="0"/>
                    <w:jc w:val="center"/>
                    <w:rPr>
                      <w:rFonts w:eastAsia="宋体"/>
                      <w:kern w:val="0"/>
                      <w:sz w:val="21"/>
                    </w:rPr>
                  </w:pPr>
                  <w:r>
                    <w:rPr>
                      <w:rFonts w:eastAsia="宋体"/>
                      <w:kern w:val="0"/>
                      <w:sz w:val="21"/>
                    </w:rPr>
                    <w:t>全面取缔禁养区内规模化畜禽养殖场。</w:t>
                  </w:r>
                </w:p>
                <w:p>
                  <w:pPr>
                    <w:pStyle w:val="84"/>
                    <w:spacing w:line="240" w:lineRule="auto"/>
                    <w:ind w:firstLine="0" w:firstLineChars="0"/>
                    <w:jc w:val="center"/>
                    <w:rPr>
                      <w:rFonts w:eastAsia="宋体"/>
                      <w:kern w:val="0"/>
                      <w:sz w:val="21"/>
                    </w:rPr>
                  </w:pPr>
                  <w:r>
                    <w:rPr>
                      <w:rFonts w:eastAsia="宋体"/>
                      <w:kern w:val="0"/>
                      <w:sz w:val="21"/>
                    </w:rPr>
                    <w:t>2025年基本完成全域内“散乱污”企业整治工作。</w:t>
                  </w:r>
                </w:p>
                <w:p>
                  <w:pPr>
                    <w:pStyle w:val="84"/>
                    <w:spacing w:line="240" w:lineRule="auto"/>
                    <w:ind w:firstLine="0" w:firstLineChars="0"/>
                    <w:jc w:val="center"/>
                    <w:rPr>
                      <w:rFonts w:eastAsia="宋体"/>
                      <w:kern w:val="0"/>
                      <w:sz w:val="21"/>
                    </w:rPr>
                  </w:pPr>
                  <w:r>
                    <w:rPr>
                      <w:rFonts w:eastAsia="宋体"/>
                      <w:kern w:val="0"/>
                      <w:sz w:val="21"/>
                    </w:rPr>
                    <w:t>在全市范围深入开展集中整治“散乱污”工业企业，对不符合产业政策和规划布局的，一律责令停产、限期搬迁或关停；</w:t>
                  </w:r>
                </w:p>
                <w:p>
                  <w:pPr>
                    <w:pStyle w:val="84"/>
                    <w:spacing w:line="240" w:lineRule="auto"/>
                    <w:ind w:firstLine="0" w:firstLineChars="0"/>
                    <w:jc w:val="center"/>
                    <w:rPr>
                      <w:rFonts w:eastAsia="宋体"/>
                      <w:kern w:val="0"/>
                      <w:sz w:val="21"/>
                    </w:rPr>
                  </w:pPr>
                  <w:r>
                    <w:rPr>
                      <w:rFonts w:eastAsia="宋体"/>
                      <w:kern w:val="0"/>
                      <w:sz w:val="21"/>
                    </w:rPr>
                    <w:t>其他空间布局约束要求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污染物排放管控：</w:t>
                  </w:r>
                </w:p>
                <w:p>
                  <w:pPr>
                    <w:pStyle w:val="84"/>
                    <w:spacing w:line="240" w:lineRule="auto"/>
                    <w:ind w:firstLine="0" w:firstLineChars="0"/>
                    <w:jc w:val="center"/>
                    <w:rPr>
                      <w:rFonts w:eastAsia="宋体"/>
                      <w:kern w:val="0"/>
                      <w:sz w:val="21"/>
                    </w:rPr>
                  </w:pPr>
                  <w:r>
                    <w:rPr>
                      <w:rFonts w:eastAsia="宋体"/>
                      <w:kern w:val="0"/>
                      <w:sz w:val="21"/>
                    </w:rPr>
                    <w:t>允许排放量要求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现有源提标升级改造</w:t>
                  </w:r>
                </w:p>
                <w:p>
                  <w:pPr>
                    <w:pStyle w:val="84"/>
                    <w:spacing w:line="240" w:lineRule="auto"/>
                    <w:ind w:firstLine="0" w:firstLineChars="0"/>
                    <w:jc w:val="center"/>
                    <w:rPr>
                      <w:rFonts w:eastAsia="宋体"/>
                      <w:kern w:val="0"/>
                      <w:sz w:val="21"/>
                    </w:rPr>
                  </w:pPr>
                  <w:r>
                    <w:rPr>
                      <w:rFonts w:eastAsia="宋体"/>
                      <w:kern w:val="0"/>
                      <w:sz w:val="21"/>
                    </w:rPr>
                    <w:t>加快现有乡镇污水处理设施升级改造，按要求达《城镇污水处理厂污染物排放标准》一级A标后排放。</w:t>
                  </w:r>
                </w:p>
                <w:p>
                  <w:pPr>
                    <w:pStyle w:val="84"/>
                    <w:spacing w:line="240" w:lineRule="auto"/>
                    <w:ind w:firstLine="0" w:firstLineChars="0"/>
                    <w:jc w:val="center"/>
                    <w:rPr>
                      <w:rFonts w:eastAsia="宋体"/>
                      <w:kern w:val="0"/>
                      <w:sz w:val="21"/>
                    </w:rPr>
                  </w:pPr>
                  <w:r>
                    <w:rPr>
                      <w:rFonts w:eastAsia="宋体"/>
                      <w:kern w:val="0"/>
                      <w:sz w:val="21"/>
                    </w:rPr>
                    <w:t>在矿产资源开发活动集中区域，废水执行重金属污染物排放特别限值。</w:t>
                  </w:r>
                </w:p>
                <w:p>
                  <w:pPr>
                    <w:pStyle w:val="84"/>
                    <w:spacing w:line="240" w:lineRule="auto"/>
                    <w:ind w:firstLine="0" w:firstLineChars="0"/>
                    <w:jc w:val="center"/>
                    <w:rPr>
                      <w:rFonts w:eastAsia="宋体"/>
                      <w:kern w:val="0"/>
                      <w:sz w:val="21"/>
                    </w:rPr>
                  </w:pPr>
                  <w:r>
                    <w:rPr>
                      <w:rFonts w:eastAsia="宋体"/>
                      <w:kern w:val="0"/>
                      <w:sz w:val="21"/>
                    </w:rPr>
                    <w:t>火电、水泥等行业按相关要求推进大气污染物超低排放和深度治理。</w:t>
                  </w:r>
                </w:p>
                <w:p>
                  <w:pPr>
                    <w:pStyle w:val="84"/>
                    <w:spacing w:line="240" w:lineRule="auto"/>
                    <w:ind w:firstLine="0" w:firstLineChars="0"/>
                    <w:jc w:val="center"/>
                    <w:rPr>
                      <w:rFonts w:eastAsia="宋体"/>
                      <w:kern w:val="0"/>
                      <w:sz w:val="21"/>
                    </w:rPr>
                  </w:pPr>
                  <w:r>
                    <w:rPr>
                      <w:rFonts w:eastAsia="宋体"/>
                      <w:kern w:val="0"/>
                      <w:sz w:val="21"/>
                    </w:rPr>
                    <w:t>砖瓦行业实施脱硫、除尘升级改造，污染物排放达到《砖瓦工业大气污染物排放标准》相关要求。</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其他污染物排放管控要求</w:t>
                  </w:r>
                </w:p>
                <w:p>
                  <w:pPr>
                    <w:pStyle w:val="84"/>
                    <w:spacing w:line="240" w:lineRule="auto"/>
                    <w:ind w:firstLine="0" w:firstLineChars="0"/>
                    <w:jc w:val="center"/>
                    <w:rPr>
                      <w:rFonts w:eastAsia="宋体"/>
                      <w:kern w:val="0"/>
                      <w:sz w:val="21"/>
                    </w:rPr>
                  </w:pPr>
                  <w:r>
                    <w:rPr>
                      <w:rFonts w:eastAsia="宋体"/>
                      <w:kern w:val="0"/>
                      <w:sz w:val="21"/>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84"/>
                    <w:spacing w:line="240" w:lineRule="auto"/>
                    <w:ind w:firstLine="0" w:firstLineChars="0"/>
                    <w:jc w:val="center"/>
                    <w:rPr>
                      <w:rFonts w:eastAsia="宋体"/>
                      <w:kern w:val="0"/>
                      <w:sz w:val="21"/>
                    </w:rPr>
                  </w:pPr>
                  <w:r>
                    <w:rPr>
                      <w:rFonts w:eastAsia="宋体"/>
                      <w:kern w:val="0"/>
                      <w:sz w:val="21"/>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84"/>
                    <w:spacing w:line="240" w:lineRule="auto"/>
                    <w:ind w:firstLine="0" w:firstLineChars="0"/>
                    <w:jc w:val="center"/>
                    <w:rPr>
                      <w:rFonts w:eastAsia="宋体"/>
                      <w:kern w:val="0"/>
                      <w:sz w:val="21"/>
                    </w:rPr>
                  </w:pPr>
                  <w:r>
                    <w:rPr>
                      <w:rFonts w:eastAsia="宋体"/>
                      <w:kern w:val="0"/>
                      <w:sz w:val="21"/>
                    </w:rPr>
                    <w:t>-到2023年底，力争全市生活垃圾焚烧处理能力占比达60%以上，各县（市）生活垃圾无害化处理率保持95%以上，乡镇及行政村生活垃圾收转运处置体系基本实现全覆盖。</w:t>
                  </w:r>
                </w:p>
                <w:p>
                  <w:pPr>
                    <w:pStyle w:val="84"/>
                    <w:spacing w:line="240" w:lineRule="auto"/>
                    <w:ind w:firstLine="0" w:firstLineChars="0"/>
                    <w:jc w:val="center"/>
                    <w:rPr>
                      <w:rFonts w:eastAsia="宋体"/>
                      <w:kern w:val="0"/>
                      <w:sz w:val="21"/>
                    </w:rPr>
                  </w:pPr>
                  <w:r>
                    <w:rPr>
                      <w:rFonts w:eastAsia="宋体"/>
                      <w:kern w:val="0"/>
                      <w:sz w:val="21"/>
                    </w:rPr>
                    <w:t>-到2025年，农药包装废弃物回收率达80%；粮油绿色高质高效示范区、茶叶主产区和现代农业园区农药包装废弃物回收率100%。</w:t>
                  </w:r>
                </w:p>
                <w:p>
                  <w:pPr>
                    <w:pStyle w:val="84"/>
                    <w:spacing w:line="240" w:lineRule="auto"/>
                    <w:ind w:firstLine="0" w:firstLineChars="0"/>
                    <w:jc w:val="center"/>
                    <w:rPr>
                      <w:rFonts w:eastAsia="宋体"/>
                      <w:kern w:val="0"/>
                      <w:sz w:val="21"/>
                    </w:rPr>
                  </w:pPr>
                  <w:r>
                    <w:rPr>
                      <w:rFonts w:eastAsia="宋体"/>
                      <w:kern w:val="0"/>
                      <w:sz w:val="21"/>
                    </w:rPr>
                    <w:t>-到2025年，全国主要农作物化肥、农药利用率达43%，测土配方施肥技术推广覆盖率保持在90%以上，控制农村面源污染，采取灌排分离等措施控制农田氮磷流失。</w:t>
                  </w:r>
                </w:p>
                <w:p>
                  <w:pPr>
                    <w:pStyle w:val="84"/>
                    <w:spacing w:line="240" w:lineRule="auto"/>
                    <w:ind w:firstLine="0" w:firstLineChars="0"/>
                    <w:jc w:val="center"/>
                    <w:rPr>
                      <w:rFonts w:eastAsia="宋体"/>
                      <w:kern w:val="0"/>
                      <w:sz w:val="21"/>
                    </w:rPr>
                  </w:pPr>
                  <w:r>
                    <w:rPr>
                      <w:rFonts w:eastAsia="宋体"/>
                      <w:kern w:val="0"/>
                      <w:sz w:val="21"/>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84"/>
                    <w:spacing w:line="240" w:lineRule="auto"/>
                    <w:ind w:firstLine="0" w:firstLineChars="0"/>
                    <w:jc w:val="center"/>
                    <w:rPr>
                      <w:rFonts w:eastAsia="宋体"/>
                      <w:kern w:val="0"/>
                      <w:sz w:val="21"/>
                    </w:rPr>
                  </w:pPr>
                  <w:r>
                    <w:rPr>
                      <w:rFonts w:eastAsia="宋体"/>
                      <w:kern w:val="0"/>
                      <w:sz w:val="21"/>
                    </w:rPr>
                    <w:t>-到2025年，废旧农膜回收利用率达到85%以上。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环境风险防控：</w:t>
                  </w:r>
                </w:p>
                <w:p>
                  <w:pPr>
                    <w:pStyle w:val="84"/>
                    <w:spacing w:line="240" w:lineRule="auto"/>
                    <w:ind w:firstLine="0" w:firstLineChars="0"/>
                    <w:jc w:val="center"/>
                    <w:rPr>
                      <w:rFonts w:eastAsia="宋体"/>
                      <w:kern w:val="0"/>
                      <w:sz w:val="21"/>
                    </w:rPr>
                  </w:pPr>
                  <w:r>
                    <w:rPr>
                      <w:rFonts w:eastAsia="宋体"/>
                      <w:kern w:val="0"/>
                      <w:sz w:val="21"/>
                    </w:rPr>
                    <w:t>联防联控要求</w:t>
                  </w:r>
                </w:p>
                <w:p>
                  <w:pPr>
                    <w:pStyle w:val="84"/>
                    <w:spacing w:line="240" w:lineRule="auto"/>
                    <w:ind w:firstLine="0" w:firstLineChars="0"/>
                    <w:jc w:val="center"/>
                    <w:rPr>
                      <w:rFonts w:eastAsia="宋体"/>
                      <w:kern w:val="0"/>
                      <w:sz w:val="21"/>
                    </w:rPr>
                  </w:pPr>
                  <w:r>
                    <w:rPr>
                      <w:rFonts w:eastAsia="宋体"/>
                      <w:kern w:val="0"/>
                      <w:sz w:val="21"/>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84"/>
                    <w:spacing w:line="240" w:lineRule="auto"/>
                    <w:ind w:firstLine="0" w:firstLineChars="0"/>
                    <w:jc w:val="center"/>
                    <w:rPr>
                      <w:rFonts w:eastAsia="宋体"/>
                      <w:kern w:val="0"/>
                      <w:sz w:val="21"/>
                    </w:rPr>
                  </w:pPr>
                  <w:r>
                    <w:rPr>
                      <w:rFonts w:eastAsia="宋体"/>
                      <w:kern w:val="0"/>
                      <w:sz w:val="21"/>
                    </w:rPr>
                    <w:t>其他环境风险防控要求</w:t>
                  </w:r>
                </w:p>
                <w:p>
                  <w:pPr>
                    <w:pStyle w:val="84"/>
                    <w:spacing w:line="240" w:lineRule="auto"/>
                    <w:ind w:firstLine="0" w:firstLineChars="0"/>
                    <w:jc w:val="center"/>
                    <w:rPr>
                      <w:rFonts w:eastAsia="宋体"/>
                      <w:kern w:val="0"/>
                      <w:sz w:val="21"/>
                    </w:rPr>
                  </w:pPr>
                  <w:r>
                    <w:rPr>
                      <w:rFonts w:eastAsia="宋体"/>
                      <w:kern w:val="0"/>
                      <w:sz w:val="21"/>
                    </w:rPr>
                    <w:t>企业环境风险防控要求:工业企业退出用地，须经评估、修复满足相应用地功能后，方可改变用途。</w:t>
                  </w:r>
                </w:p>
                <w:p>
                  <w:pPr>
                    <w:pStyle w:val="84"/>
                    <w:spacing w:line="240" w:lineRule="auto"/>
                    <w:ind w:firstLine="0" w:firstLineChars="0"/>
                    <w:jc w:val="center"/>
                    <w:rPr>
                      <w:rFonts w:eastAsia="宋体"/>
                      <w:kern w:val="0"/>
                      <w:sz w:val="21"/>
                    </w:rPr>
                  </w:pPr>
                  <w:r>
                    <w:rPr>
                      <w:rFonts w:eastAsia="宋体"/>
                      <w:kern w:val="0"/>
                      <w:sz w:val="21"/>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84"/>
                    <w:spacing w:line="240" w:lineRule="auto"/>
                    <w:ind w:firstLine="0" w:firstLineChars="0"/>
                    <w:jc w:val="center"/>
                    <w:rPr>
                      <w:rFonts w:eastAsia="宋体"/>
                      <w:kern w:val="0"/>
                      <w:sz w:val="21"/>
                    </w:rPr>
                  </w:pPr>
                  <w:r>
                    <w:rPr>
                      <w:rFonts w:eastAsia="宋体"/>
                      <w:kern w:val="0"/>
                      <w:sz w:val="21"/>
                    </w:rPr>
                    <w:t>定期对单元内尾矿库进行风险巡查，建立监测系统和环境风险应急预案；完善各尾矿库渗滤液收集、处理、回用系统，杜绝事故排放；尾矿库闭矿后因地制宜进行植被恢复和综合利用。</w:t>
                  </w:r>
                </w:p>
                <w:p>
                  <w:pPr>
                    <w:pStyle w:val="84"/>
                    <w:spacing w:line="240" w:lineRule="auto"/>
                    <w:ind w:firstLine="0" w:firstLineChars="0"/>
                    <w:jc w:val="center"/>
                    <w:rPr>
                      <w:rFonts w:eastAsia="宋体"/>
                      <w:kern w:val="0"/>
                      <w:sz w:val="21"/>
                    </w:rPr>
                  </w:pPr>
                  <w:r>
                    <w:rPr>
                      <w:rFonts w:eastAsia="宋体"/>
                      <w:kern w:val="0"/>
                      <w:sz w:val="21"/>
                    </w:rPr>
                    <w:t>规范排土场、渣场等整治。禁止处理不达标的污泥进入耕地。</w:t>
                  </w:r>
                </w:p>
                <w:p>
                  <w:pPr>
                    <w:pStyle w:val="84"/>
                    <w:spacing w:line="240" w:lineRule="auto"/>
                    <w:ind w:firstLine="0" w:firstLineChars="0"/>
                    <w:jc w:val="center"/>
                    <w:rPr>
                      <w:rFonts w:eastAsia="宋体"/>
                      <w:kern w:val="0"/>
                      <w:sz w:val="21"/>
                    </w:rPr>
                  </w:pPr>
                  <w:r>
                    <w:rPr>
                      <w:rFonts w:eastAsia="宋体"/>
                      <w:kern w:val="0"/>
                      <w:sz w:val="21"/>
                    </w:rPr>
                    <w:t>严格控制林地、草地、园地的农药使用量，禁止使用高毒、高残留农药。</w:t>
                  </w:r>
                </w:p>
                <w:p>
                  <w:pPr>
                    <w:pStyle w:val="84"/>
                    <w:spacing w:line="240" w:lineRule="auto"/>
                    <w:ind w:firstLine="0" w:firstLineChars="0"/>
                    <w:jc w:val="center"/>
                    <w:rPr>
                      <w:rFonts w:eastAsia="宋体"/>
                      <w:kern w:val="0"/>
                      <w:sz w:val="21"/>
                    </w:rPr>
                  </w:pPr>
                  <w:r>
                    <w:rPr>
                      <w:rFonts w:eastAsia="宋体"/>
                      <w:kern w:val="0"/>
                      <w:sz w:val="21"/>
                    </w:rPr>
                    <w:t>到2030年，全市受污染耕地安全利用率达到95%以上，污染地块安全利用率达到95%以上。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资源开发利用效率要求：</w:t>
                  </w:r>
                </w:p>
                <w:p>
                  <w:pPr>
                    <w:pStyle w:val="84"/>
                    <w:spacing w:line="240" w:lineRule="auto"/>
                    <w:ind w:firstLine="0" w:firstLineChars="0"/>
                    <w:jc w:val="center"/>
                    <w:rPr>
                      <w:rFonts w:eastAsia="宋体"/>
                      <w:kern w:val="0"/>
                      <w:sz w:val="21"/>
                    </w:rPr>
                  </w:pPr>
                  <w:r>
                    <w:rPr>
                      <w:rFonts w:eastAsia="宋体"/>
                      <w:kern w:val="0"/>
                      <w:sz w:val="21"/>
                    </w:rPr>
                    <w:t>水资源利用总量要求</w:t>
                  </w:r>
                </w:p>
                <w:p>
                  <w:pPr>
                    <w:pStyle w:val="84"/>
                    <w:spacing w:line="240" w:lineRule="auto"/>
                    <w:ind w:firstLine="0" w:firstLineChars="0"/>
                    <w:jc w:val="center"/>
                    <w:rPr>
                      <w:rFonts w:eastAsia="宋体"/>
                      <w:kern w:val="0"/>
                      <w:sz w:val="21"/>
                    </w:rPr>
                  </w:pPr>
                  <w:r>
                    <w:rPr>
                      <w:rFonts w:eastAsia="宋体"/>
                      <w:kern w:val="0"/>
                      <w:sz w:val="21"/>
                    </w:rPr>
                    <w:t>-到2025年，农田灌溉水有效利用系数达到0.57以上。</w:t>
                  </w:r>
                </w:p>
                <w:p>
                  <w:pPr>
                    <w:pStyle w:val="84"/>
                    <w:spacing w:line="240" w:lineRule="auto"/>
                    <w:ind w:firstLine="0" w:firstLineChars="0"/>
                    <w:jc w:val="center"/>
                    <w:rPr>
                      <w:rFonts w:eastAsia="宋体"/>
                      <w:kern w:val="0"/>
                      <w:sz w:val="21"/>
                    </w:rPr>
                  </w:pPr>
                  <w:r>
                    <w:rPr>
                      <w:rFonts w:eastAsia="宋体"/>
                      <w:kern w:val="0"/>
                      <w:sz w:val="21"/>
                    </w:rPr>
                    <w:t>地下水开采要求</w:t>
                  </w:r>
                </w:p>
                <w:p>
                  <w:pPr>
                    <w:pStyle w:val="84"/>
                    <w:spacing w:line="240" w:lineRule="auto"/>
                    <w:ind w:firstLine="0" w:firstLineChars="0"/>
                    <w:jc w:val="center"/>
                    <w:rPr>
                      <w:rFonts w:eastAsia="宋体"/>
                      <w:kern w:val="0"/>
                      <w:sz w:val="21"/>
                    </w:rPr>
                  </w:pPr>
                  <w:r>
                    <w:rPr>
                      <w:rFonts w:eastAsia="宋体"/>
                      <w:kern w:val="0"/>
                      <w:sz w:val="21"/>
                    </w:rPr>
                    <w:t>以省市下发指标为准</w:t>
                  </w:r>
                </w:p>
                <w:p>
                  <w:pPr>
                    <w:pStyle w:val="84"/>
                    <w:spacing w:line="240" w:lineRule="auto"/>
                    <w:ind w:firstLine="0" w:firstLineChars="0"/>
                    <w:jc w:val="center"/>
                    <w:rPr>
                      <w:rFonts w:eastAsia="宋体"/>
                      <w:kern w:val="0"/>
                      <w:sz w:val="21"/>
                    </w:rPr>
                  </w:pPr>
                  <w:r>
                    <w:rPr>
                      <w:rFonts w:eastAsia="宋体"/>
                      <w:kern w:val="0"/>
                      <w:sz w:val="21"/>
                    </w:rPr>
                    <w:t>能源利用总量及效率要求</w:t>
                  </w:r>
                </w:p>
                <w:p>
                  <w:pPr>
                    <w:pStyle w:val="84"/>
                    <w:spacing w:line="240" w:lineRule="auto"/>
                    <w:ind w:firstLine="0" w:firstLineChars="0"/>
                    <w:jc w:val="center"/>
                    <w:rPr>
                      <w:rFonts w:eastAsia="宋体"/>
                      <w:kern w:val="0"/>
                      <w:sz w:val="21"/>
                    </w:rPr>
                  </w:pPr>
                  <w:r>
                    <w:rPr>
                      <w:rFonts w:eastAsia="宋体"/>
                      <w:kern w:val="0"/>
                      <w:sz w:val="21"/>
                    </w:rPr>
                    <w:t>推进清洁能源的推广使用，全面推进散煤清洁化整治；禁止新建每小时10蒸吨以下的燃煤锅炉及其他燃煤设施。</w:t>
                  </w:r>
                </w:p>
                <w:p>
                  <w:pPr>
                    <w:pStyle w:val="84"/>
                    <w:spacing w:line="240" w:lineRule="auto"/>
                    <w:ind w:firstLine="0" w:firstLineChars="0"/>
                    <w:jc w:val="center"/>
                    <w:rPr>
                      <w:rFonts w:eastAsia="宋体"/>
                      <w:kern w:val="0"/>
                      <w:sz w:val="21"/>
                    </w:rPr>
                  </w:pPr>
                  <w:r>
                    <w:rPr>
                      <w:rFonts w:eastAsia="宋体"/>
                      <w:kern w:val="0"/>
                      <w:sz w:val="21"/>
                    </w:rPr>
                    <w:t>禁止焚烧秸秆和垃圾，到2025年底，秸秆综合利用率达到86%以上。</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禁燃区要求</w:t>
                  </w:r>
                </w:p>
                <w:p>
                  <w:pPr>
                    <w:pStyle w:val="84"/>
                    <w:spacing w:line="240" w:lineRule="auto"/>
                    <w:ind w:firstLine="0" w:firstLineChars="0"/>
                    <w:jc w:val="center"/>
                    <w:rPr>
                      <w:rFonts w:eastAsia="宋体"/>
                      <w:kern w:val="0"/>
                      <w:sz w:val="21"/>
                    </w:rPr>
                  </w:pPr>
                  <w:r>
                    <w:rPr>
                      <w:rFonts w:eastAsia="宋体"/>
                      <w:kern w:val="0"/>
                      <w:sz w:val="21"/>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pPr>
                    <w:pStyle w:val="84"/>
                    <w:spacing w:line="240" w:lineRule="auto"/>
                    <w:ind w:firstLine="0" w:firstLineChars="0"/>
                    <w:jc w:val="center"/>
                    <w:rPr>
                      <w:rFonts w:eastAsia="宋体"/>
                      <w:kern w:val="0"/>
                      <w:sz w:val="21"/>
                    </w:rPr>
                  </w:pPr>
                  <w:r>
                    <w:rPr>
                      <w:rFonts w:eastAsia="宋体"/>
                      <w:kern w:val="0"/>
                      <w:sz w:val="21"/>
                    </w:rPr>
                    <w:t>-禁燃区内禁止销售、燃用高污染燃料；禁止新建、改建、扩建燃用高污染燃料的设施和设备。</w:t>
                  </w:r>
                </w:p>
                <w:p>
                  <w:pPr>
                    <w:pStyle w:val="84"/>
                    <w:spacing w:line="240" w:lineRule="auto"/>
                    <w:ind w:firstLine="0" w:firstLineChars="0"/>
                    <w:jc w:val="center"/>
                    <w:rPr>
                      <w:rFonts w:eastAsia="宋体"/>
                      <w:kern w:val="0"/>
                      <w:sz w:val="21"/>
                    </w:rPr>
                  </w:pPr>
                  <w:r>
                    <w:rPr>
                      <w:rFonts w:eastAsia="宋体"/>
                      <w:kern w:val="0"/>
                      <w:sz w:val="21"/>
                    </w:rPr>
                    <w:t>-禁燃区内已建成的高污染燃料燃用设施由辖区人民政府制定限期改造计划，改用天然气、页岩气、液化石油气、电或其他清洁能源。</w:t>
                  </w:r>
                </w:p>
                <w:p>
                  <w:pPr>
                    <w:pStyle w:val="84"/>
                    <w:spacing w:line="240" w:lineRule="auto"/>
                    <w:ind w:firstLine="0" w:firstLineChars="0"/>
                    <w:jc w:val="center"/>
                    <w:rPr>
                      <w:rFonts w:eastAsia="宋体"/>
                      <w:kern w:val="0"/>
                      <w:sz w:val="21"/>
                    </w:rPr>
                  </w:pPr>
                </w:p>
                <w:p>
                  <w:pPr>
                    <w:pStyle w:val="84"/>
                    <w:spacing w:line="240" w:lineRule="auto"/>
                    <w:ind w:firstLine="0" w:firstLineChars="0"/>
                    <w:jc w:val="center"/>
                    <w:rPr>
                      <w:rFonts w:eastAsia="宋体"/>
                      <w:kern w:val="0"/>
                      <w:sz w:val="21"/>
                    </w:rPr>
                  </w:pPr>
                  <w:r>
                    <w:rPr>
                      <w:rFonts w:eastAsia="宋体"/>
                      <w:kern w:val="0"/>
                      <w:sz w:val="21"/>
                    </w:rPr>
                    <w:t>其他资源利用效率要求</w:t>
                  </w:r>
                </w:p>
                <w:p>
                  <w:pPr>
                    <w:pStyle w:val="84"/>
                    <w:spacing w:line="240" w:lineRule="auto"/>
                    <w:ind w:firstLine="0" w:firstLineChars="0"/>
                    <w:jc w:val="center"/>
                    <w:rPr>
                      <w:rFonts w:eastAsia="宋体"/>
                      <w:kern w:val="0"/>
                      <w:sz w:val="21"/>
                    </w:rPr>
                  </w:pPr>
                  <w:r>
                    <w:rPr>
                      <w:rFonts w:eastAsia="宋体"/>
                      <w:kern w:val="0"/>
                      <w:sz w:val="21"/>
                    </w:rPr>
                    <w:t>暂无</w:t>
                  </w:r>
                </w:p>
              </w:tc>
              <w:tc>
                <w:tcPr>
                  <w:tcW w:w="265"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资源开发效率要求</w:t>
                  </w:r>
                </w:p>
              </w:tc>
              <w:tc>
                <w:tcPr>
                  <w:tcW w:w="893" w:type="pct"/>
                  <w:tcBorders>
                    <w:tl2br w:val="nil"/>
                    <w:tr2bl w:val="nil"/>
                  </w:tcBorders>
                  <w:vAlign w:val="center"/>
                </w:tcPr>
                <w:p>
                  <w:pPr>
                    <w:pStyle w:val="84"/>
                    <w:widowControl/>
                    <w:spacing w:line="240" w:lineRule="auto"/>
                    <w:ind w:firstLine="0" w:firstLineChars="0"/>
                    <w:jc w:val="left"/>
                    <w:rPr>
                      <w:rFonts w:eastAsia="宋体"/>
                      <w:sz w:val="21"/>
                    </w:rPr>
                  </w:pPr>
                  <w:r>
                    <w:rPr>
                      <w:rFonts w:eastAsia="宋体"/>
                      <w:sz w:val="21"/>
                    </w:rPr>
                    <w:t>水资源利用效率要求</w:t>
                  </w:r>
                </w:p>
                <w:p>
                  <w:pPr>
                    <w:pStyle w:val="84"/>
                    <w:widowControl/>
                    <w:spacing w:line="240" w:lineRule="auto"/>
                    <w:ind w:firstLine="0" w:firstLineChars="0"/>
                    <w:jc w:val="left"/>
                    <w:rPr>
                      <w:rFonts w:eastAsia="宋体"/>
                      <w:sz w:val="21"/>
                    </w:rPr>
                  </w:pPr>
                  <w:r>
                    <w:rPr>
                      <w:rFonts w:eastAsia="宋体"/>
                      <w:sz w:val="21"/>
                    </w:rPr>
                    <w:t>地下水开采要求</w:t>
                  </w:r>
                </w:p>
                <w:p>
                  <w:pPr>
                    <w:pStyle w:val="84"/>
                    <w:widowControl/>
                    <w:spacing w:line="240" w:lineRule="auto"/>
                    <w:ind w:firstLine="0" w:firstLineChars="0"/>
                    <w:jc w:val="left"/>
                    <w:rPr>
                      <w:rFonts w:eastAsia="宋体"/>
                      <w:sz w:val="21"/>
                    </w:rPr>
                  </w:pPr>
                  <w:r>
                    <w:rPr>
                      <w:rFonts w:eastAsia="宋体"/>
                      <w:sz w:val="21"/>
                    </w:rPr>
                    <w:t>能源利用效率要求</w:t>
                  </w:r>
                </w:p>
                <w:p>
                  <w:pPr>
                    <w:pStyle w:val="84"/>
                    <w:widowControl/>
                    <w:spacing w:line="240" w:lineRule="auto"/>
                    <w:ind w:firstLine="0" w:firstLineChars="0"/>
                    <w:jc w:val="left"/>
                    <w:rPr>
                      <w:rFonts w:eastAsia="宋体"/>
                      <w:sz w:val="21"/>
                    </w:rPr>
                  </w:pPr>
                  <w:r>
                    <w:rPr>
                      <w:rFonts w:eastAsia="宋体"/>
                      <w:sz w:val="21"/>
                    </w:rPr>
                    <w:t>其他资源利用效率要求</w:t>
                  </w:r>
                </w:p>
              </w:tc>
              <w:tc>
                <w:tcPr>
                  <w:tcW w:w="696"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本项目用水来源为市政管网，不涉及地下水开采，使用能源为天然气及电能。</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YS5117221130019</w:t>
                  </w:r>
                </w:p>
              </w:tc>
              <w:tc>
                <w:tcPr>
                  <w:tcW w:w="458" w:type="pct"/>
                  <w:vMerge w:val="restar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生态优先保护区（一般生态空间）19</w:t>
                  </w:r>
                </w:p>
              </w:tc>
              <w:tc>
                <w:tcPr>
                  <w:tcW w:w="2139" w:type="pct"/>
                  <w:vMerge w:val="restart"/>
                  <w:tcBorders>
                    <w:tl2br w:val="nil"/>
                    <w:tr2bl w:val="nil"/>
                  </w:tcBorders>
                  <w:vAlign w:val="center"/>
                </w:tcPr>
                <w:p>
                  <w:pPr>
                    <w:pStyle w:val="84"/>
                    <w:spacing w:line="240" w:lineRule="auto"/>
                    <w:ind w:firstLine="0" w:firstLineChars="0"/>
                    <w:jc w:val="center"/>
                    <w:rPr>
                      <w:rFonts w:eastAsia="宋体"/>
                      <w:kern w:val="0"/>
                      <w:sz w:val="21"/>
                    </w:rPr>
                  </w:pPr>
                  <w:r>
                    <w:rPr>
                      <w:rFonts w:eastAsia="宋体"/>
                      <w:kern w:val="0"/>
                      <w:sz w:val="21"/>
                    </w:rPr>
                    <w:t>空间布局约束：</w:t>
                  </w:r>
                </w:p>
                <w:p>
                  <w:pPr>
                    <w:pStyle w:val="84"/>
                    <w:spacing w:line="240" w:lineRule="auto"/>
                    <w:ind w:firstLine="0" w:firstLineChars="0"/>
                    <w:jc w:val="center"/>
                    <w:rPr>
                      <w:rFonts w:eastAsia="宋体"/>
                      <w:kern w:val="0"/>
                      <w:sz w:val="21"/>
                    </w:rPr>
                  </w:pPr>
                  <w:r>
                    <w:rPr>
                      <w:rFonts w:eastAsia="宋体"/>
                      <w:kern w:val="0"/>
                      <w:sz w:val="21"/>
                    </w:rPr>
                    <w:t>禁止开发建设活动的要求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限制开发建设活动的要求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不符合空间布局要求活动的退出要求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其他空间布局约束要求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污染物排放管控：</w:t>
                  </w:r>
                </w:p>
                <w:p>
                  <w:pPr>
                    <w:pStyle w:val="84"/>
                    <w:spacing w:line="240" w:lineRule="auto"/>
                    <w:ind w:firstLine="0" w:firstLineChars="0"/>
                    <w:jc w:val="center"/>
                    <w:rPr>
                      <w:rFonts w:eastAsia="宋体"/>
                      <w:kern w:val="0"/>
                      <w:sz w:val="21"/>
                    </w:rPr>
                  </w:pPr>
                  <w:r>
                    <w:rPr>
                      <w:rFonts w:eastAsia="宋体"/>
                      <w:kern w:val="0"/>
                      <w:sz w:val="21"/>
                    </w:rPr>
                    <w:t>允许排放量要求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现有源提标升级改造</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其他污染物排放管控要求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环境风险防控：</w:t>
                  </w:r>
                </w:p>
                <w:p>
                  <w:pPr>
                    <w:pStyle w:val="84"/>
                    <w:spacing w:line="240" w:lineRule="auto"/>
                    <w:ind w:firstLine="0" w:firstLineChars="0"/>
                    <w:jc w:val="center"/>
                    <w:rPr>
                      <w:rFonts w:eastAsia="宋体"/>
                      <w:kern w:val="0"/>
                      <w:sz w:val="21"/>
                    </w:rPr>
                  </w:pPr>
                  <w:r>
                    <w:rPr>
                      <w:rFonts w:eastAsia="宋体"/>
                      <w:kern w:val="0"/>
                      <w:sz w:val="21"/>
                    </w:rPr>
                    <w:t>联防联控要求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其他环境风险防控要求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资源开发利用效率要求：</w:t>
                  </w:r>
                </w:p>
                <w:p>
                  <w:pPr>
                    <w:pStyle w:val="84"/>
                    <w:spacing w:line="240" w:lineRule="auto"/>
                    <w:ind w:firstLine="0" w:firstLineChars="0"/>
                    <w:jc w:val="center"/>
                    <w:rPr>
                      <w:rFonts w:eastAsia="宋体"/>
                      <w:kern w:val="0"/>
                      <w:sz w:val="21"/>
                    </w:rPr>
                  </w:pPr>
                  <w:r>
                    <w:rPr>
                      <w:rFonts w:eastAsia="宋体"/>
                      <w:kern w:val="0"/>
                      <w:sz w:val="21"/>
                    </w:rPr>
                    <w:t>水资源利用总量要求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地下水开采要求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能源利用总量及效率要求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禁燃区要求</w:t>
                  </w:r>
                </w:p>
                <w:p>
                  <w:pPr>
                    <w:pStyle w:val="84"/>
                    <w:spacing w:line="240" w:lineRule="auto"/>
                    <w:ind w:firstLine="0" w:firstLineChars="0"/>
                    <w:jc w:val="center"/>
                    <w:rPr>
                      <w:rFonts w:eastAsia="宋体"/>
                      <w:kern w:val="0"/>
                      <w:sz w:val="21"/>
                    </w:rPr>
                  </w:pPr>
                  <w:r>
                    <w:rPr>
                      <w:rFonts w:eastAsia="宋体"/>
                      <w:kern w:val="0"/>
                      <w:sz w:val="21"/>
                    </w:rPr>
                    <w:t>暂无</w:t>
                  </w:r>
                </w:p>
                <w:p>
                  <w:pPr>
                    <w:pStyle w:val="84"/>
                    <w:spacing w:line="240" w:lineRule="auto"/>
                    <w:ind w:firstLine="0" w:firstLineChars="0"/>
                    <w:jc w:val="center"/>
                    <w:rPr>
                      <w:rFonts w:eastAsia="宋体"/>
                      <w:kern w:val="0"/>
                      <w:sz w:val="21"/>
                    </w:rPr>
                  </w:pPr>
                  <w:r>
                    <w:rPr>
                      <w:rFonts w:eastAsia="宋体"/>
                      <w:kern w:val="0"/>
                      <w:sz w:val="21"/>
                    </w:rPr>
                    <w:t>其他资源利用效率要求</w:t>
                  </w:r>
                </w:p>
                <w:p>
                  <w:pPr>
                    <w:pStyle w:val="84"/>
                    <w:spacing w:line="240" w:lineRule="auto"/>
                    <w:ind w:firstLine="0" w:firstLineChars="0"/>
                    <w:jc w:val="center"/>
                    <w:rPr>
                      <w:rFonts w:eastAsia="宋体"/>
                      <w:kern w:val="0"/>
                      <w:sz w:val="21"/>
                    </w:rPr>
                  </w:pPr>
                  <w:r>
                    <w:rPr>
                      <w:rFonts w:eastAsia="宋体"/>
                      <w:kern w:val="0"/>
                      <w:sz w:val="21"/>
                    </w:rPr>
                    <w:t>暂无</w:t>
                  </w: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空间布局约束</w:t>
                  </w:r>
                </w:p>
              </w:tc>
              <w:tc>
                <w:tcPr>
                  <w:tcW w:w="893"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禁止开发建设活动的要求</w:t>
                  </w:r>
                </w:p>
                <w:p>
                  <w:pPr>
                    <w:pStyle w:val="84"/>
                    <w:spacing w:line="240" w:lineRule="auto"/>
                    <w:ind w:firstLine="0" w:firstLineChars="0"/>
                    <w:jc w:val="left"/>
                    <w:rPr>
                      <w:rFonts w:eastAsia="宋体"/>
                      <w:kern w:val="0"/>
                      <w:sz w:val="21"/>
                    </w:rPr>
                  </w:pPr>
                  <w:r>
                    <w:rPr>
                      <w:rFonts w:eastAsia="宋体"/>
                      <w:kern w:val="0"/>
                      <w:sz w:val="21"/>
                    </w:rPr>
                    <w:t>对划入一般生态空间的风景名胜区、自然遗产地、饮用水水源保护区、水产种质资源保护区等有既有管理条例、规定、办法的法定自然保护地，其空间布局约束管控要求按现行法律法规执行</w:t>
                  </w:r>
                </w:p>
                <w:p>
                  <w:pPr>
                    <w:pStyle w:val="84"/>
                    <w:spacing w:line="240" w:lineRule="auto"/>
                    <w:ind w:firstLine="0" w:firstLineChars="0"/>
                    <w:jc w:val="left"/>
                    <w:rPr>
                      <w:rFonts w:eastAsia="宋体"/>
                      <w:kern w:val="0"/>
                      <w:sz w:val="21"/>
                    </w:rPr>
                  </w:pPr>
                  <w:r>
                    <w:rPr>
                      <w:rFonts w:eastAsia="宋体"/>
                      <w:kern w:val="0"/>
                      <w:sz w:val="21"/>
                    </w:rPr>
                    <w:t>限制开发建设活动的要求</w:t>
                  </w:r>
                </w:p>
                <w:p>
                  <w:pPr>
                    <w:pStyle w:val="84"/>
                    <w:spacing w:line="240" w:lineRule="auto"/>
                    <w:ind w:firstLine="0" w:firstLineChars="0"/>
                    <w:jc w:val="left"/>
                    <w:rPr>
                      <w:rFonts w:eastAsia="宋体"/>
                      <w:kern w:val="0"/>
                      <w:sz w:val="21"/>
                    </w:rPr>
                  </w:pPr>
                  <w:r>
                    <w:rPr>
                      <w:rFonts w:eastAsia="宋体"/>
                      <w:kern w:val="0"/>
                      <w:sz w:val="21"/>
                    </w:rPr>
                    <w:t>对划入一般生态空间的风景名胜区、自然遗产地、饮用水水源保护区、水产种质资源保护区等有既有管理条例、规定、办法的法定自然保护地，其空间布局约束管控要求按现行法律法规执行</w:t>
                  </w:r>
                </w:p>
                <w:p>
                  <w:pPr>
                    <w:pStyle w:val="84"/>
                    <w:spacing w:line="240" w:lineRule="auto"/>
                    <w:ind w:firstLine="0" w:firstLineChars="0"/>
                    <w:jc w:val="left"/>
                    <w:rPr>
                      <w:rFonts w:eastAsia="宋体"/>
                      <w:kern w:val="0"/>
                      <w:sz w:val="21"/>
                    </w:rPr>
                  </w:pPr>
                  <w:r>
                    <w:rPr>
                      <w:rFonts w:eastAsia="宋体"/>
                      <w:kern w:val="0"/>
                      <w:sz w:val="21"/>
                    </w:rPr>
                    <w:t>允许开发建设活动的要求</w:t>
                  </w:r>
                </w:p>
                <w:p>
                  <w:pPr>
                    <w:pStyle w:val="84"/>
                    <w:spacing w:line="240" w:lineRule="auto"/>
                    <w:ind w:firstLine="0" w:firstLineChars="0"/>
                    <w:jc w:val="left"/>
                    <w:rPr>
                      <w:rFonts w:eastAsia="宋体"/>
                      <w:kern w:val="0"/>
                      <w:sz w:val="21"/>
                    </w:rPr>
                  </w:pPr>
                  <w:r>
                    <w:rPr>
                      <w:rFonts w:eastAsia="宋体"/>
                      <w:kern w:val="0"/>
                      <w:sz w:val="21"/>
                    </w:rPr>
                    <w:t>对划入一般生态空间的风景名胜区、自然遗产地、饮用水水源保护区、水产种质资源保护区等有既有管理条例、规定、办法的法定自然保护地，其空间布局约束管控要求按现行法律法规执行</w:t>
                  </w:r>
                </w:p>
                <w:p>
                  <w:pPr>
                    <w:pStyle w:val="84"/>
                    <w:spacing w:line="240" w:lineRule="auto"/>
                    <w:ind w:firstLine="0" w:firstLineChars="0"/>
                    <w:jc w:val="left"/>
                    <w:rPr>
                      <w:rFonts w:eastAsia="宋体"/>
                      <w:kern w:val="0"/>
                      <w:sz w:val="21"/>
                    </w:rPr>
                  </w:pPr>
                  <w:r>
                    <w:rPr>
                      <w:rFonts w:eastAsia="宋体"/>
                      <w:kern w:val="0"/>
                      <w:sz w:val="21"/>
                    </w:rPr>
                    <w:t>不符合空间布局要求活动的退出要求</w:t>
                  </w:r>
                </w:p>
                <w:p>
                  <w:pPr>
                    <w:pStyle w:val="84"/>
                    <w:spacing w:line="240" w:lineRule="auto"/>
                    <w:ind w:firstLine="0" w:firstLineChars="0"/>
                    <w:jc w:val="left"/>
                    <w:rPr>
                      <w:rFonts w:eastAsia="宋体"/>
                      <w:kern w:val="0"/>
                      <w:sz w:val="21"/>
                    </w:rPr>
                  </w:pPr>
                  <w:r>
                    <w:rPr>
                      <w:rFonts w:eastAsia="宋体"/>
                      <w:kern w:val="0"/>
                      <w:sz w:val="21"/>
                    </w:rPr>
                    <w:t>对划入一般生态空间的风景名胜区、自然遗产地、饮用水水源保护区、水产种质资源保护区等有既有管理条例、规定、办法的法定自然保护地，其空间布局约束管控要求按现行法律法规执行</w:t>
                  </w:r>
                </w:p>
                <w:p>
                  <w:pPr>
                    <w:pStyle w:val="84"/>
                    <w:spacing w:line="240" w:lineRule="auto"/>
                    <w:ind w:firstLine="0" w:firstLineChars="0"/>
                    <w:jc w:val="left"/>
                    <w:rPr>
                      <w:rFonts w:eastAsia="宋体"/>
                      <w:kern w:val="0"/>
                      <w:sz w:val="21"/>
                    </w:rPr>
                  </w:pPr>
                  <w:r>
                    <w:rPr>
                      <w:rFonts w:eastAsia="宋体"/>
                      <w:kern w:val="0"/>
                      <w:sz w:val="21"/>
                    </w:rPr>
                    <w:t>其他空间布局约束要求</w:t>
                  </w:r>
                </w:p>
              </w:tc>
              <w:tc>
                <w:tcPr>
                  <w:tcW w:w="696"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本项目位于柳池工业园区，为玻璃纤维及制品制造项目，项目不在生态保护红线、自然保护区、自然保护区的实验区、水土保持-生态功能区、-水土流失严重、生态脆弱的地区内。项目涉及后河徐家坡饮用水水源准保护区，项目生产废水回用，不外排，不属于对水体污染严重的建设项目，未新增生产废水排污量，满足饮用水水源地准保护区要求。</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YS5117223210003</w:t>
                  </w:r>
                </w:p>
              </w:tc>
              <w:tc>
                <w:tcPr>
                  <w:tcW w:w="458" w:type="pct"/>
                  <w:vMerge w:val="continue"/>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中河宣汉县普光控制单元</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污染物排放管控</w:t>
                  </w:r>
                </w:p>
              </w:tc>
              <w:tc>
                <w:tcPr>
                  <w:tcW w:w="893" w:type="pct"/>
                  <w:vMerge w:val="restar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w:t>
                  </w:r>
                </w:p>
              </w:tc>
              <w:tc>
                <w:tcPr>
                  <w:tcW w:w="696" w:type="pct"/>
                  <w:vMerge w:val="restar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w:t>
                  </w:r>
                </w:p>
              </w:tc>
              <w:tc>
                <w:tcPr>
                  <w:tcW w:w="197" w:type="pct"/>
                  <w:vMerge w:val="restar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YS5117223210003</w:t>
                  </w:r>
                </w:p>
              </w:tc>
              <w:tc>
                <w:tcPr>
                  <w:tcW w:w="458" w:type="pct"/>
                  <w:vMerge w:val="continue"/>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中河宣汉县普光控制单元</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环境风险防控</w:t>
                  </w:r>
                </w:p>
              </w:tc>
              <w:tc>
                <w:tcPr>
                  <w:tcW w:w="893" w:type="pct"/>
                  <w:vMerge w:val="continue"/>
                  <w:tcBorders>
                    <w:tl2br w:val="nil"/>
                    <w:tr2bl w:val="nil"/>
                  </w:tcBorders>
                  <w:vAlign w:val="center"/>
                </w:tcPr>
                <w:p>
                  <w:pPr>
                    <w:pStyle w:val="84"/>
                    <w:spacing w:line="240" w:lineRule="auto"/>
                    <w:ind w:firstLine="0" w:firstLineChars="0"/>
                    <w:jc w:val="left"/>
                    <w:rPr>
                      <w:rFonts w:eastAsia="宋体"/>
                      <w:kern w:val="0"/>
                      <w:sz w:val="21"/>
                    </w:rPr>
                  </w:pPr>
                </w:p>
              </w:tc>
              <w:tc>
                <w:tcPr>
                  <w:tcW w:w="696" w:type="pct"/>
                  <w:vMerge w:val="continue"/>
                  <w:tcBorders>
                    <w:tl2br w:val="nil"/>
                    <w:tr2bl w:val="nil"/>
                  </w:tcBorders>
                  <w:vAlign w:val="center"/>
                </w:tcPr>
                <w:p>
                  <w:pPr>
                    <w:pStyle w:val="84"/>
                    <w:widowControl/>
                    <w:spacing w:line="240" w:lineRule="auto"/>
                    <w:ind w:firstLine="0" w:firstLineChars="0"/>
                    <w:jc w:val="center"/>
                    <w:rPr>
                      <w:rFonts w:eastAsia="宋体"/>
                      <w:sz w:val="21"/>
                    </w:rPr>
                  </w:pPr>
                </w:p>
              </w:tc>
              <w:tc>
                <w:tcPr>
                  <w:tcW w:w="197" w:type="pct"/>
                  <w:vMerge w:val="continue"/>
                  <w:tcBorders>
                    <w:tl2br w:val="nil"/>
                    <w:tr2bl w:val="nil"/>
                  </w:tcBorders>
                  <w:vAlign w:val="center"/>
                </w:tcPr>
                <w:p>
                  <w:pPr>
                    <w:pStyle w:val="84"/>
                    <w:widowControl/>
                    <w:spacing w:line="240" w:lineRule="auto"/>
                    <w:ind w:firstLine="0" w:firstLineChars="0"/>
                    <w:jc w:val="center"/>
                    <w:rPr>
                      <w:rFonts w:eastAsia="宋体"/>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YS5117223210003</w:t>
                  </w:r>
                </w:p>
              </w:tc>
              <w:tc>
                <w:tcPr>
                  <w:tcW w:w="458" w:type="pct"/>
                  <w:vMerge w:val="continue"/>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中河宣汉县普光控制单元</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资源开发效率要求</w:t>
                  </w:r>
                </w:p>
              </w:tc>
              <w:tc>
                <w:tcPr>
                  <w:tcW w:w="893" w:type="pct"/>
                  <w:vMerge w:val="continue"/>
                  <w:tcBorders>
                    <w:tl2br w:val="nil"/>
                    <w:tr2bl w:val="nil"/>
                  </w:tcBorders>
                  <w:vAlign w:val="center"/>
                </w:tcPr>
                <w:p>
                  <w:pPr>
                    <w:pStyle w:val="84"/>
                    <w:spacing w:line="240" w:lineRule="auto"/>
                    <w:ind w:firstLine="0" w:firstLineChars="0"/>
                    <w:jc w:val="left"/>
                    <w:rPr>
                      <w:rFonts w:eastAsia="宋体"/>
                      <w:kern w:val="0"/>
                      <w:sz w:val="21"/>
                    </w:rPr>
                  </w:pPr>
                </w:p>
              </w:tc>
              <w:tc>
                <w:tcPr>
                  <w:tcW w:w="696" w:type="pct"/>
                  <w:vMerge w:val="continue"/>
                  <w:tcBorders>
                    <w:tl2br w:val="nil"/>
                    <w:tr2bl w:val="nil"/>
                  </w:tcBorders>
                  <w:vAlign w:val="center"/>
                </w:tcPr>
                <w:p>
                  <w:pPr>
                    <w:pStyle w:val="84"/>
                    <w:widowControl/>
                    <w:spacing w:line="240" w:lineRule="auto"/>
                    <w:ind w:firstLine="0" w:firstLineChars="0"/>
                    <w:jc w:val="center"/>
                    <w:rPr>
                      <w:rFonts w:eastAsia="宋体"/>
                      <w:sz w:val="21"/>
                    </w:rPr>
                  </w:pPr>
                </w:p>
              </w:tc>
              <w:tc>
                <w:tcPr>
                  <w:tcW w:w="197" w:type="pct"/>
                  <w:vMerge w:val="continue"/>
                  <w:tcBorders>
                    <w:tl2br w:val="nil"/>
                    <w:tr2bl w:val="nil"/>
                  </w:tcBorders>
                  <w:vAlign w:val="center"/>
                </w:tcPr>
                <w:p>
                  <w:pPr>
                    <w:pStyle w:val="84"/>
                    <w:widowControl/>
                    <w:spacing w:line="240" w:lineRule="auto"/>
                    <w:ind w:firstLine="0" w:firstLineChars="0"/>
                    <w:jc w:val="center"/>
                    <w:rPr>
                      <w:rFonts w:eastAsia="宋体"/>
                      <w:sz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YS5117221210003</w:t>
                  </w:r>
                </w:p>
              </w:tc>
              <w:tc>
                <w:tcPr>
                  <w:tcW w:w="458" w:type="pct"/>
                  <w:vMerge w:val="restar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州河宣汉县张鼓坪控制单元</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空间布局约束</w:t>
                  </w:r>
                </w:p>
              </w:tc>
              <w:tc>
                <w:tcPr>
                  <w:tcW w:w="893"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禁止开发建设活动的要求</w:t>
                  </w:r>
                </w:p>
                <w:p>
                  <w:pPr>
                    <w:pStyle w:val="84"/>
                    <w:spacing w:line="240" w:lineRule="auto"/>
                    <w:ind w:firstLine="0" w:firstLineChars="0"/>
                    <w:jc w:val="left"/>
                    <w:rPr>
                      <w:rFonts w:eastAsia="宋体"/>
                      <w:kern w:val="0"/>
                      <w:sz w:val="21"/>
                    </w:rPr>
                  </w:pPr>
                  <w:r>
                    <w:rPr>
                      <w:rFonts w:eastAsia="宋体"/>
                      <w:kern w:val="0"/>
                      <w:sz w:val="21"/>
                    </w:rPr>
                    <w:t>法定保护地严格执行《中华人民共和国水污染防治法》、《中华人民共和国自然保护区条例》、《四川省饮用水水源保护管理条例》等法律法规定，法律禁止的人为活动一律禁止布设</w:t>
                  </w:r>
                </w:p>
                <w:p>
                  <w:pPr>
                    <w:pStyle w:val="84"/>
                    <w:spacing w:line="240" w:lineRule="auto"/>
                    <w:ind w:firstLine="0" w:firstLineChars="0"/>
                    <w:jc w:val="left"/>
                    <w:rPr>
                      <w:rFonts w:eastAsia="宋体"/>
                      <w:kern w:val="0"/>
                      <w:sz w:val="21"/>
                    </w:rPr>
                  </w:pPr>
                  <w:r>
                    <w:rPr>
                      <w:rFonts w:eastAsia="宋体"/>
                      <w:kern w:val="0"/>
                      <w:sz w:val="21"/>
                    </w:rPr>
                    <w:t>限制开发建设活动的要求</w:t>
                  </w:r>
                </w:p>
                <w:p>
                  <w:pPr>
                    <w:pStyle w:val="84"/>
                    <w:spacing w:line="240" w:lineRule="auto"/>
                    <w:ind w:firstLine="0" w:firstLineChars="0"/>
                    <w:jc w:val="left"/>
                    <w:rPr>
                      <w:rFonts w:eastAsia="宋体"/>
                      <w:kern w:val="0"/>
                      <w:sz w:val="21"/>
                    </w:rPr>
                  </w:pPr>
                  <w:r>
                    <w:rPr>
                      <w:rFonts w:eastAsia="宋体"/>
                      <w:kern w:val="0"/>
                      <w:sz w:val="21"/>
                    </w:rPr>
                    <w:t>法定保护地严格执行《中华人民共和国水污染防治法》、《中华人民共和国自然保护区条例》、《四川省饮用水水源保护管理条例》等法律法规定，法律未明确禁止的以保护水环境、水资源、水生态为重点，充分论证，谨慎布局</w:t>
                  </w:r>
                </w:p>
                <w:p>
                  <w:pPr>
                    <w:pStyle w:val="84"/>
                    <w:spacing w:line="240" w:lineRule="auto"/>
                    <w:ind w:firstLine="0" w:firstLineChars="0"/>
                    <w:jc w:val="left"/>
                    <w:rPr>
                      <w:rFonts w:eastAsia="宋体"/>
                      <w:kern w:val="0"/>
                      <w:sz w:val="21"/>
                    </w:rPr>
                  </w:pPr>
                  <w:r>
                    <w:rPr>
                      <w:rFonts w:eastAsia="宋体"/>
                      <w:kern w:val="0"/>
                      <w:sz w:val="21"/>
                    </w:rPr>
                    <w:t>允许开发建设活动的要求</w:t>
                  </w:r>
                </w:p>
                <w:p>
                  <w:pPr>
                    <w:pStyle w:val="84"/>
                    <w:spacing w:line="240" w:lineRule="auto"/>
                    <w:ind w:firstLine="0" w:firstLineChars="0"/>
                    <w:jc w:val="left"/>
                    <w:rPr>
                      <w:rFonts w:eastAsia="宋体"/>
                      <w:kern w:val="0"/>
                      <w:sz w:val="21"/>
                    </w:rPr>
                  </w:pPr>
                  <w:r>
                    <w:rPr>
                      <w:rFonts w:eastAsia="宋体"/>
                      <w:kern w:val="0"/>
                      <w:sz w:val="21"/>
                    </w:rPr>
                    <w:t>不符合空间布局要求活动的退出要求</w:t>
                  </w:r>
                </w:p>
                <w:p>
                  <w:pPr>
                    <w:pStyle w:val="84"/>
                    <w:spacing w:line="240" w:lineRule="auto"/>
                    <w:ind w:firstLine="0" w:firstLineChars="0"/>
                    <w:jc w:val="left"/>
                    <w:rPr>
                      <w:rFonts w:eastAsia="宋体"/>
                      <w:kern w:val="0"/>
                      <w:sz w:val="21"/>
                    </w:rPr>
                  </w:pPr>
                  <w:r>
                    <w:rPr>
                      <w:rFonts w:eastAsia="宋体"/>
                      <w:kern w:val="0"/>
                      <w:sz w:val="21"/>
                    </w:rPr>
                    <w:t>按照《中华人民共和国水污染防治法》、《四川省饮用水水源保护管理条例》等法规要求，清退不符合空间布局要求活动</w:t>
                  </w:r>
                </w:p>
                <w:p>
                  <w:pPr>
                    <w:pStyle w:val="84"/>
                    <w:spacing w:line="240" w:lineRule="auto"/>
                    <w:ind w:firstLine="0" w:firstLineChars="0"/>
                    <w:jc w:val="left"/>
                    <w:rPr>
                      <w:rFonts w:eastAsia="宋体"/>
                      <w:kern w:val="0"/>
                      <w:sz w:val="21"/>
                    </w:rPr>
                  </w:pPr>
                  <w:r>
                    <w:rPr>
                      <w:rFonts w:eastAsia="宋体"/>
                      <w:kern w:val="0"/>
                      <w:sz w:val="21"/>
                    </w:rPr>
                    <w:t>其他空间布局约束要求</w:t>
                  </w:r>
                </w:p>
              </w:tc>
              <w:tc>
                <w:tcPr>
                  <w:tcW w:w="696" w:type="pct"/>
                  <w:vMerge w:val="restar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本项目位于柳池工业园区，为玻璃纤维及制品制造项目，项目不在生态保护红线、自然保护区、自然保护区的实验区、水土保持-生态功能区、-水土流失严重、生态脆弱的地区内。项目涉及后河徐家坡饮用水水源准保护区，项目生产废水回用，不外排，不属于对水体污染严重的建设项目，未新增生产废水排污量，满足饮用水水源地准保护区要求。</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YS5117222330002</w:t>
                  </w:r>
                </w:p>
              </w:tc>
              <w:tc>
                <w:tcPr>
                  <w:tcW w:w="45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宣汉县大气环境弱扩散重点管控区</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污染物排放管控</w:t>
                  </w:r>
                </w:p>
              </w:tc>
              <w:tc>
                <w:tcPr>
                  <w:tcW w:w="893"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城镇污水污染控制措施要求</w:t>
                  </w:r>
                </w:p>
                <w:p>
                  <w:pPr>
                    <w:pStyle w:val="84"/>
                    <w:spacing w:line="240" w:lineRule="auto"/>
                    <w:ind w:firstLine="0" w:firstLineChars="0"/>
                    <w:jc w:val="left"/>
                    <w:rPr>
                      <w:rFonts w:eastAsia="宋体"/>
                      <w:kern w:val="0"/>
                      <w:sz w:val="21"/>
                    </w:rPr>
                  </w:pPr>
                  <w:r>
                    <w:rPr>
                      <w:rFonts w:eastAsia="宋体"/>
                      <w:kern w:val="0"/>
                      <w:sz w:val="21"/>
                    </w:rPr>
                    <w:t>工业废水污染控制措施要求</w:t>
                  </w:r>
                </w:p>
                <w:p>
                  <w:pPr>
                    <w:pStyle w:val="84"/>
                    <w:spacing w:line="240" w:lineRule="auto"/>
                    <w:ind w:firstLine="0" w:firstLineChars="0"/>
                    <w:jc w:val="left"/>
                    <w:rPr>
                      <w:rFonts w:eastAsia="宋体"/>
                      <w:kern w:val="0"/>
                      <w:sz w:val="21"/>
                    </w:rPr>
                  </w:pPr>
                  <w:r>
                    <w:rPr>
                      <w:rFonts w:eastAsia="宋体"/>
                      <w:kern w:val="0"/>
                      <w:sz w:val="21"/>
                    </w:rPr>
                    <w:t>农业面源水污染控制措施要求</w:t>
                  </w:r>
                </w:p>
                <w:p>
                  <w:pPr>
                    <w:pStyle w:val="84"/>
                    <w:spacing w:line="240" w:lineRule="auto"/>
                    <w:ind w:firstLine="0" w:firstLineChars="0"/>
                    <w:jc w:val="left"/>
                    <w:rPr>
                      <w:rFonts w:eastAsia="宋体"/>
                      <w:kern w:val="0"/>
                      <w:sz w:val="21"/>
                    </w:rPr>
                  </w:pPr>
                  <w:r>
                    <w:rPr>
                      <w:rFonts w:eastAsia="宋体"/>
                      <w:kern w:val="0"/>
                      <w:sz w:val="21"/>
                    </w:rPr>
                    <w:t>船舶港口水污染控制措施要求</w:t>
                  </w:r>
                </w:p>
                <w:p>
                  <w:pPr>
                    <w:pStyle w:val="84"/>
                    <w:spacing w:line="240" w:lineRule="auto"/>
                    <w:ind w:firstLine="0" w:firstLineChars="0"/>
                    <w:jc w:val="left"/>
                    <w:rPr>
                      <w:rFonts w:eastAsia="宋体"/>
                      <w:kern w:val="0"/>
                      <w:sz w:val="21"/>
                    </w:rPr>
                  </w:pPr>
                  <w:r>
                    <w:rPr>
                      <w:rFonts w:eastAsia="宋体"/>
                      <w:kern w:val="0"/>
                      <w:sz w:val="21"/>
                    </w:rPr>
                    <w:t>饮用水水源和其它特殊水体保护要求</w:t>
                  </w:r>
                </w:p>
                <w:p>
                  <w:pPr>
                    <w:pStyle w:val="84"/>
                    <w:spacing w:line="240" w:lineRule="auto"/>
                    <w:ind w:firstLine="0" w:firstLineChars="0"/>
                    <w:jc w:val="left"/>
                    <w:rPr>
                      <w:rFonts w:eastAsia="宋体"/>
                      <w:kern w:val="0"/>
                      <w:sz w:val="21"/>
                    </w:rPr>
                  </w:pPr>
                  <w:r>
                    <w:rPr>
                      <w:rFonts w:eastAsia="宋体"/>
                      <w:kern w:val="0"/>
                      <w:sz w:val="21"/>
                    </w:rPr>
                    <w:t>以饮用水水源水质保护为核心，强化其他污染源治理</w:t>
                  </w:r>
                </w:p>
              </w:tc>
              <w:tc>
                <w:tcPr>
                  <w:tcW w:w="696" w:type="pct"/>
                  <w:vMerge w:val="continue"/>
                  <w:tcBorders>
                    <w:tl2br w:val="nil"/>
                    <w:tr2bl w:val="nil"/>
                  </w:tcBorders>
                  <w:vAlign w:val="center"/>
                </w:tcPr>
                <w:p>
                  <w:pPr>
                    <w:pStyle w:val="84"/>
                    <w:widowControl/>
                    <w:spacing w:line="240" w:lineRule="auto"/>
                    <w:ind w:firstLine="0" w:firstLineChars="0"/>
                    <w:jc w:val="center"/>
                    <w:rPr>
                      <w:rFonts w:eastAsia="宋体"/>
                      <w:sz w:val="21"/>
                    </w:rPr>
                  </w:pP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34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YS5117222330002</w:t>
                  </w:r>
                </w:p>
              </w:tc>
              <w:tc>
                <w:tcPr>
                  <w:tcW w:w="45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宣汉县大气环境弱扩散重点管控区</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环境风险防控</w:t>
                  </w:r>
                </w:p>
              </w:tc>
              <w:tc>
                <w:tcPr>
                  <w:tcW w:w="893"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对饮用水水源保护区及供水单位周边区域的环境状况和污染风险进行调查评估，筛查可能存在的污染风险因素，并采取相应的风险防范措施</w:t>
                  </w:r>
                </w:p>
              </w:tc>
              <w:tc>
                <w:tcPr>
                  <w:tcW w:w="696" w:type="pct"/>
                  <w:vMerge w:val="continue"/>
                  <w:tcBorders>
                    <w:tl2br w:val="nil"/>
                    <w:tr2bl w:val="nil"/>
                  </w:tcBorders>
                  <w:vAlign w:val="center"/>
                </w:tcPr>
                <w:p>
                  <w:pPr>
                    <w:pStyle w:val="84"/>
                    <w:widowControl/>
                    <w:spacing w:line="240" w:lineRule="auto"/>
                    <w:ind w:firstLine="0" w:firstLineChars="0"/>
                    <w:jc w:val="center"/>
                    <w:rPr>
                      <w:rFonts w:eastAsia="宋体"/>
                      <w:sz w:val="21"/>
                    </w:rPr>
                  </w:pP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YS5117222330002</w:t>
                  </w:r>
                </w:p>
              </w:tc>
              <w:tc>
                <w:tcPr>
                  <w:tcW w:w="458" w:type="pct"/>
                  <w:vMerge w:val="continue"/>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宣汉县大气环境弱扩散重点管控区</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资源开发效率要求</w:t>
                  </w:r>
                </w:p>
              </w:tc>
              <w:tc>
                <w:tcPr>
                  <w:tcW w:w="893"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w:t>
                  </w:r>
                </w:p>
              </w:tc>
              <w:tc>
                <w:tcPr>
                  <w:tcW w:w="696" w:type="pct"/>
                  <w:vMerge w:val="continue"/>
                  <w:tcBorders>
                    <w:tl2br w:val="nil"/>
                    <w:tr2bl w:val="nil"/>
                  </w:tcBorders>
                  <w:vAlign w:val="center"/>
                </w:tcPr>
                <w:p>
                  <w:pPr>
                    <w:pStyle w:val="84"/>
                    <w:widowControl/>
                    <w:spacing w:line="240" w:lineRule="auto"/>
                    <w:ind w:firstLine="0" w:firstLineChars="0"/>
                    <w:jc w:val="center"/>
                    <w:rPr>
                      <w:rFonts w:eastAsia="宋体"/>
                      <w:sz w:val="21"/>
                    </w:rPr>
                  </w:pP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restart"/>
                  <w:tcBorders>
                    <w:tl2br w:val="nil"/>
                    <w:tr2bl w:val="nil"/>
                  </w:tcBorders>
                  <w:vAlign w:val="center"/>
                </w:tcPr>
                <w:p>
                  <w:pPr>
                    <w:pStyle w:val="84"/>
                    <w:widowControl/>
                    <w:spacing w:line="240" w:lineRule="auto"/>
                    <w:ind w:firstLine="0" w:firstLineChars="0"/>
                    <w:jc w:val="left"/>
                    <w:rPr>
                      <w:rFonts w:eastAsia="宋体"/>
                      <w:sz w:val="21"/>
                    </w:rPr>
                  </w:pPr>
                  <w:r>
                    <w:rPr>
                      <w:rFonts w:eastAsia="宋体"/>
                      <w:sz w:val="21"/>
                    </w:rPr>
                    <w:t>YS5117222310001</w:t>
                  </w:r>
                </w:p>
              </w:tc>
              <w:tc>
                <w:tcPr>
                  <w:tcW w:w="458" w:type="pct"/>
                  <w:vMerge w:val="restart"/>
                  <w:tcBorders>
                    <w:tl2br w:val="nil"/>
                    <w:tr2bl w:val="nil"/>
                  </w:tcBorders>
                  <w:vAlign w:val="center"/>
                </w:tcPr>
                <w:p>
                  <w:pPr>
                    <w:pStyle w:val="84"/>
                    <w:widowControl/>
                    <w:spacing w:line="240" w:lineRule="auto"/>
                    <w:ind w:firstLine="0" w:firstLineChars="0"/>
                    <w:jc w:val="left"/>
                    <w:rPr>
                      <w:rFonts w:eastAsia="宋体"/>
                      <w:sz w:val="21"/>
                    </w:rPr>
                  </w:pPr>
                  <w:r>
                    <w:rPr>
                      <w:rFonts w:eastAsia="宋体"/>
                      <w:sz w:val="21"/>
                    </w:rPr>
                    <w:t>四川达州普光经济开发区（含锂钾综合开发产业园）</w:t>
                  </w:r>
                </w:p>
              </w:tc>
              <w:tc>
                <w:tcPr>
                  <w:tcW w:w="2139" w:type="pct"/>
                  <w:vMerge w:val="continue"/>
                  <w:tcBorders>
                    <w:tl2br w:val="nil"/>
                    <w:tr2bl w:val="nil"/>
                  </w:tcBorders>
                  <w:vAlign w:val="center"/>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空间布局约束</w:t>
                  </w:r>
                </w:p>
              </w:tc>
              <w:tc>
                <w:tcPr>
                  <w:tcW w:w="893"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禁止开发建设活动的要求</w:t>
                  </w:r>
                </w:p>
                <w:p>
                  <w:pPr>
                    <w:pStyle w:val="84"/>
                    <w:spacing w:line="240" w:lineRule="auto"/>
                    <w:ind w:firstLine="0" w:firstLineChars="0"/>
                    <w:jc w:val="left"/>
                    <w:rPr>
                      <w:rFonts w:eastAsia="宋体"/>
                      <w:kern w:val="0"/>
                      <w:sz w:val="21"/>
                    </w:rPr>
                  </w:pPr>
                  <w:r>
                    <w:rPr>
                      <w:rFonts w:eastAsia="宋体"/>
                      <w:kern w:val="0"/>
                      <w:sz w:val="21"/>
                    </w:rPr>
                    <w:t>限制开发建设活动的要求</w:t>
                  </w:r>
                </w:p>
                <w:p>
                  <w:pPr>
                    <w:pStyle w:val="84"/>
                    <w:spacing w:line="240" w:lineRule="auto"/>
                    <w:ind w:firstLine="0" w:firstLineChars="0"/>
                    <w:jc w:val="left"/>
                    <w:rPr>
                      <w:rFonts w:eastAsia="宋体"/>
                      <w:kern w:val="0"/>
                      <w:sz w:val="21"/>
                    </w:rPr>
                  </w:pPr>
                  <w:r>
                    <w:rPr>
                      <w:rFonts w:eastAsia="宋体"/>
                      <w:kern w:val="0"/>
                      <w:sz w:val="21"/>
                    </w:rPr>
                    <w:t>允许开发建设活动的要求</w:t>
                  </w:r>
                </w:p>
                <w:p>
                  <w:pPr>
                    <w:pStyle w:val="84"/>
                    <w:spacing w:line="240" w:lineRule="auto"/>
                    <w:ind w:firstLine="0" w:firstLineChars="0"/>
                    <w:jc w:val="left"/>
                    <w:rPr>
                      <w:rFonts w:eastAsia="宋体"/>
                      <w:kern w:val="0"/>
                      <w:sz w:val="21"/>
                    </w:rPr>
                  </w:pPr>
                  <w:r>
                    <w:rPr>
                      <w:rFonts w:eastAsia="宋体"/>
                      <w:kern w:val="0"/>
                      <w:sz w:val="21"/>
                    </w:rPr>
                    <w:t>不符合空间布局要求活动的退出要求</w:t>
                  </w:r>
                </w:p>
                <w:p>
                  <w:pPr>
                    <w:pStyle w:val="84"/>
                    <w:spacing w:line="240" w:lineRule="auto"/>
                    <w:ind w:firstLine="0" w:firstLineChars="0"/>
                    <w:jc w:val="left"/>
                    <w:rPr>
                      <w:rFonts w:eastAsia="宋体"/>
                      <w:kern w:val="0"/>
                      <w:sz w:val="21"/>
                    </w:rPr>
                  </w:pPr>
                  <w:r>
                    <w:rPr>
                      <w:rFonts w:eastAsia="宋体"/>
                      <w:kern w:val="0"/>
                      <w:sz w:val="21"/>
                    </w:rPr>
                    <w:t>其他空间布局约束要求</w:t>
                  </w:r>
                </w:p>
              </w:tc>
              <w:tc>
                <w:tcPr>
                  <w:tcW w:w="696"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本项目位于普光经开区柳池功能区内，不属于禁止、限制的开发建设活动</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tcPr>
                <w:p>
                  <w:pPr>
                    <w:pStyle w:val="84"/>
                    <w:widowControl/>
                    <w:spacing w:line="240" w:lineRule="auto"/>
                    <w:ind w:firstLine="0" w:firstLineChars="0"/>
                    <w:jc w:val="left"/>
                    <w:rPr>
                      <w:rFonts w:eastAsia="宋体"/>
                      <w:sz w:val="21"/>
                    </w:rPr>
                  </w:pPr>
                </w:p>
              </w:tc>
              <w:tc>
                <w:tcPr>
                  <w:tcW w:w="458" w:type="pct"/>
                  <w:vMerge w:val="continue"/>
                  <w:tcBorders>
                    <w:tl2br w:val="nil"/>
                    <w:tr2bl w:val="nil"/>
                  </w:tcBorders>
                </w:tcPr>
                <w:p>
                  <w:pPr>
                    <w:pStyle w:val="84"/>
                    <w:widowControl/>
                    <w:spacing w:line="240" w:lineRule="auto"/>
                    <w:ind w:firstLine="0" w:firstLineChars="0"/>
                    <w:jc w:val="left"/>
                    <w:rPr>
                      <w:rFonts w:eastAsia="宋体"/>
                      <w:sz w:val="21"/>
                    </w:rPr>
                  </w:pPr>
                </w:p>
              </w:tc>
              <w:tc>
                <w:tcPr>
                  <w:tcW w:w="2139" w:type="pct"/>
                  <w:vMerge w:val="continue"/>
                  <w:tcBorders>
                    <w:tl2br w:val="nil"/>
                    <w:tr2bl w:val="nil"/>
                  </w:tcBorders>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污染物排放管控</w:t>
                  </w:r>
                </w:p>
              </w:tc>
              <w:tc>
                <w:tcPr>
                  <w:tcW w:w="893"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大气环境质量执行标准</w:t>
                  </w:r>
                </w:p>
                <w:p>
                  <w:pPr>
                    <w:pStyle w:val="84"/>
                    <w:spacing w:line="240" w:lineRule="auto"/>
                    <w:ind w:firstLine="0" w:firstLineChars="0"/>
                    <w:jc w:val="left"/>
                    <w:rPr>
                      <w:rFonts w:eastAsia="宋体"/>
                      <w:kern w:val="0"/>
                      <w:sz w:val="21"/>
                    </w:rPr>
                  </w:pPr>
                  <w:r>
                    <w:rPr>
                      <w:rFonts w:eastAsia="宋体"/>
                      <w:kern w:val="0"/>
                      <w:sz w:val="21"/>
                    </w:rPr>
                    <w:t>《环境空气质量标准》（GB3095-2012）：二级</w:t>
                  </w:r>
                </w:p>
                <w:p>
                  <w:pPr>
                    <w:pStyle w:val="84"/>
                    <w:spacing w:line="240" w:lineRule="auto"/>
                    <w:ind w:firstLine="0" w:firstLineChars="0"/>
                    <w:jc w:val="left"/>
                    <w:rPr>
                      <w:rFonts w:eastAsia="宋体"/>
                      <w:kern w:val="0"/>
                      <w:sz w:val="21"/>
                    </w:rPr>
                  </w:pPr>
                  <w:r>
                    <w:rPr>
                      <w:rFonts w:eastAsia="宋体"/>
                      <w:kern w:val="0"/>
                      <w:sz w:val="21"/>
                    </w:rPr>
                    <w:t>区域大气污染物削减/替代要求</w:t>
                  </w:r>
                </w:p>
                <w:p>
                  <w:pPr>
                    <w:pStyle w:val="84"/>
                    <w:spacing w:line="240" w:lineRule="auto"/>
                    <w:ind w:firstLine="0" w:firstLineChars="0"/>
                    <w:jc w:val="left"/>
                    <w:rPr>
                      <w:rFonts w:eastAsia="宋体"/>
                      <w:kern w:val="0"/>
                      <w:sz w:val="21"/>
                    </w:rPr>
                  </w:pPr>
                  <w:r>
                    <w:rPr>
                      <w:rFonts w:eastAsia="宋体"/>
                      <w:kern w:val="0"/>
                      <w:sz w:val="21"/>
                    </w:rPr>
                    <w:t>新增大气污染物排放的建设项目实施总量削减替代。</w:t>
                  </w:r>
                </w:p>
                <w:p>
                  <w:pPr>
                    <w:pStyle w:val="84"/>
                    <w:spacing w:line="240" w:lineRule="auto"/>
                    <w:ind w:firstLine="0" w:firstLineChars="0"/>
                    <w:jc w:val="left"/>
                    <w:rPr>
                      <w:rFonts w:eastAsia="宋体"/>
                      <w:kern w:val="0"/>
                      <w:sz w:val="21"/>
                    </w:rPr>
                  </w:pPr>
                  <w:r>
                    <w:rPr>
                      <w:rFonts w:eastAsia="宋体"/>
                      <w:kern w:val="0"/>
                      <w:sz w:val="21"/>
                    </w:rPr>
                    <w:t>燃煤和其他能源大气污染控制要求</w:t>
                  </w:r>
                </w:p>
                <w:p>
                  <w:pPr>
                    <w:pStyle w:val="84"/>
                    <w:spacing w:line="240" w:lineRule="auto"/>
                    <w:ind w:firstLine="0" w:firstLineChars="0"/>
                    <w:jc w:val="left"/>
                    <w:rPr>
                      <w:rFonts w:eastAsia="宋体"/>
                      <w:kern w:val="0"/>
                      <w:sz w:val="21"/>
                    </w:rPr>
                  </w:pPr>
                  <w:r>
                    <w:rPr>
                      <w:rFonts w:eastAsia="宋体"/>
                      <w:kern w:val="0"/>
                      <w:sz w:val="21"/>
                    </w:rPr>
                    <w:t>工业废气污染控制要求</w:t>
                  </w:r>
                </w:p>
                <w:p>
                  <w:pPr>
                    <w:pStyle w:val="84"/>
                    <w:spacing w:line="240" w:lineRule="auto"/>
                    <w:ind w:firstLine="0" w:firstLineChars="0"/>
                    <w:jc w:val="left"/>
                    <w:rPr>
                      <w:rFonts w:eastAsia="宋体"/>
                      <w:kern w:val="0"/>
                      <w:sz w:val="21"/>
                    </w:rPr>
                  </w:pPr>
                  <w:r>
                    <w:rPr>
                      <w:rFonts w:eastAsia="宋体"/>
                      <w:kern w:val="0"/>
                      <w:sz w:val="21"/>
                    </w:rPr>
                    <w:t>机动车船大气污染控制要求</w:t>
                  </w:r>
                </w:p>
                <w:p>
                  <w:pPr>
                    <w:pStyle w:val="84"/>
                    <w:spacing w:line="240" w:lineRule="auto"/>
                    <w:ind w:firstLine="0" w:firstLineChars="0"/>
                    <w:jc w:val="left"/>
                    <w:rPr>
                      <w:rFonts w:eastAsia="宋体"/>
                      <w:kern w:val="0"/>
                      <w:sz w:val="21"/>
                    </w:rPr>
                  </w:pPr>
                  <w:r>
                    <w:rPr>
                      <w:rFonts w:eastAsia="宋体"/>
                      <w:kern w:val="0"/>
                      <w:sz w:val="21"/>
                    </w:rPr>
                    <w:t>扬尘污染控制要求</w:t>
                  </w:r>
                </w:p>
                <w:p>
                  <w:pPr>
                    <w:pStyle w:val="84"/>
                    <w:spacing w:line="240" w:lineRule="auto"/>
                    <w:ind w:firstLine="0" w:firstLineChars="0"/>
                    <w:jc w:val="left"/>
                    <w:rPr>
                      <w:rFonts w:eastAsia="宋体"/>
                      <w:kern w:val="0"/>
                      <w:sz w:val="21"/>
                    </w:rPr>
                  </w:pPr>
                  <w:r>
                    <w:rPr>
                      <w:rFonts w:eastAsia="宋体"/>
                      <w:kern w:val="0"/>
                      <w:sz w:val="21"/>
                    </w:rPr>
                    <w:t>农业生产经营活动大气污染控制要求</w:t>
                  </w:r>
                </w:p>
                <w:p>
                  <w:pPr>
                    <w:pStyle w:val="84"/>
                    <w:spacing w:line="240" w:lineRule="auto"/>
                    <w:ind w:firstLine="0" w:firstLineChars="0"/>
                    <w:jc w:val="left"/>
                    <w:rPr>
                      <w:rFonts w:eastAsia="宋体"/>
                      <w:kern w:val="0"/>
                      <w:sz w:val="21"/>
                    </w:rPr>
                  </w:pPr>
                  <w:r>
                    <w:rPr>
                      <w:rFonts w:eastAsia="宋体"/>
                      <w:kern w:val="0"/>
                      <w:sz w:val="21"/>
                    </w:rPr>
                    <w:t>重点行业企业专项治理要求</w:t>
                  </w:r>
                </w:p>
                <w:p>
                  <w:pPr>
                    <w:pStyle w:val="84"/>
                    <w:spacing w:line="240" w:lineRule="auto"/>
                    <w:ind w:firstLine="0" w:firstLineChars="0"/>
                    <w:jc w:val="left"/>
                    <w:rPr>
                      <w:rFonts w:eastAsia="宋体"/>
                      <w:kern w:val="0"/>
                      <w:sz w:val="21"/>
                    </w:rPr>
                  </w:pPr>
                  <w:r>
                    <w:rPr>
                      <w:rFonts w:eastAsia="宋体"/>
                      <w:kern w:val="0"/>
                      <w:sz w:val="21"/>
                    </w:rPr>
                    <w:t>其他大气污染物排放管控要求</w:t>
                  </w:r>
                </w:p>
              </w:tc>
              <w:tc>
                <w:tcPr>
                  <w:tcW w:w="696" w:type="pct"/>
                  <w:tcBorders>
                    <w:tl2br w:val="nil"/>
                    <w:tr2bl w:val="nil"/>
                  </w:tcBorders>
                </w:tcPr>
                <w:p>
                  <w:pPr>
                    <w:pStyle w:val="84"/>
                    <w:widowControl/>
                    <w:spacing w:line="240" w:lineRule="auto"/>
                    <w:ind w:firstLine="0" w:firstLineChars="0"/>
                    <w:jc w:val="center"/>
                    <w:rPr>
                      <w:rFonts w:eastAsia="宋体"/>
                      <w:sz w:val="21"/>
                    </w:rPr>
                  </w:pPr>
                  <w:r>
                    <w:rPr>
                      <w:rFonts w:eastAsia="宋体"/>
                      <w:sz w:val="21"/>
                    </w:rPr>
                    <w:t>本项目位于环境空气质量达标区域，本项目按照要求申请总量控制指标</w:t>
                  </w:r>
                </w:p>
              </w:tc>
              <w:tc>
                <w:tcPr>
                  <w:tcW w:w="197" w:type="pct"/>
                  <w:tcBorders>
                    <w:tl2br w:val="nil"/>
                    <w:tr2bl w:val="nil"/>
                  </w:tcBorders>
                  <w:vAlign w:val="center"/>
                </w:tcPr>
                <w:p>
                  <w:pPr>
                    <w:pStyle w:val="84"/>
                    <w:widowControl/>
                    <w:spacing w:line="240" w:lineRule="auto"/>
                    <w:ind w:firstLine="0" w:firstLineChars="0"/>
                    <w:jc w:val="center"/>
                    <w:rPr>
                      <w:rFonts w:eastAsia="宋体"/>
                      <w:sz w:val="21"/>
                    </w:rPr>
                  </w:pPr>
                  <w:r>
                    <w:rPr>
                      <w:rFonts w:eastAsia="宋体"/>
                      <w:sz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tcPr>
                <w:p>
                  <w:pPr>
                    <w:pStyle w:val="84"/>
                    <w:widowControl/>
                    <w:spacing w:line="240" w:lineRule="auto"/>
                    <w:ind w:firstLine="0" w:firstLineChars="0"/>
                    <w:jc w:val="left"/>
                    <w:rPr>
                      <w:rFonts w:eastAsia="宋体"/>
                      <w:sz w:val="21"/>
                    </w:rPr>
                  </w:pPr>
                </w:p>
              </w:tc>
              <w:tc>
                <w:tcPr>
                  <w:tcW w:w="458" w:type="pct"/>
                  <w:vMerge w:val="continue"/>
                  <w:tcBorders>
                    <w:tl2br w:val="nil"/>
                    <w:tr2bl w:val="nil"/>
                  </w:tcBorders>
                </w:tcPr>
                <w:p>
                  <w:pPr>
                    <w:pStyle w:val="84"/>
                    <w:widowControl/>
                    <w:spacing w:line="240" w:lineRule="auto"/>
                    <w:ind w:firstLine="0" w:firstLineChars="0"/>
                    <w:jc w:val="left"/>
                    <w:rPr>
                      <w:rFonts w:eastAsia="宋体"/>
                      <w:sz w:val="21"/>
                    </w:rPr>
                  </w:pPr>
                </w:p>
              </w:tc>
              <w:tc>
                <w:tcPr>
                  <w:tcW w:w="2139" w:type="pct"/>
                  <w:vMerge w:val="continue"/>
                  <w:tcBorders>
                    <w:tl2br w:val="nil"/>
                    <w:tr2bl w:val="nil"/>
                  </w:tcBorders>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环境风险防控</w:t>
                  </w:r>
                </w:p>
              </w:tc>
              <w:tc>
                <w:tcPr>
                  <w:tcW w:w="893" w:type="pct"/>
                  <w:vMerge w:val="restar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w:t>
                  </w:r>
                </w:p>
              </w:tc>
              <w:tc>
                <w:tcPr>
                  <w:tcW w:w="696" w:type="pct"/>
                  <w:tcBorders>
                    <w:tl2br w:val="nil"/>
                    <w:tr2bl w:val="nil"/>
                  </w:tcBorders>
                </w:tcPr>
                <w:p>
                  <w:pPr>
                    <w:pStyle w:val="84"/>
                    <w:widowControl/>
                    <w:spacing w:line="240" w:lineRule="auto"/>
                    <w:ind w:firstLine="0" w:firstLineChars="0"/>
                    <w:jc w:val="center"/>
                    <w:rPr>
                      <w:rFonts w:eastAsia="宋体"/>
                      <w:sz w:val="21"/>
                    </w:rPr>
                  </w:pPr>
                  <w:r>
                    <w:rPr>
                      <w:rFonts w:eastAsia="宋体"/>
                      <w:sz w:val="21"/>
                    </w:rPr>
                    <w:t>/</w:t>
                  </w:r>
                </w:p>
              </w:tc>
              <w:tc>
                <w:tcPr>
                  <w:tcW w:w="197" w:type="pct"/>
                  <w:tcBorders>
                    <w:tl2br w:val="nil"/>
                    <w:tr2bl w:val="nil"/>
                  </w:tcBorders>
                </w:tcPr>
                <w:p>
                  <w:pPr>
                    <w:pStyle w:val="84"/>
                    <w:widowControl/>
                    <w:spacing w:line="240" w:lineRule="auto"/>
                    <w:ind w:firstLine="0" w:firstLineChars="0"/>
                    <w:jc w:val="center"/>
                    <w:rPr>
                      <w:rFonts w:eastAsia="宋体"/>
                      <w:sz w:val="21"/>
                    </w:rPr>
                  </w:pPr>
                  <w:r>
                    <w:rPr>
                      <w:rFonts w:eastAsia="宋体"/>
                      <w:sz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8" w:type="pct"/>
                  <w:vMerge w:val="continue"/>
                  <w:tcBorders>
                    <w:tl2br w:val="nil"/>
                    <w:tr2bl w:val="nil"/>
                  </w:tcBorders>
                </w:tcPr>
                <w:p>
                  <w:pPr>
                    <w:pStyle w:val="84"/>
                    <w:widowControl/>
                    <w:spacing w:line="240" w:lineRule="auto"/>
                    <w:ind w:firstLine="0" w:firstLineChars="0"/>
                    <w:jc w:val="left"/>
                    <w:rPr>
                      <w:rFonts w:eastAsia="宋体"/>
                      <w:sz w:val="21"/>
                    </w:rPr>
                  </w:pPr>
                </w:p>
              </w:tc>
              <w:tc>
                <w:tcPr>
                  <w:tcW w:w="458" w:type="pct"/>
                  <w:vMerge w:val="continue"/>
                  <w:tcBorders>
                    <w:tl2br w:val="nil"/>
                    <w:tr2bl w:val="nil"/>
                  </w:tcBorders>
                </w:tcPr>
                <w:p>
                  <w:pPr>
                    <w:pStyle w:val="84"/>
                    <w:widowControl/>
                    <w:spacing w:line="240" w:lineRule="auto"/>
                    <w:ind w:firstLine="0" w:firstLineChars="0"/>
                    <w:jc w:val="left"/>
                    <w:rPr>
                      <w:rFonts w:eastAsia="宋体"/>
                      <w:sz w:val="21"/>
                    </w:rPr>
                  </w:pPr>
                </w:p>
              </w:tc>
              <w:tc>
                <w:tcPr>
                  <w:tcW w:w="2139" w:type="pct"/>
                  <w:vMerge w:val="continue"/>
                  <w:tcBorders>
                    <w:tl2br w:val="nil"/>
                    <w:tr2bl w:val="nil"/>
                  </w:tcBorders>
                </w:tcPr>
                <w:p>
                  <w:pPr>
                    <w:pStyle w:val="84"/>
                    <w:spacing w:line="240" w:lineRule="auto"/>
                    <w:ind w:firstLine="0" w:firstLineChars="0"/>
                    <w:jc w:val="center"/>
                    <w:rPr>
                      <w:rFonts w:eastAsia="宋体"/>
                      <w:kern w:val="0"/>
                      <w:sz w:val="21"/>
                    </w:rPr>
                  </w:pPr>
                </w:p>
              </w:tc>
              <w:tc>
                <w:tcPr>
                  <w:tcW w:w="265" w:type="pct"/>
                  <w:tcBorders>
                    <w:tl2br w:val="nil"/>
                    <w:tr2bl w:val="nil"/>
                  </w:tcBorders>
                  <w:vAlign w:val="center"/>
                </w:tcPr>
                <w:p>
                  <w:pPr>
                    <w:pStyle w:val="84"/>
                    <w:spacing w:line="240" w:lineRule="auto"/>
                    <w:ind w:firstLine="0" w:firstLineChars="0"/>
                    <w:jc w:val="left"/>
                    <w:rPr>
                      <w:rFonts w:eastAsia="宋体"/>
                      <w:kern w:val="0"/>
                      <w:sz w:val="21"/>
                    </w:rPr>
                  </w:pPr>
                  <w:r>
                    <w:rPr>
                      <w:rFonts w:eastAsia="宋体"/>
                      <w:kern w:val="0"/>
                      <w:sz w:val="21"/>
                    </w:rPr>
                    <w:t>资源开发效率要求</w:t>
                  </w:r>
                </w:p>
              </w:tc>
              <w:tc>
                <w:tcPr>
                  <w:tcW w:w="893" w:type="pct"/>
                  <w:vMerge w:val="continue"/>
                  <w:tcBorders>
                    <w:tl2br w:val="nil"/>
                    <w:tr2bl w:val="nil"/>
                  </w:tcBorders>
                </w:tcPr>
                <w:p>
                  <w:pPr>
                    <w:pStyle w:val="84"/>
                    <w:widowControl/>
                    <w:shd w:val="clear" w:color="auto" w:fill="FFFFFF"/>
                    <w:spacing w:line="240" w:lineRule="auto"/>
                    <w:ind w:firstLine="0" w:firstLineChars="0"/>
                    <w:jc w:val="left"/>
                    <w:rPr>
                      <w:rFonts w:eastAsia="宋体"/>
                      <w:sz w:val="21"/>
                    </w:rPr>
                  </w:pPr>
                </w:p>
              </w:tc>
              <w:tc>
                <w:tcPr>
                  <w:tcW w:w="696" w:type="pct"/>
                  <w:tcBorders>
                    <w:tl2br w:val="nil"/>
                    <w:tr2bl w:val="nil"/>
                  </w:tcBorders>
                </w:tcPr>
                <w:p>
                  <w:pPr>
                    <w:pStyle w:val="84"/>
                    <w:widowControl/>
                    <w:spacing w:line="240" w:lineRule="auto"/>
                    <w:ind w:firstLine="0" w:firstLineChars="0"/>
                    <w:jc w:val="center"/>
                    <w:rPr>
                      <w:rFonts w:eastAsia="宋体"/>
                      <w:sz w:val="21"/>
                    </w:rPr>
                  </w:pPr>
                </w:p>
              </w:tc>
              <w:tc>
                <w:tcPr>
                  <w:tcW w:w="197" w:type="pct"/>
                  <w:tcBorders>
                    <w:tl2br w:val="nil"/>
                    <w:tr2bl w:val="nil"/>
                  </w:tcBorders>
                </w:tcPr>
                <w:p>
                  <w:pPr>
                    <w:pStyle w:val="84"/>
                    <w:widowControl/>
                    <w:spacing w:line="240" w:lineRule="auto"/>
                    <w:ind w:firstLine="0" w:firstLineChars="0"/>
                    <w:jc w:val="center"/>
                    <w:rPr>
                      <w:rFonts w:eastAsia="宋体"/>
                      <w:sz w:val="21"/>
                    </w:rPr>
                  </w:pPr>
                </w:p>
              </w:tc>
            </w:tr>
          </w:tbl>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pPr>
          </w:p>
        </w:tc>
      </w:tr>
    </w:tbl>
    <w:p>
      <w:pPr>
        <w:pStyle w:val="9"/>
        <w:sectPr>
          <w:pgSz w:w="16838" w:h="11906" w:orient="landscape"/>
          <w:pgMar w:top="1418" w:right="1134" w:bottom="1134" w:left="1134" w:header="851" w:footer="992" w:gutter="0"/>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8" w:type="dxa"/>
            <w:vAlign w:val="center"/>
          </w:tcPr>
          <w:p>
            <w:pPr>
              <w:spacing w:line="360" w:lineRule="auto"/>
              <w:jc w:val="center"/>
            </w:pPr>
            <w:r>
              <w:rPr>
                <w:rFonts w:hint="eastAsia"/>
                <w:sz w:val="24"/>
                <w:szCs w:val="24"/>
              </w:rPr>
              <w:t>其他符合性分析</w:t>
            </w:r>
          </w:p>
        </w:tc>
        <w:tc>
          <w:tcPr>
            <w:tcW w:w="8852" w:type="dxa"/>
          </w:tcPr>
          <w:p>
            <w:pPr>
              <w:spacing w:line="360" w:lineRule="auto"/>
              <w:ind w:firstLine="482" w:firstLineChars="200"/>
              <w:rPr>
                <w:rFonts w:cs="Times New Roman"/>
                <w:b/>
                <w:bCs/>
                <w:sz w:val="24"/>
                <w:szCs w:val="24"/>
              </w:rPr>
            </w:pPr>
            <w:r>
              <w:rPr>
                <w:rFonts w:cs="Times New Roman"/>
                <w:b/>
                <w:bCs/>
                <w:sz w:val="24"/>
                <w:szCs w:val="24"/>
              </w:rPr>
              <w:t>9、与大气污染防治相关规划符合性分析</w:t>
            </w:r>
          </w:p>
          <w:p>
            <w:pPr>
              <w:spacing w:line="360" w:lineRule="auto"/>
              <w:ind w:firstLine="480" w:firstLineChars="200"/>
              <w:rPr>
                <w:rFonts w:cs="Times New Roman"/>
                <w:sz w:val="24"/>
                <w:szCs w:val="24"/>
              </w:rPr>
            </w:pPr>
            <w:r>
              <w:rPr>
                <w:rFonts w:cs="Times New Roman"/>
                <w:sz w:val="24"/>
                <w:szCs w:val="24"/>
              </w:rPr>
              <w:t>与大气污染防治相关规划符合性分析见下表。</w:t>
            </w:r>
          </w:p>
          <w:p>
            <w:pPr>
              <w:spacing w:line="360" w:lineRule="auto"/>
              <w:jc w:val="center"/>
              <w:rPr>
                <w:rFonts w:cs="Times New Roman"/>
                <w:b/>
                <w:bCs/>
                <w:sz w:val="24"/>
                <w:szCs w:val="24"/>
              </w:rPr>
            </w:pPr>
            <w:r>
              <w:rPr>
                <w:rFonts w:cs="Times New Roman"/>
                <w:b/>
                <w:bCs/>
                <w:sz w:val="24"/>
                <w:szCs w:val="24"/>
              </w:rPr>
              <w:t>表1-1</w:t>
            </w:r>
            <w:r>
              <w:rPr>
                <w:rFonts w:hint="eastAsia" w:cs="Times New Roman"/>
                <w:b/>
                <w:bCs/>
                <w:sz w:val="24"/>
                <w:szCs w:val="24"/>
                <w:lang w:val="en-US" w:eastAsia="zh-CN"/>
              </w:rPr>
              <w:t>0</w:t>
            </w:r>
            <w:r>
              <w:rPr>
                <w:rFonts w:cs="Times New Roman"/>
                <w:b/>
                <w:bCs/>
                <w:sz w:val="24"/>
                <w:szCs w:val="24"/>
              </w:rPr>
              <w:t xml:space="preserve">  大气污染防治相关规划符合性</w:t>
            </w:r>
          </w:p>
          <w:tbl>
            <w:tblPr>
              <w:tblStyle w:val="26"/>
              <w:tblW w:w="499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81"/>
              <w:gridCol w:w="1841"/>
              <w:gridCol w:w="3876"/>
              <w:gridCol w:w="1825"/>
              <w:gridCol w:w="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tcBorders>
                    <w:tl2br w:val="nil"/>
                    <w:tr2bl w:val="nil"/>
                  </w:tcBorders>
                  <w:vAlign w:val="center"/>
                </w:tcPr>
                <w:p>
                  <w:pPr>
                    <w:jc w:val="center"/>
                    <w:rPr>
                      <w:rFonts w:cs="Times New Roman"/>
                      <w:b/>
                      <w:szCs w:val="21"/>
                    </w:rPr>
                  </w:pPr>
                  <w:r>
                    <w:rPr>
                      <w:rFonts w:cs="Times New Roman"/>
                      <w:b/>
                      <w:szCs w:val="21"/>
                    </w:rPr>
                    <w:t>序号</w:t>
                  </w:r>
                </w:p>
              </w:tc>
              <w:tc>
                <w:tcPr>
                  <w:tcW w:w="955" w:type="pct"/>
                  <w:tcBorders>
                    <w:tl2br w:val="nil"/>
                    <w:tr2bl w:val="nil"/>
                  </w:tcBorders>
                  <w:vAlign w:val="center"/>
                </w:tcPr>
                <w:p>
                  <w:pPr>
                    <w:jc w:val="center"/>
                    <w:rPr>
                      <w:rFonts w:cs="Times New Roman"/>
                      <w:b/>
                      <w:szCs w:val="21"/>
                    </w:rPr>
                  </w:pPr>
                  <w:r>
                    <w:rPr>
                      <w:rFonts w:cs="Times New Roman"/>
                      <w:b/>
                      <w:szCs w:val="21"/>
                    </w:rPr>
                    <w:t>文件名称</w:t>
                  </w:r>
                </w:p>
              </w:tc>
              <w:tc>
                <w:tcPr>
                  <w:tcW w:w="2275" w:type="pct"/>
                  <w:tcBorders>
                    <w:tl2br w:val="nil"/>
                    <w:tr2bl w:val="nil"/>
                  </w:tcBorders>
                  <w:vAlign w:val="center"/>
                </w:tcPr>
                <w:p>
                  <w:pPr>
                    <w:jc w:val="center"/>
                    <w:rPr>
                      <w:rFonts w:cs="Times New Roman"/>
                      <w:b/>
                      <w:szCs w:val="21"/>
                    </w:rPr>
                  </w:pPr>
                  <w:r>
                    <w:rPr>
                      <w:rFonts w:cs="Times New Roman"/>
                      <w:b/>
                      <w:szCs w:val="21"/>
                    </w:rPr>
                    <w:t>相关要求</w:t>
                  </w:r>
                </w:p>
              </w:tc>
              <w:tc>
                <w:tcPr>
                  <w:tcW w:w="1086" w:type="pct"/>
                  <w:tcBorders>
                    <w:tl2br w:val="nil"/>
                    <w:tr2bl w:val="nil"/>
                  </w:tcBorders>
                  <w:vAlign w:val="center"/>
                </w:tcPr>
                <w:p>
                  <w:pPr>
                    <w:jc w:val="center"/>
                    <w:rPr>
                      <w:rFonts w:cs="Times New Roman"/>
                      <w:b/>
                      <w:szCs w:val="21"/>
                    </w:rPr>
                  </w:pPr>
                  <w:r>
                    <w:rPr>
                      <w:rFonts w:cs="Times New Roman"/>
                      <w:b/>
                      <w:szCs w:val="21"/>
                    </w:rPr>
                    <w:t>项目相关情况</w:t>
                  </w:r>
                </w:p>
              </w:tc>
              <w:tc>
                <w:tcPr>
                  <w:tcW w:w="374" w:type="pct"/>
                  <w:tcBorders>
                    <w:tl2br w:val="nil"/>
                    <w:tr2bl w:val="nil"/>
                  </w:tcBorders>
                  <w:vAlign w:val="center"/>
                </w:tcPr>
                <w:p>
                  <w:pPr>
                    <w:jc w:val="center"/>
                    <w:rPr>
                      <w:rFonts w:cs="Times New Roman"/>
                      <w:b/>
                      <w:szCs w:val="21"/>
                    </w:rPr>
                  </w:pPr>
                  <w:r>
                    <w:rPr>
                      <w:rFonts w:cs="Times New Roman"/>
                      <w:b/>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tcBorders>
                    <w:tl2br w:val="nil"/>
                    <w:tr2bl w:val="nil"/>
                  </w:tcBorders>
                  <w:vAlign w:val="center"/>
                </w:tcPr>
                <w:p>
                  <w:pPr>
                    <w:jc w:val="center"/>
                    <w:rPr>
                      <w:rFonts w:cs="Times New Roman"/>
                      <w:bCs/>
                      <w:szCs w:val="21"/>
                    </w:rPr>
                  </w:pPr>
                  <w:r>
                    <w:rPr>
                      <w:rFonts w:cs="Times New Roman"/>
                      <w:bCs/>
                      <w:szCs w:val="21"/>
                    </w:rPr>
                    <w:t>1</w:t>
                  </w:r>
                </w:p>
              </w:tc>
              <w:tc>
                <w:tcPr>
                  <w:tcW w:w="955" w:type="pct"/>
                  <w:tcBorders>
                    <w:tl2br w:val="nil"/>
                    <w:tr2bl w:val="nil"/>
                  </w:tcBorders>
                  <w:vAlign w:val="center"/>
                </w:tcPr>
                <w:p>
                  <w:pPr>
                    <w:jc w:val="center"/>
                    <w:rPr>
                      <w:rFonts w:cs="Times New Roman"/>
                      <w:bCs/>
                      <w:szCs w:val="21"/>
                    </w:rPr>
                  </w:pPr>
                  <w:r>
                    <w:rPr>
                      <w:rFonts w:cs="Times New Roman"/>
                      <w:bCs/>
                      <w:szCs w:val="21"/>
                    </w:rPr>
                    <w:t>《中华人民共和国大气污染防治法》（2018年修正）</w:t>
                  </w:r>
                </w:p>
              </w:tc>
              <w:tc>
                <w:tcPr>
                  <w:tcW w:w="2275" w:type="pct"/>
                  <w:tcBorders>
                    <w:tl2br w:val="nil"/>
                    <w:tr2bl w:val="nil"/>
                  </w:tcBorders>
                  <w:vAlign w:val="center"/>
                </w:tcPr>
                <w:p>
                  <w:pPr>
                    <w:jc w:val="center"/>
                    <w:rPr>
                      <w:rFonts w:cs="Times New Roman"/>
                      <w:bCs/>
                      <w:szCs w:val="21"/>
                    </w:rPr>
                  </w:pPr>
                  <w:r>
                    <w:rPr>
                      <w:rFonts w:cs="Times New Roman"/>
                      <w:bCs/>
                      <w:szCs w:val="21"/>
                    </w:rPr>
                    <w:t>产生含挥发性有机物废气的生产和服务活动，应当在密闭空间或者设备中进行，并按照规定安装、使用污染防治设施：无法密闭的，应采取措施减少废气排放</w:t>
                  </w:r>
                </w:p>
              </w:tc>
              <w:tc>
                <w:tcPr>
                  <w:tcW w:w="1086" w:type="pct"/>
                  <w:tcBorders>
                    <w:tl2br w:val="nil"/>
                    <w:tr2bl w:val="nil"/>
                  </w:tcBorders>
                  <w:vAlign w:val="center"/>
                </w:tcPr>
                <w:p>
                  <w:pPr>
                    <w:jc w:val="center"/>
                    <w:rPr>
                      <w:rFonts w:cs="Times New Roman"/>
                      <w:bCs/>
                      <w:szCs w:val="21"/>
                    </w:rPr>
                  </w:pPr>
                  <w:r>
                    <w:rPr>
                      <w:rFonts w:cs="Times New Roman"/>
                      <w:bCs/>
                      <w:szCs w:val="21"/>
                    </w:rPr>
                    <w:t>本项目有机废气产生主要为施胶和烘干工序，均为密闭设备，产生的有机废气经二级活性炭吸附处理后由排气筒排放。</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vMerge w:val="restart"/>
                  <w:tcBorders>
                    <w:tl2br w:val="nil"/>
                    <w:tr2bl w:val="nil"/>
                  </w:tcBorders>
                  <w:vAlign w:val="center"/>
                </w:tcPr>
                <w:p>
                  <w:pPr>
                    <w:jc w:val="center"/>
                    <w:rPr>
                      <w:rFonts w:cs="Times New Roman"/>
                      <w:bCs/>
                      <w:szCs w:val="21"/>
                    </w:rPr>
                  </w:pPr>
                  <w:r>
                    <w:rPr>
                      <w:rFonts w:cs="Times New Roman"/>
                      <w:bCs/>
                      <w:szCs w:val="21"/>
                    </w:rPr>
                    <w:t>2</w:t>
                  </w:r>
                </w:p>
              </w:tc>
              <w:tc>
                <w:tcPr>
                  <w:tcW w:w="955" w:type="pct"/>
                  <w:vMerge w:val="restart"/>
                  <w:tcBorders>
                    <w:tl2br w:val="nil"/>
                    <w:tr2bl w:val="nil"/>
                  </w:tcBorders>
                  <w:vAlign w:val="center"/>
                </w:tcPr>
                <w:p>
                  <w:pPr>
                    <w:jc w:val="center"/>
                    <w:rPr>
                      <w:rFonts w:cs="Times New Roman"/>
                      <w:bCs/>
                      <w:szCs w:val="21"/>
                    </w:rPr>
                  </w:pPr>
                  <w:r>
                    <w:rPr>
                      <w:rFonts w:cs="Times New Roman"/>
                      <w:bCs/>
                      <w:szCs w:val="21"/>
                    </w:rPr>
                    <w:t>四川省打赢蓝天保卫战等九个实施方案（川府发</w:t>
                  </w:r>
                </w:p>
                <w:p>
                  <w:pPr>
                    <w:jc w:val="center"/>
                    <w:rPr>
                      <w:rFonts w:cs="Times New Roman"/>
                      <w:bCs/>
                      <w:szCs w:val="21"/>
                    </w:rPr>
                  </w:pPr>
                  <w:r>
                    <w:rPr>
                      <w:rFonts w:cs="Times New Roman"/>
                      <w:bCs/>
                      <w:szCs w:val="21"/>
                    </w:rPr>
                    <w:t>〔2019〕4号）</w:t>
                  </w:r>
                </w:p>
              </w:tc>
              <w:tc>
                <w:tcPr>
                  <w:tcW w:w="2275" w:type="pct"/>
                  <w:tcBorders>
                    <w:tl2br w:val="nil"/>
                    <w:tr2bl w:val="nil"/>
                  </w:tcBorders>
                  <w:vAlign w:val="center"/>
                </w:tcPr>
                <w:p>
                  <w:pPr>
                    <w:jc w:val="center"/>
                    <w:rPr>
                      <w:rFonts w:cs="Times New Roman"/>
                      <w:bCs/>
                      <w:szCs w:val="21"/>
                    </w:rPr>
                  </w:pPr>
                  <w:r>
                    <w:rPr>
                      <w:rFonts w:cs="Times New Roman"/>
                      <w:bCs/>
                      <w:szCs w:val="21"/>
                    </w:rPr>
                    <w:t>强化挥发性有机物综合治理。严格设计VOCs排放的建设项目环境准入，加强源头控制。提高涉及VOCs排放行业环保准入门槛，新建涉及VOCs排放的工业企业入园区，实行区域内VOCs 排放等量或倍量削减替代。环境空气质量未达标的城市新增VOCs排放的建设项目，实行2倍削减量替代；达标城市实行等量替代。</w:t>
                  </w:r>
                </w:p>
              </w:tc>
              <w:tc>
                <w:tcPr>
                  <w:tcW w:w="1086" w:type="pct"/>
                  <w:vMerge w:val="restart"/>
                  <w:tcBorders>
                    <w:tl2br w:val="nil"/>
                    <w:tr2bl w:val="nil"/>
                  </w:tcBorders>
                  <w:vAlign w:val="center"/>
                </w:tcPr>
                <w:p>
                  <w:pPr>
                    <w:jc w:val="center"/>
                    <w:rPr>
                      <w:rFonts w:cs="Times New Roman"/>
                      <w:bCs/>
                      <w:szCs w:val="21"/>
                    </w:rPr>
                  </w:pPr>
                  <w:r>
                    <w:rPr>
                      <w:rFonts w:cs="Times New Roman"/>
                      <w:bCs/>
                      <w:szCs w:val="21"/>
                    </w:rPr>
                    <w:t>本项目位于柳池工业园区内，属于玻璃纤维及制品制造；原料使用VOCs含量低的水基型胶粘剂，产生的有机废气经二级活性炭吸附处理后由排气筒排放。项目位于环境空气质量达标区域，实行总量等量替代。</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vMerge w:val="continue"/>
                  <w:tcBorders>
                    <w:tl2br w:val="nil"/>
                    <w:tr2bl w:val="nil"/>
                  </w:tcBorders>
                  <w:vAlign w:val="center"/>
                </w:tcPr>
                <w:p>
                  <w:pPr>
                    <w:jc w:val="center"/>
                    <w:rPr>
                      <w:rFonts w:cs="Times New Roman"/>
                      <w:bCs/>
                      <w:szCs w:val="21"/>
                    </w:rPr>
                  </w:pPr>
                </w:p>
              </w:tc>
              <w:tc>
                <w:tcPr>
                  <w:tcW w:w="955" w:type="pct"/>
                  <w:vMerge w:val="continue"/>
                  <w:tcBorders>
                    <w:tl2br w:val="nil"/>
                    <w:tr2bl w:val="nil"/>
                  </w:tcBorders>
                  <w:vAlign w:val="center"/>
                </w:tcPr>
                <w:p>
                  <w:pPr>
                    <w:jc w:val="center"/>
                    <w:rPr>
                      <w:rFonts w:cs="Times New Roman"/>
                      <w:bCs/>
                      <w:szCs w:val="21"/>
                    </w:rPr>
                  </w:pPr>
                </w:p>
              </w:tc>
              <w:tc>
                <w:tcPr>
                  <w:tcW w:w="2275" w:type="pct"/>
                  <w:tcBorders>
                    <w:tl2br w:val="nil"/>
                    <w:tr2bl w:val="nil"/>
                  </w:tcBorders>
                  <w:vAlign w:val="center"/>
                </w:tcPr>
                <w:p>
                  <w:pPr>
                    <w:jc w:val="center"/>
                    <w:rPr>
                      <w:rFonts w:cs="Times New Roman"/>
                      <w:bCs/>
                      <w:szCs w:val="21"/>
                    </w:rPr>
                  </w:pPr>
                  <w:r>
                    <w:rPr>
                      <w:rFonts w:cs="Times New Roman"/>
                      <w:bCs/>
                      <w:szCs w:val="21"/>
                    </w:rPr>
                    <w:t>加强VOCs的收集和治理，严格控制生产、储存、装卸等环节的排放。推进石化、医药、农药等化工类，汽车制造、机械设备制造、家具制造等工业涂装类，包装印刷等行业VOCs综合治理</w:t>
                  </w:r>
                </w:p>
              </w:tc>
              <w:tc>
                <w:tcPr>
                  <w:tcW w:w="1086" w:type="pct"/>
                  <w:vMerge w:val="continue"/>
                  <w:tcBorders>
                    <w:tl2br w:val="nil"/>
                    <w:tr2bl w:val="nil"/>
                  </w:tcBorders>
                  <w:vAlign w:val="center"/>
                </w:tcPr>
                <w:p>
                  <w:pPr>
                    <w:jc w:val="center"/>
                    <w:rPr>
                      <w:rFonts w:cs="Times New Roman"/>
                      <w:bCs/>
                      <w:szCs w:val="21"/>
                    </w:rPr>
                  </w:pP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tcBorders>
                    <w:tl2br w:val="nil"/>
                    <w:tr2bl w:val="nil"/>
                  </w:tcBorders>
                  <w:vAlign w:val="center"/>
                </w:tcPr>
                <w:p>
                  <w:pPr>
                    <w:jc w:val="center"/>
                    <w:rPr>
                      <w:rFonts w:cs="Times New Roman"/>
                      <w:bCs/>
                      <w:szCs w:val="21"/>
                    </w:rPr>
                  </w:pPr>
                  <w:r>
                    <w:rPr>
                      <w:rFonts w:hint="eastAsia" w:cs="Times New Roman"/>
                      <w:bCs/>
                      <w:szCs w:val="21"/>
                    </w:rPr>
                    <w:t>3</w:t>
                  </w:r>
                </w:p>
              </w:tc>
              <w:tc>
                <w:tcPr>
                  <w:tcW w:w="955" w:type="pct"/>
                  <w:tcBorders>
                    <w:tl2br w:val="nil"/>
                    <w:tr2bl w:val="nil"/>
                  </w:tcBorders>
                  <w:vAlign w:val="center"/>
                </w:tcPr>
                <w:p>
                  <w:pPr>
                    <w:jc w:val="center"/>
                    <w:rPr>
                      <w:rFonts w:cs="Times New Roman"/>
                      <w:bCs/>
                      <w:szCs w:val="21"/>
                    </w:rPr>
                  </w:pPr>
                  <w:r>
                    <w:rPr>
                      <w:rFonts w:cs="Times New Roman"/>
                      <w:bCs/>
                      <w:szCs w:val="21"/>
                    </w:rPr>
                    <w:t>《达州市重污染天气应急预案2022（试行）》的通知</w:t>
                  </w:r>
                </w:p>
                <w:p>
                  <w:pPr>
                    <w:jc w:val="center"/>
                    <w:rPr>
                      <w:rFonts w:cs="Times New Roman"/>
                      <w:bCs/>
                      <w:szCs w:val="21"/>
                    </w:rPr>
                  </w:pPr>
                </w:p>
              </w:tc>
              <w:tc>
                <w:tcPr>
                  <w:tcW w:w="2275" w:type="pct"/>
                  <w:tcBorders>
                    <w:tl2br w:val="nil"/>
                    <w:tr2bl w:val="nil"/>
                  </w:tcBorders>
                  <w:vAlign w:val="center"/>
                </w:tcPr>
                <w:p>
                  <w:pPr>
                    <w:jc w:val="center"/>
                    <w:rPr>
                      <w:rFonts w:cs="Times New Roman"/>
                      <w:bCs/>
                      <w:szCs w:val="21"/>
                    </w:rPr>
                  </w:pPr>
                  <w:r>
                    <w:rPr>
                      <w:rFonts w:cs="Times New Roman"/>
                      <w:bCs/>
                      <w:szCs w:val="21"/>
                    </w:rPr>
                    <w:t>项目建设运营过程中，应根据预警等级要求，严格执行强制性污染减排措施。重污染天气预警级别由低到高分为黄色、橙色和红色预警三级。与之对应的应急响应级别分别为Ⅲ级、Ⅱ级、Ⅰ级应急响应。不同等级应急响应级别配套应急响应措施。应急响应措施包括健康防护措施、倡议性污染减排措施、强制性污染减排措施等。</w:t>
                  </w:r>
                </w:p>
              </w:tc>
              <w:tc>
                <w:tcPr>
                  <w:tcW w:w="1086" w:type="pct"/>
                  <w:tcBorders>
                    <w:tl2br w:val="nil"/>
                    <w:tr2bl w:val="nil"/>
                  </w:tcBorders>
                  <w:vAlign w:val="center"/>
                </w:tcPr>
                <w:p>
                  <w:pPr>
                    <w:jc w:val="center"/>
                    <w:rPr>
                      <w:rFonts w:cs="Times New Roman"/>
                      <w:bCs/>
                      <w:szCs w:val="21"/>
                    </w:rPr>
                  </w:pPr>
                  <w:r>
                    <w:rPr>
                      <w:rFonts w:cs="Times New Roman"/>
                      <w:bCs/>
                      <w:szCs w:val="21"/>
                    </w:rPr>
                    <w:t>本项目根据预警等级要求，严格执行强制性污染减排措施</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tcBorders>
                    <w:tl2br w:val="nil"/>
                    <w:tr2bl w:val="nil"/>
                  </w:tcBorders>
                  <w:vAlign w:val="center"/>
                </w:tcPr>
                <w:p>
                  <w:pPr>
                    <w:jc w:val="center"/>
                    <w:rPr>
                      <w:rFonts w:cs="Times New Roman"/>
                      <w:bCs/>
                      <w:szCs w:val="21"/>
                    </w:rPr>
                  </w:pPr>
                  <w:r>
                    <w:rPr>
                      <w:rFonts w:hint="eastAsia" w:cs="Times New Roman"/>
                      <w:bCs/>
                      <w:szCs w:val="21"/>
                    </w:rPr>
                    <w:t>4</w:t>
                  </w:r>
                </w:p>
              </w:tc>
              <w:tc>
                <w:tcPr>
                  <w:tcW w:w="955" w:type="pct"/>
                  <w:tcBorders>
                    <w:tl2br w:val="nil"/>
                    <w:tr2bl w:val="nil"/>
                  </w:tcBorders>
                  <w:vAlign w:val="center"/>
                </w:tcPr>
                <w:p>
                  <w:pPr>
                    <w:jc w:val="center"/>
                    <w:rPr>
                      <w:rFonts w:cs="Times New Roman"/>
                      <w:bCs/>
                      <w:szCs w:val="21"/>
                    </w:rPr>
                  </w:pPr>
                  <w:r>
                    <w:rPr>
                      <w:rFonts w:cs="Times New Roman"/>
                      <w:bCs/>
                      <w:szCs w:val="21"/>
                    </w:rPr>
                    <w:t>《达州市大气环境质量限期达标规划（2018-2030年）》</w:t>
                  </w:r>
                </w:p>
              </w:tc>
              <w:tc>
                <w:tcPr>
                  <w:tcW w:w="2275" w:type="pct"/>
                  <w:tcBorders>
                    <w:tl2br w:val="nil"/>
                    <w:tr2bl w:val="nil"/>
                  </w:tcBorders>
                  <w:vAlign w:val="center"/>
                </w:tcPr>
                <w:p>
                  <w:pPr>
                    <w:jc w:val="center"/>
                    <w:rPr>
                      <w:rFonts w:cs="Times New Roman"/>
                      <w:bCs/>
                      <w:szCs w:val="21"/>
                    </w:rPr>
                  </w:pPr>
                  <w:r>
                    <w:rPr>
                      <w:rFonts w:cs="Times New Roman"/>
                      <w:bCs/>
                      <w:szCs w:val="21"/>
                    </w:rPr>
                    <w:t>以大气环境质量达标为核心，以PM</w:t>
                  </w:r>
                  <w:r>
                    <w:rPr>
                      <w:rFonts w:cs="Times New Roman"/>
                      <w:bCs/>
                      <w:szCs w:val="21"/>
                      <w:vertAlign w:val="subscript"/>
                    </w:rPr>
                    <w:t>2.5</w:t>
                  </w:r>
                  <w:r>
                    <w:rPr>
                      <w:rFonts w:cs="Times New Roman"/>
                      <w:bCs/>
                      <w:szCs w:val="21"/>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cs="Times New Roman"/>
                      <w:bCs/>
                      <w:szCs w:val="21"/>
                      <w:vertAlign w:val="subscript"/>
                    </w:rPr>
                    <w:t>S</w:t>
                  </w:r>
                  <w:r>
                    <w:rPr>
                      <w:rFonts w:cs="Times New Roman"/>
                      <w:bCs/>
                      <w:szCs w:val="21"/>
                    </w:rPr>
                    <w:t>综合整治，促进多污染物协同控制及区域联防联控，提升大气污染精细化防控能力。</w:t>
                  </w:r>
                </w:p>
              </w:tc>
              <w:tc>
                <w:tcPr>
                  <w:tcW w:w="1086" w:type="pct"/>
                  <w:tcBorders>
                    <w:tl2br w:val="nil"/>
                    <w:tr2bl w:val="nil"/>
                  </w:tcBorders>
                  <w:vAlign w:val="center"/>
                </w:tcPr>
                <w:p>
                  <w:pPr>
                    <w:jc w:val="center"/>
                    <w:rPr>
                      <w:rFonts w:cs="Times New Roman"/>
                      <w:bCs/>
                      <w:szCs w:val="21"/>
                    </w:rPr>
                  </w:pPr>
                  <w:r>
                    <w:rPr>
                      <w:rFonts w:cs="Times New Roman"/>
                      <w:bCs/>
                      <w:szCs w:val="21"/>
                    </w:rPr>
                    <w:t>本项目位于达州市</w:t>
                  </w:r>
                  <w:r>
                    <w:rPr>
                      <w:rFonts w:hint="eastAsia" w:cs="Times New Roman"/>
                      <w:bCs/>
                      <w:szCs w:val="21"/>
                    </w:rPr>
                    <w:t>宣汉县</w:t>
                  </w:r>
                  <w:r>
                    <w:rPr>
                      <w:rFonts w:cs="Times New Roman"/>
                      <w:bCs/>
                      <w:szCs w:val="21"/>
                    </w:rPr>
                    <w:t>，根据《达州市2022年环境空气质量状况》中相关数据和结论，本项目位于达标区。</w:t>
                  </w:r>
                  <w:r>
                    <w:rPr>
                      <w:rFonts w:cs="Times New Roman"/>
                      <w:bCs/>
                      <w:color w:val="000000" w:themeColor="text1"/>
                      <w:szCs w:val="21"/>
                      <w14:textFill>
                        <w14:solidFill>
                          <w14:schemeClr w14:val="tx1"/>
                        </w14:solidFill>
                      </w14:textFill>
                    </w:rPr>
                    <w:t>项目原料在浸胶、烘干环节产生的废气：经二级活性炭装置（一期和二期各一套）吸附处理后分别经一根18m高排气筒（DA005、DA006）排放；天然气燃烧废气：安装低氮燃烧器</w:t>
                  </w:r>
                  <w:r>
                    <w:rPr>
                      <w:rFonts w:hint="eastAsia" w:cs="Times New Roman"/>
                      <w:bCs/>
                      <w:color w:val="000000" w:themeColor="text1"/>
                      <w:szCs w:val="21"/>
                      <w14:textFill>
                        <w14:solidFill>
                          <w14:schemeClr w14:val="tx1"/>
                        </w14:solidFill>
                      </w14:textFill>
                    </w:rPr>
                    <w:t>。</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vMerge w:val="restart"/>
                  <w:tcBorders>
                    <w:tl2br w:val="nil"/>
                    <w:tr2bl w:val="nil"/>
                  </w:tcBorders>
                  <w:vAlign w:val="center"/>
                </w:tcPr>
                <w:p>
                  <w:pPr>
                    <w:jc w:val="center"/>
                    <w:rPr>
                      <w:rFonts w:cs="Times New Roman"/>
                      <w:bCs/>
                      <w:szCs w:val="21"/>
                    </w:rPr>
                  </w:pPr>
                  <w:r>
                    <w:rPr>
                      <w:rFonts w:hint="eastAsia" w:cs="Times New Roman"/>
                      <w:bCs/>
                      <w:szCs w:val="21"/>
                    </w:rPr>
                    <w:t>5</w:t>
                  </w:r>
                </w:p>
              </w:tc>
              <w:tc>
                <w:tcPr>
                  <w:tcW w:w="955" w:type="pct"/>
                  <w:vMerge w:val="restart"/>
                  <w:tcBorders>
                    <w:tl2br w:val="nil"/>
                    <w:tr2bl w:val="nil"/>
                  </w:tcBorders>
                  <w:vAlign w:val="center"/>
                </w:tcPr>
                <w:p>
                  <w:pPr>
                    <w:jc w:val="center"/>
                    <w:rPr>
                      <w:rFonts w:cs="Times New Roman"/>
                      <w:bCs/>
                      <w:szCs w:val="21"/>
                    </w:rPr>
                  </w:pPr>
                  <w:r>
                    <w:rPr>
                      <w:rFonts w:cs="Times New Roman"/>
                      <w:bCs/>
                      <w:szCs w:val="21"/>
                    </w:rPr>
                    <w:t>达州市打赢蓝天保卫战等9个实施方案（达市府函〔2019〕20号）</w:t>
                  </w:r>
                </w:p>
              </w:tc>
              <w:tc>
                <w:tcPr>
                  <w:tcW w:w="2275" w:type="pct"/>
                  <w:tcBorders>
                    <w:tl2br w:val="nil"/>
                    <w:tr2bl w:val="nil"/>
                  </w:tcBorders>
                  <w:vAlign w:val="center"/>
                </w:tcPr>
                <w:p>
                  <w:pPr>
                    <w:jc w:val="center"/>
                    <w:rPr>
                      <w:rFonts w:cs="Times New Roman"/>
                      <w:bCs/>
                      <w:szCs w:val="21"/>
                    </w:rPr>
                  </w:pPr>
                  <w:r>
                    <w:rPr>
                      <w:rFonts w:cs="Times New Roman"/>
                      <w:bCs/>
                      <w:szCs w:val="21"/>
                    </w:rPr>
                    <w:t>新（改、扩） 建涉及VOCs排放项目，从原辅材料和工艺过程大力推广使用低〔无〕VOCs 含量的涂料、有机溶剂、胶黏剂油墨等原辅材料，配套改进生产工艺。</w:t>
                  </w:r>
                </w:p>
              </w:tc>
              <w:tc>
                <w:tcPr>
                  <w:tcW w:w="1086" w:type="pct"/>
                  <w:vMerge w:val="restart"/>
                  <w:tcBorders>
                    <w:tl2br w:val="nil"/>
                    <w:tr2bl w:val="nil"/>
                  </w:tcBorders>
                  <w:vAlign w:val="center"/>
                </w:tcPr>
                <w:p>
                  <w:pPr>
                    <w:jc w:val="center"/>
                    <w:rPr>
                      <w:rFonts w:cs="Times New Roman"/>
                      <w:bCs/>
                      <w:szCs w:val="21"/>
                    </w:rPr>
                  </w:pPr>
                  <w:r>
                    <w:rPr>
                      <w:rFonts w:cs="Times New Roman"/>
                      <w:bCs/>
                      <w:szCs w:val="21"/>
                    </w:rPr>
                    <w:t>本项目位于柳池工业园区内，属于玻璃纤维及制品制造；原料使用水基型胶粘剂</w:t>
                  </w:r>
                  <w:r>
                    <w:rPr>
                      <w:rFonts w:hint="eastAsia" w:cs="Times New Roman"/>
                      <w:bCs/>
                      <w:szCs w:val="21"/>
                    </w:rPr>
                    <w:t>；</w:t>
                  </w:r>
                  <w:r>
                    <w:rPr>
                      <w:rFonts w:cs="Times New Roman"/>
                      <w:bCs/>
                      <w:szCs w:val="21"/>
                    </w:rPr>
                    <w:t>有机废气产生主要为施胶和烘干工序，均为密闭设备，产生的有机废气经收集后，由二级活性炭吸附处理后排放。</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vMerge w:val="continue"/>
                  <w:tcBorders>
                    <w:tl2br w:val="nil"/>
                    <w:tr2bl w:val="nil"/>
                  </w:tcBorders>
                  <w:vAlign w:val="center"/>
                </w:tcPr>
                <w:p>
                  <w:pPr>
                    <w:jc w:val="center"/>
                    <w:rPr>
                      <w:rFonts w:cs="Times New Roman"/>
                      <w:bCs/>
                      <w:szCs w:val="21"/>
                    </w:rPr>
                  </w:pPr>
                </w:p>
              </w:tc>
              <w:tc>
                <w:tcPr>
                  <w:tcW w:w="955" w:type="pct"/>
                  <w:vMerge w:val="continue"/>
                  <w:tcBorders>
                    <w:tl2br w:val="nil"/>
                    <w:tr2bl w:val="nil"/>
                  </w:tcBorders>
                  <w:vAlign w:val="center"/>
                </w:tcPr>
                <w:p>
                  <w:pPr>
                    <w:jc w:val="center"/>
                    <w:rPr>
                      <w:rFonts w:cs="Times New Roman"/>
                      <w:bCs/>
                      <w:szCs w:val="21"/>
                    </w:rPr>
                  </w:pPr>
                </w:p>
              </w:tc>
              <w:tc>
                <w:tcPr>
                  <w:tcW w:w="2275" w:type="pct"/>
                  <w:tcBorders>
                    <w:tl2br w:val="nil"/>
                    <w:tr2bl w:val="nil"/>
                  </w:tcBorders>
                  <w:vAlign w:val="center"/>
                </w:tcPr>
                <w:p>
                  <w:pPr>
                    <w:jc w:val="center"/>
                    <w:rPr>
                      <w:rFonts w:cs="Times New Roman"/>
                      <w:bCs/>
                      <w:szCs w:val="21"/>
                    </w:rPr>
                  </w:pPr>
                  <w:r>
                    <w:rPr>
                      <w:rFonts w:cs="Times New Roman"/>
                      <w:bCs/>
                      <w:szCs w:val="21"/>
                    </w:rPr>
                    <w:t>加强VOCs的收集和治理，严格控制生产、储存、装卸等环节的排放。推进石化、医药、农药等化工类，汽车制造、机械设备制造、家具制造等工业涂装类，包装印刷等行业VOCs综合治理</w:t>
                  </w:r>
                </w:p>
              </w:tc>
              <w:tc>
                <w:tcPr>
                  <w:tcW w:w="1086" w:type="pct"/>
                  <w:vMerge w:val="continue"/>
                  <w:tcBorders>
                    <w:tl2br w:val="nil"/>
                    <w:tr2bl w:val="nil"/>
                  </w:tcBorders>
                  <w:vAlign w:val="center"/>
                </w:tcPr>
                <w:p>
                  <w:pPr>
                    <w:jc w:val="center"/>
                    <w:rPr>
                      <w:rFonts w:cs="Times New Roman"/>
                      <w:bCs/>
                      <w:szCs w:val="21"/>
                    </w:rPr>
                  </w:pP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tcBorders>
                    <w:tl2br w:val="nil"/>
                    <w:tr2bl w:val="nil"/>
                  </w:tcBorders>
                  <w:vAlign w:val="center"/>
                </w:tcPr>
                <w:p>
                  <w:pPr>
                    <w:jc w:val="center"/>
                    <w:rPr>
                      <w:rFonts w:cs="Times New Roman"/>
                      <w:bCs/>
                      <w:szCs w:val="21"/>
                    </w:rPr>
                  </w:pPr>
                  <w:r>
                    <w:rPr>
                      <w:rFonts w:hint="eastAsia" w:cs="Times New Roman"/>
                      <w:bCs/>
                      <w:szCs w:val="21"/>
                    </w:rPr>
                    <w:t>6</w:t>
                  </w:r>
                </w:p>
              </w:tc>
              <w:tc>
                <w:tcPr>
                  <w:tcW w:w="955" w:type="pct"/>
                  <w:tcBorders>
                    <w:tl2br w:val="nil"/>
                    <w:tr2bl w:val="nil"/>
                  </w:tcBorders>
                  <w:vAlign w:val="center"/>
                </w:tcPr>
                <w:p>
                  <w:pPr>
                    <w:jc w:val="center"/>
                    <w:rPr>
                      <w:rFonts w:cs="Times New Roman"/>
                      <w:bCs/>
                      <w:szCs w:val="21"/>
                    </w:rPr>
                  </w:pPr>
                  <w:r>
                    <w:rPr>
                      <w:rFonts w:cs="Times New Roman"/>
                      <w:bCs/>
                      <w:szCs w:val="21"/>
                    </w:rPr>
                    <w:t>《“十三五”挥发性有机物污染防治工作方案》（环大气〔2017〕121 号）</w:t>
                  </w:r>
                </w:p>
              </w:tc>
              <w:tc>
                <w:tcPr>
                  <w:tcW w:w="2275" w:type="pct"/>
                  <w:tcBorders>
                    <w:tl2br w:val="nil"/>
                    <w:tr2bl w:val="nil"/>
                  </w:tcBorders>
                  <w:vAlign w:val="center"/>
                </w:tcPr>
                <w:p>
                  <w:pPr>
                    <w:jc w:val="center"/>
                    <w:rPr>
                      <w:rFonts w:cs="Times New Roman"/>
                      <w:bCs/>
                      <w:szCs w:val="21"/>
                    </w:rPr>
                  </w:pPr>
                  <w:r>
                    <w:rPr>
                      <w:rFonts w:cs="Times New Roman"/>
                      <w:bCs/>
                      <w:szCs w:val="21"/>
                    </w:rPr>
                    <w:t>新建涉VOCs 排放的工业企业要入园区...新、改、扩建涉VOCs 排放项目，应从源头加强控制，使用低（无）VOCs 含量的原辅材料，加强废气收集，安装高效治理设施。</w:t>
                  </w:r>
                </w:p>
              </w:tc>
              <w:tc>
                <w:tcPr>
                  <w:tcW w:w="1086" w:type="pct"/>
                  <w:vMerge w:val="continue"/>
                  <w:tcBorders>
                    <w:tl2br w:val="nil"/>
                    <w:tr2bl w:val="nil"/>
                  </w:tcBorders>
                  <w:vAlign w:val="center"/>
                </w:tcPr>
                <w:p>
                  <w:pPr>
                    <w:jc w:val="center"/>
                    <w:rPr>
                      <w:rFonts w:cs="Times New Roman"/>
                      <w:bCs/>
                      <w:szCs w:val="21"/>
                    </w:rPr>
                  </w:pP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vMerge w:val="restart"/>
                  <w:tcBorders>
                    <w:tl2br w:val="nil"/>
                    <w:tr2bl w:val="nil"/>
                  </w:tcBorders>
                  <w:vAlign w:val="center"/>
                </w:tcPr>
                <w:p>
                  <w:pPr>
                    <w:jc w:val="center"/>
                    <w:rPr>
                      <w:rFonts w:cs="Times New Roman"/>
                      <w:bCs/>
                      <w:szCs w:val="21"/>
                    </w:rPr>
                  </w:pPr>
                  <w:r>
                    <w:rPr>
                      <w:rFonts w:hint="eastAsia" w:cs="Times New Roman"/>
                      <w:bCs/>
                      <w:szCs w:val="21"/>
                    </w:rPr>
                    <w:t>7</w:t>
                  </w:r>
                </w:p>
              </w:tc>
              <w:tc>
                <w:tcPr>
                  <w:tcW w:w="955" w:type="pct"/>
                  <w:vMerge w:val="restart"/>
                  <w:tcBorders>
                    <w:tl2br w:val="nil"/>
                    <w:tr2bl w:val="nil"/>
                  </w:tcBorders>
                  <w:vAlign w:val="center"/>
                </w:tcPr>
                <w:p>
                  <w:pPr>
                    <w:jc w:val="center"/>
                    <w:rPr>
                      <w:rFonts w:cs="Times New Roman"/>
                      <w:bCs/>
                      <w:szCs w:val="21"/>
                    </w:rPr>
                  </w:pPr>
                  <w:r>
                    <w:rPr>
                      <w:rFonts w:cs="Times New Roman"/>
                      <w:bCs/>
                      <w:szCs w:val="21"/>
                    </w:rPr>
                    <w:t>关于印发《四川省挥发性有机物污染防治实施方案（2018-2020</w:t>
                  </w:r>
                </w:p>
                <w:p>
                  <w:pPr>
                    <w:jc w:val="center"/>
                    <w:rPr>
                      <w:rFonts w:cs="Times New Roman"/>
                      <w:bCs/>
                      <w:szCs w:val="21"/>
                    </w:rPr>
                  </w:pPr>
                  <w:r>
                    <w:rPr>
                      <w:rFonts w:cs="Times New Roman"/>
                      <w:bCs/>
                      <w:szCs w:val="21"/>
                    </w:rPr>
                    <w:t>年）》的通知（川环发〔2018〕44 号）</w:t>
                  </w:r>
                </w:p>
              </w:tc>
              <w:tc>
                <w:tcPr>
                  <w:tcW w:w="2275" w:type="pct"/>
                  <w:tcBorders>
                    <w:tl2br w:val="nil"/>
                    <w:tr2bl w:val="nil"/>
                  </w:tcBorders>
                  <w:vAlign w:val="center"/>
                </w:tcPr>
                <w:p>
                  <w:pPr>
                    <w:jc w:val="center"/>
                    <w:rPr>
                      <w:rFonts w:cs="Times New Roman"/>
                      <w:bCs/>
                      <w:szCs w:val="21"/>
                    </w:rPr>
                  </w:pPr>
                  <w:r>
                    <w:rPr>
                      <w:rFonts w:cs="Times New Roman"/>
                      <w:bCs/>
                      <w:szCs w:val="21"/>
                    </w:rPr>
                    <w:t>新建涉VOCs 排放的工业企业要入园区。</w:t>
                  </w:r>
                </w:p>
              </w:tc>
              <w:tc>
                <w:tcPr>
                  <w:tcW w:w="1086" w:type="pct"/>
                  <w:tcBorders>
                    <w:tl2br w:val="nil"/>
                    <w:tr2bl w:val="nil"/>
                  </w:tcBorders>
                  <w:vAlign w:val="center"/>
                </w:tcPr>
                <w:p>
                  <w:pPr>
                    <w:jc w:val="center"/>
                    <w:rPr>
                      <w:rFonts w:cs="Times New Roman"/>
                      <w:bCs/>
                      <w:szCs w:val="21"/>
                    </w:rPr>
                  </w:pPr>
                  <w:r>
                    <w:rPr>
                      <w:rFonts w:cs="Times New Roman"/>
                      <w:bCs/>
                      <w:szCs w:val="21"/>
                    </w:rPr>
                    <w:t>本项目位于柳池工业园区内。</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vMerge w:val="continue"/>
                  <w:tcBorders>
                    <w:tl2br w:val="nil"/>
                    <w:tr2bl w:val="nil"/>
                  </w:tcBorders>
                  <w:vAlign w:val="center"/>
                </w:tcPr>
                <w:p>
                  <w:pPr>
                    <w:jc w:val="center"/>
                    <w:rPr>
                      <w:rFonts w:cs="Times New Roman"/>
                      <w:bCs/>
                      <w:szCs w:val="21"/>
                    </w:rPr>
                  </w:pPr>
                </w:p>
              </w:tc>
              <w:tc>
                <w:tcPr>
                  <w:tcW w:w="955" w:type="pct"/>
                  <w:vMerge w:val="continue"/>
                  <w:tcBorders>
                    <w:tl2br w:val="nil"/>
                    <w:tr2bl w:val="nil"/>
                  </w:tcBorders>
                  <w:vAlign w:val="center"/>
                </w:tcPr>
                <w:p>
                  <w:pPr>
                    <w:jc w:val="center"/>
                    <w:rPr>
                      <w:rFonts w:cs="Times New Roman"/>
                      <w:bCs/>
                      <w:szCs w:val="21"/>
                    </w:rPr>
                  </w:pPr>
                </w:p>
              </w:tc>
              <w:tc>
                <w:tcPr>
                  <w:tcW w:w="2275" w:type="pct"/>
                  <w:tcBorders>
                    <w:tl2br w:val="nil"/>
                    <w:tr2bl w:val="nil"/>
                  </w:tcBorders>
                  <w:vAlign w:val="center"/>
                </w:tcPr>
                <w:p>
                  <w:pPr>
                    <w:rPr>
                      <w:rFonts w:cs="Times New Roman"/>
                      <w:bCs/>
                      <w:szCs w:val="21"/>
                    </w:rPr>
                  </w:pPr>
                  <w:r>
                    <w:rPr>
                      <w:rFonts w:cs="Times New Roman"/>
                      <w:bCs/>
                      <w:szCs w:val="21"/>
                    </w:rPr>
                    <w:t>严格涉VOCs 建设项目环境影响评价，新增VOCs排放量实行区域内等量替代或倍量削减替代。</w:t>
                  </w:r>
                </w:p>
              </w:tc>
              <w:tc>
                <w:tcPr>
                  <w:tcW w:w="1086" w:type="pct"/>
                  <w:tcBorders>
                    <w:tl2br w:val="nil"/>
                    <w:tr2bl w:val="nil"/>
                  </w:tcBorders>
                  <w:vAlign w:val="center"/>
                </w:tcPr>
                <w:p>
                  <w:pPr>
                    <w:jc w:val="center"/>
                    <w:rPr>
                      <w:rFonts w:cs="Times New Roman"/>
                      <w:bCs/>
                      <w:szCs w:val="21"/>
                    </w:rPr>
                  </w:pPr>
                  <w:r>
                    <w:rPr>
                      <w:rFonts w:cs="Times New Roman"/>
                      <w:bCs/>
                      <w:szCs w:val="21"/>
                    </w:rPr>
                    <w:t>项目位于环境空气质量达标区域，实行总量等量替代。</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tcBorders>
                    <w:tl2br w:val="nil"/>
                    <w:tr2bl w:val="nil"/>
                  </w:tcBorders>
                  <w:vAlign w:val="center"/>
                </w:tcPr>
                <w:p>
                  <w:pPr>
                    <w:jc w:val="center"/>
                    <w:rPr>
                      <w:rFonts w:cs="Times New Roman"/>
                      <w:bCs/>
                      <w:szCs w:val="21"/>
                    </w:rPr>
                  </w:pPr>
                  <w:r>
                    <w:rPr>
                      <w:rFonts w:hint="eastAsia" w:cs="Times New Roman"/>
                      <w:bCs/>
                      <w:szCs w:val="21"/>
                    </w:rPr>
                    <w:t>8</w:t>
                  </w:r>
                </w:p>
              </w:tc>
              <w:tc>
                <w:tcPr>
                  <w:tcW w:w="955" w:type="pct"/>
                  <w:tcBorders>
                    <w:tl2br w:val="nil"/>
                    <w:tr2bl w:val="nil"/>
                  </w:tcBorders>
                  <w:vAlign w:val="center"/>
                </w:tcPr>
                <w:p>
                  <w:pPr>
                    <w:jc w:val="center"/>
                    <w:rPr>
                      <w:rFonts w:cs="Times New Roman"/>
                      <w:bCs/>
                      <w:szCs w:val="21"/>
                    </w:rPr>
                  </w:pPr>
                  <w:r>
                    <w:rPr>
                      <w:rFonts w:cs="Times New Roman"/>
                      <w:bCs/>
                      <w:szCs w:val="21"/>
                    </w:rPr>
                    <w:t>《挥发性有机物无组织排放控制标准》（GB37822-2019）</w:t>
                  </w:r>
                </w:p>
              </w:tc>
              <w:tc>
                <w:tcPr>
                  <w:tcW w:w="2275" w:type="pct"/>
                  <w:tcBorders>
                    <w:tl2br w:val="nil"/>
                    <w:tr2bl w:val="nil"/>
                  </w:tcBorders>
                  <w:vAlign w:val="center"/>
                </w:tcPr>
                <w:p>
                  <w:pPr>
                    <w:jc w:val="center"/>
                    <w:rPr>
                      <w:rFonts w:cs="Times New Roman"/>
                      <w:bCs/>
                      <w:szCs w:val="21"/>
                    </w:rPr>
                  </w:pPr>
                  <w:r>
                    <w:rPr>
                      <w:rFonts w:cs="Times New Roman"/>
                      <w:bCs/>
                      <w:szCs w:val="21"/>
                    </w:rPr>
                    <w:t>VOCs物料应储存于密闭的容器、包装袋、储罐、储库、料仓中。VOCs质量占比大于等于10%的含VOCs产品，其使用过程应采用密闭设备或在密闭空间内操作，废气排至VOCs废气收集处理系统；无法密闭的，应采取局部气体收集措施，废气应排至VOCs废气收集处理系统。</w:t>
                  </w:r>
                </w:p>
              </w:tc>
              <w:tc>
                <w:tcPr>
                  <w:tcW w:w="1086" w:type="pct"/>
                  <w:tcBorders>
                    <w:tl2br w:val="nil"/>
                    <w:tr2bl w:val="nil"/>
                  </w:tcBorders>
                  <w:vAlign w:val="center"/>
                </w:tcPr>
                <w:p>
                  <w:pPr>
                    <w:jc w:val="center"/>
                    <w:rPr>
                      <w:rFonts w:cs="Times New Roman"/>
                      <w:bCs/>
                      <w:szCs w:val="21"/>
                    </w:rPr>
                  </w:pPr>
                  <w:r>
                    <w:rPr>
                      <w:rFonts w:cs="Times New Roman"/>
                      <w:bCs/>
                      <w:szCs w:val="21"/>
                    </w:rPr>
                    <w:t>VOCs物料储存于密闭的容器内，有机废气产生主要为施胶和烘干工序，均为密闭设备，产生的有机废气经收集后，由二级活性炭吸附处理后排放。</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07" w:type="pct"/>
                  <w:tcBorders>
                    <w:tl2br w:val="nil"/>
                    <w:tr2bl w:val="nil"/>
                  </w:tcBorders>
                  <w:vAlign w:val="center"/>
                </w:tcPr>
                <w:p>
                  <w:pPr>
                    <w:jc w:val="center"/>
                    <w:rPr>
                      <w:rFonts w:cs="Times New Roman"/>
                      <w:bCs/>
                      <w:szCs w:val="21"/>
                    </w:rPr>
                  </w:pPr>
                  <w:r>
                    <w:rPr>
                      <w:rFonts w:hint="eastAsia" w:cs="Times New Roman"/>
                      <w:bCs/>
                      <w:szCs w:val="21"/>
                    </w:rPr>
                    <w:t>9</w:t>
                  </w:r>
                </w:p>
              </w:tc>
              <w:tc>
                <w:tcPr>
                  <w:tcW w:w="955" w:type="pct"/>
                  <w:tcBorders>
                    <w:tl2br w:val="nil"/>
                    <w:tr2bl w:val="nil"/>
                  </w:tcBorders>
                  <w:vAlign w:val="center"/>
                </w:tcPr>
                <w:p>
                  <w:pPr>
                    <w:jc w:val="center"/>
                    <w:rPr>
                      <w:rFonts w:cs="Times New Roman"/>
                      <w:bCs/>
                      <w:szCs w:val="21"/>
                    </w:rPr>
                  </w:pPr>
                  <w:r>
                    <w:rPr>
                      <w:rFonts w:cs="Times New Roman"/>
                      <w:bCs/>
                      <w:szCs w:val="21"/>
                    </w:rPr>
                    <w:t>《四川省“十四五”环境保护规划》（川府发〔2017〕14 号）</w:t>
                  </w:r>
                </w:p>
              </w:tc>
              <w:tc>
                <w:tcPr>
                  <w:tcW w:w="2275" w:type="pct"/>
                  <w:tcBorders>
                    <w:tl2br w:val="nil"/>
                    <w:tr2bl w:val="nil"/>
                  </w:tcBorders>
                  <w:vAlign w:val="center"/>
                </w:tcPr>
                <w:p>
                  <w:pPr>
                    <w:jc w:val="center"/>
                    <w:rPr>
                      <w:rFonts w:cs="Times New Roman"/>
                      <w:bCs/>
                      <w:szCs w:val="21"/>
                    </w:rPr>
                  </w:pPr>
                  <w:r>
                    <w:rPr>
                      <w:rFonts w:cs="Times New Roman"/>
                      <w:bCs/>
                      <w:szCs w:val="21"/>
                    </w:rPr>
                    <w:t>强化重点行业污染治理。加快火电、钢铁、水泥、焦化及燃煤工业锅炉超低排放改造。推进平板玻璃、陶瓷、铁合金、有色等重点行业深度治理。深化工业炉窑大气污染综合治理，基本完成使用高污染燃料的燃料类工业炉窑清洁能源替代。全面淘汰10蒸吨/小时及以下燃煤锅炉，县级及以上城市建成区原则上不再新建35 蒸吨/小时以下的燃煤锅炉，65 蒸吨/小时及以上燃煤锅炉（含电力）全面实现超低排放改造，加快推进燃气锅炉低氮燃烧改造。推动取消石油化工、平板玻璃、建筑陶瓷等行业非必要烟气旁路。强化治理设施运行监管，确保按照超低排放限值及相关标准要求运行，减少非正常工况排放。持续推进川西北地区城镇清洁能源供暖。强化钢铁、水泥、矿山等行业无组织排放整治。加强开发区污染治理。逐步推进“一园一策”废气治理，完成省级及以上园区一园一策"废气治理方案编制。对有条件的园区，鼓励建设废气集中处置设施、抑尘喷洒工程中心、集中喷涂工程中心、溶剂回收中心等基础设施。推进园区集中供热，支持开发区燃气热电联产项目规划建设。强化园区大气监测监控能力，建立健全覆盖污染源和环境质量的园区大气自动监测监控体系，提升园区大气环境管理水平。控制挥发性有机物（VOCs）排放。严格控制VOCs 排放总量，新建VOCs 项目应实施等量或倍量替代。强化VOCs源头削减，以工业涂装、家具制造、包装印刷等行业为重点，大力推进低（无） VOCs 含量原辅材料替代。严格控制生产和</w:t>
                  </w:r>
                </w:p>
                <w:p>
                  <w:pPr>
                    <w:jc w:val="center"/>
                    <w:rPr>
                      <w:rFonts w:cs="Times New Roman"/>
                      <w:bCs/>
                      <w:szCs w:val="21"/>
                    </w:rPr>
                  </w:pPr>
                  <w:r>
                    <w:rPr>
                      <w:rFonts w:cs="Times New Roman"/>
                      <w:bCs/>
                      <w:szCs w:val="21"/>
                    </w:rPr>
                    <w:t>使用高VOCs 含量溶剂型涂料、油墨、胶粘剂、清洗剂等建设项目。强化VOCs 综合治理，以石化、化工、工业涂装、包装印刷、电子、纺织印染、制鞋、家具制造、油品储运销等行业为重点，提升废气收集率、治污设施同步运行率和去除率，科学合理选择治理工艺，推进设施设备提标升级改造。强化无组织排放管控，加大含VOCs物料储存、转移和输送、设备与管线组件泄漏、敞开液面逸散等管控力度，开展泄漏检测与修复工作。强化企业VOCs排放达标监管，实施季节性调控。完善挥发性有机物产品标准体系，建立低挥发性有机物含量产品标识制度。</w:t>
                  </w:r>
                </w:p>
              </w:tc>
              <w:tc>
                <w:tcPr>
                  <w:tcW w:w="1086" w:type="pct"/>
                  <w:tcBorders>
                    <w:tl2br w:val="nil"/>
                    <w:tr2bl w:val="nil"/>
                  </w:tcBorders>
                  <w:vAlign w:val="center"/>
                </w:tcPr>
                <w:p>
                  <w:pPr>
                    <w:jc w:val="center"/>
                    <w:rPr>
                      <w:rFonts w:cs="Times New Roman"/>
                      <w:bCs/>
                      <w:szCs w:val="21"/>
                    </w:rPr>
                  </w:pPr>
                  <w:r>
                    <w:rPr>
                      <w:rFonts w:cs="Times New Roman"/>
                      <w:bCs/>
                      <w:szCs w:val="21"/>
                    </w:rPr>
                    <w:t>本项目不属于火电、钢铁、水泥、焦化及燃煤工业锅</w:t>
                  </w:r>
                </w:p>
                <w:p>
                  <w:pPr>
                    <w:jc w:val="center"/>
                    <w:rPr>
                      <w:rFonts w:cs="Times New Roman"/>
                      <w:bCs/>
                      <w:szCs w:val="21"/>
                    </w:rPr>
                  </w:pPr>
                  <w:r>
                    <w:rPr>
                      <w:rFonts w:cs="Times New Roman"/>
                      <w:bCs/>
                      <w:szCs w:val="21"/>
                    </w:rPr>
                    <w:t>炉，不属于平板玻璃、陶瓷、铁合金、有色等重点行业，</w:t>
                  </w:r>
                  <w:r>
                    <w:rPr>
                      <w:rFonts w:hint="eastAsia" w:cs="Times New Roman"/>
                      <w:bCs/>
                      <w:szCs w:val="21"/>
                    </w:rPr>
                    <w:t>不涉及锅炉；</w:t>
                  </w:r>
                  <w:r>
                    <w:rPr>
                      <w:rFonts w:cs="Times New Roman"/>
                      <w:bCs/>
                      <w:szCs w:val="21"/>
                    </w:rPr>
                    <w:t>原料使用水基型胶粘剂</w:t>
                  </w:r>
                  <w:r>
                    <w:rPr>
                      <w:rFonts w:hint="eastAsia" w:cs="Times New Roman"/>
                      <w:bCs/>
                      <w:szCs w:val="21"/>
                    </w:rPr>
                    <w:t>；</w:t>
                  </w:r>
                  <w:r>
                    <w:rPr>
                      <w:rFonts w:cs="Times New Roman"/>
                      <w:bCs/>
                      <w:szCs w:val="21"/>
                    </w:rPr>
                    <w:t>VOCs物料储存于密闭的容器内</w:t>
                  </w:r>
                  <w:r>
                    <w:rPr>
                      <w:rFonts w:hint="eastAsia" w:cs="Times New Roman"/>
                      <w:bCs/>
                      <w:szCs w:val="21"/>
                    </w:rPr>
                    <w:t>；</w:t>
                  </w:r>
                  <w:r>
                    <w:rPr>
                      <w:rFonts w:cs="Times New Roman"/>
                      <w:bCs/>
                      <w:szCs w:val="21"/>
                    </w:rPr>
                    <w:t>有机废气产生主要为施胶和烘干工序，均为密闭设备，产生的有机废气经收集后，由二级活性炭吸附处理后排放。</w:t>
                  </w:r>
                </w:p>
              </w:tc>
              <w:tc>
                <w:tcPr>
                  <w:tcW w:w="374" w:type="pct"/>
                  <w:tcBorders>
                    <w:tl2br w:val="nil"/>
                    <w:tr2bl w:val="nil"/>
                  </w:tcBorders>
                  <w:vAlign w:val="center"/>
                </w:tcPr>
                <w:p>
                  <w:pPr>
                    <w:jc w:val="center"/>
                    <w:rPr>
                      <w:rFonts w:cs="Times New Roman"/>
                      <w:bCs/>
                      <w:szCs w:val="21"/>
                    </w:rPr>
                  </w:pPr>
                  <w:r>
                    <w:rPr>
                      <w:rFonts w:cs="Times New Roman"/>
                      <w:bCs/>
                      <w:szCs w:val="21"/>
                    </w:rPr>
                    <w:t>符合</w:t>
                  </w:r>
                </w:p>
              </w:tc>
            </w:tr>
          </w:tbl>
          <w:p>
            <w:pPr>
              <w:spacing w:line="360" w:lineRule="auto"/>
              <w:ind w:firstLine="482" w:firstLineChars="200"/>
              <w:rPr>
                <w:rFonts w:cs="Times New Roman"/>
                <w:b/>
                <w:bCs/>
                <w:sz w:val="24"/>
                <w:szCs w:val="24"/>
              </w:rPr>
            </w:pPr>
            <w:r>
              <w:rPr>
                <w:rFonts w:cs="Times New Roman"/>
                <w:b/>
                <w:bCs/>
                <w:sz w:val="24"/>
                <w:szCs w:val="24"/>
              </w:rPr>
              <w:t>10、选址合理性分析</w:t>
            </w:r>
          </w:p>
          <w:p>
            <w:pPr>
              <w:spacing w:line="360" w:lineRule="auto"/>
              <w:ind w:firstLine="480" w:firstLineChars="200"/>
              <w:rPr>
                <w:rFonts w:cs="Times New Roman"/>
                <w:sz w:val="24"/>
                <w:szCs w:val="24"/>
              </w:rPr>
            </w:pPr>
            <w:r>
              <w:rPr>
                <w:rFonts w:cs="Times New Roman"/>
                <w:sz w:val="24"/>
                <w:szCs w:val="24"/>
              </w:rPr>
              <w:t>本项目位于四川达州普光经济开发区柳池工业园区1号干道2号，在宣汉普光科睿新材料有限公司现有厂区内扩建生产线。根据现场踏勘，外环境关系如下：</w:t>
            </w:r>
          </w:p>
          <w:p>
            <w:pPr>
              <w:spacing w:line="360" w:lineRule="auto"/>
              <w:jc w:val="center"/>
              <w:rPr>
                <w:rFonts w:cs="Times New Roman"/>
                <w:b/>
                <w:bCs/>
                <w:sz w:val="24"/>
                <w:szCs w:val="24"/>
              </w:rPr>
            </w:pPr>
            <w:r>
              <w:rPr>
                <w:rFonts w:cs="Times New Roman"/>
                <w:b/>
                <w:bCs/>
                <w:sz w:val="24"/>
                <w:szCs w:val="24"/>
              </w:rPr>
              <w:t>表1-1</w:t>
            </w:r>
            <w:r>
              <w:rPr>
                <w:rFonts w:hint="eastAsia" w:cs="Times New Roman"/>
                <w:b/>
                <w:bCs/>
                <w:sz w:val="24"/>
                <w:szCs w:val="24"/>
                <w:lang w:val="en-US" w:eastAsia="zh-CN"/>
              </w:rPr>
              <w:t>1</w:t>
            </w:r>
            <w:r>
              <w:rPr>
                <w:rFonts w:cs="Times New Roman"/>
                <w:b/>
                <w:bCs/>
                <w:sz w:val="24"/>
                <w:szCs w:val="24"/>
              </w:rPr>
              <w:t xml:space="preserve"> 外环境关系一览表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869"/>
              <w:gridCol w:w="1245"/>
              <w:gridCol w:w="1810"/>
              <w:gridCol w:w="27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shd w:val="clear" w:color="000000" w:fill="auto"/>
                  <w:vAlign w:val="center"/>
                </w:tcPr>
                <w:p>
                  <w:pPr>
                    <w:ind w:right="8"/>
                    <w:jc w:val="center"/>
                    <w:rPr>
                      <w:rFonts w:cs="Times New Roman"/>
                      <w:b/>
                      <w:bCs/>
                      <w:szCs w:val="21"/>
                    </w:rPr>
                  </w:pPr>
                  <w:r>
                    <w:rPr>
                      <w:rFonts w:cs="Times New Roman"/>
                      <w:b/>
                      <w:bCs/>
                      <w:szCs w:val="21"/>
                    </w:rPr>
                    <w:t>名称</w:t>
                  </w:r>
                </w:p>
              </w:tc>
              <w:tc>
                <w:tcPr>
                  <w:tcW w:w="721" w:type="pct"/>
                  <w:shd w:val="clear" w:color="000000" w:fill="auto"/>
                  <w:vAlign w:val="center"/>
                </w:tcPr>
                <w:p>
                  <w:pPr>
                    <w:ind w:right="8"/>
                    <w:jc w:val="center"/>
                    <w:rPr>
                      <w:rFonts w:cs="Times New Roman"/>
                      <w:b/>
                      <w:bCs/>
                      <w:szCs w:val="21"/>
                    </w:rPr>
                  </w:pPr>
                  <w:r>
                    <w:rPr>
                      <w:rFonts w:cs="Times New Roman"/>
                      <w:b/>
                      <w:bCs/>
                      <w:szCs w:val="21"/>
                    </w:rPr>
                    <w:t>方位</w:t>
                  </w:r>
                </w:p>
              </w:tc>
              <w:tc>
                <w:tcPr>
                  <w:tcW w:w="1048" w:type="pct"/>
                  <w:shd w:val="clear" w:color="000000" w:fill="auto"/>
                  <w:vAlign w:val="center"/>
                </w:tcPr>
                <w:p>
                  <w:pPr>
                    <w:ind w:right="8"/>
                    <w:jc w:val="center"/>
                    <w:rPr>
                      <w:rFonts w:cs="Times New Roman"/>
                      <w:b/>
                      <w:bCs/>
                      <w:szCs w:val="21"/>
                    </w:rPr>
                  </w:pPr>
                  <w:r>
                    <w:rPr>
                      <w:rFonts w:cs="Times New Roman"/>
                      <w:b/>
                      <w:bCs/>
                    </w:rPr>
                    <w:t>与本项目最近距离</w:t>
                  </w:r>
                </w:p>
              </w:tc>
              <w:tc>
                <w:tcPr>
                  <w:tcW w:w="1568" w:type="pct"/>
                  <w:shd w:val="clear" w:color="000000" w:fill="auto"/>
                  <w:vAlign w:val="center"/>
                </w:tcPr>
                <w:p>
                  <w:pPr>
                    <w:ind w:right="8"/>
                    <w:jc w:val="center"/>
                    <w:rPr>
                      <w:rFonts w:cs="Times New Roman"/>
                      <w:b/>
                      <w:bCs/>
                    </w:rPr>
                  </w:pPr>
                  <w:r>
                    <w:rPr>
                      <w:rFonts w:cs="Times New Roman"/>
                      <w:b/>
                      <w:bCs/>
                    </w:rPr>
                    <w:t>主要产品或功能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普源玻纤</w:t>
                  </w:r>
                </w:p>
              </w:tc>
              <w:tc>
                <w:tcPr>
                  <w:tcW w:w="721" w:type="pct"/>
                  <w:vAlign w:val="center"/>
                </w:tcPr>
                <w:p>
                  <w:pPr>
                    <w:ind w:right="8"/>
                    <w:jc w:val="center"/>
                    <w:rPr>
                      <w:rFonts w:cs="Times New Roman"/>
                      <w:szCs w:val="21"/>
                    </w:rPr>
                  </w:pPr>
                  <w:r>
                    <w:rPr>
                      <w:rFonts w:cs="Times New Roman"/>
                      <w:szCs w:val="21"/>
                    </w:rPr>
                    <w:t>北侧</w:t>
                  </w:r>
                </w:p>
              </w:tc>
              <w:tc>
                <w:tcPr>
                  <w:tcW w:w="1048" w:type="pct"/>
                  <w:vAlign w:val="center"/>
                </w:tcPr>
                <w:p>
                  <w:pPr>
                    <w:ind w:right="8"/>
                    <w:jc w:val="center"/>
                    <w:rPr>
                      <w:rFonts w:cs="Times New Roman"/>
                      <w:szCs w:val="21"/>
                    </w:rPr>
                  </w:pPr>
                  <w:r>
                    <w:rPr>
                      <w:rFonts w:cs="Times New Roman"/>
                      <w:szCs w:val="21"/>
                    </w:rPr>
                    <w:t>约30m</w:t>
                  </w:r>
                </w:p>
              </w:tc>
              <w:tc>
                <w:tcPr>
                  <w:tcW w:w="1568" w:type="pct"/>
                  <w:vAlign w:val="center"/>
                </w:tcPr>
                <w:p>
                  <w:pPr>
                    <w:ind w:right="8"/>
                    <w:jc w:val="center"/>
                    <w:rPr>
                      <w:rFonts w:cs="Times New Roman"/>
                    </w:rPr>
                  </w:pPr>
                  <w:r>
                    <w:rPr>
                      <w:rFonts w:cs="Times New Roman"/>
                    </w:rPr>
                    <w:t>玻璃纤维及制品、玻璃制品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rPr>
                  </w:pPr>
                  <w:r>
                    <w:rPr>
                      <w:rFonts w:cs="Times New Roman"/>
                    </w:rPr>
                    <w:t>清神钢构</w:t>
                  </w:r>
                </w:p>
              </w:tc>
              <w:tc>
                <w:tcPr>
                  <w:tcW w:w="721" w:type="pct"/>
                  <w:vAlign w:val="center"/>
                </w:tcPr>
                <w:p>
                  <w:pPr>
                    <w:ind w:right="8"/>
                    <w:jc w:val="center"/>
                    <w:rPr>
                      <w:rFonts w:cs="Times New Roman"/>
                    </w:rPr>
                  </w:pPr>
                  <w:r>
                    <w:rPr>
                      <w:rFonts w:cs="Times New Roman"/>
                      <w:szCs w:val="21"/>
                    </w:rPr>
                    <w:t>北侧</w:t>
                  </w:r>
                </w:p>
              </w:tc>
              <w:tc>
                <w:tcPr>
                  <w:tcW w:w="1048" w:type="pct"/>
                  <w:vAlign w:val="center"/>
                </w:tcPr>
                <w:p>
                  <w:pPr>
                    <w:ind w:right="8"/>
                    <w:jc w:val="center"/>
                    <w:rPr>
                      <w:rFonts w:cs="Times New Roman"/>
                      <w:szCs w:val="21"/>
                    </w:rPr>
                  </w:pPr>
                  <w:r>
                    <w:rPr>
                      <w:rFonts w:cs="Times New Roman"/>
                      <w:szCs w:val="21"/>
                    </w:rPr>
                    <w:t>约30m</w:t>
                  </w:r>
                </w:p>
              </w:tc>
              <w:tc>
                <w:tcPr>
                  <w:tcW w:w="1568" w:type="pct"/>
                  <w:vAlign w:val="center"/>
                </w:tcPr>
                <w:p>
                  <w:pPr>
                    <w:ind w:right="8"/>
                    <w:jc w:val="center"/>
                    <w:rPr>
                      <w:rFonts w:cs="Times New Roman"/>
                      <w:szCs w:val="21"/>
                    </w:rPr>
                  </w:pPr>
                  <w:r>
                    <w:rPr>
                      <w:rFonts w:cs="Times New Roman"/>
                      <w:szCs w:val="21"/>
                    </w:rPr>
                    <w:t>金属材料及钢结构的制造、加工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ind w:right="8"/>
                    <w:jc w:val="center"/>
                    <w:rPr>
                      <w:rFonts w:cs="Times New Roman"/>
                      <w:szCs w:val="21"/>
                    </w:rPr>
                  </w:pPr>
                  <w:r>
                    <w:rPr>
                      <w:rFonts w:cs="Times New Roman"/>
                      <w:szCs w:val="21"/>
                    </w:rPr>
                    <w:t>四川省宣汉骅龙塑料制品有限公司</w:t>
                  </w:r>
                </w:p>
              </w:tc>
              <w:tc>
                <w:tcPr>
                  <w:tcW w:w="721" w:type="pct"/>
                  <w:vAlign w:val="center"/>
                </w:tcPr>
                <w:p>
                  <w:pPr>
                    <w:ind w:right="8"/>
                    <w:jc w:val="center"/>
                    <w:rPr>
                      <w:rFonts w:cs="Times New Roman"/>
                    </w:rPr>
                  </w:pPr>
                  <w:r>
                    <w:rPr>
                      <w:rFonts w:cs="Times New Roman"/>
                      <w:szCs w:val="21"/>
                    </w:rPr>
                    <w:t>北侧</w:t>
                  </w:r>
                </w:p>
              </w:tc>
              <w:tc>
                <w:tcPr>
                  <w:tcW w:w="1048" w:type="pct"/>
                  <w:vAlign w:val="center"/>
                </w:tcPr>
                <w:p>
                  <w:pPr>
                    <w:ind w:right="8"/>
                    <w:jc w:val="center"/>
                    <w:rPr>
                      <w:rFonts w:cs="Times New Roman"/>
                      <w:szCs w:val="21"/>
                    </w:rPr>
                  </w:pPr>
                  <w:r>
                    <w:rPr>
                      <w:rFonts w:cs="Times New Roman"/>
                      <w:szCs w:val="21"/>
                    </w:rPr>
                    <w:t>约155m</w:t>
                  </w:r>
                </w:p>
              </w:tc>
              <w:tc>
                <w:tcPr>
                  <w:tcW w:w="1568" w:type="pct"/>
                  <w:vAlign w:val="center"/>
                </w:tcPr>
                <w:p>
                  <w:pPr>
                    <w:ind w:right="8"/>
                    <w:jc w:val="center"/>
                    <w:rPr>
                      <w:rFonts w:cs="Times New Roman"/>
                      <w:szCs w:val="21"/>
                    </w:rPr>
                  </w:pPr>
                  <w:r>
                    <w:rPr>
                      <w:rFonts w:cs="Times New Roman"/>
                      <w:szCs w:val="21"/>
                    </w:rPr>
                    <w:t>橡胶和塑料制品加工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梁房</w:t>
                  </w:r>
                </w:p>
              </w:tc>
              <w:tc>
                <w:tcPr>
                  <w:tcW w:w="721" w:type="pct"/>
                  <w:vAlign w:val="center"/>
                </w:tcPr>
                <w:p>
                  <w:pPr>
                    <w:jc w:val="center"/>
                    <w:rPr>
                      <w:rFonts w:cs="Times New Roman"/>
                      <w:color w:val="000000" w:themeColor="text1"/>
                      <w:szCs w:val="21"/>
                      <w14:textFill>
                        <w14:solidFill>
                          <w14:schemeClr w14:val="tx1"/>
                        </w14:solidFill>
                      </w14:textFill>
                    </w:rPr>
                  </w:pPr>
                  <w:r>
                    <w:rPr>
                      <w:rFonts w:cs="Times New Roman"/>
                      <w:szCs w:val="21"/>
                    </w:rPr>
                    <w:t>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1.4km</w:t>
                  </w:r>
                </w:p>
              </w:tc>
              <w:tc>
                <w:tcPr>
                  <w:tcW w:w="1568" w:type="pct"/>
                  <w:vAlign w:val="center"/>
                </w:tcPr>
                <w:p>
                  <w:pPr>
                    <w:ind w:right="8"/>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草坝场</w:t>
                  </w:r>
                </w:p>
              </w:tc>
              <w:tc>
                <w:tcPr>
                  <w:tcW w:w="721" w:type="pct"/>
                  <w:vAlign w:val="center"/>
                </w:tcPr>
                <w:p>
                  <w:pPr>
                    <w:jc w:val="center"/>
                    <w:rPr>
                      <w:rFonts w:cs="Times New Roman"/>
                      <w:color w:val="000000" w:themeColor="text1"/>
                      <w:szCs w:val="21"/>
                      <w14:textFill>
                        <w14:solidFill>
                          <w14:schemeClr w14:val="tx1"/>
                        </w14:solidFill>
                      </w14:textFill>
                    </w:rPr>
                  </w:pPr>
                  <w:r>
                    <w:rPr>
                      <w:rFonts w:cs="Times New Roman"/>
                      <w:szCs w:val="21"/>
                    </w:rPr>
                    <w:t>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约1</w:t>
                  </w:r>
                  <w:r>
                    <w:rPr>
                      <w:rFonts w:hint="eastAsia" w:cs="Times New Roman"/>
                      <w:szCs w:val="21"/>
                      <w:lang w:val="en-US" w:eastAsia="zh-CN"/>
                    </w:rPr>
                    <w:t>.4km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新安村</w:t>
                  </w:r>
                </w:p>
              </w:tc>
              <w:tc>
                <w:tcPr>
                  <w:tcW w:w="721" w:type="pct"/>
                  <w:vAlign w:val="center"/>
                </w:tcPr>
                <w:p>
                  <w:pPr>
                    <w:jc w:val="center"/>
                    <w:rPr>
                      <w:rFonts w:cs="Times New Roman"/>
                      <w:color w:val="000000" w:themeColor="text1"/>
                      <w:szCs w:val="21"/>
                      <w14:textFill>
                        <w14:solidFill>
                          <w14:schemeClr w14:val="tx1"/>
                        </w14:solidFill>
                      </w14:textFill>
                    </w:rPr>
                  </w:pPr>
                  <w:r>
                    <w:rPr>
                      <w:rFonts w:cs="Times New Roman"/>
                      <w:szCs w:val="21"/>
                    </w:rPr>
                    <w:t>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2.2km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王家栋</w:t>
                  </w:r>
                </w:p>
              </w:tc>
              <w:tc>
                <w:tcPr>
                  <w:tcW w:w="72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东</w:t>
                  </w:r>
                  <w:r>
                    <w:rPr>
                      <w:rFonts w:cs="Times New Roman"/>
                      <w:szCs w:val="21"/>
                    </w:rPr>
                    <w:t>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约2</w:t>
                  </w:r>
                  <w:r>
                    <w:rPr>
                      <w:rFonts w:hint="eastAsia" w:cs="Times New Roman"/>
                      <w:szCs w:val="21"/>
                      <w:lang w:val="en-US" w:eastAsia="zh-CN"/>
                    </w:rPr>
                    <w:t>.4km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毕家岩</w:t>
                  </w:r>
                </w:p>
              </w:tc>
              <w:tc>
                <w:tcPr>
                  <w:tcW w:w="721" w:type="pct"/>
                  <w:vAlign w:val="center"/>
                </w:tcPr>
                <w:p>
                  <w:pPr>
                    <w:jc w:val="center"/>
                    <w:rPr>
                      <w:rFonts w:cs="Times New Roman"/>
                      <w:color w:val="000000" w:themeColor="text1"/>
                      <w:szCs w:val="21"/>
                      <w14:textFill>
                        <w14:solidFill>
                          <w14:schemeClr w14:val="tx1"/>
                        </w14:solidFill>
                      </w14:textFill>
                    </w:rPr>
                  </w:pPr>
                  <w:r>
                    <w:rPr>
                      <w:rFonts w:cs="Times New Roman"/>
                    </w:rPr>
                    <w:t>东北侧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1.1km</w:t>
                  </w:r>
                </w:p>
              </w:tc>
              <w:tc>
                <w:tcPr>
                  <w:tcW w:w="1568" w:type="pct"/>
                  <w:vAlign w:val="center"/>
                </w:tcPr>
                <w:p>
                  <w:pPr>
                    <w:ind w:right="8" w:rightChars="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庙儿坪</w:t>
                  </w:r>
                </w:p>
              </w:tc>
              <w:tc>
                <w:tcPr>
                  <w:tcW w:w="721" w:type="pct"/>
                  <w:vAlign w:val="center"/>
                </w:tcPr>
                <w:p>
                  <w:pPr>
                    <w:jc w:val="center"/>
                    <w:rPr>
                      <w:rFonts w:cs="Times New Roman"/>
                      <w:color w:val="000000" w:themeColor="text1"/>
                      <w:szCs w:val="21"/>
                      <w14:textFill>
                        <w14:solidFill>
                          <w14:schemeClr w14:val="tx1"/>
                        </w14:solidFill>
                      </w14:textFill>
                    </w:rPr>
                  </w:pPr>
                  <w:r>
                    <w:rPr>
                      <w:rFonts w:cs="Times New Roman"/>
                    </w:rPr>
                    <w:t>东北侧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1.6km</w:t>
                  </w:r>
                </w:p>
              </w:tc>
              <w:tc>
                <w:tcPr>
                  <w:tcW w:w="1568" w:type="pct"/>
                  <w:vAlign w:val="center"/>
                </w:tcPr>
                <w:p>
                  <w:pPr>
                    <w:ind w:right="8" w:rightChars="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cs="Times New Roman"/>
                      <w:szCs w:val="21"/>
                    </w:rPr>
                    <w:t>符家沟</w:t>
                  </w:r>
                </w:p>
              </w:tc>
              <w:tc>
                <w:tcPr>
                  <w:tcW w:w="721" w:type="pct"/>
                  <w:vAlign w:val="center"/>
                </w:tcPr>
                <w:p>
                  <w:pPr>
                    <w:jc w:val="center"/>
                    <w:rPr>
                      <w:rFonts w:cs="Times New Roman"/>
                      <w:color w:val="000000" w:themeColor="text1"/>
                      <w:szCs w:val="21"/>
                      <w14:textFill>
                        <w14:solidFill>
                          <w14:schemeClr w14:val="tx1"/>
                        </w14:solidFill>
                      </w14:textFill>
                    </w:rPr>
                  </w:pPr>
                  <w:r>
                    <w:rPr>
                      <w:rFonts w:cs="Times New Roman"/>
                    </w:rPr>
                    <w:t>东侧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约2</w:t>
                  </w:r>
                  <w:r>
                    <w:rPr>
                      <w:rFonts w:hint="eastAsia" w:cs="Times New Roman"/>
                      <w:szCs w:val="21"/>
                      <w:lang w:val="en-US" w:eastAsia="zh-CN"/>
                    </w:rPr>
                    <w:t>.2km</w:t>
                  </w:r>
                </w:p>
              </w:tc>
              <w:tc>
                <w:tcPr>
                  <w:tcW w:w="1568" w:type="pct"/>
                  <w:vAlign w:val="center"/>
                </w:tcPr>
                <w:p>
                  <w:pPr>
                    <w:ind w:right="8" w:rightChars="0"/>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宣汉县电力有限公司</w:t>
                  </w:r>
                </w:p>
              </w:tc>
              <w:tc>
                <w:tcPr>
                  <w:tcW w:w="721" w:type="pct"/>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东南侧</w:t>
                  </w:r>
                </w:p>
              </w:tc>
              <w:tc>
                <w:tcPr>
                  <w:tcW w:w="104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约195m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发电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俞家沟</w:t>
                  </w:r>
                </w:p>
              </w:tc>
              <w:tc>
                <w:tcPr>
                  <w:tcW w:w="721" w:type="pct"/>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rPr>
                    <w:t>东南侧</w:t>
                  </w:r>
                </w:p>
              </w:tc>
              <w:tc>
                <w:tcPr>
                  <w:tcW w:w="1048"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约590</w:t>
                  </w:r>
                  <w:r>
                    <w:rPr>
                      <w:rFonts w:hint="eastAsia" w:cs="Times New Roman"/>
                      <w:szCs w:val="21"/>
                      <w:lang w:val="en-US" w:eastAsia="zh-CN"/>
                    </w:rPr>
                    <w:t>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szCs w:val="21"/>
                      <w:lang w:val="en-US" w:eastAsia="zh-CN"/>
                    </w:rPr>
                    <w:t>陈家坝</w:t>
                  </w:r>
                </w:p>
              </w:tc>
              <w:tc>
                <w:tcPr>
                  <w:tcW w:w="721" w:type="pct"/>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rPr>
                    <w:t>东南侧</w:t>
                  </w:r>
                </w:p>
              </w:tc>
              <w:tc>
                <w:tcPr>
                  <w:tcW w:w="1048"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约1</w:t>
                  </w:r>
                  <w:r>
                    <w:rPr>
                      <w:rFonts w:hint="eastAsia" w:cs="Times New Roman"/>
                      <w:szCs w:val="21"/>
                      <w:lang w:val="en-US" w:eastAsia="zh-CN"/>
                    </w:rPr>
                    <w:t>.2km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柳池乡新红长岭小学</w:t>
                  </w:r>
                </w:p>
              </w:tc>
              <w:tc>
                <w:tcPr>
                  <w:tcW w:w="721" w:type="pct"/>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rPr>
                    <w:t>东南侧</w:t>
                  </w:r>
                </w:p>
              </w:tc>
              <w:tc>
                <w:tcPr>
                  <w:tcW w:w="1048"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约1</w:t>
                  </w:r>
                  <w:r>
                    <w:rPr>
                      <w:rFonts w:hint="eastAsia" w:cs="Times New Roman"/>
                      <w:szCs w:val="21"/>
                      <w:lang w:val="en-US" w:eastAsia="zh-CN"/>
                    </w:rPr>
                    <w:t>.9km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田家塝</w:t>
                  </w:r>
                </w:p>
              </w:tc>
              <w:tc>
                <w:tcPr>
                  <w:tcW w:w="721" w:type="pct"/>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rPr>
                    <w:t>东南侧</w:t>
                  </w:r>
                </w:p>
              </w:tc>
              <w:tc>
                <w:tcPr>
                  <w:tcW w:w="1048"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约</w:t>
                  </w:r>
                  <w:r>
                    <w:rPr>
                      <w:rFonts w:hint="eastAsia" w:cs="Times New Roman"/>
                      <w:szCs w:val="21"/>
                      <w:lang w:val="en-US" w:eastAsia="zh-CN"/>
                    </w:rPr>
                    <w:t>2.1km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俞家沟</w:t>
                  </w:r>
                </w:p>
              </w:tc>
              <w:tc>
                <w:tcPr>
                  <w:tcW w:w="721" w:type="pct"/>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rPr>
                    <w:t>东南侧</w:t>
                  </w:r>
                </w:p>
              </w:tc>
              <w:tc>
                <w:tcPr>
                  <w:tcW w:w="1048"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约590</w:t>
                  </w:r>
                  <w:r>
                    <w:rPr>
                      <w:rFonts w:hint="eastAsia" w:cs="Times New Roman"/>
                      <w:szCs w:val="21"/>
                      <w:lang w:val="en-US" w:eastAsia="zh-CN"/>
                    </w:rPr>
                    <w:t>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szCs w:val="21"/>
                      <w:lang w:val="en-US" w:eastAsia="zh-CN"/>
                    </w:rPr>
                    <w:t>陈家坝</w:t>
                  </w:r>
                </w:p>
              </w:tc>
              <w:tc>
                <w:tcPr>
                  <w:tcW w:w="721" w:type="pct"/>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rPr>
                    <w:t>东南侧</w:t>
                  </w:r>
                </w:p>
              </w:tc>
              <w:tc>
                <w:tcPr>
                  <w:tcW w:w="1048"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约1</w:t>
                  </w:r>
                  <w:r>
                    <w:rPr>
                      <w:rFonts w:hint="eastAsia" w:cs="Times New Roman"/>
                      <w:szCs w:val="21"/>
                      <w:lang w:val="en-US" w:eastAsia="zh-CN"/>
                    </w:rPr>
                    <w:t>.2km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宣汉县阳光道路设施有限公司</w:t>
                  </w:r>
                </w:p>
              </w:tc>
              <w:tc>
                <w:tcPr>
                  <w:tcW w:w="721" w:type="pct"/>
                  <w:vAlign w:val="center"/>
                </w:tcPr>
                <w:p>
                  <w:pPr>
                    <w:ind w:right="8"/>
                    <w:jc w:val="center"/>
                    <w:rPr>
                      <w:rFonts w:cs="Times New Roman"/>
                    </w:rPr>
                  </w:pPr>
                  <w:r>
                    <w:rPr>
                      <w:rFonts w:cs="Times New Roman"/>
                      <w:szCs w:val="21"/>
                    </w:rPr>
                    <w:t>南侧</w:t>
                  </w:r>
                </w:p>
              </w:tc>
              <w:tc>
                <w:tcPr>
                  <w:tcW w:w="1048" w:type="pct"/>
                  <w:vAlign w:val="center"/>
                </w:tcPr>
                <w:p>
                  <w:pPr>
                    <w:ind w:right="8"/>
                    <w:jc w:val="center"/>
                    <w:rPr>
                      <w:rFonts w:cs="Times New Roman"/>
                      <w:szCs w:val="21"/>
                    </w:rPr>
                  </w:pPr>
                  <w:r>
                    <w:rPr>
                      <w:rFonts w:cs="Times New Roman"/>
                      <w:szCs w:val="21"/>
                    </w:rPr>
                    <w:t>紧邻</w:t>
                  </w:r>
                </w:p>
              </w:tc>
              <w:tc>
                <w:tcPr>
                  <w:tcW w:w="1568" w:type="pct"/>
                  <w:vAlign w:val="center"/>
                </w:tcPr>
                <w:p>
                  <w:pPr>
                    <w:ind w:right="8"/>
                    <w:jc w:val="center"/>
                    <w:rPr>
                      <w:rFonts w:cs="Times New Roman"/>
                      <w:szCs w:val="21"/>
                    </w:rPr>
                  </w:pPr>
                  <w:r>
                    <w:rPr>
                      <w:rFonts w:cs="Times New Roman"/>
                      <w:szCs w:val="21"/>
                    </w:rPr>
                    <w:t>波形梁护栏、交通标志牌、道路标线生产、销售与安装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散户（4户）</w:t>
                  </w:r>
                </w:p>
              </w:tc>
              <w:tc>
                <w:tcPr>
                  <w:tcW w:w="721" w:type="pct"/>
                  <w:vAlign w:val="center"/>
                </w:tcPr>
                <w:p>
                  <w:pPr>
                    <w:ind w:right="8"/>
                    <w:jc w:val="center"/>
                    <w:rPr>
                      <w:rFonts w:cs="Times New Roman"/>
                    </w:rPr>
                  </w:pPr>
                  <w:r>
                    <w:rPr>
                      <w:rFonts w:cs="Times New Roman"/>
                      <w:szCs w:val="21"/>
                    </w:rPr>
                    <w:t>南侧</w:t>
                  </w:r>
                </w:p>
              </w:tc>
              <w:tc>
                <w:tcPr>
                  <w:tcW w:w="1048" w:type="pct"/>
                  <w:vAlign w:val="center"/>
                </w:tcPr>
                <w:p>
                  <w:pPr>
                    <w:ind w:right="8"/>
                    <w:jc w:val="center"/>
                    <w:rPr>
                      <w:rFonts w:cs="Times New Roman"/>
                      <w:szCs w:val="21"/>
                    </w:rPr>
                  </w:pPr>
                  <w:r>
                    <w:rPr>
                      <w:rFonts w:cs="Times New Roman"/>
                      <w:szCs w:val="21"/>
                    </w:rPr>
                    <w:t>约128m~230m</w:t>
                  </w:r>
                </w:p>
              </w:tc>
              <w:tc>
                <w:tcPr>
                  <w:tcW w:w="1568" w:type="pct"/>
                  <w:vAlign w:val="center"/>
                </w:tcPr>
                <w:p>
                  <w:pPr>
                    <w:ind w:right="8"/>
                    <w:jc w:val="center"/>
                    <w:rPr>
                      <w:rFonts w:cs="Times New Roman"/>
                      <w:szCs w:val="21"/>
                    </w:rPr>
                  </w:pPr>
                  <w:r>
                    <w:rPr>
                      <w:rFonts w:cs="Times New Roman"/>
                      <w:szCs w:val="21"/>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宣汉县柳池功能区返乡农民工创业孵化园</w:t>
                  </w:r>
                </w:p>
              </w:tc>
              <w:tc>
                <w:tcPr>
                  <w:tcW w:w="721" w:type="pct"/>
                  <w:vAlign w:val="center"/>
                </w:tcPr>
                <w:p>
                  <w:pPr>
                    <w:ind w:right="8"/>
                    <w:jc w:val="center"/>
                    <w:rPr>
                      <w:rFonts w:cs="Times New Roman"/>
                    </w:rPr>
                  </w:pPr>
                  <w:r>
                    <w:rPr>
                      <w:rFonts w:cs="Times New Roman"/>
                      <w:szCs w:val="21"/>
                    </w:rPr>
                    <w:t>南侧</w:t>
                  </w:r>
                </w:p>
              </w:tc>
              <w:tc>
                <w:tcPr>
                  <w:tcW w:w="1048" w:type="pct"/>
                  <w:vAlign w:val="center"/>
                </w:tcPr>
                <w:p>
                  <w:pPr>
                    <w:ind w:right="8"/>
                    <w:jc w:val="center"/>
                    <w:rPr>
                      <w:rFonts w:cs="Times New Roman"/>
                      <w:szCs w:val="21"/>
                    </w:rPr>
                  </w:pPr>
                  <w:r>
                    <w:rPr>
                      <w:rFonts w:cs="Times New Roman"/>
                      <w:szCs w:val="21"/>
                    </w:rPr>
                    <w:t>约390m</w:t>
                  </w:r>
                </w:p>
              </w:tc>
              <w:tc>
                <w:tcPr>
                  <w:tcW w:w="1568" w:type="pct"/>
                  <w:vAlign w:val="center"/>
                </w:tcPr>
                <w:p>
                  <w:pPr>
                    <w:ind w:right="8"/>
                    <w:jc w:val="center"/>
                    <w:rPr>
                      <w:rFonts w:cs="Times New Roman"/>
                      <w:szCs w:val="21"/>
                    </w:rPr>
                  </w:pPr>
                  <w:r>
                    <w:rPr>
                      <w:rFonts w:cs="Times New Roman"/>
                      <w:szCs w:val="21"/>
                    </w:rPr>
                    <w:t>建材等生产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达州拓普节能建材有限公司</w:t>
                  </w:r>
                </w:p>
              </w:tc>
              <w:tc>
                <w:tcPr>
                  <w:tcW w:w="721" w:type="pct"/>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西南侧</w:t>
                  </w:r>
                </w:p>
              </w:tc>
              <w:tc>
                <w:tcPr>
                  <w:tcW w:w="104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约305m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新型建筑材料制造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万象建材</w:t>
                  </w:r>
                </w:p>
              </w:tc>
              <w:tc>
                <w:tcPr>
                  <w:tcW w:w="721" w:type="pct"/>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西南侧</w:t>
                  </w:r>
                </w:p>
              </w:tc>
              <w:tc>
                <w:tcPr>
                  <w:tcW w:w="104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约315m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建材制造销售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柳池安置房</w:t>
                  </w:r>
                </w:p>
              </w:tc>
              <w:tc>
                <w:tcPr>
                  <w:tcW w:w="721" w:type="pct"/>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西南侧</w:t>
                  </w:r>
                </w:p>
              </w:tc>
              <w:tc>
                <w:tcPr>
                  <w:tcW w:w="104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约335m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四川兴川变压器有限公司</w:t>
                  </w:r>
                </w:p>
              </w:tc>
              <w:tc>
                <w:tcPr>
                  <w:tcW w:w="721" w:type="pct"/>
                  <w:vAlign w:val="center"/>
                </w:tcPr>
                <w:p>
                  <w:pPr>
                    <w:ind w:right="8"/>
                    <w:jc w:val="center"/>
                    <w:rPr>
                      <w:rFonts w:cs="Times New Roman"/>
                      <w:color w:val="000000" w:themeColor="text1"/>
                      <w14:textFill>
                        <w14:solidFill>
                          <w14:schemeClr w14:val="tx1"/>
                        </w14:solidFill>
                      </w14:textFill>
                    </w:rPr>
                  </w:pPr>
                  <w:r>
                    <w:rPr>
                      <w:rFonts w:cs="Times New Roman"/>
                      <w:color w:val="000000" w:themeColor="text1"/>
                      <w14:textFill>
                        <w14:solidFill>
                          <w14:schemeClr w14:val="tx1"/>
                        </w14:solidFill>
                      </w14:textFill>
                    </w:rPr>
                    <w:t>西南侧</w:t>
                  </w:r>
                </w:p>
              </w:tc>
              <w:tc>
                <w:tcPr>
                  <w:tcW w:w="104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约445m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变压器、电气设备及配套设备制造、销售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毛狗洞湾</w:t>
                  </w:r>
                </w:p>
              </w:tc>
              <w:tc>
                <w:tcPr>
                  <w:tcW w:w="721" w:type="pct"/>
                  <w:vAlign w:val="center"/>
                </w:tcPr>
                <w:p>
                  <w:pPr>
                    <w:jc w:val="center"/>
                    <w:rPr>
                      <w:rFonts w:ascii="Times New Roman" w:hAnsi="Times New Roman" w:eastAsia="宋体" w:cs="Times New Roman"/>
                      <w:color w:val="000000" w:themeColor="text1"/>
                      <w:kern w:val="2"/>
                      <w:sz w:val="21"/>
                      <w:szCs w:val="22"/>
                      <w:lang w:val="en-US" w:eastAsia="zh-CN" w:bidi="ar-SA"/>
                      <w14:textFill>
                        <w14:solidFill>
                          <w14:schemeClr w14:val="tx1"/>
                        </w14:solidFill>
                      </w14:textFill>
                    </w:rPr>
                  </w:pPr>
                  <w:r>
                    <w:rPr>
                      <w:rFonts w:cs="Times New Roman"/>
                    </w:rPr>
                    <w:t>西南侧</w:t>
                  </w:r>
                </w:p>
              </w:tc>
              <w:tc>
                <w:tcPr>
                  <w:tcW w:w="1048" w:type="pct"/>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cs="Times New Roman"/>
                      <w:szCs w:val="21"/>
                    </w:rPr>
                    <w:t>约700</w:t>
                  </w:r>
                  <w:r>
                    <w:rPr>
                      <w:rFonts w:hint="eastAsia" w:cs="Times New Roman"/>
                      <w:szCs w:val="21"/>
                      <w:lang w:val="en-US" w:eastAsia="zh-CN"/>
                    </w:rPr>
                    <w:t>m</w:t>
                  </w:r>
                </w:p>
              </w:tc>
              <w:tc>
                <w:tcPr>
                  <w:tcW w:w="1568" w:type="pct"/>
                  <w:vAlign w:val="center"/>
                </w:tcPr>
                <w:p>
                  <w:pPr>
                    <w:ind w:right="8"/>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cs="Times New Roman"/>
                      <w:szCs w:val="21"/>
                    </w:rPr>
                    <w:t>慈菇梁</w:t>
                  </w:r>
                </w:p>
              </w:tc>
              <w:tc>
                <w:tcPr>
                  <w:tcW w:w="721" w:type="pct"/>
                  <w:vAlign w:val="center"/>
                </w:tcPr>
                <w:p>
                  <w:pPr>
                    <w:jc w:val="center"/>
                    <w:rPr>
                      <w:rFonts w:cs="Times New Roman"/>
                      <w:color w:val="000000" w:themeColor="text1"/>
                      <w14:textFill>
                        <w14:solidFill>
                          <w14:schemeClr w14:val="tx1"/>
                        </w14:solidFill>
                      </w14:textFill>
                    </w:rPr>
                  </w:pPr>
                  <w:r>
                    <w:rPr>
                      <w:rFonts w:cs="Times New Roman"/>
                    </w:rPr>
                    <w:t>西南侧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1.6km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小坪</w:t>
                  </w:r>
                </w:p>
              </w:tc>
              <w:tc>
                <w:tcPr>
                  <w:tcW w:w="721" w:type="pct"/>
                  <w:vAlign w:val="center"/>
                </w:tcPr>
                <w:p>
                  <w:pPr>
                    <w:jc w:val="center"/>
                    <w:rPr>
                      <w:rFonts w:cs="Times New Roman"/>
                      <w:color w:val="000000" w:themeColor="text1"/>
                      <w14:textFill>
                        <w14:solidFill>
                          <w14:schemeClr w14:val="tx1"/>
                        </w14:solidFill>
                      </w14:textFill>
                    </w:rPr>
                  </w:pPr>
                  <w:r>
                    <w:rPr>
                      <w:rFonts w:hint="eastAsia" w:cs="Times New Roman"/>
                      <w:lang w:val="en-US" w:eastAsia="zh-CN"/>
                    </w:rPr>
                    <w:t>西南侧</w:t>
                  </w:r>
                </w:p>
              </w:tc>
              <w:tc>
                <w:tcPr>
                  <w:tcW w:w="1048" w:type="pct"/>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szCs w:val="21"/>
                      <w:lang w:val="en-US" w:eastAsia="zh-CN"/>
                    </w:rPr>
                    <w:t>约2.1km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四川海洋塑胶有限公司</w:t>
                  </w:r>
                </w:p>
              </w:tc>
              <w:tc>
                <w:tcPr>
                  <w:tcW w:w="721" w:type="pct"/>
                  <w:vAlign w:val="center"/>
                </w:tcPr>
                <w:p>
                  <w:pPr>
                    <w:ind w:right="8"/>
                    <w:jc w:val="center"/>
                    <w:rPr>
                      <w:rFonts w:cs="Times New Roman"/>
                    </w:rPr>
                  </w:pPr>
                  <w:r>
                    <w:rPr>
                      <w:rFonts w:cs="Times New Roman"/>
                    </w:rPr>
                    <w:t>西侧</w:t>
                  </w:r>
                </w:p>
              </w:tc>
              <w:tc>
                <w:tcPr>
                  <w:tcW w:w="1048" w:type="pct"/>
                  <w:vAlign w:val="center"/>
                </w:tcPr>
                <w:p>
                  <w:pPr>
                    <w:ind w:right="8"/>
                    <w:jc w:val="center"/>
                    <w:rPr>
                      <w:rFonts w:cs="Times New Roman"/>
                      <w:szCs w:val="21"/>
                    </w:rPr>
                  </w:pPr>
                  <w:r>
                    <w:rPr>
                      <w:rFonts w:cs="Times New Roman"/>
                      <w:szCs w:val="21"/>
                    </w:rPr>
                    <w:t>约35m</w:t>
                  </w:r>
                </w:p>
              </w:tc>
              <w:tc>
                <w:tcPr>
                  <w:tcW w:w="1568" w:type="pct"/>
                  <w:vAlign w:val="center"/>
                </w:tcPr>
                <w:p>
                  <w:pPr>
                    <w:ind w:right="8"/>
                    <w:jc w:val="center"/>
                    <w:rPr>
                      <w:rFonts w:cs="Times New Roman"/>
                      <w:szCs w:val="21"/>
                    </w:rPr>
                  </w:pPr>
                  <w:r>
                    <w:rPr>
                      <w:rFonts w:cs="Times New Roman"/>
                      <w:szCs w:val="21"/>
                    </w:rPr>
                    <w:t>塑料板制、塑料管、塑料异型材、木塑型材的生产、销售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四川国华环保设备制造有限公司</w:t>
                  </w:r>
                </w:p>
              </w:tc>
              <w:tc>
                <w:tcPr>
                  <w:tcW w:w="721" w:type="pct"/>
                  <w:vAlign w:val="center"/>
                </w:tcPr>
                <w:p>
                  <w:pPr>
                    <w:ind w:right="8"/>
                    <w:jc w:val="center"/>
                    <w:rPr>
                      <w:rFonts w:cs="Times New Roman"/>
                    </w:rPr>
                  </w:pPr>
                  <w:r>
                    <w:rPr>
                      <w:rFonts w:cs="Times New Roman"/>
                    </w:rPr>
                    <w:t>西侧</w:t>
                  </w:r>
                </w:p>
              </w:tc>
              <w:tc>
                <w:tcPr>
                  <w:tcW w:w="1048" w:type="pct"/>
                  <w:vAlign w:val="center"/>
                </w:tcPr>
                <w:p>
                  <w:pPr>
                    <w:ind w:right="8"/>
                    <w:jc w:val="center"/>
                    <w:rPr>
                      <w:rFonts w:cs="Times New Roman"/>
                      <w:szCs w:val="21"/>
                    </w:rPr>
                  </w:pPr>
                  <w:r>
                    <w:rPr>
                      <w:rFonts w:cs="Times New Roman"/>
                      <w:szCs w:val="21"/>
                    </w:rPr>
                    <w:t>约115m</w:t>
                  </w:r>
                </w:p>
              </w:tc>
              <w:tc>
                <w:tcPr>
                  <w:tcW w:w="1568" w:type="pct"/>
                  <w:vAlign w:val="center"/>
                </w:tcPr>
                <w:p>
                  <w:pPr>
                    <w:ind w:right="8"/>
                    <w:jc w:val="center"/>
                    <w:rPr>
                      <w:rFonts w:cs="Times New Roman"/>
                      <w:szCs w:val="21"/>
                    </w:rPr>
                  </w:pPr>
                  <w:r>
                    <w:rPr>
                      <w:rFonts w:cs="Times New Roman"/>
                      <w:szCs w:val="21"/>
                    </w:rPr>
                    <w:t>污水处理设备、自来水净化设备、粉尘、大气治理设备制造，销售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四川君璜建材有限公司</w:t>
                  </w:r>
                </w:p>
              </w:tc>
              <w:tc>
                <w:tcPr>
                  <w:tcW w:w="721" w:type="pct"/>
                  <w:vAlign w:val="center"/>
                </w:tcPr>
                <w:p>
                  <w:pPr>
                    <w:ind w:right="8"/>
                    <w:jc w:val="center"/>
                    <w:rPr>
                      <w:rFonts w:cs="Times New Roman"/>
                    </w:rPr>
                  </w:pPr>
                  <w:r>
                    <w:rPr>
                      <w:rFonts w:cs="Times New Roman"/>
                    </w:rPr>
                    <w:t>西侧</w:t>
                  </w:r>
                </w:p>
              </w:tc>
              <w:tc>
                <w:tcPr>
                  <w:tcW w:w="1048" w:type="pct"/>
                  <w:vAlign w:val="center"/>
                </w:tcPr>
                <w:p>
                  <w:pPr>
                    <w:ind w:right="8"/>
                    <w:jc w:val="center"/>
                    <w:rPr>
                      <w:rFonts w:cs="Times New Roman"/>
                      <w:szCs w:val="21"/>
                    </w:rPr>
                  </w:pPr>
                  <w:r>
                    <w:rPr>
                      <w:rFonts w:cs="Times New Roman"/>
                      <w:szCs w:val="21"/>
                    </w:rPr>
                    <w:t>约175m</w:t>
                  </w:r>
                </w:p>
              </w:tc>
              <w:tc>
                <w:tcPr>
                  <w:tcW w:w="1568" w:type="pct"/>
                  <w:vAlign w:val="center"/>
                </w:tcPr>
                <w:p>
                  <w:pPr>
                    <w:ind w:right="8"/>
                    <w:jc w:val="center"/>
                    <w:rPr>
                      <w:rFonts w:cs="Times New Roman"/>
                      <w:szCs w:val="21"/>
                    </w:rPr>
                  </w:pPr>
                  <w:r>
                    <w:rPr>
                      <w:rFonts w:cs="Times New Roman"/>
                      <w:szCs w:val="21"/>
                    </w:rPr>
                    <w:t>节能墙体材料生产、销售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烟草物流</w:t>
                  </w:r>
                </w:p>
              </w:tc>
              <w:tc>
                <w:tcPr>
                  <w:tcW w:w="721" w:type="pct"/>
                  <w:vAlign w:val="center"/>
                </w:tcPr>
                <w:p>
                  <w:pPr>
                    <w:ind w:right="8"/>
                    <w:jc w:val="center"/>
                    <w:rPr>
                      <w:rFonts w:cs="Times New Roman"/>
                    </w:rPr>
                  </w:pPr>
                  <w:r>
                    <w:rPr>
                      <w:rFonts w:cs="Times New Roman"/>
                    </w:rPr>
                    <w:t>西侧</w:t>
                  </w:r>
                </w:p>
              </w:tc>
              <w:tc>
                <w:tcPr>
                  <w:tcW w:w="1048" w:type="pct"/>
                  <w:vAlign w:val="center"/>
                </w:tcPr>
                <w:p>
                  <w:pPr>
                    <w:ind w:right="8"/>
                    <w:jc w:val="center"/>
                    <w:rPr>
                      <w:rFonts w:cs="Times New Roman"/>
                      <w:szCs w:val="21"/>
                    </w:rPr>
                  </w:pPr>
                  <w:r>
                    <w:rPr>
                      <w:rFonts w:cs="Times New Roman"/>
                      <w:szCs w:val="21"/>
                    </w:rPr>
                    <w:t>约235m</w:t>
                  </w:r>
                </w:p>
              </w:tc>
              <w:tc>
                <w:tcPr>
                  <w:tcW w:w="1568" w:type="pct"/>
                  <w:vAlign w:val="center"/>
                </w:tcPr>
                <w:p>
                  <w:pPr>
                    <w:ind w:right="8"/>
                    <w:jc w:val="center"/>
                    <w:rPr>
                      <w:rFonts w:cs="Times New Roman"/>
                      <w:szCs w:val="21"/>
                    </w:rPr>
                  </w:pPr>
                  <w:r>
                    <w:rPr>
                      <w:rFonts w:cs="Times New Roman"/>
                      <w:szCs w:val="21"/>
                    </w:rPr>
                    <w:t>物流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宣汉绿宝农化有限公司</w:t>
                  </w:r>
                </w:p>
              </w:tc>
              <w:tc>
                <w:tcPr>
                  <w:tcW w:w="721" w:type="pct"/>
                  <w:vAlign w:val="center"/>
                </w:tcPr>
                <w:p>
                  <w:pPr>
                    <w:ind w:right="8"/>
                    <w:jc w:val="center"/>
                    <w:rPr>
                      <w:rFonts w:cs="Times New Roman"/>
                    </w:rPr>
                  </w:pPr>
                  <w:r>
                    <w:rPr>
                      <w:rFonts w:cs="Times New Roman"/>
                    </w:rPr>
                    <w:t>西北侧</w:t>
                  </w:r>
                </w:p>
              </w:tc>
              <w:tc>
                <w:tcPr>
                  <w:tcW w:w="1048" w:type="pct"/>
                  <w:vAlign w:val="center"/>
                </w:tcPr>
                <w:p>
                  <w:pPr>
                    <w:ind w:right="8"/>
                    <w:jc w:val="center"/>
                    <w:rPr>
                      <w:rFonts w:cs="Times New Roman"/>
                      <w:szCs w:val="21"/>
                    </w:rPr>
                  </w:pPr>
                  <w:r>
                    <w:rPr>
                      <w:rFonts w:cs="Times New Roman"/>
                      <w:szCs w:val="21"/>
                    </w:rPr>
                    <w:t>约70m</w:t>
                  </w:r>
                </w:p>
              </w:tc>
              <w:tc>
                <w:tcPr>
                  <w:tcW w:w="1568" w:type="pct"/>
                  <w:vAlign w:val="center"/>
                </w:tcPr>
                <w:p>
                  <w:pPr>
                    <w:ind w:right="8"/>
                    <w:jc w:val="center"/>
                    <w:rPr>
                      <w:rFonts w:cs="Times New Roman"/>
                      <w:szCs w:val="21"/>
                    </w:rPr>
                  </w:pPr>
                  <w:r>
                    <w:rPr>
                      <w:rFonts w:cs="Times New Roman"/>
                      <w:szCs w:val="21"/>
                    </w:rPr>
                    <w:t>复混肥料生产销售，化肥销售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四川黔柜电气有限公司</w:t>
                  </w:r>
                </w:p>
              </w:tc>
              <w:tc>
                <w:tcPr>
                  <w:tcW w:w="721" w:type="pct"/>
                  <w:vAlign w:val="center"/>
                </w:tcPr>
                <w:p>
                  <w:pPr>
                    <w:ind w:right="8"/>
                    <w:jc w:val="center"/>
                    <w:rPr>
                      <w:rFonts w:cs="Times New Roman"/>
                    </w:rPr>
                  </w:pPr>
                  <w:r>
                    <w:rPr>
                      <w:rFonts w:cs="Times New Roman"/>
                    </w:rPr>
                    <w:t>西北侧</w:t>
                  </w:r>
                </w:p>
              </w:tc>
              <w:tc>
                <w:tcPr>
                  <w:tcW w:w="1048" w:type="pct"/>
                  <w:vAlign w:val="center"/>
                </w:tcPr>
                <w:p>
                  <w:pPr>
                    <w:ind w:right="8"/>
                    <w:jc w:val="center"/>
                    <w:rPr>
                      <w:rFonts w:cs="Times New Roman"/>
                      <w:szCs w:val="21"/>
                    </w:rPr>
                  </w:pPr>
                  <w:r>
                    <w:rPr>
                      <w:rFonts w:cs="Times New Roman"/>
                      <w:szCs w:val="21"/>
                    </w:rPr>
                    <w:t>约105m</w:t>
                  </w:r>
                </w:p>
              </w:tc>
              <w:tc>
                <w:tcPr>
                  <w:tcW w:w="1568" w:type="pct"/>
                  <w:vAlign w:val="center"/>
                </w:tcPr>
                <w:p>
                  <w:pPr>
                    <w:ind w:right="8"/>
                    <w:jc w:val="center"/>
                    <w:rPr>
                      <w:rFonts w:cs="Times New Roman"/>
                      <w:szCs w:val="21"/>
                    </w:rPr>
                  </w:pPr>
                  <w:r>
                    <w:rPr>
                      <w:rFonts w:cs="Times New Roman"/>
                      <w:szCs w:val="21"/>
                    </w:rPr>
                    <w:t>变压器、变频器、高低压成套电器及高低压成套电器设备研发、生产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宣汉县中平建材有限公司</w:t>
                  </w:r>
                </w:p>
              </w:tc>
              <w:tc>
                <w:tcPr>
                  <w:tcW w:w="721" w:type="pct"/>
                  <w:vAlign w:val="center"/>
                </w:tcPr>
                <w:p>
                  <w:pPr>
                    <w:ind w:right="8"/>
                    <w:jc w:val="center"/>
                    <w:rPr>
                      <w:rFonts w:cs="Times New Roman"/>
                    </w:rPr>
                  </w:pPr>
                  <w:r>
                    <w:rPr>
                      <w:rFonts w:cs="Times New Roman"/>
                    </w:rPr>
                    <w:t>西北侧</w:t>
                  </w:r>
                </w:p>
              </w:tc>
              <w:tc>
                <w:tcPr>
                  <w:tcW w:w="1048" w:type="pct"/>
                  <w:vAlign w:val="center"/>
                </w:tcPr>
                <w:p>
                  <w:pPr>
                    <w:ind w:right="8"/>
                    <w:jc w:val="center"/>
                    <w:rPr>
                      <w:rFonts w:cs="Times New Roman"/>
                      <w:szCs w:val="21"/>
                    </w:rPr>
                  </w:pPr>
                  <w:r>
                    <w:rPr>
                      <w:rFonts w:cs="Times New Roman"/>
                      <w:szCs w:val="21"/>
                    </w:rPr>
                    <w:t>约175m</w:t>
                  </w:r>
                </w:p>
              </w:tc>
              <w:tc>
                <w:tcPr>
                  <w:tcW w:w="1568" w:type="pct"/>
                  <w:vAlign w:val="center"/>
                </w:tcPr>
                <w:p>
                  <w:pPr>
                    <w:ind w:right="8"/>
                    <w:jc w:val="center"/>
                    <w:rPr>
                      <w:rFonts w:cs="Times New Roman"/>
                      <w:szCs w:val="21"/>
                    </w:rPr>
                  </w:pPr>
                  <w:r>
                    <w:rPr>
                      <w:rFonts w:cs="Times New Roman"/>
                      <w:szCs w:val="21"/>
                    </w:rPr>
                    <w:t>玻璃、门窗生产加工及销售，建材（不含木材）销售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四川锐翼合新材料有限公司</w:t>
                  </w:r>
                </w:p>
              </w:tc>
              <w:tc>
                <w:tcPr>
                  <w:tcW w:w="721" w:type="pct"/>
                  <w:vAlign w:val="center"/>
                </w:tcPr>
                <w:p>
                  <w:pPr>
                    <w:ind w:right="8"/>
                    <w:jc w:val="center"/>
                    <w:rPr>
                      <w:rFonts w:cs="Times New Roman"/>
                    </w:rPr>
                  </w:pPr>
                  <w:r>
                    <w:rPr>
                      <w:rFonts w:cs="Times New Roman"/>
                    </w:rPr>
                    <w:t>西北侧</w:t>
                  </w:r>
                </w:p>
              </w:tc>
              <w:tc>
                <w:tcPr>
                  <w:tcW w:w="1048" w:type="pct"/>
                  <w:vAlign w:val="center"/>
                </w:tcPr>
                <w:p>
                  <w:pPr>
                    <w:ind w:right="8"/>
                    <w:jc w:val="center"/>
                    <w:rPr>
                      <w:rFonts w:cs="Times New Roman"/>
                      <w:szCs w:val="21"/>
                    </w:rPr>
                  </w:pPr>
                  <w:r>
                    <w:rPr>
                      <w:rFonts w:cs="Times New Roman"/>
                      <w:szCs w:val="21"/>
                    </w:rPr>
                    <w:t>约215m</w:t>
                  </w:r>
                </w:p>
              </w:tc>
              <w:tc>
                <w:tcPr>
                  <w:tcW w:w="1568" w:type="pct"/>
                  <w:vAlign w:val="center"/>
                </w:tcPr>
                <w:p>
                  <w:pPr>
                    <w:ind w:right="8"/>
                    <w:jc w:val="center"/>
                    <w:rPr>
                      <w:rFonts w:cs="Times New Roman"/>
                      <w:szCs w:val="21"/>
                    </w:rPr>
                  </w:pPr>
                  <w:r>
                    <w:rPr>
                      <w:rFonts w:cs="Times New Roman"/>
                      <w:szCs w:val="21"/>
                    </w:rPr>
                    <w:t>玻璃纤维及制品制造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达州市国鸿建筑节能工程有限公司</w:t>
                  </w:r>
                </w:p>
              </w:tc>
              <w:tc>
                <w:tcPr>
                  <w:tcW w:w="721" w:type="pct"/>
                  <w:vAlign w:val="center"/>
                </w:tcPr>
                <w:p>
                  <w:pPr>
                    <w:ind w:right="8"/>
                    <w:jc w:val="center"/>
                    <w:rPr>
                      <w:rFonts w:cs="Times New Roman"/>
                    </w:rPr>
                  </w:pPr>
                  <w:r>
                    <w:rPr>
                      <w:rFonts w:cs="Times New Roman"/>
                    </w:rPr>
                    <w:t>西北侧</w:t>
                  </w:r>
                </w:p>
              </w:tc>
              <w:tc>
                <w:tcPr>
                  <w:tcW w:w="1048" w:type="pct"/>
                  <w:vAlign w:val="center"/>
                </w:tcPr>
                <w:p>
                  <w:pPr>
                    <w:ind w:right="8"/>
                    <w:jc w:val="center"/>
                    <w:rPr>
                      <w:rFonts w:cs="Times New Roman"/>
                      <w:szCs w:val="21"/>
                    </w:rPr>
                  </w:pPr>
                  <w:r>
                    <w:rPr>
                      <w:rFonts w:cs="Times New Roman"/>
                      <w:szCs w:val="21"/>
                    </w:rPr>
                    <w:t>约295m</w:t>
                  </w:r>
                </w:p>
              </w:tc>
              <w:tc>
                <w:tcPr>
                  <w:tcW w:w="1568" w:type="pct"/>
                  <w:vAlign w:val="center"/>
                </w:tcPr>
                <w:p>
                  <w:pPr>
                    <w:ind w:right="8"/>
                    <w:jc w:val="center"/>
                    <w:rPr>
                      <w:rFonts w:cs="Times New Roman"/>
                      <w:szCs w:val="21"/>
                    </w:rPr>
                  </w:pPr>
                  <w:r>
                    <w:rPr>
                      <w:rFonts w:cs="Times New Roman"/>
                      <w:szCs w:val="21"/>
                    </w:rPr>
                    <w:t>玻化微珠生产、销售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1661" w:type="pct"/>
                  <w:vAlign w:val="center"/>
                </w:tcPr>
                <w:p>
                  <w:pPr>
                    <w:ind w:right="8"/>
                    <w:jc w:val="center"/>
                    <w:rPr>
                      <w:rFonts w:cs="Times New Roman"/>
                      <w:szCs w:val="21"/>
                    </w:rPr>
                  </w:pPr>
                  <w:r>
                    <w:rPr>
                      <w:rFonts w:cs="Times New Roman"/>
                      <w:szCs w:val="21"/>
                    </w:rPr>
                    <w:t>四川广川铝材有限公司</w:t>
                  </w:r>
                </w:p>
              </w:tc>
              <w:tc>
                <w:tcPr>
                  <w:tcW w:w="721" w:type="pct"/>
                  <w:vAlign w:val="center"/>
                </w:tcPr>
                <w:p>
                  <w:pPr>
                    <w:ind w:right="8"/>
                    <w:jc w:val="center"/>
                    <w:rPr>
                      <w:rFonts w:cs="Times New Roman"/>
                    </w:rPr>
                  </w:pPr>
                  <w:r>
                    <w:rPr>
                      <w:rFonts w:cs="Times New Roman"/>
                    </w:rPr>
                    <w:t>西北侧</w:t>
                  </w:r>
                </w:p>
              </w:tc>
              <w:tc>
                <w:tcPr>
                  <w:tcW w:w="1048" w:type="pct"/>
                  <w:vAlign w:val="center"/>
                </w:tcPr>
                <w:p>
                  <w:pPr>
                    <w:ind w:right="8"/>
                    <w:jc w:val="center"/>
                    <w:rPr>
                      <w:rFonts w:cs="Times New Roman"/>
                      <w:szCs w:val="21"/>
                    </w:rPr>
                  </w:pPr>
                  <w:r>
                    <w:rPr>
                      <w:rFonts w:cs="Times New Roman"/>
                      <w:szCs w:val="21"/>
                    </w:rPr>
                    <w:t>约360m</w:t>
                  </w:r>
                </w:p>
              </w:tc>
              <w:tc>
                <w:tcPr>
                  <w:tcW w:w="1568" w:type="pct"/>
                  <w:vAlign w:val="center"/>
                </w:tcPr>
                <w:p>
                  <w:pPr>
                    <w:ind w:right="8"/>
                    <w:jc w:val="center"/>
                    <w:rPr>
                      <w:rFonts w:cs="Times New Roman"/>
                      <w:szCs w:val="21"/>
                    </w:rPr>
                  </w:pPr>
                  <w:r>
                    <w:rPr>
                      <w:rFonts w:cs="Times New Roman"/>
                      <w:szCs w:val="21"/>
                    </w:rPr>
                    <w:t>铝型材生产、加工、销售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69" w:type="dxa"/>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柏林湾</w:t>
                  </w:r>
                </w:p>
              </w:tc>
              <w:tc>
                <w:tcPr>
                  <w:tcW w:w="1245" w:type="dxa"/>
                  <w:vAlign w:val="center"/>
                </w:tcPr>
                <w:p>
                  <w:pPr>
                    <w:jc w:val="center"/>
                    <w:rPr>
                      <w:rFonts w:cs="Times New Roman"/>
                      <w:color w:val="000000" w:themeColor="text1"/>
                      <w14:textFill>
                        <w14:solidFill>
                          <w14:schemeClr w14:val="tx1"/>
                        </w14:solidFill>
                      </w14:textFill>
                    </w:rPr>
                  </w:pPr>
                  <w:r>
                    <w:rPr>
                      <w:rFonts w:cs="Times New Roman"/>
                    </w:rPr>
                    <w:t>西</w:t>
                  </w:r>
                  <w:r>
                    <w:rPr>
                      <w:rFonts w:hint="eastAsia" w:cs="Times New Roman"/>
                      <w:lang w:val="en-US" w:eastAsia="zh-CN"/>
                    </w:rPr>
                    <w:t>北</w:t>
                  </w:r>
                  <w:r>
                    <w:rPr>
                      <w:rFonts w:cs="Times New Roman"/>
                    </w:rPr>
                    <w:t>侧</w:t>
                  </w:r>
                </w:p>
              </w:tc>
              <w:tc>
                <w:tcPr>
                  <w:tcW w:w="1810"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1.9km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69" w:type="dxa"/>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孙家沟</w:t>
                  </w:r>
                </w:p>
              </w:tc>
              <w:tc>
                <w:tcPr>
                  <w:tcW w:w="1245" w:type="dxa"/>
                  <w:vAlign w:val="center"/>
                </w:tcPr>
                <w:p>
                  <w:pPr>
                    <w:jc w:val="center"/>
                    <w:rPr>
                      <w:rFonts w:cs="Times New Roman"/>
                      <w:color w:val="000000" w:themeColor="text1"/>
                      <w14:textFill>
                        <w14:solidFill>
                          <w14:schemeClr w14:val="tx1"/>
                        </w14:solidFill>
                      </w14:textFill>
                    </w:rPr>
                  </w:pPr>
                  <w:r>
                    <w:rPr>
                      <w:rFonts w:cs="Times New Roman"/>
                    </w:rPr>
                    <w:t>西北侧</w:t>
                  </w:r>
                </w:p>
              </w:tc>
              <w:tc>
                <w:tcPr>
                  <w:tcW w:w="1810"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2.1km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69" w:type="dxa"/>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李家湾</w:t>
                  </w:r>
                </w:p>
              </w:tc>
              <w:tc>
                <w:tcPr>
                  <w:tcW w:w="1245" w:type="dxa"/>
                  <w:vAlign w:val="center"/>
                </w:tcPr>
                <w:p>
                  <w:pPr>
                    <w:jc w:val="center"/>
                    <w:rPr>
                      <w:rFonts w:cs="Times New Roman"/>
                      <w:color w:val="000000" w:themeColor="text1"/>
                      <w14:textFill>
                        <w14:solidFill>
                          <w14:schemeClr w14:val="tx1"/>
                        </w14:solidFill>
                      </w14:textFill>
                    </w:rPr>
                  </w:pPr>
                  <w:r>
                    <w:rPr>
                      <w:rFonts w:cs="Times New Roman"/>
                    </w:rPr>
                    <w:t>西北侧</w:t>
                  </w:r>
                </w:p>
              </w:tc>
              <w:tc>
                <w:tcPr>
                  <w:tcW w:w="1810" w:type="dxa"/>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szCs w:val="21"/>
                    </w:rPr>
                    <w:t>约</w:t>
                  </w:r>
                  <w:r>
                    <w:rPr>
                      <w:rFonts w:hint="eastAsia" w:cs="Times New Roman"/>
                      <w:szCs w:val="21"/>
                      <w:lang w:val="en-US" w:eastAsia="zh-CN"/>
                    </w:rPr>
                    <w:t>700m</w:t>
                  </w:r>
                </w:p>
              </w:tc>
              <w:tc>
                <w:tcPr>
                  <w:tcW w:w="1568" w:type="pct"/>
                  <w:vAlign w:val="center"/>
                </w:tcPr>
                <w:p>
                  <w:pPr>
                    <w:ind w:right="8"/>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869" w:type="dxa"/>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长梁</w:t>
                  </w:r>
                </w:p>
              </w:tc>
              <w:tc>
                <w:tcPr>
                  <w:tcW w:w="1245" w:type="dxa"/>
                  <w:vAlign w:val="center"/>
                </w:tcPr>
                <w:p>
                  <w:pPr>
                    <w:jc w:val="center"/>
                    <w:rPr>
                      <w:rFonts w:cs="Times New Roman"/>
                      <w:color w:val="000000" w:themeColor="text1"/>
                      <w14:textFill>
                        <w14:solidFill>
                          <w14:schemeClr w14:val="tx1"/>
                        </w14:solidFill>
                      </w14:textFill>
                    </w:rPr>
                  </w:pPr>
                  <w:r>
                    <w:rPr>
                      <w:rFonts w:cs="Times New Roman"/>
                    </w:rPr>
                    <w:t>西北侧</w:t>
                  </w:r>
                </w:p>
              </w:tc>
              <w:tc>
                <w:tcPr>
                  <w:tcW w:w="1810" w:type="dxa"/>
                  <w:vAlign w:val="center"/>
                </w:tcPr>
                <w:p>
                  <w:pPr>
                    <w:jc w:val="center"/>
                    <w:rPr>
                      <w:rFonts w:cs="Times New Roman"/>
                      <w:color w:val="000000" w:themeColor="text1"/>
                      <w:szCs w:val="21"/>
                      <w14:textFill>
                        <w14:solidFill>
                          <w14:schemeClr w14:val="tx1"/>
                        </w14:solidFill>
                      </w14:textFill>
                    </w:rPr>
                  </w:pPr>
                  <w:r>
                    <w:rPr>
                      <w:rFonts w:hint="eastAsia" w:cs="Times New Roman"/>
                      <w:szCs w:val="21"/>
                      <w:lang w:val="en-US" w:eastAsia="zh-CN"/>
                    </w:rPr>
                    <w:t>2.1km</w:t>
                  </w:r>
                </w:p>
              </w:tc>
              <w:tc>
                <w:tcPr>
                  <w:tcW w:w="1568" w:type="pct"/>
                  <w:vAlign w:val="center"/>
                </w:tcPr>
                <w:p>
                  <w:pPr>
                    <w:ind w:right="8"/>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居住</w:t>
                  </w:r>
                </w:p>
              </w:tc>
            </w:tr>
          </w:tbl>
          <w:p>
            <w:pPr>
              <w:spacing w:line="360" w:lineRule="auto"/>
              <w:ind w:firstLine="480" w:firstLineChars="200"/>
              <w:rPr>
                <w:rFonts w:cs="Times New Roman"/>
                <w:color w:val="0000FF"/>
                <w:sz w:val="24"/>
              </w:rPr>
            </w:pPr>
            <w:r>
              <w:rPr>
                <w:rFonts w:cs="Times New Roman"/>
                <w:sz w:val="24"/>
                <w:szCs w:val="24"/>
              </w:rPr>
              <w:t>本项目位于四川达州普光经济开发区柳池工业园区1号干道2号，</w:t>
            </w:r>
            <w:r>
              <w:rPr>
                <w:rFonts w:cs="Times New Roman"/>
                <w:sz w:val="24"/>
              </w:rPr>
              <w:t>项目周边企业以建材、机械、玻璃纤维制品企业为主，无食品、药品等企业。</w:t>
            </w:r>
            <w:r>
              <w:rPr>
                <w:rFonts w:cs="Times New Roman"/>
                <w:kern w:val="0"/>
                <w:sz w:val="24"/>
              </w:rPr>
              <w:t>与周围产业片区主业之间不冲突，不会形成交叉影响，周边项目对本项目不会产生不利影响。本项目</w:t>
            </w:r>
            <w:r>
              <w:rPr>
                <w:rFonts w:cs="Times New Roman"/>
                <w:sz w:val="24"/>
              </w:rPr>
              <w:t>评价范围内不涉及</w:t>
            </w:r>
            <w:r>
              <w:rPr>
                <w:rFonts w:cs="Times New Roman"/>
                <w:sz w:val="24"/>
                <w:szCs w:val="24"/>
              </w:rPr>
              <w:t>自然保护区、风景名胜区等环境敏感区，亦无文物古迹等敏感点</w:t>
            </w:r>
            <w:r>
              <w:rPr>
                <w:rFonts w:cs="Times New Roman"/>
                <w:color w:val="0000FF"/>
                <w:sz w:val="24"/>
              </w:rPr>
              <w:t>。</w:t>
            </w:r>
            <w:r>
              <w:rPr>
                <w:rFonts w:cs="Times New Roman"/>
                <w:color w:val="000000" w:themeColor="text1"/>
                <w:sz w:val="24"/>
                <w14:textFill>
                  <w14:solidFill>
                    <w14:schemeClr w14:val="tx1"/>
                  </w14:solidFill>
                </w14:textFill>
              </w:rPr>
              <w:t>项目涉及后河徐家坡饮用水水源准保护区，项目生产废水回用，不外排，不属于对水体污染严重的建设项目，未新增生产废水排污量，满足饮用水水源地准保护区要求。</w:t>
            </w:r>
          </w:p>
          <w:p>
            <w:pPr>
              <w:spacing w:line="360" w:lineRule="auto"/>
              <w:ind w:firstLine="480" w:firstLineChars="200"/>
              <w:rPr>
                <w:rFonts w:cs="Times New Roman"/>
                <w:sz w:val="24"/>
              </w:rPr>
            </w:pPr>
            <w:r>
              <w:rPr>
                <w:rFonts w:cs="Times New Roman"/>
                <w:sz w:val="24"/>
              </w:rPr>
              <w:t>同时，项目运营过程中通过采取合理有效的废气、废水、噪声、固废治理措施后，可实现达标排放，对周边环境的影响较小。</w:t>
            </w:r>
          </w:p>
          <w:p>
            <w:pPr>
              <w:spacing w:line="360" w:lineRule="auto"/>
              <w:ind w:firstLine="480" w:firstLineChars="200"/>
              <w:rPr>
                <w:rFonts w:cs="Times New Roman"/>
                <w:sz w:val="24"/>
                <w:szCs w:val="24"/>
              </w:rPr>
            </w:pPr>
            <w:r>
              <w:rPr>
                <w:rFonts w:cs="Times New Roman"/>
                <w:sz w:val="24"/>
                <w:szCs w:val="24"/>
              </w:rPr>
              <w:t>综上，本评价认为本项目选址合理。</w:t>
            </w:r>
          </w:p>
          <w:p>
            <w:pPr>
              <w:spacing w:line="360" w:lineRule="auto"/>
              <w:ind w:firstLine="482" w:firstLineChars="200"/>
              <w:rPr>
                <w:rFonts w:cs="Times New Roman"/>
                <w:b/>
                <w:bCs/>
                <w:sz w:val="24"/>
                <w:szCs w:val="24"/>
              </w:rPr>
            </w:pPr>
            <w:r>
              <w:rPr>
                <w:rFonts w:cs="Times New Roman"/>
                <w:b/>
                <w:bCs/>
                <w:sz w:val="24"/>
                <w:szCs w:val="24"/>
              </w:rPr>
              <w:t>11、与后河特有鱼类国家级水产种质资源保护区位置关系</w:t>
            </w:r>
          </w:p>
          <w:p>
            <w:pPr>
              <w:spacing w:line="360" w:lineRule="auto"/>
              <w:ind w:firstLine="480" w:firstLineChars="200"/>
              <w:rPr>
                <w:rFonts w:cs="Times New Roman"/>
                <w:sz w:val="24"/>
                <w:szCs w:val="24"/>
              </w:rPr>
            </w:pPr>
            <w:r>
              <w:rPr>
                <w:rFonts w:cs="Times New Roman"/>
                <w:sz w:val="24"/>
                <w:szCs w:val="24"/>
              </w:rPr>
              <w:t>后河特有鱼类国家级水产种质资源保护区于2010年11月25日由农业部以第1491号公告批准建立。保护区总面积840公顷，其中核心区面积320公顷，实验区面积520公顷。保护区特别保护期为全年。保护区位于四川省宣汉县境内，属渠江水系的后河，范围在东经107°42′56″—107°42′58″，北纬31°39′59″—31°39′16″之间。保护区是自上游至下游依次经由毛坝大水荡村高落关（107°46′54″E，31°39′6″N）、毛坝大水荡村灯笼扁（107°46′58″E，31°39′16″N）、毛坝老街溪口（107°44′25″E，31°36′36″）、毛坝弹子村小胡岸（107°44′9″E，31°34′51″N）、胡家镇跳河村陈家嘴（107°42′56″E，31°35′5″N）、胡家镇堰沟村黄家湾（107°54′34″E，31°32′2″N）、普光镇巴人村樊家湾（107°43′19″E，31°34′53″N）、普光镇铜坎村铜坎洞（107°44′40″E，31°31′59″N）、普光镇巴人村鸭嘴（107°45′33″E，31°31′56″N）九个拐点的后河组成，流经毛坝镇、胡家镇、普光镇，全长56公里。其中核心区为毛坝镇大水荡（107°45′52″E，31°38′30″N）至胡家镇跳河（107°45′43″E，31°34′29″N）的河段，长25km。实验区分为2段，第一河段从毛坝大水荡村灯笼扁（107°46′58″E，31°39′16″N）至毛坝镇大水荡（107°45′52″E，31°38′30″N），长7km；第二河段从胡家镇跳河（107°45′43″E，31°34′29″N）至普光镇巴人村鸭嘴（107°45′33″E，31°31′56″N），长24km。主要保护对象为岩原鲤、南方大口鲶、黄颡鱼、华鲮、中华鳖、中华倒刺鲃，其它保护对象包括鳜鱼、中华裂腹鱼、重口裂腹鱼、大鳍鱯、白缘央、黑尾央等。</w:t>
            </w:r>
          </w:p>
          <w:p>
            <w:pPr>
              <w:spacing w:line="360" w:lineRule="auto"/>
              <w:ind w:firstLine="480" w:firstLineChars="200"/>
              <w:rPr>
                <w:rFonts w:cs="Times New Roman"/>
                <w:sz w:val="24"/>
                <w:szCs w:val="24"/>
              </w:rPr>
            </w:pPr>
            <w:r>
              <w:rPr>
                <w:rFonts w:cs="Times New Roman"/>
                <w:sz w:val="24"/>
                <w:szCs w:val="24"/>
              </w:rPr>
              <w:t>本项目位于四川达州普光经济开发区柳池工业园区，距离后河特有鱼类国家级水产种质资源保护区约13km，本项目不涉及后河特有鱼类国家级水产种质资源保护区。</w:t>
            </w:r>
          </w:p>
          <w:p>
            <w:pPr>
              <w:spacing w:line="360" w:lineRule="auto"/>
              <w:ind w:firstLine="480" w:firstLineChars="200"/>
              <w:rPr>
                <w:rFonts w:cs="Times New Roman"/>
                <w:bCs/>
                <w:sz w:val="24"/>
                <w:szCs w:val="24"/>
              </w:rPr>
            </w:pPr>
          </w:p>
          <w:p>
            <w:pPr>
              <w:spacing w:line="360" w:lineRule="auto"/>
              <w:ind w:firstLine="480" w:firstLineChars="200"/>
              <w:rPr>
                <w:rFonts w:cs="Times New Roman"/>
                <w:bCs/>
                <w:sz w:val="24"/>
                <w:szCs w:val="24"/>
              </w:rPr>
            </w:pPr>
          </w:p>
          <w:p>
            <w:pPr>
              <w:spacing w:line="360" w:lineRule="auto"/>
              <w:ind w:firstLine="480" w:firstLineChars="200"/>
              <w:rPr>
                <w:rFonts w:cs="Times New Roman"/>
                <w:bCs/>
                <w:sz w:val="24"/>
                <w:szCs w:val="24"/>
              </w:rPr>
            </w:pPr>
          </w:p>
          <w:p>
            <w:pPr>
              <w:spacing w:line="360" w:lineRule="auto"/>
              <w:ind w:firstLine="420" w:firstLineChars="200"/>
            </w:pPr>
          </w:p>
        </w:tc>
      </w:tr>
    </w:tbl>
    <w:p>
      <w:pPr>
        <w:sectPr>
          <w:pgSz w:w="11906" w:h="16838"/>
          <w:pgMar w:top="1134" w:right="1134" w:bottom="1134" w:left="1418" w:header="851" w:footer="992" w:gutter="0"/>
          <w:pgNumType w:start="1"/>
          <w:cols w:space="720" w:num="1"/>
          <w:docGrid w:type="lines" w:linePitch="312" w:charSpace="0"/>
        </w:sectPr>
      </w:pPr>
    </w:p>
    <w:p>
      <w:pPr>
        <w:pStyle w:val="59"/>
        <w:jc w:val="center"/>
        <w:rPr>
          <w:rFonts w:eastAsia="黑体" w:cs="Times New Roman"/>
          <w:b w:val="0"/>
          <w:sz w:val="30"/>
          <w:szCs w:val="30"/>
        </w:rPr>
      </w:pPr>
      <w:r>
        <w:rPr>
          <w:rFonts w:eastAsia="黑体" w:cs="Times New Roman"/>
          <w:b w:val="0"/>
          <w:sz w:val="30"/>
          <w:szCs w:val="30"/>
        </w:rPr>
        <w:t>二、建设项目工程分析</w:t>
      </w:r>
    </w:p>
    <w:tbl>
      <w:tblPr>
        <w:tblStyle w:val="26"/>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8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4" w:type="dxa"/>
            <w:vAlign w:val="center"/>
          </w:tcPr>
          <w:p>
            <w:pPr>
              <w:jc w:val="center"/>
              <w:rPr>
                <w:rFonts w:cs="Times New Roman"/>
                <w:sz w:val="24"/>
                <w:szCs w:val="24"/>
              </w:rPr>
            </w:pPr>
            <w:r>
              <w:rPr>
                <w:rFonts w:cs="Times New Roman"/>
                <w:sz w:val="24"/>
                <w:szCs w:val="24"/>
              </w:rPr>
              <w:t>建设内容</w:t>
            </w:r>
          </w:p>
        </w:tc>
        <w:tc>
          <w:tcPr>
            <w:tcW w:w="8946" w:type="dxa"/>
            <w:vAlign w:val="center"/>
          </w:tcPr>
          <w:p>
            <w:pPr>
              <w:spacing w:line="360" w:lineRule="auto"/>
              <w:ind w:firstLine="482" w:firstLineChars="200"/>
              <w:rPr>
                <w:rFonts w:cs="Times New Roman"/>
                <w:b/>
                <w:sz w:val="24"/>
                <w:szCs w:val="24"/>
              </w:rPr>
            </w:pPr>
            <w:r>
              <w:rPr>
                <w:rFonts w:cs="Times New Roman"/>
                <w:b/>
                <w:sz w:val="24"/>
                <w:szCs w:val="24"/>
              </w:rPr>
              <w:t>1、项目由来</w:t>
            </w:r>
          </w:p>
          <w:p>
            <w:pPr>
              <w:spacing w:line="360" w:lineRule="auto"/>
              <w:ind w:firstLine="480" w:firstLineChars="200"/>
              <w:rPr>
                <w:rFonts w:cs="Times New Roman"/>
                <w:bCs/>
                <w:sz w:val="24"/>
                <w:szCs w:val="24"/>
              </w:rPr>
            </w:pPr>
            <w:r>
              <w:rPr>
                <w:rFonts w:cs="Times New Roman"/>
                <w:bCs/>
                <w:sz w:val="24"/>
                <w:szCs w:val="24"/>
              </w:rPr>
              <w:t>玻璃纤维湿法毡是一种用途广泛的玻纤无纺制品，根据其用途、性能不同可分为沥青防水卷材基材、E玻纤纸、蓄电池隔板毡、玻璃钢表面毡、贴面毡、地板毡、地毯毡、屋面毡、管道包覆毡等几十个品种规格。相比其他玻纤制品，湿法毡具有产能较大、产品较薄、多向均匀增强等优势，在国内外均得到广泛使用，出现供不应求的局面。国外生产企业有美国的OC、JM等，国内生产湿法毡的企业主要有中材科技、陕西华特、常州长海、山东玻纤等，最近均在扩产。玻璃纤维湿法毡在我国发展已有近四十年的历史，生产工艺装备水平日臻成熟。</w:t>
            </w:r>
          </w:p>
          <w:p>
            <w:pPr>
              <w:spacing w:line="360" w:lineRule="auto"/>
              <w:ind w:firstLine="480" w:firstLineChars="200"/>
              <w:rPr>
                <w:rFonts w:cs="Times New Roman"/>
                <w:bCs/>
                <w:sz w:val="24"/>
                <w:szCs w:val="24"/>
              </w:rPr>
            </w:pPr>
            <w:r>
              <w:rPr>
                <w:rFonts w:cs="Times New Roman"/>
                <w:bCs/>
                <w:sz w:val="24"/>
                <w:szCs w:val="24"/>
              </w:rPr>
              <w:t>2017年，公司契合当地主导产业发展进军玻纤新材料行业，建成并投产了年产1万吨大辊筒拉丝及制品生产线。项目的建设引进南京玻纤院全套技术装备，具有完全的自主知识产权；目前公司经营状况良好。通过几年来的发展、摸索、熟悉，鉴于目前公司产品较为单一，</w:t>
            </w:r>
            <w:r>
              <w:rPr>
                <w:rFonts w:cs="Times New Roman"/>
                <w:sz w:val="24"/>
                <w:szCs w:val="24"/>
              </w:rPr>
              <w:t>宣汉普光科睿新材料有限公司</w:t>
            </w:r>
            <w:r>
              <w:rPr>
                <w:rFonts w:cs="Times New Roman"/>
                <w:bCs/>
                <w:sz w:val="24"/>
                <w:szCs w:val="24"/>
              </w:rPr>
              <w:t>提出建设“年产1.4亿平米玻纤湿法毡生产线”项目，在增加公司产品种类、提高企业经营效益以及提升企业规模与行业地位的同时，可以带动宣汉微玻纤上下游相关产业链，实现其更快、更好的发展。</w:t>
            </w:r>
          </w:p>
          <w:p>
            <w:pPr>
              <w:spacing w:line="360" w:lineRule="auto"/>
              <w:ind w:firstLine="480" w:firstLineChars="200"/>
              <w:rPr>
                <w:rFonts w:cs="Times New Roman"/>
                <w:sz w:val="24"/>
                <w:szCs w:val="32"/>
              </w:rPr>
            </w:pPr>
            <w:r>
              <w:rPr>
                <w:rFonts w:cs="Times New Roman"/>
                <w:sz w:val="24"/>
                <w:szCs w:val="32"/>
              </w:rPr>
              <w:t>根据《中华人民共和国环境保护法》《中华人民共和国环境影响评价法》及国务院第682号令《建设项目环境保护管理条例》中的有关规定，需对建设项目进行环境影响评价；根据《建设项目环境影响评价分类管理名录（2021版）》，项目类别属于“</w:t>
            </w:r>
            <w:r>
              <w:rPr>
                <w:rFonts w:cs="Times New Roman"/>
                <w:sz w:val="24"/>
                <w:szCs w:val="24"/>
              </w:rPr>
              <w:t>二十七、非金属矿物制品业 58玻璃纤维和璃纤维增强塑料制品</w:t>
            </w:r>
            <w:r>
              <w:rPr>
                <w:rFonts w:cs="Times New Roman"/>
                <w:sz w:val="24"/>
                <w:szCs w:val="32"/>
              </w:rPr>
              <w:t>”，需编制环境影响报告表。</w:t>
            </w:r>
          </w:p>
          <w:p>
            <w:pPr>
              <w:spacing w:line="360" w:lineRule="auto"/>
              <w:ind w:firstLine="482" w:firstLineChars="200"/>
              <w:rPr>
                <w:rFonts w:cs="Times New Roman"/>
                <w:b/>
                <w:sz w:val="24"/>
                <w:szCs w:val="24"/>
              </w:rPr>
            </w:pPr>
            <w:r>
              <w:rPr>
                <w:rFonts w:cs="Times New Roman"/>
                <w:b/>
                <w:sz w:val="24"/>
                <w:szCs w:val="24"/>
              </w:rPr>
              <w:t>2、项目概况</w:t>
            </w:r>
          </w:p>
          <w:p>
            <w:pPr>
              <w:spacing w:line="360" w:lineRule="auto"/>
              <w:ind w:firstLine="480" w:firstLineChars="200"/>
              <w:rPr>
                <w:rFonts w:cs="Times New Roman"/>
                <w:sz w:val="24"/>
                <w:szCs w:val="24"/>
              </w:rPr>
            </w:pPr>
            <w:r>
              <w:rPr>
                <w:rFonts w:cs="Times New Roman"/>
                <w:sz w:val="24"/>
                <w:szCs w:val="24"/>
              </w:rPr>
              <w:t>项目名称：年产1.4亿平米玻纤湿法毡生产线技改项目</w:t>
            </w:r>
          </w:p>
          <w:p>
            <w:pPr>
              <w:spacing w:line="360" w:lineRule="auto"/>
              <w:ind w:firstLine="480" w:firstLineChars="200"/>
              <w:rPr>
                <w:rFonts w:cs="Times New Roman"/>
                <w:sz w:val="24"/>
                <w:szCs w:val="24"/>
              </w:rPr>
            </w:pPr>
            <w:r>
              <w:rPr>
                <w:rFonts w:cs="Times New Roman"/>
                <w:sz w:val="24"/>
                <w:szCs w:val="24"/>
              </w:rPr>
              <w:t>建设单位：宣汉普光科睿新材料有限公司</w:t>
            </w:r>
          </w:p>
          <w:p>
            <w:pPr>
              <w:spacing w:line="360" w:lineRule="auto"/>
              <w:ind w:firstLine="480" w:firstLineChars="200"/>
              <w:rPr>
                <w:rFonts w:cs="Times New Roman"/>
                <w:sz w:val="24"/>
                <w:szCs w:val="24"/>
              </w:rPr>
            </w:pPr>
            <w:r>
              <w:rPr>
                <w:rFonts w:cs="Times New Roman"/>
                <w:sz w:val="24"/>
                <w:szCs w:val="24"/>
              </w:rPr>
              <w:t>建设地点：四川达州普光经济开发区柳池工业园区1号干道2号</w:t>
            </w:r>
          </w:p>
          <w:p>
            <w:pPr>
              <w:spacing w:line="360" w:lineRule="auto"/>
              <w:ind w:firstLine="480" w:firstLineChars="200"/>
              <w:rPr>
                <w:rFonts w:cs="Times New Roman"/>
                <w:sz w:val="24"/>
                <w:szCs w:val="24"/>
              </w:rPr>
            </w:pPr>
            <w:r>
              <w:rPr>
                <w:rFonts w:cs="Times New Roman"/>
                <w:sz w:val="24"/>
                <w:szCs w:val="24"/>
              </w:rPr>
              <w:t>建设性质：扩建</w:t>
            </w:r>
          </w:p>
          <w:p>
            <w:pPr>
              <w:spacing w:line="360" w:lineRule="auto"/>
              <w:ind w:firstLine="480" w:firstLineChars="200"/>
              <w:rPr>
                <w:rFonts w:cs="Times New Roman"/>
                <w:sz w:val="24"/>
                <w:szCs w:val="24"/>
              </w:rPr>
            </w:pPr>
            <w:r>
              <w:rPr>
                <w:rFonts w:cs="Times New Roman"/>
                <w:sz w:val="24"/>
                <w:szCs w:val="24"/>
              </w:rPr>
              <w:t>项目投资：总投资3500万元</w:t>
            </w:r>
          </w:p>
          <w:p>
            <w:pPr>
              <w:spacing w:line="360" w:lineRule="auto"/>
              <w:ind w:firstLine="480" w:firstLineChars="200"/>
              <w:rPr>
                <w:rFonts w:cs="Times New Roman"/>
                <w:sz w:val="24"/>
                <w:szCs w:val="24"/>
                <w:highlight w:val="yellow"/>
              </w:rPr>
            </w:pPr>
            <w:r>
              <w:rPr>
                <w:rFonts w:cs="Times New Roman"/>
                <w:sz w:val="24"/>
                <w:szCs w:val="24"/>
              </w:rPr>
              <w:t>建设内容：利用现有厂房，改建生产车间，建设两条玻纤湿法毡生产线及环保、安全等配套设施，其中：一期建设一条幅宽约2.1米的湿法毡生产线，产能6500万平方米/年；二期建设一条幅宽约2.6米的湿法毡生产线，产能7500万平方米/年。</w:t>
            </w:r>
          </w:p>
          <w:p>
            <w:pPr>
              <w:spacing w:line="360" w:lineRule="auto"/>
              <w:ind w:firstLine="482" w:firstLineChars="200"/>
              <w:rPr>
                <w:rFonts w:cs="Times New Roman"/>
                <w:b/>
                <w:bCs/>
                <w:sz w:val="24"/>
                <w:szCs w:val="24"/>
              </w:rPr>
            </w:pPr>
            <w:r>
              <w:rPr>
                <w:rFonts w:cs="Times New Roman"/>
                <w:b/>
                <w:bCs/>
                <w:sz w:val="24"/>
                <w:szCs w:val="24"/>
              </w:rPr>
              <w:t>3、产品方案</w:t>
            </w:r>
          </w:p>
          <w:p>
            <w:pPr>
              <w:spacing w:line="360" w:lineRule="auto"/>
              <w:ind w:firstLine="480" w:firstLineChars="200"/>
              <w:rPr>
                <w:rFonts w:cs="Times New Roman"/>
                <w:sz w:val="24"/>
                <w:szCs w:val="24"/>
              </w:rPr>
            </w:pPr>
            <w:r>
              <w:rPr>
                <w:rFonts w:cs="Times New Roman"/>
                <w:sz w:val="24"/>
                <w:szCs w:val="24"/>
              </w:rPr>
              <w:t>扩建后全厂产品方案如下表所示。</w:t>
            </w:r>
          </w:p>
          <w:p>
            <w:pPr>
              <w:spacing w:line="360" w:lineRule="auto"/>
              <w:jc w:val="center"/>
              <w:rPr>
                <w:rFonts w:cs="Times New Roman"/>
                <w:b/>
                <w:bCs/>
                <w:kern w:val="24"/>
                <w:sz w:val="24"/>
                <w:szCs w:val="24"/>
              </w:rPr>
            </w:pPr>
            <w:r>
              <w:rPr>
                <w:rFonts w:cs="Times New Roman"/>
                <w:b/>
                <w:bCs/>
                <w:kern w:val="24"/>
                <w:sz w:val="24"/>
                <w:szCs w:val="24"/>
              </w:rPr>
              <w:t>表2-1  扩建后全厂产品方案</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145"/>
              <w:gridCol w:w="1899"/>
              <w:gridCol w:w="2395"/>
              <w:gridCol w:w="2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b/>
                      <w:bCs/>
                      <w:szCs w:val="21"/>
                    </w:rPr>
                  </w:pPr>
                  <w:r>
                    <w:rPr>
                      <w:rFonts w:cs="Times New Roman"/>
                      <w:b/>
                      <w:bCs/>
                      <w:szCs w:val="21"/>
                    </w:rPr>
                    <w:t>产品名称</w:t>
                  </w:r>
                </w:p>
              </w:tc>
              <w:tc>
                <w:tcPr>
                  <w:tcW w:w="1088" w:type="pct"/>
                  <w:tcBorders>
                    <w:tl2br w:val="nil"/>
                    <w:tr2bl w:val="nil"/>
                  </w:tcBorders>
                  <w:shd w:val="clear" w:color="auto" w:fill="auto"/>
                  <w:vAlign w:val="center"/>
                </w:tcPr>
                <w:p>
                  <w:pPr>
                    <w:jc w:val="center"/>
                    <w:rPr>
                      <w:rFonts w:cs="Times New Roman"/>
                      <w:b/>
                      <w:bCs/>
                      <w:szCs w:val="21"/>
                    </w:rPr>
                  </w:pPr>
                  <w:r>
                    <w:rPr>
                      <w:rFonts w:cs="Times New Roman"/>
                      <w:b/>
                      <w:bCs/>
                      <w:szCs w:val="21"/>
                    </w:rPr>
                    <w:t>扩建前</w:t>
                  </w:r>
                </w:p>
              </w:tc>
              <w:tc>
                <w:tcPr>
                  <w:tcW w:w="1371" w:type="pct"/>
                  <w:tcBorders>
                    <w:tl2br w:val="nil"/>
                    <w:tr2bl w:val="nil"/>
                  </w:tcBorders>
                  <w:shd w:val="clear" w:color="auto" w:fill="auto"/>
                  <w:vAlign w:val="center"/>
                </w:tcPr>
                <w:p>
                  <w:pPr>
                    <w:jc w:val="center"/>
                    <w:rPr>
                      <w:rFonts w:cs="Times New Roman"/>
                      <w:b/>
                      <w:bCs/>
                      <w:szCs w:val="21"/>
                    </w:rPr>
                  </w:pPr>
                  <w:r>
                    <w:rPr>
                      <w:rFonts w:cs="Times New Roman"/>
                      <w:b/>
                      <w:bCs/>
                      <w:szCs w:val="21"/>
                    </w:rPr>
                    <w:t>本项目新增</w:t>
                  </w:r>
                </w:p>
              </w:tc>
              <w:tc>
                <w:tcPr>
                  <w:tcW w:w="1310" w:type="pct"/>
                  <w:tcBorders>
                    <w:tl2br w:val="nil"/>
                    <w:tr2bl w:val="nil"/>
                  </w:tcBorders>
                  <w:shd w:val="clear" w:color="auto" w:fill="auto"/>
                  <w:vAlign w:val="center"/>
                </w:tcPr>
                <w:p>
                  <w:pPr>
                    <w:jc w:val="center"/>
                    <w:rPr>
                      <w:rFonts w:cs="Times New Roman"/>
                      <w:b/>
                      <w:bCs/>
                      <w:szCs w:val="21"/>
                    </w:rPr>
                  </w:pPr>
                  <w:r>
                    <w:rPr>
                      <w:rFonts w:cs="Times New Roman"/>
                      <w:b/>
                      <w:bCs/>
                      <w:szCs w:val="21"/>
                    </w:rPr>
                    <w:t>扩建后全厂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szCs w:val="21"/>
                    </w:rPr>
                  </w:pPr>
                  <w:r>
                    <w:rPr>
                      <w:rFonts w:cs="Times New Roman"/>
                      <w:szCs w:val="21"/>
                    </w:rPr>
                    <w:t>玻璃纤维连续单丝毡</w:t>
                  </w:r>
                </w:p>
              </w:tc>
              <w:tc>
                <w:tcPr>
                  <w:tcW w:w="1088" w:type="pct"/>
                  <w:tcBorders>
                    <w:tl2br w:val="nil"/>
                    <w:tr2bl w:val="nil"/>
                  </w:tcBorders>
                  <w:shd w:val="clear" w:color="auto" w:fill="auto"/>
                  <w:vAlign w:val="center"/>
                </w:tcPr>
                <w:p>
                  <w:pPr>
                    <w:jc w:val="center"/>
                    <w:rPr>
                      <w:rFonts w:cs="Times New Roman"/>
                      <w:szCs w:val="21"/>
                    </w:rPr>
                  </w:pPr>
                  <w:r>
                    <w:rPr>
                      <w:rFonts w:cs="Times New Roman"/>
                      <w:szCs w:val="21"/>
                    </w:rPr>
                    <w:t>500吨/年</w:t>
                  </w:r>
                </w:p>
              </w:tc>
              <w:tc>
                <w:tcPr>
                  <w:tcW w:w="1371" w:type="pct"/>
                  <w:tcBorders>
                    <w:tl2br w:val="nil"/>
                    <w:tr2bl w:val="nil"/>
                  </w:tcBorders>
                  <w:shd w:val="clear" w:color="auto" w:fill="auto"/>
                  <w:vAlign w:val="center"/>
                </w:tcPr>
                <w:p>
                  <w:pPr>
                    <w:jc w:val="center"/>
                    <w:rPr>
                      <w:rFonts w:cs="Times New Roman"/>
                      <w:szCs w:val="21"/>
                    </w:rPr>
                  </w:pPr>
                  <w:r>
                    <w:rPr>
                      <w:rFonts w:cs="Times New Roman"/>
                      <w:szCs w:val="21"/>
                    </w:rPr>
                    <w:t>0</w:t>
                  </w:r>
                </w:p>
              </w:tc>
              <w:tc>
                <w:tcPr>
                  <w:tcW w:w="1310" w:type="pct"/>
                  <w:tcBorders>
                    <w:tl2br w:val="nil"/>
                    <w:tr2bl w:val="nil"/>
                  </w:tcBorders>
                  <w:shd w:val="clear" w:color="auto" w:fill="auto"/>
                  <w:vAlign w:val="center"/>
                </w:tcPr>
                <w:p>
                  <w:pPr>
                    <w:jc w:val="center"/>
                    <w:rPr>
                      <w:rFonts w:cs="Times New Roman"/>
                      <w:szCs w:val="21"/>
                    </w:rPr>
                  </w:pPr>
                  <w:r>
                    <w:rPr>
                      <w:rFonts w:cs="Times New Roman"/>
                      <w:szCs w:val="21"/>
                    </w:rPr>
                    <w:t>500吨/年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szCs w:val="21"/>
                    </w:rPr>
                  </w:pPr>
                  <w:r>
                    <w:rPr>
                      <w:rFonts w:cs="Times New Roman"/>
                      <w:szCs w:val="21"/>
                    </w:rPr>
                    <w:t>玻璃纤维蓬松毡</w:t>
                  </w:r>
                </w:p>
              </w:tc>
              <w:tc>
                <w:tcPr>
                  <w:tcW w:w="1088" w:type="pct"/>
                  <w:tcBorders>
                    <w:tl2br w:val="nil"/>
                    <w:tr2bl w:val="nil"/>
                  </w:tcBorders>
                  <w:shd w:val="clear" w:color="auto" w:fill="auto"/>
                  <w:vAlign w:val="center"/>
                </w:tcPr>
                <w:p>
                  <w:pPr>
                    <w:jc w:val="center"/>
                    <w:rPr>
                      <w:rFonts w:cs="Times New Roman"/>
                      <w:szCs w:val="21"/>
                    </w:rPr>
                  </w:pPr>
                  <w:r>
                    <w:rPr>
                      <w:rFonts w:cs="Times New Roman"/>
                      <w:szCs w:val="21"/>
                    </w:rPr>
                    <w:t>500吨/年</w:t>
                  </w:r>
                </w:p>
              </w:tc>
              <w:tc>
                <w:tcPr>
                  <w:tcW w:w="1371" w:type="pct"/>
                  <w:tcBorders>
                    <w:tl2br w:val="nil"/>
                    <w:tr2bl w:val="nil"/>
                  </w:tcBorders>
                  <w:shd w:val="clear" w:color="auto" w:fill="auto"/>
                  <w:vAlign w:val="center"/>
                </w:tcPr>
                <w:p>
                  <w:pPr>
                    <w:jc w:val="center"/>
                    <w:rPr>
                      <w:rFonts w:cs="Times New Roman"/>
                      <w:szCs w:val="21"/>
                    </w:rPr>
                  </w:pPr>
                  <w:r>
                    <w:rPr>
                      <w:rFonts w:cs="Times New Roman"/>
                      <w:szCs w:val="21"/>
                    </w:rPr>
                    <w:t>0</w:t>
                  </w:r>
                </w:p>
              </w:tc>
              <w:tc>
                <w:tcPr>
                  <w:tcW w:w="1310" w:type="pct"/>
                  <w:tcBorders>
                    <w:tl2br w:val="nil"/>
                    <w:tr2bl w:val="nil"/>
                  </w:tcBorders>
                  <w:shd w:val="clear" w:color="auto" w:fill="auto"/>
                  <w:vAlign w:val="center"/>
                </w:tcPr>
                <w:p>
                  <w:pPr>
                    <w:jc w:val="center"/>
                    <w:rPr>
                      <w:rFonts w:cs="Times New Roman"/>
                      <w:szCs w:val="21"/>
                    </w:rPr>
                  </w:pPr>
                  <w:r>
                    <w:rPr>
                      <w:rFonts w:cs="Times New Roman"/>
                      <w:szCs w:val="21"/>
                    </w:rPr>
                    <w:t>500吨/年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szCs w:val="21"/>
                    </w:rPr>
                  </w:pPr>
                  <w:r>
                    <w:rPr>
                      <w:rFonts w:cs="Times New Roman"/>
                      <w:szCs w:val="21"/>
                    </w:rPr>
                    <w:t>2100湿法薄毡</w:t>
                  </w:r>
                </w:p>
              </w:tc>
              <w:tc>
                <w:tcPr>
                  <w:tcW w:w="1088" w:type="pct"/>
                  <w:tcBorders>
                    <w:tl2br w:val="nil"/>
                    <w:tr2bl w:val="nil"/>
                  </w:tcBorders>
                  <w:shd w:val="clear" w:color="auto" w:fill="auto"/>
                  <w:vAlign w:val="center"/>
                </w:tcPr>
                <w:p>
                  <w:pPr>
                    <w:jc w:val="center"/>
                    <w:rPr>
                      <w:rFonts w:cs="Times New Roman"/>
                      <w:szCs w:val="21"/>
                    </w:rPr>
                  </w:pPr>
                  <w:r>
                    <w:rPr>
                      <w:rFonts w:cs="Times New Roman"/>
                      <w:szCs w:val="21"/>
                    </w:rPr>
                    <w:t>0</w:t>
                  </w:r>
                </w:p>
              </w:tc>
              <w:tc>
                <w:tcPr>
                  <w:tcW w:w="1371" w:type="pct"/>
                  <w:tcBorders>
                    <w:tl2br w:val="nil"/>
                    <w:tr2bl w:val="nil"/>
                  </w:tcBorders>
                  <w:shd w:val="clear" w:color="auto" w:fill="auto"/>
                  <w:vAlign w:val="center"/>
                </w:tcPr>
                <w:p>
                  <w:pPr>
                    <w:jc w:val="center"/>
                    <w:rPr>
                      <w:rFonts w:cs="Times New Roman"/>
                      <w:szCs w:val="21"/>
                    </w:rPr>
                  </w:pPr>
                  <w:r>
                    <w:rPr>
                      <w:rFonts w:cs="Times New Roman"/>
                      <w:szCs w:val="21"/>
                    </w:rPr>
                    <w:t>6500万平方米/年</w:t>
                  </w:r>
                </w:p>
              </w:tc>
              <w:tc>
                <w:tcPr>
                  <w:tcW w:w="1310" w:type="pct"/>
                  <w:tcBorders>
                    <w:tl2br w:val="nil"/>
                    <w:tr2bl w:val="nil"/>
                  </w:tcBorders>
                  <w:shd w:val="clear" w:color="auto" w:fill="auto"/>
                  <w:vAlign w:val="center"/>
                </w:tcPr>
                <w:p>
                  <w:pPr>
                    <w:jc w:val="center"/>
                    <w:rPr>
                      <w:rFonts w:cs="Times New Roman"/>
                      <w:szCs w:val="21"/>
                    </w:rPr>
                  </w:pPr>
                  <w:r>
                    <w:rPr>
                      <w:rFonts w:cs="Times New Roman"/>
                      <w:szCs w:val="21"/>
                    </w:rPr>
                    <w:t>6500万平方米/年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szCs w:val="21"/>
                    </w:rPr>
                  </w:pPr>
                  <w:r>
                    <w:rPr>
                      <w:rFonts w:cs="Times New Roman"/>
                      <w:szCs w:val="21"/>
                    </w:rPr>
                    <w:t>2600湿法薄毡</w:t>
                  </w:r>
                </w:p>
              </w:tc>
              <w:tc>
                <w:tcPr>
                  <w:tcW w:w="1088" w:type="pct"/>
                  <w:tcBorders>
                    <w:tl2br w:val="nil"/>
                    <w:tr2bl w:val="nil"/>
                  </w:tcBorders>
                  <w:shd w:val="clear" w:color="auto" w:fill="auto"/>
                  <w:vAlign w:val="center"/>
                </w:tcPr>
                <w:p>
                  <w:pPr>
                    <w:jc w:val="center"/>
                    <w:rPr>
                      <w:rFonts w:cs="Times New Roman"/>
                      <w:szCs w:val="21"/>
                    </w:rPr>
                  </w:pPr>
                  <w:r>
                    <w:rPr>
                      <w:rFonts w:cs="Times New Roman"/>
                      <w:szCs w:val="21"/>
                    </w:rPr>
                    <w:t>0</w:t>
                  </w:r>
                </w:p>
              </w:tc>
              <w:tc>
                <w:tcPr>
                  <w:tcW w:w="1371" w:type="pct"/>
                  <w:tcBorders>
                    <w:tl2br w:val="nil"/>
                    <w:tr2bl w:val="nil"/>
                  </w:tcBorders>
                  <w:shd w:val="clear" w:color="auto" w:fill="auto"/>
                  <w:vAlign w:val="center"/>
                </w:tcPr>
                <w:p>
                  <w:pPr>
                    <w:jc w:val="center"/>
                    <w:rPr>
                      <w:rFonts w:cs="Times New Roman"/>
                      <w:szCs w:val="21"/>
                    </w:rPr>
                  </w:pPr>
                  <w:r>
                    <w:rPr>
                      <w:rFonts w:cs="Times New Roman"/>
                      <w:szCs w:val="21"/>
                    </w:rPr>
                    <w:t>7500万平方米/年</w:t>
                  </w:r>
                </w:p>
              </w:tc>
              <w:tc>
                <w:tcPr>
                  <w:tcW w:w="1310" w:type="pct"/>
                  <w:tcBorders>
                    <w:tl2br w:val="nil"/>
                    <w:tr2bl w:val="nil"/>
                  </w:tcBorders>
                  <w:shd w:val="clear" w:color="auto" w:fill="auto"/>
                  <w:vAlign w:val="center"/>
                </w:tcPr>
                <w:p>
                  <w:pPr>
                    <w:jc w:val="center"/>
                    <w:rPr>
                      <w:rFonts w:cs="Times New Roman"/>
                      <w:szCs w:val="21"/>
                    </w:rPr>
                  </w:pPr>
                  <w:r>
                    <w:rPr>
                      <w:rFonts w:cs="Times New Roman"/>
                      <w:szCs w:val="21"/>
                    </w:rPr>
                    <w:t>7500万平方米/年</w:t>
                  </w:r>
                </w:p>
              </w:tc>
            </w:tr>
          </w:tbl>
          <w:p>
            <w:pPr>
              <w:spacing w:line="360" w:lineRule="auto"/>
              <w:ind w:firstLine="480" w:firstLineChars="200"/>
              <w:rPr>
                <w:rFonts w:cs="Times New Roman"/>
                <w:sz w:val="24"/>
                <w:szCs w:val="24"/>
              </w:rPr>
            </w:pPr>
            <w:r>
              <w:rPr>
                <w:rFonts w:cs="Times New Roman"/>
                <w:sz w:val="24"/>
                <w:szCs w:val="24"/>
              </w:rPr>
              <w:t>本</w:t>
            </w:r>
            <w:r>
              <w:rPr>
                <w:rFonts w:cs="Times New Roman"/>
                <w:bCs/>
                <w:sz w:val="24"/>
                <w:szCs w:val="24"/>
              </w:rPr>
              <w:t>项目产品的主要用途包括：地板毡、屋面毡、管道包覆毡、玻璃钢表面毡等，其中一期产品以地板毡与屋面毡为主。</w:t>
            </w:r>
            <w:r>
              <w:rPr>
                <w:rFonts w:cs="Times New Roman"/>
                <w:sz w:val="24"/>
                <w:szCs w:val="24"/>
              </w:rPr>
              <w:t>项目产品方案如下表所示。</w:t>
            </w:r>
          </w:p>
          <w:p>
            <w:pPr>
              <w:spacing w:line="360" w:lineRule="auto"/>
              <w:jc w:val="center"/>
              <w:rPr>
                <w:rFonts w:cs="Times New Roman"/>
                <w:b/>
                <w:bCs/>
                <w:kern w:val="24"/>
                <w:sz w:val="24"/>
                <w:szCs w:val="24"/>
              </w:rPr>
            </w:pPr>
            <w:r>
              <w:rPr>
                <w:rFonts w:cs="Times New Roman"/>
                <w:b/>
                <w:bCs/>
                <w:kern w:val="24"/>
                <w:sz w:val="24"/>
                <w:szCs w:val="24"/>
              </w:rPr>
              <w:t>表2-2 本项目产品方案</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6"/>
              <w:gridCol w:w="1534"/>
              <w:gridCol w:w="1306"/>
              <w:gridCol w:w="1512"/>
              <w:gridCol w:w="3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序号</w:t>
                  </w:r>
                </w:p>
              </w:tc>
              <w:tc>
                <w:tcPr>
                  <w:tcW w:w="87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产品名称</w:t>
                  </w:r>
                </w:p>
              </w:tc>
              <w:tc>
                <w:tcPr>
                  <w:tcW w:w="74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规格型号</w:t>
                  </w:r>
                </w:p>
              </w:tc>
              <w:tc>
                <w:tcPr>
                  <w:tcW w:w="865"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年产量</w:t>
                  </w:r>
                </w:p>
              </w:tc>
              <w:tc>
                <w:tcPr>
                  <w:tcW w:w="211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b/>
                      <w:bCs/>
                      <w:sz w:val="21"/>
                      <w:szCs w:val="21"/>
                    </w:rPr>
                  </w:pPr>
                  <w:r>
                    <w:rPr>
                      <w:rFonts w:ascii="Times New Roman" w:hAnsi="Times New Roman" w:cs="Times New Roman" w:eastAsiaTheme="minorEastAsia"/>
                      <w:b/>
                      <w:bCs/>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87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地板毡</w:t>
                  </w:r>
                </w:p>
              </w:tc>
              <w:tc>
                <w:tcPr>
                  <w:tcW w:w="74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35-65g/m</w:t>
                  </w:r>
                  <w:r>
                    <w:rPr>
                      <w:rFonts w:ascii="Times New Roman" w:hAnsi="Times New Roman" w:cs="Times New Roman" w:eastAsiaTheme="minorEastAsia"/>
                      <w:sz w:val="21"/>
                      <w:szCs w:val="21"/>
                      <w:vertAlign w:val="superscript"/>
                    </w:rPr>
                    <w:t>2</w:t>
                  </w:r>
                </w:p>
              </w:tc>
              <w:tc>
                <w:tcPr>
                  <w:tcW w:w="865"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8000万</w:t>
                  </w:r>
                  <w:r>
                    <w:rPr>
                      <w:rFonts w:ascii="Times New Roman" w:hAnsi="Times New Roman" w:cs="Times New Roman"/>
                      <w:sz w:val="21"/>
                      <w:szCs w:val="21"/>
                    </w:rPr>
                    <w:t>平方米</w:t>
                  </w:r>
                </w:p>
              </w:tc>
              <w:tc>
                <w:tcPr>
                  <w:tcW w:w="211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平均克重50g/m</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；其中一期5000万</w:t>
                  </w:r>
                  <w:r>
                    <w:rPr>
                      <w:rFonts w:ascii="Times New Roman" w:hAnsi="Times New Roman" w:cs="Times New Roman"/>
                      <w:sz w:val="21"/>
                      <w:szCs w:val="21"/>
                    </w:rPr>
                    <w:t>平方米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8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p>
              </w:tc>
              <w:tc>
                <w:tcPr>
                  <w:tcW w:w="87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屋面毡</w:t>
                  </w:r>
                </w:p>
              </w:tc>
              <w:tc>
                <w:tcPr>
                  <w:tcW w:w="74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35-100g/m</w:t>
                  </w:r>
                  <w:r>
                    <w:rPr>
                      <w:rFonts w:ascii="Times New Roman" w:hAnsi="Times New Roman" w:cs="Times New Roman" w:eastAsiaTheme="minorEastAsia"/>
                      <w:sz w:val="21"/>
                      <w:szCs w:val="21"/>
                      <w:vertAlign w:val="superscript"/>
                    </w:rPr>
                    <w:t>2</w:t>
                  </w:r>
                </w:p>
              </w:tc>
              <w:tc>
                <w:tcPr>
                  <w:tcW w:w="865"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1500万</w:t>
                  </w:r>
                  <w:r>
                    <w:rPr>
                      <w:rFonts w:ascii="Times New Roman" w:hAnsi="Times New Roman" w:cs="Times New Roman"/>
                      <w:sz w:val="21"/>
                      <w:szCs w:val="21"/>
                    </w:rPr>
                    <w:t>平方米</w:t>
                  </w:r>
                </w:p>
              </w:tc>
              <w:tc>
                <w:tcPr>
                  <w:tcW w:w="211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平均克重60g/m</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；一期建设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w:t>
                  </w:r>
                </w:p>
              </w:tc>
              <w:tc>
                <w:tcPr>
                  <w:tcW w:w="87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管道包覆毡</w:t>
                  </w:r>
                </w:p>
              </w:tc>
              <w:tc>
                <w:tcPr>
                  <w:tcW w:w="74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50-90g/m</w:t>
                  </w:r>
                  <w:r>
                    <w:rPr>
                      <w:rFonts w:ascii="Times New Roman" w:hAnsi="Times New Roman" w:cs="Times New Roman" w:eastAsiaTheme="minorEastAsia"/>
                      <w:sz w:val="21"/>
                      <w:szCs w:val="21"/>
                      <w:vertAlign w:val="superscript"/>
                    </w:rPr>
                    <w:t>2</w:t>
                  </w:r>
                </w:p>
              </w:tc>
              <w:tc>
                <w:tcPr>
                  <w:tcW w:w="865"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3000万</w:t>
                  </w:r>
                  <w:r>
                    <w:rPr>
                      <w:rFonts w:ascii="Times New Roman" w:hAnsi="Times New Roman" w:cs="Times New Roman"/>
                      <w:sz w:val="21"/>
                      <w:szCs w:val="21"/>
                    </w:rPr>
                    <w:t>平方米</w:t>
                  </w:r>
                </w:p>
              </w:tc>
              <w:tc>
                <w:tcPr>
                  <w:tcW w:w="211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平均克重90g/m</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；二期建设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4</w:t>
                  </w:r>
                </w:p>
              </w:tc>
              <w:tc>
                <w:tcPr>
                  <w:tcW w:w="87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玻璃钢表面毡</w:t>
                  </w:r>
                </w:p>
              </w:tc>
              <w:tc>
                <w:tcPr>
                  <w:tcW w:w="74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30-100g/m</w:t>
                  </w:r>
                  <w:r>
                    <w:rPr>
                      <w:rFonts w:ascii="Times New Roman" w:hAnsi="Times New Roman" w:cs="Times New Roman" w:eastAsiaTheme="minorEastAsia"/>
                      <w:sz w:val="21"/>
                      <w:szCs w:val="21"/>
                      <w:vertAlign w:val="superscript"/>
                    </w:rPr>
                    <w:t>2</w:t>
                  </w:r>
                </w:p>
              </w:tc>
              <w:tc>
                <w:tcPr>
                  <w:tcW w:w="865"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1500万</w:t>
                  </w:r>
                  <w:r>
                    <w:rPr>
                      <w:rFonts w:ascii="Times New Roman" w:hAnsi="Times New Roman" w:cs="Times New Roman"/>
                      <w:sz w:val="21"/>
                      <w:szCs w:val="21"/>
                    </w:rPr>
                    <w:t>平方米</w:t>
                  </w:r>
                </w:p>
              </w:tc>
              <w:tc>
                <w:tcPr>
                  <w:tcW w:w="211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平均克重50g/m</w:t>
                  </w:r>
                  <w:r>
                    <w:rPr>
                      <w:rFonts w:ascii="Times New Roman" w:hAnsi="Times New Roman" w:cs="Times New Roman" w:eastAsiaTheme="minorEastAsia"/>
                      <w:sz w:val="21"/>
                      <w:szCs w:val="21"/>
                      <w:vertAlign w:val="superscript"/>
                    </w:rPr>
                    <w:t>2</w:t>
                  </w:r>
                  <w:r>
                    <w:rPr>
                      <w:rFonts w:ascii="Times New Roman" w:hAnsi="Times New Roman" w:cs="Times New Roman" w:eastAsiaTheme="minorEastAsia"/>
                      <w:sz w:val="21"/>
                      <w:szCs w:val="21"/>
                    </w:rPr>
                    <w:t>；二期建设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8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p>
              </w:tc>
              <w:tc>
                <w:tcPr>
                  <w:tcW w:w="87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合计</w:t>
                  </w:r>
                </w:p>
              </w:tc>
              <w:tc>
                <w:tcPr>
                  <w:tcW w:w="74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p>
              </w:tc>
              <w:tc>
                <w:tcPr>
                  <w:tcW w:w="865"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1.4亿</w:t>
                  </w:r>
                  <w:r>
                    <w:rPr>
                      <w:rFonts w:ascii="Times New Roman" w:hAnsi="Times New Roman" w:cs="Times New Roman"/>
                      <w:sz w:val="21"/>
                      <w:szCs w:val="21"/>
                    </w:rPr>
                    <w:t>平方米</w:t>
                  </w:r>
                </w:p>
              </w:tc>
              <w:tc>
                <w:tcPr>
                  <w:tcW w:w="2118" w:type="pct"/>
                  <w:tcBorders>
                    <w:tl2br w:val="nil"/>
                    <w:tr2bl w:val="nil"/>
                  </w:tcBorders>
                  <w:vAlign w:val="center"/>
                </w:tcPr>
                <w:p>
                  <w:pPr>
                    <w:pStyle w:val="23"/>
                    <w:widowControl w:val="0"/>
                    <w:adjustRightInd w:val="0"/>
                    <w:snapToGrid w:val="0"/>
                    <w:spacing w:beforeAutospacing="0" w:afterAutospacing="0"/>
                    <w:jc w:val="center"/>
                    <w:rPr>
                      <w:rFonts w:ascii="Times New Roman" w:hAnsi="Times New Roman" w:cs="Times New Roman" w:eastAsiaTheme="minorEastAsia"/>
                      <w:sz w:val="21"/>
                      <w:szCs w:val="21"/>
                    </w:rPr>
                  </w:pPr>
                  <w:r>
                    <w:rPr>
                      <w:rFonts w:ascii="Times New Roman" w:hAnsi="Times New Roman" w:cs="Times New Roman" w:eastAsiaTheme="minorEastAsia"/>
                      <w:sz w:val="21"/>
                      <w:szCs w:val="21"/>
                    </w:rPr>
                    <w:t>其中一期6500万</w:t>
                  </w:r>
                  <w:r>
                    <w:rPr>
                      <w:rFonts w:ascii="Times New Roman" w:hAnsi="Times New Roman" w:cs="Times New Roman"/>
                      <w:sz w:val="21"/>
                      <w:szCs w:val="21"/>
                    </w:rPr>
                    <w:t>平方米</w:t>
                  </w:r>
                </w:p>
              </w:tc>
            </w:tr>
          </w:tbl>
          <w:p>
            <w:pPr>
              <w:spacing w:line="360" w:lineRule="auto"/>
              <w:ind w:firstLine="482" w:firstLineChars="200"/>
              <w:rPr>
                <w:rFonts w:cs="Times New Roman"/>
                <w:b/>
                <w:sz w:val="24"/>
                <w:szCs w:val="24"/>
              </w:rPr>
            </w:pPr>
            <w:r>
              <w:rPr>
                <w:rFonts w:cs="Times New Roman"/>
                <w:b/>
                <w:sz w:val="24"/>
                <w:szCs w:val="24"/>
              </w:rPr>
              <w:t>4、项目组成及主要环境问题</w:t>
            </w:r>
          </w:p>
          <w:p>
            <w:pPr>
              <w:spacing w:line="360" w:lineRule="auto"/>
              <w:ind w:firstLine="480" w:firstLineChars="200"/>
              <w:rPr>
                <w:rFonts w:cs="Times New Roman"/>
                <w:sz w:val="24"/>
                <w:szCs w:val="24"/>
              </w:rPr>
            </w:pPr>
            <w:r>
              <w:rPr>
                <w:rFonts w:cs="Times New Roman"/>
                <w:sz w:val="24"/>
                <w:szCs w:val="24"/>
              </w:rPr>
              <w:t>项目组成及主要环境问题见表2-3。</w:t>
            </w:r>
          </w:p>
          <w:p>
            <w:pPr>
              <w:spacing w:line="360" w:lineRule="auto"/>
              <w:jc w:val="center"/>
              <w:rPr>
                <w:rFonts w:cs="Times New Roman"/>
                <w:b/>
                <w:bCs/>
                <w:kern w:val="24"/>
                <w:sz w:val="24"/>
                <w:szCs w:val="24"/>
              </w:rPr>
            </w:pPr>
            <w:r>
              <w:rPr>
                <w:rFonts w:cs="Times New Roman"/>
                <w:b/>
                <w:bCs/>
                <w:kern w:val="24"/>
                <w:sz w:val="24"/>
                <w:szCs w:val="24"/>
              </w:rPr>
              <w:t>表2-3 项目组成及主要环境问题</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6"/>
              <w:gridCol w:w="546"/>
              <w:gridCol w:w="1138"/>
              <w:gridCol w:w="4079"/>
              <w:gridCol w:w="1019"/>
              <w:gridCol w:w="780"/>
              <w:gridCol w:w="5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工程分类</w:t>
                  </w:r>
                </w:p>
              </w:tc>
              <w:tc>
                <w:tcPr>
                  <w:tcW w:w="964" w:type="pct"/>
                  <w:gridSpan w:val="2"/>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项目名称</w:t>
                  </w:r>
                </w:p>
              </w:tc>
              <w:tc>
                <w:tcPr>
                  <w:tcW w:w="2337"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建设内容及规模</w:t>
                  </w:r>
                </w:p>
              </w:tc>
              <w:tc>
                <w:tcPr>
                  <w:tcW w:w="1031" w:type="pct"/>
                  <w:gridSpan w:val="2"/>
                  <w:tcBorders>
                    <w:tl2br w:val="nil"/>
                    <w:tr2bl w:val="nil"/>
                  </w:tcBorders>
                  <w:shd w:val="clear" w:color="auto" w:fill="auto"/>
                  <w:vAlign w:val="center"/>
                </w:tcPr>
                <w:p>
                  <w:pPr>
                    <w:jc w:val="center"/>
                    <w:rPr>
                      <w:rFonts w:cs="Times New Roman"/>
                      <w:b/>
                      <w:bCs/>
                      <w:szCs w:val="21"/>
                    </w:rPr>
                  </w:pPr>
                  <w:r>
                    <w:rPr>
                      <w:rFonts w:cs="Times New Roman"/>
                      <w:b/>
                      <w:bCs/>
                      <w:szCs w:val="21"/>
                    </w:rPr>
                    <w:t>可能产生的环境问题</w:t>
                  </w:r>
                </w:p>
              </w:tc>
              <w:tc>
                <w:tcPr>
                  <w:tcW w:w="309"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vMerge w:val="continue"/>
                  <w:tcBorders>
                    <w:tl2br w:val="nil"/>
                    <w:tr2bl w:val="nil"/>
                  </w:tcBorders>
                  <w:shd w:val="clear" w:color="auto" w:fill="auto"/>
                  <w:vAlign w:val="center"/>
                </w:tcPr>
                <w:p>
                  <w:pPr>
                    <w:jc w:val="center"/>
                    <w:rPr>
                      <w:rFonts w:cs="Times New Roman"/>
                      <w:szCs w:val="21"/>
                    </w:rPr>
                  </w:pPr>
                </w:p>
              </w:tc>
              <w:tc>
                <w:tcPr>
                  <w:tcW w:w="2337" w:type="pct"/>
                  <w:vMerge w:val="continue"/>
                  <w:tcBorders>
                    <w:tl2br w:val="nil"/>
                    <w:tr2bl w:val="nil"/>
                  </w:tcBorders>
                  <w:shd w:val="clear" w:color="auto" w:fill="auto"/>
                  <w:vAlign w:val="center"/>
                </w:tcPr>
                <w:p>
                  <w:pPr>
                    <w:jc w:val="center"/>
                    <w:rPr>
                      <w:rFonts w:cs="Times New Roman"/>
                      <w:szCs w:val="21"/>
                    </w:rPr>
                  </w:pPr>
                </w:p>
              </w:tc>
              <w:tc>
                <w:tcPr>
                  <w:tcW w:w="584" w:type="pct"/>
                  <w:tcBorders>
                    <w:tl2br w:val="nil"/>
                    <w:tr2bl w:val="nil"/>
                  </w:tcBorders>
                  <w:shd w:val="clear" w:color="auto" w:fill="auto"/>
                  <w:vAlign w:val="center"/>
                </w:tcPr>
                <w:p>
                  <w:pPr>
                    <w:jc w:val="center"/>
                    <w:rPr>
                      <w:rFonts w:cs="Times New Roman"/>
                      <w:b/>
                      <w:bCs/>
                      <w:szCs w:val="21"/>
                    </w:rPr>
                  </w:pPr>
                  <w:r>
                    <w:rPr>
                      <w:rFonts w:cs="Times New Roman"/>
                      <w:b/>
                      <w:bCs/>
                      <w:szCs w:val="21"/>
                    </w:rPr>
                    <w:t>施工期</w:t>
                  </w:r>
                </w:p>
              </w:tc>
              <w:tc>
                <w:tcPr>
                  <w:tcW w:w="446" w:type="pct"/>
                  <w:tcBorders>
                    <w:tl2br w:val="nil"/>
                    <w:tr2bl w:val="nil"/>
                  </w:tcBorders>
                  <w:shd w:val="clear" w:color="auto" w:fill="auto"/>
                  <w:vAlign w:val="center"/>
                </w:tcPr>
                <w:p>
                  <w:pPr>
                    <w:jc w:val="center"/>
                    <w:rPr>
                      <w:rFonts w:cs="Times New Roman"/>
                      <w:b/>
                      <w:bCs/>
                      <w:szCs w:val="21"/>
                    </w:rPr>
                  </w:pPr>
                  <w:r>
                    <w:rPr>
                      <w:rFonts w:cs="Times New Roman"/>
                      <w:b/>
                      <w:bCs/>
                      <w:szCs w:val="21"/>
                    </w:rPr>
                    <w:t>运营期</w:t>
                  </w:r>
                </w:p>
              </w:tc>
              <w:tc>
                <w:tcPr>
                  <w:tcW w:w="309" w:type="pct"/>
                  <w:vMerge w:val="continue"/>
                  <w:tcBorders>
                    <w:tl2br w:val="nil"/>
                    <w:tr2bl w:val="nil"/>
                  </w:tcBorders>
                  <w:shd w:val="clear" w:color="auto" w:fill="auto"/>
                  <w:vAlign w:val="center"/>
                </w:tcPr>
                <w:p>
                  <w:pPr>
                    <w:jc w:val="center"/>
                    <w:rPr>
                      <w:rFonts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8" w:type="pct"/>
                  <w:tcBorders>
                    <w:tl2br w:val="nil"/>
                    <w:tr2bl w:val="nil"/>
                  </w:tcBorders>
                  <w:shd w:val="clear" w:color="auto" w:fill="auto"/>
                  <w:vAlign w:val="center"/>
                </w:tcPr>
                <w:p>
                  <w:pPr>
                    <w:jc w:val="center"/>
                    <w:rPr>
                      <w:rFonts w:cs="Times New Roman"/>
                      <w:szCs w:val="21"/>
                    </w:rPr>
                  </w:pPr>
                  <w:r>
                    <w:rPr>
                      <w:rFonts w:cs="Times New Roman"/>
                      <w:szCs w:val="21"/>
                    </w:rPr>
                    <w:t>主体工程</w:t>
                  </w: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生产车间</w:t>
                  </w:r>
                </w:p>
              </w:tc>
              <w:tc>
                <w:tcPr>
                  <w:tcW w:w="2337" w:type="pct"/>
                  <w:tcBorders>
                    <w:tl2br w:val="nil"/>
                    <w:tr2bl w:val="nil"/>
                  </w:tcBorders>
                  <w:shd w:val="clear" w:color="auto" w:fill="auto"/>
                  <w:vAlign w:val="center"/>
                </w:tcPr>
                <w:p>
                  <w:pPr>
                    <w:jc w:val="left"/>
                    <w:rPr>
                      <w:rFonts w:cs="Times New Roman"/>
                      <w:snapToGrid w:val="0"/>
                      <w:kern w:val="0"/>
                      <w:szCs w:val="21"/>
                    </w:rPr>
                  </w:pPr>
                  <w:r>
                    <w:rPr>
                      <w:rFonts w:cs="Times New Roman"/>
                      <w:snapToGrid w:val="0"/>
                      <w:kern w:val="0"/>
                      <w:szCs w:val="21"/>
                    </w:rPr>
                    <w:t>湿法毡生产车间位于厂房北侧，H=17m，框架结构，占地面积约5000m</w:t>
                  </w:r>
                  <w:r>
                    <w:rPr>
                      <w:rFonts w:cs="Times New Roman"/>
                      <w:snapToGrid w:val="0"/>
                      <w:kern w:val="0"/>
                      <w:szCs w:val="21"/>
                      <w:vertAlign w:val="superscript"/>
                    </w:rPr>
                    <w:t>2</w:t>
                  </w:r>
                  <w:r>
                    <w:rPr>
                      <w:rFonts w:cs="Times New Roman"/>
                      <w:snapToGrid w:val="0"/>
                      <w:kern w:val="0"/>
                      <w:szCs w:val="21"/>
                    </w:rPr>
                    <w:t>，2.1米的湿法毡生产线和2.6米的湿法毡生产线均位于该车间</w:t>
                  </w:r>
                </w:p>
              </w:tc>
              <w:tc>
                <w:tcPr>
                  <w:tcW w:w="584" w:type="pct"/>
                  <w:vMerge w:val="restart"/>
                  <w:tcBorders>
                    <w:tl2br w:val="nil"/>
                    <w:tr2bl w:val="nil"/>
                  </w:tcBorders>
                  <w:shd w:val="clear" w:color="auto" w:fill="auto"/>
                  <w:vAlign w:val="center"/>
                </w:tcPr>
                <w:p>
                  <w:pPr>
                    <w:jc w:val="center"/>
                    <w:rPr>
                      <w:rFonts w:cs="Times New Roman"/>
                      <w:szCs w:val="21"/>
                    </w:rPr>
                  </w:pPr>
                  <w:r>
                    <w:rPr>
                      <w:rFonts w:cs="Times New Roman"/>
                      <w:szCs w:val="21"/>
                    </w:rPr>
                    <w:t>施工废气</w:t>
                  </w:r>
                </w:p>
                <w:p>
                  <w:pPr>
                    <w:jc w:val="center"/>
                    <w:rPr>
                      <w:rFonts w:cs="Times New Roman"/>
                      <w:szCs w:val="21"/>
                    </w:rPr>
                  </w:pPr>
                  <w:r>
                    <w:rPr>
                      <w:rFonts w:cs="Times New Roman"/>
                      <w:szCs w:val="21"/>
                    </w:rPr>
                    <w:t>施工废水</w:t>
                  </w:r>
                </w:p>
                <w:p>
                  <w:pPr>
                    <w:jc w:val="center"/>
                    <w:rPr>
                      <w:rFonts w:cs="Times New Roman"/>
                      <w:szCs w:val="21"/>
                    </w:rPr>
                  </w:pPr>
                  <w:r>
                    <w:rPr>
                      <w:rFonts w:cs="Times New Roman"/>
                      <w:szCs w:val="21"/>
                    </w:rPr>
                    <w:t>生活污水</w:t>
                  </w:r>
                </w:p>
                <w:p>
                  <w:pPr>
                    <w:jc w:val="center"/>
                    <w:rPr>
                      <w:rFonts w:cs="Times New Roman"/>
                      <w:szCs w:val="21"/>
                    </w:rPr>
                  </w:pPr>
                  <w:r>
                    <w:rPr>
                      <w:rFonts w:cs="Times New Roman"/>
                      <w:szCs w:val="21"/>
                    </w:rPr>
                    <w:t>施工噪声</w:t>
                  </w:r>
                </w:p>
                <w:p>
                  <w:pPr>
                    <w:jc w:val="center"/>
                    <w:rPr>
                      <w:rFonts w:cs="Times New Roman"/>
                      <w:szCs w:val="21"/>
                    </w:rPr>
                  </w:pPr>
                  <w:r>
                    <w:rPr>
                      <w:rFonts w:cs="Times New Roman"/>
                      <w:szCs w:val="21"/>
                    </w:rPr>
                    <w:t>固体废物</w:t>
                  </w:r>
                </w:p>
                <w:p>
                  <w:pPr>
                    <w:jc w:val="center"/>
                    <w:rPr>
                      <w:rFonts w:cs="Times New Roman"/>
                      <w:szCs w:val="21"/>
                    </w:rPr>
                  </w:pPr>
                </w:p>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废气、噪声、固废</w:t>
                  </w:r>
                  <w:r>
                    <w:rPr>
                      <w:rFonts w:hint="eastAsia" w:cs="Times New Roman"/>
                      <w:szCs w:val="21"/>
                    </w:rPr>
                    <w:t>、废水</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储运工程</w:t>
                  </w:r>
                </w:p>
              </w:tc>
              <w:tc>
                <w:tcPr>
                  <w:tcW w:w="964" w:type="pct"/>
                  <w:gridSpan w:val="2"/>
                  <w:tcBorders>
                    <w:tl2br w:val="nil"/>
                    <w:tr2bl w:val="nil"/>
                  </w:tcBorders>
                  <w:shd w:val="clear" w:color="auto" w:fill="auto"/>
                  <w:vAlign w:val="center"/>
                </w:tcPr>
                <w:p>
                  <w:pPr>
                    <w:jc w:val="center"/>
                    <w:rPr>
                      <w:rFonts w:cs="Times New Roman"/>
                      <w:szCs w:val="21"/>
                      <w:highlight w:val="yellow"/>
                    </w:rPr>
                  </w:pPr>
                  <w:r>
                    <w:rPr>
                      <w:rFonts w:cs="Times New Roman"/>
                      <w:szCs w:val="21"/>
                    </w:rPr>
                    <w:t>原料储存区</w:t>
                  </w:r>
                </w:p>
              </w:tc>
              <w:tc>
                <w:tcPr>
                  <w:tcW w:w="2337" w:type="pct"/>
                  <w:tcBorders>
                    <w:tl2br w:val="nil"/>
                    <w:tr2bl w:val="nil"/>
                  </w:tcBorders>
                  <w:shd w:val="clear" w:color="auto" w:fill="auto"/>
                  <w:vAlign w:val="center"/>
                </w:tcPr>
                <w:p>
                  <w:pPr>
                    <w:rPr>
                      <w:rFonts w:cs="Times New Roman"/>
                      <w:szCs w:val="21"/>
                    </w:rPr>
                  </w:pPr>
                  <w:r>
                    <w:rPr>
                      <w:rFonts w:cs="Times New Roman"/>
                      <w:snapToGrid w:val="0"/>
                      <w:kern w:val="0"/>
                      <w:szCs w:val="21"/>
                    </w:rPr>
                    <w:t>位于车间东侧，占地面积约250m</w:t>
                  </w:r>
                  <w:r>
                    <w:rPr>
                      <w:rFonts w:cs="Times New Roman"/>
                      <w:snapToGrid w:val="0"/>
                      <w:kern w:val="0"/>
                      <w:szCs w:val="21"/>
                      <w:vertAlign w:val="superscript"/>
                    </w:rPr>
                    <w:t>2</w:t>
                  </w:r>
                  <w:r>
                    <w:rPr>
                      <w:rFonts w:cs="Times New Roman"/>
                      <w:snapToGrid w:val="0"/>
                      <w:kern w:val="0"/>
                      <w:szCs w:val="21"/>
                    </w:rPr>
                    <w:t>，用于原料（</w:t>
                  </w:r>
                  <w:r>
                    <w:rPr>
                      <w:rFonts w:cs="Times New Roman"/>
                      <w:bCs/>
                      <w:szCs w:val="21"/>
                    </w:rPr>
                    <w:t>玻璃纤维短切原丝、加筋纱</w:t>
                  </w:r>
                  <w:r>
                    <w:rPr>
                      <w:rFonts w:cs="Times New Roman"/>
                      <w:snapToGrid w:val="0"/>
                      <w:kern w:val="0"/>
                      <w:szCs w:val="21"/>
                    </w:rPr>
                    <w:t>）暂存。</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粉尘</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highlight w:val="yellow"/>
                    </w:rPr>
                  </w:pPr>
                  <w:r>
                    <w:rPr>
                      <w:rFonts w:cs="Times New Roman"/>
                      <w:szCs w:val="21"/>
                    </w:rPr>
                    <w:t>危化品仓库</w:t>
                  </w:r>
                </w:p>
              </w:tc>
              <w:tc>
                <w:tcPr>
                  <w:tcW w:w="2337" w:type="pct"/>
                  <w:tcBorders>
                    <w:tl2br w:val="nil"/>
                    <w:tr2bl w:val="nil"/>
                  </w:tcBorders>
                  <w:shd w:val="clear" w:color="auto" w:fill="auto"/>
                  <w:vAlign w:val="center"/>
                </w:tcPr>
                <w:p>
                  <w:pPr>
                    <w:rPr>
                      <w:rFonts w:cs="Times New Roman"/>
                      <w:snapToGrid w:val="0"/>
                      <w:kern w:val="0"/>
                      <w:szCs w:val="21"/>
                    </w:rPr>
                  </w:pPr>
                  <w:r>
                    <w:rPr>
                      <w:rFonts w:cs="Times New Roman"/>
                      <w:snapToGrid w:val="0"/>
                      <w:kern w:val="0"/>
                      <w:szCs w:val="21"/>
                    </w:rPr>
                    <w:t>位于危废暂存间西侧，占地面积约20m</w:t>
                  </w:r>
                  <w:r>
                    <w:rPr>
                      <w:rFonts w:cs="Times New Roman"/>
                      <w:snapToGrid w:val="0"/>
                      <w:kern w:val="0"/>
                      <w:szCs w:val="21"/>
                      <w:vertAlign w:val="superscript"/>
                    </w:rPr>
                    <w:t>2</w:t>
                  </w:r>
                  <w:r>
                    <w:rPr>
                      <w:rFonts w:cs="Times New Roman"/>
                      <w:snapToGrid w:val="0"/>
                      <w:kern w:val="0"/>
                      <w:szCs w:val="21"/>
                    </w:rPr>
                    <w:t>，用于原辅料</w:t>
                  </w:r>
                  <w:r>
                    <w:rPr>
                      <w:rFonts w:cs="Times New Roman"/>
                      <w:snapToGrid w:val="0"/>
                      <w:color w:val="000000" w:themeColor="text1"/>
                      <w:kern w:val="0"/>
                      <w:szCs w:val="21"/>
                      <w14:textFill>
                        <w14:solidFill>
                          <w14:schemeClr w14:val="tx1"/>
                        </w14:solidFill>
                      </w14:textFill>
                    </w:rPr>
                    <w:t>（</w:t>
                  </w:r>
                  <w:r>
                    <w:rPr>
                      <w:rFonts w:hint="eastAsia" w:cs="Times New Roman"/>
                      <w:bCs/>
                      <w:color w:val="000000" w:themeColor="text1"/>
                      <w:szCs w:val="21"/>
                      <w14:textFill>
                        <w14:solidFill>
                          <w14:schemeClr w14:val="tx1"/>
                        </w14:solidFill>
                      </w14:textFill>
                    </w:rPr>
                    <w:t>水性功能乳液</w:t>
                  </w:r>
                  <w:r>
                    <w:rPr>
                      <w:rFonts w:cs="Times New Roman"/>
                      <w:bCs/>
                      <w:szCs w:val="21"/>
                    </w:rPr>
                    <w:t>、脲醛</w:t>
                  </w:r>
                  <w:r>
                    <w:rPr>
                      <w:rFonts w:hint="eastAsia" w:cs="Times New Roman"/>
                      <w:bCs/>
                      <w:szCs w:val="21"/>
                    </w:rPr>
                    <w:t>胶</w:t>
                  </w:r>
                  <w:r>
                    <w:rPr>
                      <w:rFonts w:cs="Times New Roman"/>
                      <w:bCs/>
                      <w:szCs w:val="21"/>
                    </w:rPr>
                    <w:t>、</w:t>
                  </w:r>
                  <w:r>
                    <w:rPr>
                      <w:rFonts w:cs="Times New Roman" w:eastAsiaTheme="minorEastAsia"/>
                      <w:bCs/>
                      <w:szCs w:val="21"/>
                    </w:rPr>
                    <w:t>分散剂</w:t>
                  </w:r>
                  <w:r>
                    <w:rPr>
                      <w:rFonts w:cs="Times New Roman"/>
                      <w:bCs/>
                      <w:szCs w:val="21"/>
                    </w:rPr>
                    <w:t>、</w:t>
                  </w:r>
                  <w:r>
                    <w:rPr>
                      <w:rFonts w:cs="Times New Roman" w:eastAsiaTheme="minorEastAsia"/>
                      <w:bCs/>
                      <w:szCs w:val="21"/>
                    </w:rPr>
                    <w:t>增稠剂、消泡剂</w:t>
                  </w:r>
                  <w:r>
                    <w:rPr>
                      <w:rFonts w:cs="Times New Roman"/>
                      <w:snapToGrid w:val="0"/>
                      <w:kern w:val="0"/>
                      <w:szCs w:val="21"/>
                    </w:rPr>
                    <w:t>）暂存</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风险</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highlight w:val="yellow"/>
                    </w:rPr>
                  </w:pPr>
                  <w:r>
                    <w:rPr>
                      <w:rFonts w:cs="Times New Roman"/>
                      <w:szCs w:val="21"/>
                    </w:rPr>
                    <w:t>成品区</w:t>
                  </w:r>
                </w:p>
              </w:tc>
              <w:tc>
                <w:tcPr>
                  <w:tcW w:w="2337" w:type="pct"/>
                  <w:tcBorders>
                    <w:tl2br w:val="nil"/>
                    <w:tr2bl w:val="nil"/>
                  </w:tcBorders>
                  <w:shd w:val="clear" w:color="auto" w:fill="auto"/>
                  <w:vAlign w:val="center"/>
                </w:tcPr>
                <w:p>
                  <w:pPr>
                    <w:rPr>
                      <w:rFonts w:cs="Times New Roman"/>
                      <w:szCs w:val="21"/>
                    </w:rPr>
                  </w:pPr>
                  <w:r>
                    <w:rPr>
                      <w:rFonts w:cs="Times New Roman"/>
                      <w:szCs w:val="21"/>
                    </w:rPr>
                    <w:t>位</w:t>
                  </w:r>
                  <w:r>
                    <w:rPr>
                      <w:rFonts w:cs="Times New Roman"/>
                      <w:snapToGrid w:val="0"/>
                      <w:kern w:val="0"/>
                      <w:szCs w:val="21"/>
                    </w:rPr>
                    <w:t>于车间西侧，</w:t>
                  </w:r>
                  <w:r>
                    <w:rPr>
                      <w:rFonts w:cs="Times New Roman"/>
                      <w:szCs w:val="21"/>
                    </w:rPr>
                    <w:t>占地面积</w:t>
                  </w:r>
                  <w:r>
                    <w:rPr>
                      <w:rFonts w:cs="Times New Roman"/>
                      <w:snapToGrid w:val="0"/>
                      <w:kern w:val="0"/>
                      <w:szCs w:val="21"/>
                    </w:rPr>
                    <w:t>约</w:t>
                  </w:r>
                  <w:r>
                    <w:rPr>
                      <w:rFonts w:cs="Times New Roman"/>
                      <w:szCs w:val="21"/>
                    </w:rPr>
                    <w:t>300m</w:t>
                  </w:r>
                  <w:r>
                    <w:rPr>
                      <w:rFonts w:cs="Times New Roman"/>
                      <w:szCs w:val="21"/>
                      <w:vertAlign w:val="superscript"/>
                    </w:rPr>
                    <w:t>2</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粉尘</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办公及生活工程</w:t>
                  </w: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食堂</w:t>
                  </w:r>
                </w:p>
              </w:tc>
              <w:tc>
                <w:tcPr>
                  <w:tcW w:w="2337" w:type="pct"/>
                  <w:tcBorders>
                    <w:tl2br w:val="nil"/>
                    <w:tr2bl w:val="nil"/>
                  </w:tcBorders>
                  <w:shd w:val="clear" w:color="auto" w:fill="auto"/>
                  <w:vAlign w:val="center"/>
                </w:tcPr>
                <w:p>
                  <w:pPr>
                    <w:rPr>
                      <w:rFonts w:cs="Times New Roman"/>
                      <w:szCs w:val="21"/>
                    </w:rPr>
                  </w:pPr>
                  <w:r>
                    <w:rPr>
                      <w:rFonts w:cs="Times New Roman"/>
                      <w:szCs w:val="21"/>
                    </w:rPr>
                    <w:t>位于综合楼一楼，食堂占地面积约200m</w:t>
                  </w:r>
                  <w:r>
                    <w:rPr>
                      <w:rFonts w:cs="Times New Roman"/>
                      <w:szCs w:val="21"/>
                      <w:vertAlign w:val="superscript"/>
                    </w:rPr>
                    <w:t>2</w:t>
                  </w:r>
                  <w:r>
                    <w:rPr>
                      <w:rFonts w:cs="Times New Roman"/>
                      <w:szCs w:val="21"/>
                    </w:rPr>
                    <w:t>。</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restart"/>
                  <w:tcBorders>
                    <w:tl2br w:val="nil"/>
                    <w:tr2bl w:val="nil"/>
                  </w:tcBorders>
                  <w:shd w:val="clear" w:color="auto" w:fill="auto"/>
                  <w:vAlign w:val="center"/>
                </w:tcPr>
                <w:p>
                  <w:pPr>
                    <w:jc w:val="center"/>
                    <w:rPr>
                      <w:rFonts w:cs="Times New Roman"/>
                      <w:szCs w:val="21"/>
                    </w:rPr>
                  </w:pPr>
                  <w:r>
                    <w:rPr>
                      <w:rFonts w:cs="Times New Roman"/>
                      <w:szCs w:val="21"/>
                    </w:rPr>
                    <w:t>废气、废水、固废</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淋浴间</w:t>
                  </w:r>
                </w:p>
              </w:tc>
              <w:tc>
                <w:tcPr>
                  <w:tcW w:w="2337" w:type="pct"/>
                  <w:tcBorders>
                    <w:tl2br w:val="nil"/>
                    <w:tr2bl w:val="nil"/>
                  </w:tcBorders>
                  <w:shd w:val="clear" w:color="auto" w:fill="auto"/>
                  <w:vAlign w:val="center"/>
                </w:tcPr>
                <w:p>
                  <w:pPr>
                    <w:rPr>
                      <w:rFonts w:cs="Times New Roman"/>
                      <w:szCs w:val="21"/>
                    </w:rPr>
                  </w:pPr>
                  <w:r>
                    <w:rPr>
                      <w:rFonts w:cs="Times New Roman"/>
                      <w:szCs w:val="21"/>
                    </w:rPr>
                    <w:t>位于厂区西南侧，占地面积约70m</w:t>
                  </w:r>
                  <w:r>
                    <w:rPr>
                      <w:rFonts w:cs="Times New Roman"/>
                      <w:szCs w:val="21"/>
                      <w:vertAlign w:val="superscript"/>
                    </w:rPr>
                    <w:t>2</w:t>
                  </w:r>
                  <w:r>
                    <w:rPr>
                      <w:rFonts w:cs="Times New Roman"/>
                      <w:szCs w:val="21"/>
                    </w:rPr>
                    <w:t>，用于员工洗漱。</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综合楼</w:t>
                  </w:r>
                </w:p>
              </w:tc>
              <w:tc>
                <w:tcPr>
                  <w:tcW w:w="2337" w:type="pct"/>
                  <w:tcBorders>
                    <w:tl2br w:val="nil"/>
                    <w:tr2bl w:val="nil"/>
                  </w:tcBorders>
                  <w:shd w:val="clear" w:color="auto" w:fill="auto"/>
                  <w:vAlign w:val="center"/>
                </w:tcPr>
                <w:p>
                  <w:pPr>
                    <w:rPr>
                      <w:rFonts w:cs="Times New Roman"/>
                      <w:szCs w:val="21"/>
                    </w:rPr>
                  </w:pPr>
                  <w:r>
                    <w:rPr>
                      <w:rFonts w:cs="Times New Roman"/>
                      <w:szCs w:val="21"/>
                    </w:rPr>
                    <w:t>1栋，占地面积约200m</w:t>
                  </w:r>
                  <w:r>
                    <w:rPr>
                      <w:rFonts w:cs="Times New Roman"/>
                      <w:szCs w:val="21"/>
                      <w:vertAlign w:val="superscript"/>
                    </w:rPr>
                    <w:t>2</w:t>
                  </w:r>
                  <w:r>
                    <w:rPr>
                      <w:rFonts w:cs="Times New Roman"/>
                      <w:szCs w:val="21"/>
                    </w:rPr>
                    <w:t>，共5F，位于厂区东侧，1-3F为办公区，4-5F为倒班宿舍。</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辅助工程</w:t>
                  </w:r>
                </w:p>
              </w:tc>
              <w:tc>
                <w:tcPr>
                  <w:tcW w:w="964" w:type="pct"/>
                  <w:gridSpan w:val="2"/>
                  <w:tcBorders>
                    <w:tl2br w:val="nil"/>
                    <w:tr2bl w:val="nil"/>
                  </w:tcBorders>
                  <w:shd w:val="clear" w:color="auto" w:fill="auto"/>
                  <w:vAlign w:val="center"/>
                </w:tcPr>
                <w:p>
                  <w:pPr>
                    <w:widowControl/>
                    <w:jc w:val="center"/>
                    <w:rPr>
                      <w:rFonts w:cs="Times New Roman"/>
                      <w:szCs w:val="21"/>
                      <w:highlight w:val="yellow"/>
                    </w:rPr>
                  </w:pPr>
                  <w:r>
                    <w:rPr>
                      <w:rFonts w:cs="Times New Roman"/>
                      <w:szCs w:val="21"/>
                    </w:rPr>
                    <w:t>变电房</w:t>
                  </w:r>
                </w:p>
              </w:tc>
              <w:tc>
                <w:tcPr>
                  <w:tcW w:w="2337" w:type="pct"/>
                  <w:tcBorders>
                    <w:tl2br w:val="nil"/>
                    <w:tr2bl w:val="nil"/>
                  </w:tcBorders>
                  <w:shd w:val="clear" w:color="auto" w:fill="auto"/>
                  <w:vAlign w:val="center"/>
                </w:tcPr>
                <w:p>
                  <w:pPr>
                    <w:widowControl/>
                    <w:jc w:val="center"/>
                    <w:rPr>
                      <w:rFonts w:cs="Times New Roman"/>
                      <w:szCs w:val="21"/>
                    </w:rPr>
                  </w:pPr>
                  <w:r>
                    <w:rPr>
                      <w:rFonts w:cs="Times New Roman"/>
                      <w:snapToGrid w:val="0"/>
                      <w:kern w:val="0"/>
                      <w:szCs w:val="21"/>
                    </w:rPr>
                    <w:t>1间，</w:t>
                  </w:r>
                  <w:r>
                    <w:rPr>
                      <w:rFonts w:cs="Times New Roman"/>
                      <w:szCs w:val="21"/>
                    </w:rPr>
                    <w:t>位于厂房车间内</w:t>
                  </w:r>
                  <w:r>
                    <w:rPr>
                      <w:rFonts w:cs="Times New Roman"/>
                      <w:snapToGrid w:val="0"/>
                      <w:kern w:val="0"/>
                      <w:szCs w:val="21"/>
                    </w:rPr>
                    <w:t>，用于生产系统综合控制。</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widowControl/>
                    <w:jc w:val="center"/>
                    <w:rPr>
                      <w:rFonts w:cs="Times New Roman"/>
                      <w:szCs w:val="21"/>
                      <w:highlight w:val="yellow"/>
                    </w:rPr>
                  </w:pPr>
                  <w:r>
                    <w:rPr>
                      <w:rFonts w:cs="Times New Roman"/>
                      <w:szCs w:val="21"/>
                    </w:rPr>
                    <w:t>机修房</w:t>
                  </w:r>
                </w:p>
              </w:tc>
              <w:tc>
                <w:tcPr>
                  <w:tcW w:w="2337" w:type="pct"/>
                  <w:tcBorders>
                    <w:tl2br w:val="nil"/>
                    <w:tr2bl w:val="nil"/>
                  </w:tcBorders>
                  <w:shd w:val="clear" w:color="auto" w:fill="auto"/>
                  <w:vAlign w:val="center"/>
                </w:tcPr>
                <w:p>
                  <w:pPr>
                    <w:widowControl/>
                    <w:jc w:val="center"/>
                    <w:rPr>
                      <w:rFonts w:cs="Times New Roman"/>
                      <w:szCs w:val="21"/>
                    </w:rPr>
                  </w:pPr>
                  <w:r>
                    <w:rPr>
                      <w:rFonts w:cs="Times New Roman"/>
                      <w:szCs w:val="21"/>
                    </w:rPr>
                    <w:t>机修间位于厂房车间内，项目仅涉及小修，设备更换机油等，大修全部外委。</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废机油、含油抹布及手套</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公用工程</w:t>
                  </w: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供电</w:t>
                  </w:r>
                </w:p>
              </w:tc>
              <w:tc>
                <w:tcPr>
                  <w:tcW w:w="2337" w:type="pct"/>
                  <w:tcBorders>
                    <w:tl2br w:val="nil"/>
                    <w:tr2bl w:val="nil"/>
                  </w:tcBorders>
                  <w:shd w:val="clear" w:color="auto" w:fill="auto"/>
                  <w:vAlign w:val="center"/>
                </w:tcPr>
                <w:p>
                  <w:pPr>
                    <w:rPr>
                      <w:rFonts w:cs="Times New Roman"/>
                      <w:szCs w:val="21"/>
                    </w:rPr>
                  </w:pPr>
                  <w:r>
                    <w:rPr>
                      <w:rFonts w:cs="Times New Roman"/>
                      <w:szCs w:val="21"/>
                    </w:rPr>
                    <w:t>市政供电管网供给</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供水</w:t>
                  </w:r>
                </w:p>
              </w:tc>
              <w:tc>
                <w:tcPr>
                  <w:tcW w:w="2337" w:type="pct"/>
                  <w:tcBorders>
                    <w:tl2br w:val="nil"/>
                    <w:tr2bl w:val="nil"/>
                  </w:tcBorders>
                  <w:shd w:val="clear" w:color="auto" w:fill="auto"/>
                  <w:vAlign w:val="center"/>
                </w:tcPr>
                <w:p>
                  <w:pPr>
                    <w:rPr>
                      <w:rFonts w:cs="Times New Roman"/>
                      <w:szCs w:val="21"/>
                    </w:rPr>
                  </w:pPr>
                  <w:r>
                    <w:rPr>
                      <w:rFonts w:cs="Times New Roman"/>
                      <w:szCs w:val="21"/>
                    </w:rPr>
                    <w:t>市政管网给水</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供气</w:t>
                  </w:r>
                </w:p>
              </w:tc>
              <w:tc>
                <w:tcPr>
                  <w:tcW w:w="2337" w:type="pct"/>
                  <w:tcBorders>
                    <w:tl2br w:val="nil"/>
                    <w:tr2bl w:val="nil"/>
                  </w:tcBorders>
                  <w:shd w:val="clear" w:color="auto" w:fill="auto"/>
                  <w:vAlign w:val="center"/>
                </w:tcPr>
                <w:p>
                  <w:pPr>
                    <w:rPr>
                      <w:rFonts w:cs="Times New Roman"/>
                      <w:szCs w:val="21"/>
                    </w:rPr>
                  </w:pPr>
                  <w:r>
                    <w:rPr>
                      <w:rFonts w:cs="Times New Roman"/>
                      <w:szCs w:val="21"/>
                    </w:rPr>
                    <w:t>市政供气管网供气</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排水</w:t>
                  </w:r>
                </w:p>
              </w:tc>
              <w:tc>
                <w:tcPr>
                  <w:tcW w:w="2337" w:type="pct"/>
                  <w:tcBorders>
                    <w:tl2br w:val="nil"/>
                    <w:tr2bl w:val="nil"/>
                  </w:tcBorders>
                  <w:shd w:val="clear" w:color="auto" w:fill="auto"/>
                  <w:vAlign w:val="center"/>
                </w:tcPr>
                <w:p>
                  <w:pPr>
                    <w:rPr>
                      <w:rFonts w:cs="Times New Roman"/>
                      <w:szCs w:val="21"/>
                    </w:rPr>
                  </w:pPr>
                  <w:r>
                    <w:rPr>
                      <w:rFonts w:cs="Times New Roman"/>
                      <w:szCs w:val="21"/>
                    </w:rPr>
                    <w:t>雨污分流，初期雨水进入雨水管网，项目生产废水回用，不外排；生活污水（食堂废水先经隔油池处理）经化粪池处理后排入园区管网进入柳池工业园区污水处理厂处理。</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tcPr>
                <w:p>
                  <w:pPr>
                    <w:jc w:val="center"/>
                    <w:rPr>
                      <w:rFonts w:cs="Times New Roman"/>
                      <w:szCs w:val="21"/>
                    </w:rPr>
                  </w:pPr>
                  <w:r>
                    <w:rPr>
                      <w:rFonts w:cs="Times New Roman"/>
                      <w:szCs w:val="21"/>
                    </w:rPr>
                    <w:t>绿化</w:t>
                  </w:r>
                </w:p>
              </w:tc>
              <w:tc>
                <w:tcPr>
                  <w:tcW w:w="2337" w:type="pct"/>
                  <w:tcBorders>
                    <w:tl2br w:val="nil"/>
                    <w:tr2bl w:val="nil"/>
                  </w:tcBorders>
                  <w:shd w:val="clear" w:color="auto" w:fill="auto"/>
                </w:tcPr>
                <w:p>
                  <w:pPr>
                    <w:jc w:val="center"/>
                    <w:rPr>
                      <w:rFonts w:cs="Times New Roman"/>
                      <w:szCs w:val="21"/>
                    </w:rPr>
                  </w:pPr>
                  <w:r>
                    <w:rPr>
                      <w:rFonts w:cs="Times New Roman"/>
                      <w:szCs w:val="21"/>
                    </w:rPr>
                    <w:t>绿化面积 800m</w:t>
                  </w:r>
                  <w:r>
                    <w:rPr>
                      <w:rFonts w:cs="Times New Roman"/>
                      <w:szCs w:val="21"/>
                      <w:vertAlign w:val="superscript"/>
                    </w:rPr>
                    <w:t>2</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tcPr>
                <w:p>
                  <w:pPr>
                    <w:jc w:val="center"/>
                    <w:rPr>
                      <w:rFonts w:cs="Times New Roman"/>
                      <w:szCs w:val="21"/>
                    </w:rPr>
                  </w:pPr>
                  <w:r>
                    <w:rPr>
                      <w:rFonts w:cs="Times New Roman"/>
                      <w:szCs w:val="21"/>
                    </w:rPr>
                    <w:t>道路</w:t>
                  </w:r>
                </w:p>
              </w:tc>
              <w:tc>
                <w:tcPr>
                  <w:tcW w:w="2337" w:type="pct"/>
                  <w:tcBorders>
                    <w:tl2br w:val="nil"/>
                    <w:tr2bl w:val="nil"/>
                  </w:tcBorders>
                  <w:shd w:val="clear" w:color="auto" w:fill="auto"/>
                </w:tcPr>
                <w:p>
                  <w:pPr>
                    <w:jc w:val="center"/>
                    <w:rPr>
                      <w:rFonts w:cs="Times New Roman"/>
                      <w:szCs w:val="21"/>
                    </w:rPr>
                  </w:pPr>
                  <w:r>
                    <w:rPr>
                      <w:rFonts w:cs="Times New Roman"/>
                      <w:szCs w:val="21"/>
                    </w:rPr>
                    <w:t>厂区内配套道路建设及围墙建设</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环保工程</w:t>
                  </w: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bCs/>
                      <w:szCs w:val="21"/>
                    </w:rPr>
                    <w:t>废气</w:t>
                  </w:r>
                </w:p>
              </w:tc>
              <w:tc>
                <w:tcPr>
                  <w:tcW w:w="651" w:type="pct"/>
                  <w:tcBorders>
                    <w:tl2br w:val="nil"/>
                    <w:tr2bl w:val="nil"/>
                  </w:tcBorders>
                  <w:shd w:val="clear" w:color="auto" w:fill="auto"/>
                  <w:vAlign w:val="center"/>
                </w:tcPr>
                <w:p>
                  <w:pPr>
                    <w:jc w:val="center"/>
                    <w:rPr>
                      <w:rFonts w:cs="Times New Roman"/>
                      <w:bCs/>
                      <w:kern w:val="0"/>
                      <w:szCs w:val="21"/>
                    </w:rPr>
                  </w:pPr>
                  <w:r>
                    <w:rPr>
                      <w:rFonts w:cs="Times New Roman"/>
                      <w:bCs/>
                      <w:kern w:val="0"/>
                      <w:szCs w:val="21"/>
                    </w:rPr>
                    <w:t>原料在浸胶、烘干环节产生的废气</w:t>
                  </w:r>
                </w:p>
              </w:tc>
              <w:tc>
                <w:tcPr>
                  <w:tcW w:w="2337" w:type="pct"/>
                  <w:tcBorders>
                    <w:tl2br w:val="nil"/>
                    <w:tr2bl w:val="nil"/>
                  </w:tcBorders>
                  <w:shd w:val="clear" w:color="auto" w:fill="auto"/>
                  <w:vAlign w:val="center"/>
                </w:tcPr>
                <w:p>
                  <w:pPr>
                    <w:jc w:val="center"/>
                    <w:rPr>
                      <w:rFonts w:cs="Times New Roman"/>
                      <w:bCs/>
                      <w:szCs w:val="21"/>
                    </w:rPr>
                  </w:pPr>
                  <w:r>
                    <w:rPr>
                      <w:rFonts w:cs="Times New Roman"/>
                      <w:szCs w:val="21"/>
                    </w:rPr>
                    <w:t>经二级活性炭装置（一期和二期各一套）吸附处理后分别经一根18m高排气筒（DA005、DA006）排放</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cs="Times New Roman"/>
                      <w:snapToGrid w:val="0"/>
                      <w:kern w:val="0"/>
                      <w:szCs w:val="21"/>
                    </w:rPr>
                  </w:pPr>
                  <w:r>
                    <w:rPr>
                      <w:rFonts w:cs="Times New Roman"/>
                      <w:szCs w:val="21"/>
                    </w:rPr>
                    <w:t>甲醛、氨、VOCs</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jc w:val="center"/>
                    <w:rPr>
                      <w:rFonts w:cs="Times New Roman"/>
                      <w:bCs/>
                      <w:kern w:val="0"/>
                      <w:szCs w:val="21"/>
                    </w:rPr>
                  </w:pPr>
                  <w:r>
                    <w:rPr>
                      <w:rFonts w:cs="Times New Roman"/>
                      <w:bCs/>
                      <w:kern w:val="0"/>
                      <w:szCs w:val="21"/>
                    </w:rPr>
                    <w:t>天然气燃烧废气</w:t>
                  </w:r>
                </w:p>
              </w:tc>
              <w:tc>
                <w:tcPr>
                  <w:tcW w:w="2337" w:type="pct"/>
                  <w:tcBorders>
                    <w:tl2br w:val="nil"/>
                    <w:tr2bl w:val="nil"/>
                  </w:tcBorders>
                  <w:shd w:val="clear" w:color="auto" w:fill="auto"/>
                  <w:vAlign w:val="center"/>
                </w:tcPr>
                <w:p>
                  <w:pPr>
                    <w:jc w:val="center"/>
                    <w:rPr>
                      <w:rFonts w:cs="Times New Roman"/>
                      <w:szCs w:val="21"/>
                    </w:rPr>
                  </w:pPr>
                  <w:r>
                    <w:rPr>
                      <w:rFonts w:cs="Times New Roman"/>
                      <w:szCs w:val="21"/>
                    </w:rPr>
                    <w:t>安装低氮燃烧器（一期和二期各一套）</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SO</w:t>
                  </w:r>
                  <w:r>
                    <w:rPr>
                      <w:rFonts w:cs="Times New Roman"/>
                      <w:szCs w:val="21"/>
                      <w:vertAlign w:val="subscript"/>
                    </w:rPr>
                    <w:t>2</w:t>
                  </w:r>
                  <w:r>
                    <w:rPr>
                      <w:rFonts w:cs="Times New Roman"/>
                      <w:szCs w:val="21"/>
                    </w:rPr>
                    <w:t>、NOx</w:t>
                  </w:r>
                  <w:r>
                    <w:rPr>
                      <w:rFonts w:hint="eastAsia" w:cs="Times New Roman"/>
                      <w:szCs w:val="21"/>
                    </w:rPr>
                    <w:t>、烟尘</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食堂油烟</w:t>
                  </w:r>
                </w:p>
              </w:tc>
              <w:tc>
                <w:tcPr>
                  <w:tcW w:w="2337" w:type="pc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食堂油烟经油烟净化器处理后外排</w:t>
                  </w:r>
                  <w:r>
                    <w:rPr>
                      <w:rFonts w:cs="Times New Roman"/>
                      <w:bCs/>
                      <w:szCs w:val="21"/>
                      <w:lang w:bidi="ar"/>
                    </w:rPr>
                    <w:t>。</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油烟、废食用油</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废水</w:t>
                  </w:r>
                </w:p>
              </w:tc>
              <w:tc>
                <w:tcPr>
                  <w:tcW w:w="651"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设备清洗废水</w:t>
                  </w:r>
                </w:p>
              </w:tc>
              <w:tc>
                <w:tcPr>
                  <w:tcW w:w="2337" w:type="pct"/>
                  <w:tcBorders>
                    <w:tl2br w:val="nil"/>
                    <w:tr2bl w:val="nil"/>
                  </w:tcBorders>
                  <w:shd w:val="clear" w:color="auto" w:fill="auto"/>
                  <w:vAlign w:val="center"/>
                </w:tcPr>
                <w:p>
                  <w:pPr>
                    <w:jc w:val="left"/>
                    <w:rPr>
                      <w:rFonts w:cs="Times New Roman"/>
                      <w:szCs w:val="21"/>
                    </w:rPr>
                  </w:pPr>
                  <w:r>
                    <w:rPr>
                      <w:rFonts w:cs="Times New Roman"/>
                      <w:szCs w:val="21"/>
                    </w:rPr>
                    <w:t>设备清洗废水集中收集于桶中，用于粘结剂的配制用水。</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hint="eastAsia" w:eastAsia="宋体" w:cs="Times New Roman"/>
                      <w:snapToGrid w:val="0"/>
                      <w:kern w:val="0"/>
                      <w:szCs w:val="21"/>
                      <w:lang w:val="en-US" w:eastAsia="zh-CN"/>
                    </w:rPr>
                  </w:pPr>
                  <w:r>
                    <w:rPr>
                      <w:rFonts w:hint="eastAsia" w:cs="Times New Roman"/>
                      <w:snapToGrid w:val="0"/>
                      <w:kern w:val="0"/>
                      <w:szCs w:val="21"/>
                      <w:lang w:val="en-US" w:eastAsia="zh-CN"/>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hint="eastAsia" w:eastAsia="宋体" w:cs="Times New Roman"/>
                      <w:szCs w:val="21"/>
                      <w:lang w:val="en-US" w:eastAsia="zh-CN"/>
                    </w:rPr>
                  </w:pPr>
                  <w:r>
                    <w:rPr>
                      <w:rFonts w:hint="eastAsia" w:cs="Times New Roman"/>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生活污水</w:t>
                  </w:r>
                </w:p>
                <w:p>
                  <w:pPr>
                    <w:adjustRightInd w:val="0"/>
                    <w:snapToGrid w:val="0"/>
                    <w:ind w:left="-48" w:leftChars="-23" w:right="-36" w:rightChars="-17"/>
                    <w:jc w:val="center"/>
                    <w:rPr>
                      <w:rFonts w:cs="Times New Roman"/>
                      <w:snapToGrid w:val="0"/>
                      <w:kern w:val="0"/>
                      <w:szCs w:val="21"/>
                    </w:rPr>
                  </w:pPr>
                  <w:r>
                    <w:rPr>
                      <w:rFonts w:cs="Times New Roman"/>
                      <w:szCs w:val="21"/>
                    </w:rPr>
                    <w:t>食堂废水</w:t>
                  </w:r>
                </w:p>
              </w:tc>
              <w:tc>
                <w:tcPr>
                  <w:tcW w:w="2337" w:type="pct"/>
                  <w:tcBorders>
                    <w:tl2br w:val="nil"/>
                    <w:tr2bl w:val="nil"/>
                  </w:tcBorders>
                  <w:shd w:val="clear" w:color="auto" w:fill="auto"/>
                  <w:vAlign w:val="center"/>
                </w:tcPr>
                <w:p>
                  <w:pPr>
                    <w:jc w:val="left"/>
                    <w:rPr>
                      <w:rFonts w:cs="Times New Roman"/>
                      <w:szCs w:val="21"/>
                    </w:rPr>
                  </w:pPr>
                  <w:r>
                    <w:rPr>
                      <w:rFonts w:cs="Times New Roman"/>
                      <w:szCs w:val="21"/>
                    </w:rPr>
                    <w:t>食堂废水经隔油池（新增容积1m</w:t>
                  </w:r>
                  <w:r>
                    <w:rPr>
                      <w:rFonts w:cs="Times New Roman"/>
                      <w:szCs w:val="21"/>
                      <w:vertAlign w:val="superscript"/>
                    </w:rPr>
                    <w:t>3</w:t>
                  </w:r>
                  <w:r>
                    <w:rPr>
                      <w:rFonts w:cs="Times New Roman"/>
                      <w:szCs w:val="21"/>
                    </w:rPr>
                    <w:t>）处理后同生活污水一同经厂区现有化粪池（30m</w:t>
                  </w:r>
                  <w:r>
                    <w:rPr>
                      <w:rFonts w:cs="Times New Roman"/>
                      <w:szCs w:val="21"/>
                      <w:vertAlign w:val="superscript"/>
                    </w:rPr>
                    <w:t>3</w:t>
                  </w:r>
                  <w:r>
                    <w:rPr>
                      <w:rFonts w:cs="Times New Roman"/>
                      <w:szCs w:val="21"/>
                    </w:rPr>
                    <w:t>）处理后排入园区管网进入柳池工业园区污水处理厂处理。</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cs="Times New Roman"/>
                      <w:snapToGrid w:val="0"/>
                      <w:kern w:val="0"/>
                      <w:szCs w:val="21"/>
                    </w:rPr>
                  </w:pPr>
                  <w:r>
                    <w:rPr>
                      <w:rFonts w:cs="Times New Roman"/>
                      <w:snapToGrid w:val="0"/>
                      <w:kern w:val="0"/>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szCs w:val="21"/>
                    </w:rPr>
                    <w:t>固废</w:t>
                  </w:r>
                </w:p>
              </w:tc>
              <w:tc>
                <w:tcPr>
                  <w:tcW w:w="651"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一般固废</w:t>
                  </w:r>
                </w:p>
              </w:tc>
              <w:tc>
                <w:tcPr>
                  <w:tcW w:w="2337"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生活垃圾收集后交由环卫部门清运；餐厨垃圾交由有资质的单位处理；不合格品及边角料返回生产线重新利用；废包装材料外卖给废品回收单位</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szCs w:val="21"/>
                    </w:rPr>
                  </w:pPr>
                </w:p>
              </w:tc>
              <w:tc>
                <w:tcPr>
                  <w:tcW w:w="651"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危废暂存间</w:t>
                  </w:r>
                </w:p>
              </w:tc>
              <w:tc>
                <w:tcPr>
                  <w:tcW w:w="2337"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lang w:bidi="ar"/>
                    </w:rPr>
                    <w:t>1间，位于生产车间东北侧，建筑面积15m</w:t>
                  </w:r>
                  <w:r>
                    <w:rPr>
                      <w:rFonts w:cs="Times New Roman"/>
                      <w:szCs w:val="21"/>
                      <w:vertAlign w:val="superscript"/>
                      <w:lang w:bidi="ar"/>
                    </w:rPr>
                    <w:t>2</w:t>
                  </w:r>
                  <w:r>
                    <w:rPr>
                      <w:rFonts w:cs="Times New Roman"/>
                      <w:szCs w:val="21"/>
                      <w:lang w:bidi="ar"/>
                    </w:rPr>
                    <w:t>，用于危险废物暂存。</w:t>
                  </w:r>
                  <w:r>
                    <w:rPr>
                      <w:rFonts w:cs="Times New Roman"/>
                      <w:szCs w:val="21"/>
                    </w:rPr>
                    <w:t>废危化品桶定期由厂家回收利用；废活性炭、废机油、含油抹布及手套</w:t>
                  </w:r>
                  <w:r>
                    <w:rPr>
                      <w:rFonts w:cs="Times New Roman" w:eastAsiaTheme="minorEastAsia"/>
                      <w:szCs w:val="21"/>
                    </w:rPr>
                    <w:t>收集后暂存于危废暂存间，</w:t>
                  </w:r>
                  <w:r>
                    <w:rPr>
                      <w:rFonts w:cs="Times New Roman"/>
                      <w:szCs w:val="21"/>
                    </w:rPr>
                    <w:t>交由有危废资质的单位进行处理。</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环境风险</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噪声</w:t>
                  </w:r>
                </w:p>
              </w:tc>
              <w:tc>
                <w:tcPr>
                  <w:tcW w:w="2337"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rPr>
                    <w:t>选用低噪声设备，合理布局、采取减震措施，厂房隔声等</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改扩建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地下水防渗</w:t>
                  </w:r>
                </w:p>
              </w:tc>
              <w:tc>
                <w:tcPr>
                  <w:tcW w:w="651" w:type="pct"/>
                  <w:vMerge w:val="restar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重点防渗区</w:t>
                  </w:r>
                </w:p>
              </w:tc>
              <w:tc>
                <w:tcPr>
                  <w:tcW w:w="2337" w:type="pct"/>
                  <w:tcBorders>
                    <w:tl2br w:val="nil"/>
                    <w:tr2bl w:val="nil"/>
                  </w:tcBorders>
                  <w:shd w:val="clear" w:color="auto" w:fill="auto"/>
                  <w:vAlign w:val="center"/>
                </w:tcPr>
                <w:p>
                  <w:pPr>
                    <w:tabs>
                      <w:tab w:val="left" w:pos="993"/>
                      <w:tab w:val="left" w:pos="1134"/>
                    </w:tabs>
                    <w:rPr>
                      <w:rFonts w:cs="Times New Roman"/>
                      <w:szCs w:val="21"/>
                      <w:lang w:bidi="ar"/>
                    </w:rPr>
                  </w:pPr>
                  <w:r>
                    <w:rPr>
                      <w:rFonts w:cs="Times New Roman"/>
                      <w:szCs w:val="21"/>
                      <w:lang w:bidi="ar"/>
                    </w:rPr>
                    <w:t>危废暂存间采取了防渗混凝土，铺设了高密度聚乙烯材料，采取的防渗措施可达到防渗层渗透系数≤10</w:t>
                  </w:r>
                  <w:r>
                    <w:rPr>
                      <w:rFonts w:cs="Times New Roman"/>
                      <w:szCs w:val="21"/>
                      <w:vertAlign w:val="superscript"/>
                      <w:lang w:bidi="ar"/>
                    </w:rPr>
                    <w:t>-10</w:t>
                  </w:r>
                  <w:r>
                    <w:rPr>
                      <w:rFonts w:cs="Times New Roman"/>
                      <w:szCs w:val="21"/>
                      <w:lang w:bidi="ar"/>
                    </w:rPr>
                    <w:t>cm/s要求。危废暂存间设置了围堰。</w:t>
                  </w:r>
                </w:p>
                <w:p>
                  <w:pPr>
                    <w:tabs>
                      <w:tab w:val="left" w:pos="993"/>
                      <w:tab w:val="left" w:pos="1134"/>
                    </w:tabs>
                    <w:rPr>
                      <w:rFonts w:cs="Times New Roman"/>
                      <w:szCs w:val="21"/>
                    </w:rPr>
                  </w:pPr>
                  <w:r>
                    <w:rPr>
                      <w:rFonts w:cs="Times New Roman"/>
                      <w:szCs w:val="21"/>
                      <w:lang w:bidi="ar"/>
                    </w:rPr>
                    <w:t>化粪池采取了防渗混凝土，采取的防渗措施可达到防渗层渗透系数≤10</w:t>
                  </w:r>
                  <w:r>
                    <w:rPr>
                      <w:rFonts w:cs="Times New Roman"/>
                      <w:szCs w:val="21"/>
                      <w:vertAlign w:val="superscript"/>
                      <w:lang w:bidi="ar"/>
                    </w:rPr>
                    <w:t>-7</w:t>
                  </w:r>
                  <w:r>
                    <w:rPr>
                      <w:rFonts w:cs="Times New Roman"/>
                      <w:szCs w:val="21"/>
                      <w:lang w:bidi="ar"/>
                    </w:rPr>
                    <w:t>cm/s要求。</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restart"/>
                  <w:tcBorders>
                    <w:tl2br w:val="nil"/>
                    <w:tr2bl w:val="nil"/>
                  </w:tcBorders>
                  <w:shd w:val="clear" w:color="auto" w:fill="auto"/>
                  <w:vAlign w:val="center"/>
                </w:tcPr>
                <w:p>
                  <w:pPr>
                    <w:jc w:val="center"/>
                    <w:rPr>
                      <w:rFonts w:cs="Times New Roman"/>
                      <w:szCs w:val="21"/>
                    </w:rPr>
                  </w:pPr>
                  <w:r>
                    <w:rPr>
                      <w:rFonts w:cs="Times New Roman"/>
                      <w:szCs w:val="21"/>
                    </w:rPr>
                    <w:t>环境风险</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vMerge w:val="continue"/>
                  <w:tcBorders>
                    <w:tl2br w:val="nil"/>
                    <w:tr2bl w:val="nil"/>
                  </w:tcBorders>
                  <w:shd w:val="clear" w:color="auto" w:fill="auto"/>
                  <w:vAlign w:val="center"/>
                </w:tcPr>
                <w:p>
                  <w:pPr>
                    <w:tabs>
                      <w:tab w:val="left" w:pos="993"/>
                      <w:tab w:val="left" w:pos="1134"/>
                    </w:tabs>
                    <w:jc w:val="center"/>
                    <w:rPr>
                      <w:rFonts w:cs="Times New Roman"/>
                      <w:szCs w:val="21"/>
                    </w:rPr>
                  </w:pPr>
                </w:p>
              </w:tc>
              <w:tc>
                <w:tcPr>
                  <w:tcW w:w="2337" w:type="pct"/>
                  <w:tcBorders>
                    <w:tl2br w:val="nil"/>
                    <w:tr2bl w:val="nil"/>
                  </w:tcBorders>
                  <w:shd w:val="clear" w:color="auto" w:fill="auto"/>
                  <w:vAlign w:val="center"/>
                </w:tcPr>
                <w:p>
                  <w:pPr>
                    <w:tabs>
                      <w:tab w:val="left" w:pos="993"/>
                      <w:tab w:val="left" w:pos="1134"/>
                    </w:tabs>
                    <w:rPr>
                      <w:rFonts w:cs="Times New Roman"/>
                      <w:szCs w:val="21"/>
                      <w:lang w:bidi="ar"/>
                    </w:rPr>
                  </w:pPr>
                  <w:r>
                    <w:rPr>
                      <w:rFonts w:cs="Times New Roman"/>
                      <w:szCs w:val="21"/>
                      <w:lang w:bidi="ar"/>
                    </w:rPr>
                    <w:t>危化品暂存间采取防渗混凝土+高密度聚乙烯材料进行重点防渗。防渗层渗透系数达≤10</w:t>
                  </w:r>
                  <w:r>
                    <w:rPr>
                      <w:rFonts w:cs="Times New Roman"/>
                      <w:szCs w:val="21"/>
                      <w:vertAlign w:val="superscript"/>
                      <w:lang w:bidi="ar"/>
                    </w:rPr>
                    <w:t>-7</w:t>
                  </w:r>
                  <w:r>
                    <w:rPr>
                      <w:rFonts w:cs="Times New Roman"/>
                      <w:szCs w:val="21"/>
                      <w:lang w:bidi="ar"/>
                    </w:rPr>
                    <w:t>cm/s要求，并在液体储存区设置0.1m高围堰</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一般防渗区</w:t>
                  </w:r>
                </w:p>
              </w:tc>
              <w:tc>
                <w:tcPr>
                  <w:tcW w:w="2337" w:type="pct"/>
                  <w:tcBorders>
                    <w:tl2br w:val="nil"/>
                    <w:tr2bl w:val="nil"/>
                  </w:tcBorders>
                  <w:shd w:val="clear" w:color="auto" w:fill="auto"/>
                  <w:vAlign w:val="center"/>
                </w:tcPr>
                <w:p>
                  <w:pPr>
                    <w:tabs>
                      <w:tab w:val="left" w:pos="993"/>
                      <w:tab w:val="left" w:pos="1134"/>
                    </w:tabs>
                    <w:rPr>
                      <w:rFonts w:cs="Times New Roman"/>
                      <w:szCs w:val="21"/>
                    </w:rPr>
                  </w:pPr>
                  <w:r>
                    <w:rPr>
                      <w:rFonts w:cs="Times New Roman"/>
                      <w:szCs w:val="21"/>
                    </w:rPr>
                    <w:t>其他生产区域和办公区域</w:t>
                  </w:r>
                  <w:r>
                    <w:rPr>
                      <w:rFonts w:cs="Times New Roman"/>
                      <w:szCs w:val="21"/>
                      <w:lang w:bidi="ar"/>
                    </w:rPr>
                    <w:t>采用防渗混凝土防渗，满足一般防渗要求</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bl>
          <w:p>
            <w:pPr>
              <w:spacing w:line="360" w:lineRule="auto"/>
              <w:ind w:firstLine="482" w:firstLineChars="200"/>
              <w:rPr>
                <w:rFonts w:cs="Times New Roman"/>
                <w:b/>
                <w:bCs/>
                <w:kern w:val="24"/>
                <w:sz w:val="24"/>
                <w:szCs w:val="24"/>
              </w:rPr>
            </w:pPr>
            <w:r>
              <w:rPr>
                <w:rFonts w:cs="Times New Roman"/>
                <w:b/>
                <w:bCs/>
                <w:kern w:val="24"/>
                <w:sz w:val="24"/>
                <w:szCs w:val="24"/>
              </w:rPr>
              <w:t>4、主要生产设施信息</w:t>
            </w:r>
          </w:p>
          <w:p>
            <w:pPr>
              <w:spacing w:line="360" w:lineRule="auto"/>
              <w:ind w:firstLine="480" w:firstLineChars="200"/>
              <w:rPr>
                <w:rFonts w:cs="Times New Roman"/>
                <w:kern w:val="24"/>
                <w:sz w:val="24"/>
                <w:szCs w:val="24"/>
              </w:rPr>
            </w:pPr>
            <w:r>
              <w:rPr>
                <w:rFonts w:cs="Times New Roman"/>
                <w:kern w:val="24"/>
                <w:sz w:val="24"/>
                <w:szCs w:val="24"/>
              </w:rPr>
              <w:t>本项目主要生产设施信息见表2-4。</w:t>
            </w:r>
          </w:p>
          <w:p>
            <w:pPr>
              <w:spacing w:line="360" w:lineRule="auto"/>
              <w:jc w:val="center"/>
              <w:rPr>
                <w:rFonts w:cs="Times New Roman"/>
                <w:b/>
                <w:bCs/>
                <w:sz w:val="24"/>
                <w:szCs w:val="24"/>
              </w:rPr>
            </w:pPr>
            <w:r>
              <w:rPr>
                <w:rFonts w:cs="Times New Roman"/>
                <w:b/>
                <w:bCs/>
                <w:sz w:val="24"/>
                <w:szCs w:val="24"/>
              </w:rPr>
              <w:t>表2-4 主要生产设施信息表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45"/>
              <w:gridCol w:w="2026"/>
              <w:gridCol w:w="2135"/>
              <w:gridCol w:w="2243"/>
              <w:gridCol w:w="147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jc w:val="center"/>
                    <w:rPr>
                      <w:rFonts w:cs="Times New Roman"/>
                      <w:b/>
                      <w:szCs w:val="21"/>
                    </w:rPr>
                  </w:pPr>
                  <w:r>
                    <w:rPr>
                      <w:rFonts w:cs="Times New Roman"/>
                      <w:b/>
                      <w:szCs w:val="21"/>
                    </w:rPr>
                    <w:t>序号</w:t>
                  </w:r>
                </w:p>
              </w:tc>
              <w:tc>
                <w:tcPr>
                  <w:tcW w:w="1161" w:type="pct"/>
                  <w:tcBorders>
                    <w:tl2br w:val="nil"/>
                    <w:tr2bl w:val="nil"/>
                  </w:tcBorders>
                  <w:vAlign w:val="center"/>
                </w:tcPr>
                <w:p>
                  <w:pPr>
                    <w:jc w:val="center"/>
                    <w:rPr>
                      <w:rFonts w:cs="Times New Roman"/>
                      <w:b/>
                      <w:szCs w:val="21"/>
                    </w:rPr>
                  </w:pPr>
                  <w:r>
                    <w:rPr>
                      <w:rFonts w:cs="Times New Roman"/>
                      <w:b/>
                      <w:szCs w:val="21"/>
                    </w:rPr>
                    <w:t>主要工序</w:t>
                  </w:r>
                </w:p>
              </w:tc>
              <w:tc>
                <w:tcPr>
                  <w:tcW w:w="1223" w:type="pct"/>
                  <w:tcBorders>
                    <w:tl2br w:val="nil"/>
                    <w:tr2bl w:val="nil"/>
                  </w:tcBorders>
                  <w:vAlign w:val="center"/>
                </w:tcPr>
                <w:p>
                  <w:pPr>
                    <w:jc w:val="center"/>
                    <w:rPr>
                      <w:rFonts w:cs="Times New Roman"/>
                      <w:b/>
                      <w:szCs w:val="21"/>
                    </w:rPr>
                  </w:pPr>
                  <w:r>
                    <w:rPr>
                      <w:rFonts w:cs="Times New Roman"/>
                      <w:b/>
                      <w:szCs w:val="21"/>
                    </w:rPr>
                    <w:t>主要设备名称</w:t>
                  </w:r>
                </w:p>
              </w:tc>
              <w:tc>
                <w:tcPr>
                  <w:tcW w:w="1285" w:type="pct"/>
                  <w:tcBorders>
                    <w:tl2br w:val="nil"/>
                    <w:tr2bl w:val="nil"/>
                  </w:tcBorders>
                  <w:vAlign w:val="center"/>
                </w:tcPr>
                <w:p>
                  <w:pPr>
                    <w:jc w:val="center"/>
                    <w:rPr>
                      <w:rFonts w:cs="Times New Roman"/>
                      <w:b/>
                      <w:szCs w:val="21"/>
                    </w:rPr>
                  </w:pPr>
                  <w:r>
                    <w:rPr>
                      <w:rFonts w:cs="Times New Roman"/>
                      <w:b/>
                      <w:szCs w:val="21"/>
                    </w:rPr>
                    <w:t>型号</w:t>
                  </w:r>
                </w:p>
              </w:tc>
              <w:tc>
                <w:tcPr>
                  <w:tcW w:w="845" w:type="pct"/>
                  <w:tcBorders>
                    <w:tl2br w:val="nil"/>
                    <w:tr2bl w:val="nil"/>
                  </w:tcBorders>
                  <w:vAlign w:val="center"/>
                </w:tcPr>
                <w:p>
                  <w:pPr>
                    <w:jc w:val="center"/>
                    <w:rPr>
                      <w:rFonts w:cs="Times New Roman" w:eastAsiaTheme="minorEastAsia"/>
                      <w:b/>
                      <w:szCs w:val="21"/>
                    </w:rPr>
                  </w:pPr>
                  <w:r>
                    <w:rPr>
                      <w:rFonts w:cs="Times New Roman"/>
                      <w:b/>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snapToGrid w:val="0"/>
                    <w:jc w:val="center"/>
                    <w:rPr>
                      <w:rFonts w:cs="Times New Roman"/>
                      <w:szCs w:val="21"/>
                    </w:rPr>
                  </w:pPr>
                  <w:r>
                    <w:rPr>
                      <w:rFonts w:cs="Times New Roman"/>
                      <w:b/>
                      <w:bCs/>
                      <w:szCs w:val="21"/>
                    </w:rPr>
                    <w:t>2100湿法薄毡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原料段</w:t>
                  </w:r>
                </w:p>
              </w:tc>
              <w:tc>
                <w:tcPr>
                  <w:tcW w:w="1223" w:type="pct"/>
                  <w:tcBorders>
                    <w:tl2br w:val="nil"/>
                    <w:tr2bl w:val="nil"/>
                  </w:tcBorders>
                  <w:vAlign w:val="center"/>
                </w:tcPr>
                <w:p>
                  <w:pPr>
                    <w:snapToGrid w:val="0"/>
                    <w:jc w:val="center"/>
                    <w:rPr>
                      <w:rFonts w:cs="Times New Roman"/>
                      <w:szCs w:val="21"/>
                    </w:rPr>
                  </w:pPr>
                  <w:r>
                    <w:rPr>
                      <w:rFonts w:cs="Times New Roman"/>
                      <w:szCs w:val="21"/>
                    </w:rPr>
                    <w:t>斗式提升机</w:t>
                  </w:r>
                </w:p>
              </w:tc>
              <w:tc>
                <w:tcPr>
                  <w:tcW w:w="1285" w:type="pct"/>
                  <w:tcBorders>
                    <w:tl2br w:val="nil"/>
                    <w:tr2bl w:val="nil"/>
                  </w:tcBorders>
                  <w:vAlign w:val="center"/>
                </w:tcPr>
                <w:p>
                  <w:pPr>
                    <w:snapToGrid w:val="0"/>
                    <w:jc w:val="center"/>
                    <w:rPr>
                      <w:rFonts w:cs="Times New Roman"/>
                      <w:szCs w:val="21"/>
                    </w:rPr>
                  </w:pPr>
                  <w:r>
                    <w:rPr>
                      <w:rFonts w:cs="Times New Roman"/>
                      <w:szCs w:val="21"/>
                    </w:rPr>
                    <w:t>2000kg/h 2.2kw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纤维供料机</w:t>
                  </w:r>
                </w:p>
              </w:tc>
              <w:tc>
                <w:tcPr>
                  <w:tcW w:w="1285" w:type="pct"/>
                  <w:tcBorders>
                    <w:tl2br w:val="nil"/>
                    <w:tr2bl w:val="nil"/>
                  </w:tcBorders>
                  <w:vAlign w:val="center"/>
                </w:tcPr>
                <w:p>
                  <w:pPr>
                    <w:snapToGrid w:val="0"/>
                    <w:jc w:val="center"/>
                    <w:rPr>
                      <w:rFonts w:cs="Times New Roman"/>
                      <w:szCs w:val="21"/>
                    </w:rPr>
                  </w:pPr>
                  <w:r>
                    <w:rPr>
                      <w:rFonts w:cs="Times New Roman"/>
                      <w:szCs w:val="21"/>
                    </w:rPr>
                    <w:t>2m</w:t>
                  </w:r>
                  <w:r>
                    <w:rPr>
                      <w:rFonts w:cs="Times New Roman"/>
                      <w:szCs w:val="21"/>
                      <w:vertAlign w:val="superscript"/>
                    </w:rPr>
                    <w:t>3</w:t>
                  </w:r>
                  <w:r>
                    <w:rPr>
                      <w:rFonts w:cs="Times New Roman"/>
                      <w:szCs w:val="21"/>
                    </w:rPr>
                    <w:t xml:space="preserve"> 1.5kw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JGC-40称重给料机</w:t>
                  </w:r>
                </w:p>
              </w:tc>
              <w:tc>
                <w:tcPr>
                  <w:tcW w:w="1285" w:type="pct"/>
                  <w:tcBorders>
                    <w:tl2br w:val="nil"/>
                    <w:tr2bl w:val="nil"/>
                  </w:tcBorders>
                  <w:vAlign w:val="center"/>
                </w:tcPr>
                <w:p>
                  <w:pPr>
                    <w:snapToGrid w:val="0"/>
                    <w:jc w:val="center"/>
                    <w:rPr>
                      <w:rFonts w:cs="Times New Roman"/>
                      <w:szCs w:val="21"/>
                    </w:rPr>
                  </w:pPr>
                  <w:r>
                    <w:rPr>
                      <w:rFonts w:cs="Times New Roman"/>
                      <w:szCs w:val="21"/>
                    </w:rPr>
                    <w:t>5-30kg/min 1.5kw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浆料系统</w:t>
                  </w:r>
                </w:p>
              </w:tc>
              <w:tc>
                <w:tcPr>
                  <w:tcW w:w="1223" w:type="pct"/>
                  <w:tcBorders>
                    <w:tl2br w:val="nil"/>
                    <w:tr2bl w:val="nil"/>
                  </w:tcBorders>
                  <w:vAlign w:val="center"/>
                </w:tcPr>
                <w:p>
                  <w:pPr>
                    <w:snapToGrid w:val="0"/>
                    <w:jc w:val="center"/>
                    <w:rPr>
                      <w:rFonts w:cs="Times New Roman"/>
                      <w:szCs w:val="21"/>
                    </w:rPr>
                  </w:pPr>
                  <w:r>
                    <w:rPr>
                      <w:rFonts w:cs="Times New Roman"/>
                      <w:szCs w:val="21"/>
                    </w:rPr>
                    <w:t>8m</w:t>
                  </w:r>
                  <w:r>
                    <w:rPr>
                      <w:rFonts w:cs="Times New Roman"/>
                      <w:szCs w:val="21"/>
                      <w:vertAlign w:val="superscript"/>
                    </w:rPr>
                    <w:t>3</w:t>
                  </w:r>
                  <w:r>
                    <w:rPr>
                      <w:rFonts w:cs="Times New Roman"/>
                      <w:szCs w:val="21"/>
                    </w:rPr>
                    <w:t>打浆罐</w:t>
                  </w:r>
                </w:p>
              </w:tc>
              <w:tc>
                <w:tcPr>
                  <w:tcW w:w="1285" w:type="pct"/>
                  <w:tcBorders>
                    <w:tl2br w:val="nil"/>
                    <w:tr2bl w:val="nil"/>
                  </w:tcBorders>
                  <w:vAlign w:val="center"/>
                </w:tcPr>
                <w:p>
                  <w:pPr>
                    <w:snapToGrid w:val="0"/>
                    <w:jc w:val="center"/>
                    <w:rPr>
                      <w:rFonts w:cs="Times New Roman"/>
                      <w:szCs w:val="21"/>
                    </w:rPr>
                  </w:pPr>
                  <w:r>
                    <w:rPr>
                      <w:rFonts w:cs="Times New Roman"/>
                      <w:szCs w:val="21"/>
                    </w:rPr>
                    <w:t>37kw-6</w:t>
                  </w: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5</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40m</w:t>
                  </w:r>
                  <w:r>
                    <w:rPr>
                      <w:rFonts w:cs="Times New Roman"/>
                      <w:szCs w:val="21"/>
                      <w:vertAlign w:val="superscript"/>
                    </w:rPr>
                    <w:t>3</w:t>
                  </w:r>
                  <w:r>
                    <w:rPr>
                      <w:rFonts w:cs="Times New Roman"/>
                      <w:szCs w:val="21"/>
                    </w:rPr>
                    <w:t>料浆罐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3个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6</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料浆罐搅拌装置</w:t>
                  </w:r>
                </w:p>
              </w:tc>
              <w:tc>
                <w:tcPr>
                  <w:tcW w:w="1285" w:type="pct"/>
                  <w:tcBorders>
                    <w:tl2br w:val="nil"/>
                    <w:tr2bl w:val="nil"/>
                  </w:tcBorders>
                  <w:vAlign w:val="center"/>
                </w:tcPr>
                <w:p>
                  <w:pPr>
                    <w:snapToGrid w:val="0"/>
                    <w:jc w:val="center"/>
                    <w:rPr>
                      <w:rFonts w:cs="Times New Roman"/>
                      <w:szCs w:val="21"/>
                    </w:rPr>
                  </w:pPr>
                  <w:r>
                    <w:rPr>
                      <w:rFonts w:cs="Times New Roman"/>
                      <w:szCs w:val="21"/>
                    </w:rPr>
                    <w:t>15kw-6</w:t>
                  </w:r>
                </w:p>
              </w:tc>
              <w:tc>
                <w:tcPr>
                  <w:tcW w:w="845" w:type="pct"/>
                  <w:tcBorders>
                    <w:tl2br w:val="nil"/>
                    <w:tr2bl w:val="nil"/>
                  </w:tcBorders>
                  <w:vAlign w:val="center"/>
                </w:tcPr>
                <w:p>
                  <w:pPr>
                    <w:snapToGrid w:val="0"/>
                    <w:jc w:val="center"/>
                    <w:rPr>
                      <w:rFonts w:cs="Times New Roman"/>
                      <w:szCs w:val="21"/>
                    </w:rPr>
                  </w:pPr>
                  <w:r>
                    <w:rPr>
                      <w:rFonts w:cs="Times New Roman"/>
                      <w:szCs w:val="21"/>
                    </w:rPr>
                    <w:t>3台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7</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白水罐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8</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溢水罐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9</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废浆罐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10</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输送泵</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11</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喂料泵</w:t>
                  </w:r>
                </w:p>
              </w:tc>
              <w:tc>
                <w:tcPr>
                  <w:tcW w:w="1285" w:type="pct"/>
                  <w:tcBorders>
                    <w:tl2br w:val="nil"/>
                    <w:tr2bl w:val="nil"/>
                  </w:tcBorders>
                  <w:vAlign w:val="center"/>
                </w:tcPr>
                <w:p>
                  <w:pPr>
                    <w:snapToGrid w:val="0"/>
                    <w:jc w:val="center"/>
                    <w:rPr>
                      <w:rFonts w:cs="Times New Roman"/>
                      <w:szCs w:val="21"/>
                    </w:rPr>
                  </w:pPr>
                  <w:r>
                    <w:rPr>
                      <w:rFonts w:cs="Times New Roman"/>
                      <w:szCs w:val="21"/>
                    </w:rPr>
                    <w:t>Q=280m</w:t>
                  </w:r>
                  <w:r>
                    <w:rPr>
                      <w:rFonts w:cs="Times New Roman"/>
                      <w:szCs w:val="21"/>
                      <w:vertAlign w:val="superscript"/>
                    </w:rPr>
                    <w:t>3</w:t>
                  </w:r>
                  <w:r>
                    <w:rPr>
                      <w:rFonts w:cs="Times New Roman"/>
                      <w:szCs w:val="21"/>
                    </w:rPr>
                    <w:t>/h，H=15m</w:t>
                  </w:r>
                </w:p>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12</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白水循环泵</w:t>
                  </w:r>
                </w:p>
              </w:tc>
              <w:tc>
                <w:tcPr>
                  <w:tcW w:w="1285" w:type="pct"/>
                  <w:tcBorders>
                    <w:tl2br w:val="nil"/>
                    <w:tr2bl w:val="nil"/>
                  </w:tcBorders>
                  <w:vAlign w:val="center"/>
                </w:tcPr>
                <w:p>
                  <w:pPr>
                    <w:snapToGrid w:val="0"/>
                    <w:jc w:val="center"/>
                    <w:rPr>
                      <w:rFonts w:cs="Times New Roman"/>
                      <w:szCs w:val="21"/>
                    </w:rPr>
                  </w:pPr>
                  <w:r>
                    <w:rPr>
                      <w:rFonts w:cs="Times New Roman"/>
                      <w:szCs w:val="21"/>
                    </w:rPr>
                    <w:t>Q=3000m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H=13m</w:t>
                  </w:r>
                </w:p>
                <w:p>
                  <w:pPr>
                    <w:snapToGrid w:val="0"/>
                    <w:jc w:val="center"/>
                    <w:rPr>
                      <w:rFonts w:cs="Times New Roman"/>
                      <w:szCs w:val="21"/>
                    </w:rPr>
                  </w:pPr>
                  <w:r>
                    <w:rPr>
                      <w:rFonts w:cs="Times New Roman"/>
                      <w:szCs w:val="21"/>
                    </w:rPr>
                    <w:t>N=160kw-6</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13</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废浆罐回水泵</w:t>
                  </w:r>
                </w:p>
              </w:tc>
              <w:tc>
                <w:tcPr>
                  <w:tcW w:w="1285" w:type="pct"/>
                  <w:tcBorders>
                    <w:tl2br w:val="nil"/>
                    <w:tr2bl w:val="nil"/>
                  </w:tcBorders>
                  <w:vAlign w:val="center"/>
                </w:tcPr>
                <w:p>
                  <w:pPr>
                    <w:snapToGrid w:val="0"/>
                    <w:jc w:val="center"/>
                    <w:rPr>
                      <w:rFonts w:cs="Times New Roman"/>
                      <w:szCs w:val="21"/>
                    </w:rPr>
                  </w:pPr>
                  <w:r>
                    <w:rPr>
                      <w:rFonts w:cs="Times New Roman"/>
                      <w:szCs w:val="21"/>
                    </w:rPr>
                    <w:t>Q=280m</w:t>
                  </w:r>
                  <w:r>
                    <w:rPr>
                      <w:rFonts w:cs="Times New Roman"/>
                      <w:szCs w:val="21"/>
                      <w:vertAlign w:val="superscript"/>
                    </w:rPr>
                    <w:t>3</w:t>
                  </w:r>
                  <w:r>
                    <w:rPr>
                      <w:rFonts w:cs="Times New Roman"/>
                      <w:szCs w:val="21"/>
                    </w:rPr>
                    <w:t>/h、H=15m N=18.5kw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14</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喷淋泵</w:t>
                  </w:r>
                </w:p>
              </w:tc>
              <w:tc>
                <w:tcPr>
                  <w:tcW w:w="1285" w:type="pct"/>
                  <w:tcBorders>
                    <w:tl2br w:val="nil"/>
                    <w:tr2bl w:val="nil"/>
                  </w:tcBorders>
                  <w:vAlign w:val="center"/>
                </w:tcPr>
                <w:p>
                  <w:pPr>
                    <w:snapToGrid w:val="0"/>
                    <w:jc w:val="center"/>
                    <w:rPr>
                      <w:rFonts w:cs="Times New Roman"/>
                      <w:szCs w:val="21"/>
                    </w:rPr>
                  </w:pPr>
                  <w:r>
                    <w:rPr>
                      <w:rFonts w:cs="Times New Roman"/>
                      <w:szCs w:val="21"/>
                    </w:rPr>
                    <w:t>Q=50m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H=80m N=22kw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15</w:t>
                  </w:r>
                </w:p>
              </w:tc>
              <w:tc>
                <w:tcPr>
                  <w:tcW w:w="1161" w:type="pct"/>
                  <w:vMerge w:val="restart"/>
                  <w:tcBorders>
                    <w:tl2br w:val="nil"/>
                    <w:tr2bl w:val="nil"/>
                  </w:tcBorders>
                  <w:vAlign w:val="center"/>
                </w:tcPr>
                <w:p>
                  <w:pPr>
                    <w:jc w:val="center"/>
                    <w:rPr>
                      <w:rFonts w:cs="Times New Roman"/>
                      <w:szCs w:val="21"/>
                    </w:rPr>
                  </w:pPr>
                  <w:r>
                    <w:rPr>
                      <w:rFonts w:cs="Times New Roman"/>
                      <w:szCs w:val="21"/>
                    </w:rPr>
                    <w:t>脱水系统</w:t>
                  </w:r>
                </w:p>
              </w:tc>
              <w:tc>
                <w:tcPr>
                  <w:tcW w:w="1223" w:type="pct"/>
                  <w:tcBorders>
                    <w:tl2br w:val="nil"/>
                    <w:tr2bl w:val="nil"/>
                  </w:tcBorders>
                  <w:vAlign w:val="center"/>
                </w:tcPr>
                <w:p>
                  <w:pPr>
                    <w:snapToGrid w:val="0"/>
                    <w:jc w:val="center"/>
                    <w:rPr>
                      <w:rFonts w:cs="Times New Roman"/>
                      <w:szCs w:val="21"/>
                    </w:rPr>
                  </w:pPr>
                  <w:r>
                    <w:rPr>
                      <w:rFonts w:cs="Times New Roman"/>
                      <w:szCs w:val="21"/>
                    </w:rPr>
                    <w:t>成型抽吸风机Ⅰ</w:t>
                  </w:r>
                </w:p>
              </w:tc>
              <w:tc>
                <w:tcPr>
                  <w:tcW w:w="1285" w:type="pct"/>
                  <w:tcBorders>
                    <w:tl2br w:val="nil"/>
                    <w:tr2bl w:val="nil"/>
                  </w:tcBorders>
                  <w:vAlign w:val="center"/>
                </w:tcPr>
                <w:p>
                  <w:pPr>
                    <w:snapToGrid w:val="0"/>
                    <w:jc w:val="center"/>
                    <w:rPr>
                      <w:rFonts w:cs="Times New Roman"/>
                      <w:szCs w:val="21"/>
                    </w:rPr>
                  </w:pPr>
                  <w:r>
                    <w:rPr>
                      <w:rFonts w:cs="Times New Roman"/>
                      <w:szCs w:val="21"/>
                    </w:rPr>
                    <w:t>Q=2887m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H=16476PaN=30kw变频调节风量</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16</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成型抽吸风机Ⅱ</w:t>
                  </w:r>
                </w:p>
              </w:tc>
              <w:tc>
                <w:tcPr>
                  <w:tcW w:w="1285" w:type="pct"/>
                  <w:tcBorders>
                    <w:tl2br w:val="nil"/>
                    <w:tr2bl w:val="nil"/>
                  </w:tcBorders>
                  <w:vAlign w:val="center"/>
                </w:tcPr>
                <w:p>
                  <w:pPr>
                    <w:snapToGrid w:val="0"/>
                    <w:jc w:val="center"/>
                    <w:rPr>
                      <w:rFonts w:cs="Times New Roman"/>
                      <w:szCs w:val="21"/>
                    </w:rPr>
                  </w:pPr>
                  <w:r>
                    <w:rPr>
                      <w:rFonts w:cs="Times New Roman"/>
                      <w:szCs w:val="21"/>
                    </w:rPr>
                    <w:t>Q=3331m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H=16025PaN=37kw变频调节风量</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eastAsiaTheme="minorEastAsia"/>
                      <w:szCs w:val="21"/>
                    </w:rPr>
                  </w:pPr>
                  <w:r>
                    <w:rPr>
                      <w:rFonts w:cs="Times New Roman"/>
                      <w:kern w:val="0"/>
                      <w:sz w:val="22"/>
                      <w:lang w:bidi="ar"/>
                    </w:rPr>
                    <w:t>17</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一级气水分离罐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3个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18</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二级分离罐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3个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19</w:t>
                  </w:r>
                </w:p>
              </w:tc>
              <w:tc>
                <w:tcPr>
                  <w:tcW w:w="1161" w:type="pct"/>
                  <w:vMerge w:val="restart"/>
                  <w:tcBorders>
                    <w:tl2br w:val="nil"/>
                    <w:tr2bl w:val="nil"/>
                  </w:tcBorders>
                  <w:vAlign w:val="center"/>
                </w:tcPr>
                <w:p>
                  <w:pPr>
                    <w:jc w:val="center"/>
                    <w:rPr>
                      <w:rFonts w:cs="Times New Roman" w:eastAsiaTheme="minorEastAsia"/>
                      <w:szCs w:val="21"/>
                    </w:rPr>
                  </w:pPr>
                  <w:r>
                    <w:rPr>
                      <w:rFonts w:cs="Times New Roman" w:eastAsiaTheme="minorEastAsia"/>
                      <w:szCs w:val="21"/>
                    </w:rPr>
                    <w:t>预粘接剂制备系统</w:t>
                  </w:r>
                </w:p>
              </w:tc>
              <w:tc>
                <w:tcPr>
                  <w:tcW w:w="1223" w:type="pct"/>
                  <w:tcBorders>
                    <w:tl2br w:val="nil"/>
                    <w:tr2bl w:val="nil"/>
                  </w:tcBorders>
                  <w:vAlign w:val="center"/>
                </w:tcPr>
                <w:p>
                  <w:pPr>
                    <w:jc w:val="center"/>
                    <w:rPr>
                      <w:rFonts w:cs="Times New Roman"/>
                      <w:szCs w:val="21"/>
                    </w:rPr>
                  </w:pPr>
                  <w:r>
                    <w:rPr>
                      <w:rFonts w:cs="Times New Roman"/>
                      <w:szCs w:val="21"/>
                    </w:rPr>
                    <w:t>添加剂搅拌罐</w:t>
                  </w:r>
                </w:p>
              </w:tc>
              <w:tc>
                <w:tcPr>
                  <w:tcW w:w="1285" w:type="pct"/>
                  <w:tcBorders>
                    <w:tl2br w:val="nil"/>
                    <w:tr2bl w:val="nil"/>
                  </w:tcBorders>
                  <w:vAlign w:val="center"/>
                </w:tcPr>
                <w:p>
                  <w:pPr>
                    <w:jc w:val="center"/>
                    <w:rPr>
                      <w:rFonts w:cs="Times New Roman"/>
                      <w:szCs w:val="21"/>
                    </w:rPr>
                  </w:pPr>
                  <w:r>
                    <w:rPr>
                      <w:rFonts w:cs="Times New Roman"/>
                      <w:szCs w:val="21"/>
                    </w:rPr>
                    <w:t>0.2m</w:t>
                  </w:r>
                  <w:r>
                    <w:rPr>
                      <w:rFonts w:cs="Times New Roman"/>
                      <w:szCs w:val="21"/>
                      <w:vertAlign w:val="superscript"/>
                    </w:rPr>
                    <w:t>3</w:t>
                  </w:r>
                </w:p>
              </w:tc>
              <w:tc>
                <w:tcPr>
                  <w:tcW w:w="845" w:type="pct"/>
                  <w:tcBorders>
                    <w:tl2br w:val="nil"/>
                    <w:tr2bl w:val="nil"/>
                  </w:tcBorders>
                  <w:vAlign w:val="center"/>
                </w:tcPr>
                <w:p>
                  <w:pPr>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eastAsiaTheme="minorEastAsia"/>
                      <w:bCs/>
                      <w:szCs w:val="21"/>
                    </w:rPr>
                  </w:pPr>
                  <w:r>
                    <w:rPr>
                      <w:rFonts w:cs="Times New Roman"/>
                      <w:kern w:val="0"/>
                      <w:sz w:val="22"/>
                      <w:lang w:bidi="ar"/>
                    </w:rPr>
                    <w:t>20</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jc w:val="center"/>
                    <w:rPr>
                      <w:rFonts w:cs="Times New Roman"/>
                      <w:szCs w:val="21"/>
                    </w:rPr>
                  </w:pPr>
                  <w:r>
                    <w:rPr>
                      <w:rFonts w:cs="Times New Roman"/>
                      <w:szCs w:val="21"/>
                    </w:rPr>
                    <w:t>添加剂贮罐</w:t>
                  </w:r>
                </w:p>
              </w:tc>
              <w:tc>
                <w:tcPr>
                  <w:tcW w:w="1285" w:type="pct"/>
                  <w:tcBorders>
                    <w:tl2br w:val="nil"/>
                    <w:tr2bl w:val="nil"/>
                  </w:tcBorders>
                  <w:vAlign w:val="center"/>
                </w:tcPr>
                <w:p>
                  <w:pPr>
                    <w:jc w:val="center"/>
                    <w:rPr>
                      <w:rFonts w:cs="Times New Roman"/>
                      <w:szCs w:val="21"/>
                    </w:rPr>
                  </w:pPr>
                  <w:r>
                    <w:rPr>
                      <w:rFonts w:cs="Times New Roman"/>
                      <w:szCs w:val="21"/>
                    </w:rPr>
                    <w:t>0.3m</w:t>
                  </w:r>
                  <w:r>
                    <w:rPr>
                      <w:rFonts w:cs="Times New Roman"/>
                      <w:szCs w:val="21"/>
                      <w:vertAlign w:val="superscript"/>
                    </w:rPr>
                    <w:t>3</w:t>
                  </w:r>
                </w:p>
              </w:tc>
              <w:tc>
                <w:tcPr>
                  <w:tcW w:w="845" w:type="pct"/>
                  <w:tcBorders>
                    <w:tl2br w:val="nil"/>
                    <w:tr2bl w:val="nil"/>
                  </w:tcBorders>
                  <w:vAlign w:val="center"/>
                </w:tcPr>
                <w:p>
                  <w:pPr>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21</w:t>
                  </w:r>
                </w:p>
              </w:tc>
              <w:tc>
                <w:tcPr>
                  <w:tcW w:w="1161" w:type="pct"/>
                  <w:vMerge w:val="continue"/>
                  <w:tcBorders>
                    <w:tl2br w:val="nil"/>
                    <w:tr2bl w:val="nil"/>
                  </w:tcBorders>
                  <w:vAlign w:val="center"/>
                </w:tcPr>
                <w:p>
                  <w:pPr>
                    <w:jc w:val="center"/>
                    <w:rPr>
                      <w:rFonts w:cs="Times New Roman"/>
                      <w:bCs/>
                      <w:szCs w:val="21"/>
                    </w:rPr>
                  </w:pPr>
                </w:p>
              </w:tc>
              <w:tc>
                <w:tcPr>
                  <w:tcW w:w="1223" w:type="pct"/>
                  <w:tcBorders>
                    <w:tl2br w:val="nil"/>
                    <w:tr2bl w:val="nil"/>
                  </w:tcBorders>
                  <w:vAlign w:val="center"/>
                </w:tcPr>
                <w:p>
                  <w:pPr>
                    <w:jc w:val="center"/>
                    <w:rPr>
                      <w:rFonts w:cs="Times New Roman"/>
                      <w:szCs w:val="21"/>
                    </w:rPr>
                  </w:pPr>
                  <w:r>
                    <w:rPr>
                      <w:rFonts w:cs="Times New Roman"/>
                      <w:szCs w:val="21"/>
                    </w:rPr>
                    <w:t>增稠剂贮罐</w:t>
                  </w:r>
                </w:p>
              </w:tc>
              <w:tc>
                <w:tcPr>
                  <w:tcW w:w="1285" w:type="pct"/>
                  <w:tcBorders>
                    <w:tl2br w:val="nil"/>
                    <w:tr2bl w:val="nil"/>
                  </w:tcBorders>
                  <w:vAlign w:val="center"/>
                </w:tcPr>
                <w:p>
                  <w:pPr>
                    <w:jc w:val="center"/>
                    <w:rPr>
                      <w:rFonts w:cs="Times New Roman"/>
                      <w:szCs w:val="21"/>
                    </w:rPr>
                  </w:pPr>
                  <w:r>
                    <w:rPr>
                      <w:rFonts w:cs="Times New Roman"/>
                      <w:szCs w:val="21"/>
                    </w:rPr>
                    <w:t>4m</w:t>
                  </w:r>
                  <w:r>
                    <w:rPr>
                      <w:rFonts w:cs="Times New Roman"/>
                      <w:szCs w:val="21"/>
                      <w:vertAlign w:val="superscript"/>
                    </w:rPr>
                    <w:t>3</w:t>
                  </w:r>
                </w:p>
              </w:tc>
              <w:tc>
                <w:tcPr>
                  <w:tcW w:w="845" w:type="pct"/>
                  <w:tcBorders>
                    <w:tl2br w:val="nil"/>
                    <w:tr2bl w:val="nil"/>
                  </w:tcBorders>
                  <w:vAlign w:val="center"/>
                </w:tcPr>
                <w:p>
                  <w:pPr>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eastAsiaTheme="minorEastAsia"/>
                      <w:szCs w:val="21"/>
                    </w:rPr>
                  </w:pPr>
                  <w:r>
                    <w:rPr>
                      <w:rFonts w:cs="Times New Roman"/>
                      <w:kern w:val="0"/>
                      <w:sz w:val="22"/>
                      <w:lang w:bidi="ar"/>
                    </w:rPr>
                    <w:t>22</w:t>
                  </w:r>
                </w:p>
              </w:tc>
              <w:tc>
                <w:tcPr>
                  <w:tcW w:w="1161" w:type="pct"/>
                  <w:vMerge w:val="continue"/>
                  <w:tcBorders>
                    <w:tl2br w:val="nil"/>
                    <w:tr2bl w:val="nil"/>
                  </w:tcBorders>
                  <w:vAlign w:val="center"/>
                </w:tcPr>
                <w:p>
                  <w:pPr>
                    <w:jc w:val="center"/>
                    <w:rPr>
                      <w:rFonts w:cs="Times New Roman" w:eastAsiaTheme="minorEastAsia"/>
                      <w:bCs/>
                      <w:szCs w:val="21"/>
                    </w:rPr>
                  </w:pPr>
                </w:p>
              </w:tc>
              <w:tc>
                <w:tcPr>
                  <w:tcW w:w="1223" w:type="pct"/>
                  <w:tcBorders>
                    <w:tl2br w:val="nil"/>
                    <w:tr2bl w:val="nil"/>
                  </w:tcBorders>
                  <w:vAlign w:val="center"/>
                </w:tcPr>
                <w:p>
                  <w:pPr>
                    <w:jc w:val="center"/>
                    <w:rPr>
                      <w:rFonts w:cs="Times New Roman"/>
                      <w:szCs w:val="21"/>
                    </w:rPr>
                  </w:pPr>
                  <w:r>
                    <w:rPr>
                      <w:rFonts w:cs="Times New Roman"/>
                      <w:szCs w:val="21"/>
                    </w:rPr>
                    <w:t>增稠剂搅拌罐</w:t>
                  </w:r>
                </w:p>
              </w:tc>
              <w:tc>
                <w:tcPr>
                  <w:tcW w:w="1285" w:type="pct"/>
                  <w:tcBorders>
                    <w:tl2br w:val="nil"/>
                    <w:tr2bl w:val="nil"/>
                  </w:tcBorders>
                  <w:vAlign w:val="center"/>
                </w:tcPr>
                <w:p>
                  <w:pPr>
                    <w:jc w:val="center"/>
                    <w:rPr>
                      <w:rFonts w:cs="Times New Roman"/>
                      <w:szCs w:val="21"/>
                    </w:rPr>
                  </w:pPr>
                  <w:r>
                    <w:rPr>
                      <w:rFonts w:cs="Times New Roman"/>
                      <w:szCs w:val="21"/>
                    </w:rPr>
                    <w:t>4m</w:t>
                  </w:r>
                  <w:r>
                    <w:rPr>
                      <w:rFonts w:cs="Times New Roman"/>
                      <w:szCs w:val="21"/>
                      <w:vertAlign w:val="superscript"/>
                    </w:rPr>
                    <w:t>3</w:t>
                  </w:r>
                </w:p>
              </w:tc>
              <w:tc>
                <w:tcPr>
                  <w:tcW w:w="845" w:type="pct"/>
                  <w:tcBorders>
                    <w:tl2br w:val="nil"/>
                    <w:tr2bl w:val="nil"/>
                  </w:tcBorders>
                  <w:vAlign w:val="center"/>
                </w:tcPr>
                <w:p>
                  <w:pPr>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23</w:t>
                  </w:r>
                </w:p>
              </w:tc>
              <w:tc>
                <w:tcPr>
                  <w:tcW w:w="1161" w:type="pct"/>
                  <w:vMerge w:val="continue"/>
                  <w:tcBorders>
                    <w:tl2br w:val="nil"/>
                    <w:tr2bl w:val="nil"/>
                  </w:tcBorders>
                  <w:vAlign w:val="center"/>
                </w:tcPr>
                <w:p>
                  <w:pPr>
                    <w:jc w:val="center"/>
                    <w:rPr>
                      <w:rFonts w:cs="Times New Roman"/>
                      <w:bCs/>
                      <w:szCs w:val="21"/>
                    </w:rPr>
                  </w:pPr>
                </w:p>
              </w:tc>
              <w:tc>
                <w:tcPr>
                  <w:tcW w:w="1223" w:type="pct"/>
                  <w:tcBorders>
                    <w:tl2br w:val="nil"/>
                    <w:tr2bl w:val="nil"/>
                  </w:tcBorders>
                  <w:vAlign w:val="center"/>
                </w:tcPr>
                <w:p>
                  <w:pPr>
                    <w:jc w:val="center"/>
                    <w:rPr>
                      <w:rFonts w:cs="Times New Roman"/>
                      <w:szCs w:val="21"/>
                    </w:rPr>
                  </w:pPr>
                  <w:r>
                    <w:rPr>
                      <w:rFonts w:cs="Times New Roman"/>
                      <w:szCs w:val="21"/>
                    </w:rPr>
                    <w:t>计量泵</w:t>
                  </w:r>
                </w:p>
                <w:p>
                  <w:pPr>
                    <w:jc w:val="center"/>
                    <w:rPr>
                      <w:rFonts w:cs="Times New Roman"/>
                      <w:szCs w:val="21"/>
                    </w:rPr>
                  </w:pPr>
                  <w:r>
                    <w:rPr>
                      <w:rFonts w:cs="Times New Roman"/>
                      <w:szCs w:val="21"/>
                    </w:rPr>
                    <w:t>（增稠剂）</w:t>
                  </w:r>
                </w:p>
              </w:tc>
              <w:tc>
                <w:tcPr>
                  <w:tcW w:w="1285" w:type="pct"/>
                  <w:tcBorders>
                    <w:tl2br w:val="nil"/>
                    <w:tr2bl w:val="nil"/>
                  </w:tcBorders>
                  <w:vAlign w:val="center"/>
                </w:tcPr>
                <w:p>
                  <w:pPr>
                    <w:jc w:val="center"/>
                    <w:rPr>
                      <w:rFonts w:cs="Times New Roman"/>
                      <w:szCs w:val="21"/>
                    </w:rPr>
                  </w:pPr>
                  <w:r>
                    <w:rPr>
                      <w:rFonts w:cs="Times New Roman"/>
                      <w:szCs w:val="21"/>
                    </w:rPr>
                    <w:t>Q=2000L/h</w:t>
                  </w:r>
                </w:p>
                <w:p>
                  <w:pPr>
                    <w:jc w:val="center"/>
                    <w:rPr>
                      <w:rFonts w:cs="Times New Roman"/>
                      <w:szCs w:val="21"/>
                    </w:rPr>
                  </w:pPr>
                  <w:r>
                    <w:rPr>
                      <w:rFonts w:cs="Times New Roman"/>
                      <w:szCs w:val="21"/>
                    </w:rPr>
                    <w:t>P=0.5MPa</w:t>
                  </w:r>
                </w:p>
              </w:tc>
              <w:tc>
                <w:tcPr>
                  <w:tcW w:w="845" w:type="pct"/>
                  <w:tcBorders>
                    <w:tl2br w:val="nil"/>
                    <w:tr2bl w:val="nil"/>
                  </w:tcBorders>
                  <w:vAlign w:val="center"/>
                </w:tcPr>
                <w:p>
                  <w:pPr>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24</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jc w:val="center"/>
                    <w:rPr>
                      <w:rFonts w:cs="Times New Roman"/>
                      <w:szCs w:val="21"/>
                    </w:rPr>
                  </w:pPr>
                  <w:r>
                    <w:rPr>
                      <w:rFonts w:cs="Times New Roman"/>
                      <w:szCs w:val="21"/>
                    </w:rPr>
                    <w:t>计量泵2</w:t>
                  </w:r>
                </w:p>
                <w:p>
                  <w:pPr>
                    <w:jc w:val="center"/>
                    <w:rPr>
                      <w:rFonts w:cs="Times New Roman"/>
                      <w:szCs w:val="21"/>
                    </w:rPr>
                  </w:pPr>
                  <w:r>
                    <w:rPr>
                      <w:rFonts w:cs="Times New Roman"/>
                      <w:szCs w:val="21"/>
                    </w:rPr>
                    <w:t>（消泡剂）</w:t>
                  </w:r>
                </w:p>
              </w:tc>
              <w:tc>
                <w:tcPr>
                  <w:tcW w:w="1285" w:type="pct"/>
                  <w:tcBorders>
                    <w:tl2br w:val="nil"/>
                    <w:tr2bl w:val="nil"/>
                  </w:tcBorders>
                  <w:vAlign w:val="center"/>
                </w:tcPr>
                <w:p>
                  <w:pPr>
                    <w:jc w:val="center"/>
                    <w:rPr>
                      <w:rFonts w:cs="Times New Roman"/>
                      <w:szCs w:val="21"/>
                    </w:rPr>
                  </w:pPr>
                  <w:r>
                    <w:rPr>
                      <w:rFonts w:cs="Times New Roman"/>
                      <w:szCs w:val="21"/>
                    </w:rPr>
                    <w:t>Q=80L/h</w:t>
                  </w:r>
                </w:p>
                <w:p>
                  <w:pPr>
                    <w:jc w:val="center"/>
                    <w:rPr>
                      <w:rFonts w:cs="Times New Roman"/>
                      <w:szCs w:val="21"/>
                    </w:rPr>
                  </w:pPr>
                  <w:r>
                    <w:rPr>
                      <w:rFonts w:cs="Times New Roman"/>
                      <w:szCs w:val="21"/>
                    </w:rPr>
                    <w:t>P=0.4MPa</w:t>
                  </w:r>
                </w:p>
              </w:tc>
              <w:tc>
                <w:tcPr>
                  <w:tcW w:w="845" w:type="pct"/>
                  <w:tcBorders>
                    <w:tl2br w:val="nil"/>
                    <w:tr2bl w:val="nil"/>
                  </w:tcBorders>
                  <w:vAlign w:val="center"/>
                </w:tcPr>
                <w:p>
                  <w:pPr>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25</w:t>
                  </w:r>
                </w:p>
              </w:tc>
              <w:tc>
                <w:tcPr>
                  <w:tcW w:w="1161" w:type="pct"/>
                  <w:vMerge w:val="restart"/>
                  <w:tcBorders>
                    <w:tl2br w:val="nil"/>
                    <w:tr2bl w:val="nil"/>
                  </w:tcBorders>
                  <w:vAlign w:val="center"/>
                </w:tcPr>
                <w:p>
                  <w:pPr>
                    <w:jc w:val="center"/>
                    <w:rPr>
                      <w:rFonts w:cs="Times New Roman"/>
                      <w:szCs w:val="21"/>
                    </w:rPr>
                  </w:pPr>
                  <w:r>
                    <w:rPr>
                      <w:rFonts w:cs="Times New Roman"/>
                      <w:szCs w:val="21"/>
                    </w:rPr>
                    <w:t>粘接剂制备系统</w:t>
                  </w:r>
                </w:p>
              </w:tc>
              <w:tc>
                <w:tcPr>
                  <w:tcW w:w="1223" w:type="pct"/>
                  <w:tcBorders>
                    <w:tl2br w:val="nil"/>
                    <w:tr2bl w:val="nil"/>
                  </w:tcBorders>
                  <w:vAlign w:val="center"/>
                </w:tcPr>
                <w:p>
                  <w:pPr>
                    <w:jc w:val="center"/>
                    <w:rPr>
                      <w:rFonts w:cs="Times New Roman"/>
                      <w:szCs w:val="21"/>
                    </w:rPr>
                  </w:pPr>
                  <w:r>
                    <w:rPr>
                      <w:rFonts w:cs="Times New Roman"/>
                      <w:szCs w:val="21"/>
                    </w:rPr>
                    <w:t>粘接剂搅拌罐</w:t>
                  </w:r>
                </w:p>
              </w:tc>
              <w:tc>
                <w:tcPr>
                  <w:tcW w:w="1285" w:type="pct"/>
                  <w:tcBorders>
                    <w:tl2br w:val="nil"/>
                    <w:tr2bl w:val="nil"/>
                  </w:tcBorders>
                  <w:vAlign w:val="center"/>
                </w:tcPr>
                <w:p>
                  <w:pPr>
                    <w:jc w:val="center"/>
                    <w:rPr>
                      <w:rFonts w:cs="Times New Roman"/>
                      <w:szCs w:val="21"/>
                    </w:rPr>
                  </w:pPr>
                  <w:r>
                    <w:rPr>
                      <w:rFonts w:cs="Times New Roman"/>
                      <w:szCs w:val="21"/>
                    </w:rPr>
                    <w:t>3m</w:t>
                  </w:r>
                  <w:r>
                    <w:rPr>
                      <w:rFonts w:cs="Times New Roman"/>
                      <w:szCs w:val="21"/>
                      <w:vertAlign w:val="superscript"/>
                    </w:rPr>
                    <w:t>3</w:t>
                  </w:r>
                </w:p>
              </w:tc>
              <w:tc>
                <w:tcPr>
                  <w:tcW w:w="845" w:type="pct"/>
                  <w:tcBorders>
                    <w:tl2br w:val="nil"/>
                    <w:tr2bl w:val="nil"/>
                  </w:tcBorders>
                  <w:vAlign w:val="center"/>
                </w:tcPr>
                <w:p>
                  <w:pPr>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26</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jc w:val="center"/>
                    <w:rPr>
                      <w:rFonts w:cs="Times New Roman"/>
                      <w:szCs w:val="21"/>
                    </w:rPr>
                  </w:pPr>
                  <w:r>
                    <w:rPr>
                      <w:rFonts w:cs="Times New Roman"/>
                      <w:szCs w:val="21"/>
                    </w:rPr>
                    <w:t>粘接剂贮罐</w:t>
                  </w:r>
                </w:p>
              </w:tc>
              <w:tc>
                <w:tcPr>
                  <w:tcW w:w="1285" w:type="pct"/>
                  <w:tcBorders>
                    <w:tl2br w:val="nil"/>
                    <w:tr2bl w:val="nil"/>
                  </w:tcBorders>
                  <w:vAlign w:val="center"/>
                </w:tcPr>
                <w:p>
                  <w:pPr>
                    <w:jc w:val="center"/>
                    <w:rPr>
                      <w:rFonts w:cs="Times New Roman"/>
                      <w:szCs w:val="21"/>
                    </w:rPr>
                  </w:pPr>
                  <w:r>
                    <w:rPr>
                      <w:rFonts w:cs="Times New Roman"/>
                      <w:szCs w:val="21"/>
                    </w:rPr>
                    <w:t>3m</w:t>
                  </w:r>
                  <w:r>
                    <w:rPr>
                      <w:rFonts w:cs="Times New Roman"/>
                      <w:szCs w:val="21"/>
                      <w:vertAlign w:val="superscript"/>
                    </w:rPr>
                    <w:t>3</w:t>
                  </w:r>
                </w:p>
              </w:tc>
              <w:tc>
                <w:tcPr>
                  <w:tcW w:w="845" w:type="pct"/>
                  <w:tcBorders>
                    <w:tl2br w:val="nil"/>
                    <w:tr2bl w:val="nil"/>
                  </w:tcBorders>
                  <w:vAlign w:val="center"/>
                </w:tcPr>
                <w:p>
                  <w:pPr>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27</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粘接剂抽吸循环系统</w:t>
                  </w:r>
                </w:p>
              </w:tc>
              <w:tc>
                <w:tcPr>
                  <w:tcW w:w="1223" w:type="pct"/>
                  <w:tcBorders>
                    <w:tl2br w:val="nil"/>
                    <w:tr2bl w:val="nil"/>
                  </w:tcBorders>
                  <w:vAlign w:val="center"/>
                </w:tcPr>
                <w:p>
                  <w:pPr>
                    <w:jc w:val="center"/>
                    <w:rPr>
                      <w:rFonts w:cs="Times New Roman"/>
                      <w:szCs w:val="21"/>
                    </w:rPr>
                  </w:pPr>
                  <w:r>
                    <w:rPr>
                      <w:rFonts w:cs="Times New Roman"/>
                      <w:szCs w:val="21"/>
                    </w:rPr>
                    <w:t>粘接剂循环罐</w:t>
                  </w:r>
                </w:p>
              </w:tc>
              <w:tc>
                <w:tcPr>
                  <w:tcW w:w="1285" w:type="pct"/>
                  <w:tcBorders>
                    <w:tl2br w:val="nil"/>
                    <w:tr2bl w:val="nil"/>
                  </w:tcBorders>
                  <w:vAlign w:val="center"/>
                </w:tcPr>
                <w:p>
                  <w:pPr>
                    <w:jc w:val="center"/>
                    <w:rPr>
                      <w:rFonts w:cs="Times New Roman"/>
                      <w:szCs w:val="21"/>
                    </w:rPr>
                  </w:pPr>
                  <w:r>
                    <w:rPr>
                      <w:rFonts w:cs="Times New Roman"/>
                      <w:szCs w:val="21"/>
                    </w:rPr>
                    <w:t>1.5m</w:t>
                  </w:r>
                  <w:r>
                    <w:rPr>
                      <w:rFonts w:cs="Times New Roman"/>
                      <w:szCs w:val="21"/>
                      <w:vertAlign w:val="superscript"/>
                    </w:rPr>
                    <w:t>3</w:t>
                  </w:r>
                </w:p>
              </w:tc>
              <w:tc>
                <w:tcPr>
                  <w:tcW w:w="845" w:type="pct"/>
                  <w:tcBorders>
                    <w:tl2br w:val="nil"/>
                    <w:tr2bl w:val="nil"/>
                  </w:tcBorders>
                  <w:vAlign w:val="center"/>
                </w:tcPr>
                <w:p>
                  <w:pPr>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28</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胶循环罐液位传感器</w:t>
                  </w:r>
                </w:p>
              </w:tc>
              <w:tc>
                <w:tcPr>
                  <w:tcW w:w="1285" w:type="pct"/>
                  <w:tcBorders>
                    <w:tl2br w:val="nil"/>
                    <w:tr2bl w:val="nil"/>
                  </w:tcBorders>
                  <w:vAlign w:val="center"/>
                </w:tcPr>
                <w:p>
                  <w:pPr>
                    <w:snapToGrid w:val="0"/>
                    <w:jc w:val="center"/>
                    <w:rPr>
                      <w:rFonts w:cs="Times New Roman"/>
                      <w:szCs w:val="21"/>
                    </w:rPr>
                  </w:pPr>
                  <w:r>
                    <w:rPr>
                      <w:rFonts w:cs="Times New Roman"/>
                      <w:szCs w:val="21"/>
                    </w:rPr>
                    <w:t>0-2m</w:t>
                  </w: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29</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上浆成型</w:t>
                  </w:r>
                </w:p>
              </w:tc>
              <w:tc>
                <w:tcPr>
                  <w:tcW w:w="1223" w:type="pct"/>
                  <w:tcBorders>
                    <w:tl2br w:val="nil"/>
                    <w:tr2bl w:val="nil"/>
                  </w:tcBorders>
                  <w:vAlign w:val="center"/>
                </w:tcPr>
                <w:p>
                  <w:pPr>
                    <w:snapToGrid w:val="0"/>
                    <w:jc w:val="center"/>
                    <w:rPr>
                      <w:rFonts w:cs="Times New Roman"/>
                      <w:szCs w:val="21"/>
                    </w:rPr>
                  </w:pPr>
                  <w:r>
                    <w:rPr>
                      <w:rFonts w:cs="Times New Roman"/>
                      <w:szCs w:val="21"/>
                    </w:rPr>
                    <w:t>上浆分配器</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30</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流浆箱</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31</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滤水盒</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32</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斜网成型部</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33</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成型部传动</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34</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施胶部</w:t>
                  </w:r>
                </w:p>
              </w:tc>
              <w:tc>
                <w:tcPr>
                  <w:tcW w:w="1223" w:type="pct"/>
                  <w:tcBorders>
                    <w:tl2br w:val="nil"/>
                    <w:tr2bl w:val="nil"/>
                  </w:tcBorders>
                  <w:vAlign w:val="center"/>
                </w:tcPr>
                <w:p>
                  <w:pPr>
                    <w:snapToGrid w:val="0"/>
                    <w:jc w:val="center"/>
                    <w:rPr>
                      <w:rFonts w:cs="Times New Roman"/>
                      <w:szCs w:val="21"/>
                    </w:rPr>
                  </w:pPr>
                  <w:r>
                    <w:rPr>
                      <w:rFonts w:cs="Times New Roman"/>
                      <w:szCs w:val="21"/>
                    </w:rPr>
                    <w:t>可调式溢流施胶槽</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35</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不锈钢抽吸槽</w:t>
                  </w:r>
                </w:p>
              </w:tc>
              <w:tc>
                <w:tcPr>
                  <w:tcW w:w="1285" w:type="pct"/>
                  <w:tcBorders>
                    <w:tl2br w:val="nil"/>
                    <w:tr2bl w:val="nil"/>
                  </w:tcBorders>
                  <w:vAlign w:val="center"/>
                </w:tcPr>
                <w:p>
                  <w:pPr>
                    <w:snapToGrid w:val="0"/>
                    <w:jc w:val="center"/>
                    <w:rPr>
                      <w:rFonts w:cs="Times New Roman"/>
                      <w:szCs w:val="21"/>
                    </w:rPr>
                  </w:pPr>
                  <w:r>
                    <w:rPr>
                      <w:rFonts w:cs="Times New Roman"/>
                      <w:szCs w:val="21"/>
                    </w:rPr>
                    <w:t>DN159</w:t>
                  </w: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36</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不锈钢抽吸槽</w:t>
                  </w:r>
                </w:p>
              </w:tc>
              <w:tc>
                <w:tcPr>
                  <w:tcW w:w="1285" w:type="pct"/>
                  <w:tcBorders>
                    <w:tl2br w:val="nil"/>
                    <w:tr2bl w:val="nil"/>
                  </w:tcBorders>
                  <w:vAlign w:val="center"/>
                </w:tcPr>
                <w:p>
                  <w:pPr>
                    <w:snapToGrid w:val="0"/>
                    <w:jc w:val="center"/>
                    <w:rPr>
                      <w:rFonts w:cs="Times New Roman"/>
                      <w:szCs w:val="21"/>
                    </w:rPr>
                  </w:pPr>
                  <w:r>
                    <w:rPr>
                      <w:rFonts w:cs="Times New Roman"/>
                      <w:szCs w:val="21"/>
                    </w:rPr>
                    <w:t>DN250</w:t>
                  </w:r>
                </w:p>
              </w:tc>
              <w:tc>
                <w:tcPr>
                  <w:tcW w:w="845" w:type="pct"/>
                  <w:tcBorders>
                    <w:tl2br w:val="nil"/>
                    <w:tr2bl w:val="nil"/>
                  </w:tcBorders>
                  <w:vAlign w:val="center"/>
                </w:tcPr>
                <w:p>
                  <w:pPr>
                    <w:snapToGrid w:val="0"/>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37</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施胶网部</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38</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齿轮减速机变频电机</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39</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烘干固化部</w:t>
                  </w:r>
                </w:p>
              </w:tc>
              <w:tc>
                <w:tcPr>
                  <w:tcW w:w="1223" w:type="pct"/>
                  <w:tcBorders>
                    <w:tl2br w:val="nil"/>
                    <w:tr2bl w:val="nil"/>
                  </w:tcBorders>
                  <w:vAlign w:val="center"/>
                </w:tcPr>
                <w:p>
                  <w:pPr>
                    <w:snapToGrid w:val="0"/>
                    <w:jc w:val="center"/>
                    <w:rPr>
                      <w:rFonts w:cs="Times New Roman"/>
                      <w:szCs w:val="21"/>
                    </w:rPr>
                  </w:pPr>
                  <w:r>
                    <w:rPr>
                      <w:rFonts w:cs="Times New Roman"/>
                      <w:szCs w:val="21"/>
                    </w:rPr>
                    <w:t>炉体</w:t>
                  </w:r>
                </w:p>
              </w:tc>
              <w:tc>
                <w:tcPr>
                  <w:tcW w:w="1285" w:type="pct"/>
                  <w:tcBorders>
                    <w:tl2br w:val="nil"/>
                    <w:tr2bl w:val="nil"/>
                  </w:tcBorders>
                  <w:vAlign w:val="center"/>
                </w:tcPr>
                <w:p>
                  <w:pPr>
                    <w:snapToGrid w:val="0"/>
                    <w:jc w:val="center"/>
                    <w:rPr>
                      <w:rFonts w:cs="Times New Roman"/>
                      <w:szCs w:val="21"/>
                    </w:rPr>
                  </w:pPr>
                  <w:r>
                    <w:rPr>
                      <w:rFonts w:cs="Times New Roman"/>
                      <w:szCs w:val="21"/>
                    </w:rPr>
                    <w:t>6000×2900×3000</w:t>
                  </w:r>
                </w:p>
              </w:tc>
              <w:tc>
                <w:tcPr>
                  <w:tcW w:w="845" w:type="pct"/>
                  <w:tcBorders>
                    <w:tl2br w:val="nil"/>
                    <w:tr2bl w:val="nil"/>
                  </w:tcBorders>
                  <w:vAlign w:val="center"/>
                </w:tcPr>
                <w:p>
                  <w:pPr>
                    <w:snapToGrid w:val="0"/>
                    <w:jc w:val="center"/>
                    <w:rPr>
                      <w:rFonts w:cs="Times New Roman"/>
                      <w:szCs w:val="21"/>
                    </w:rPr>
                  </w:pPr>
                  <w:r>
                    <w:rPr>
                      <w:rFonts w:cs="Times New Roman"/>
                      <w:szCs w:val="21"/>
                    </w:rPr>
                    <w:t>6台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40</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燃烧及循环系统</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6套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41</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排湿系统</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42</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固化炉网带</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43</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卷曲段</w:t>
                  </w:r>
                </w:p>
              </w:tc>
              <w:tc>
                <w:tcPr>
                  <w:tcW w:w="1223" w:type="pct"/>
                  <w:tcBorders>
                    <w:tl2br w:val="nil"/>
                    <w:tr2bl w:val="nil"/>
                  </w:tcBorders>
                  <w:vAlign w:val="center"/>
                </w:tcPr>
                <w:p>
                  <w:pPr>
                    <w:snapToGrid w:val="0"/>
                    <w:jc w:val="center"/>
                    <w:rPr>
                      <w:rFonts w:cs="Times New Roman"/>
                      <w:szCs w:val="21"/>
                    </w:rPr>
                  </w:pPr>
                  <w:r>
                    <w:rPr>
                      <w:rFonts w:cs="Times New Roman"/>
                      <w:szCs w:val="21"/>
                    </w:rPr>
                    <w:t>双位收卷机</w:t>
                  </w:r>
                </w:p>
              </w:tc>
              <w:tc>
                <w:tcPr>
                  <w:tcW w:w="1285" w:type="pct"/>
                  <w:tcBorders>
                    <w:tl2br w:val="nil"/>
                    <w:tr2bl w:val="nil"/>
                  </w:tcBorders>
                  <w:vAlign w:val="center"/>
                </w:tcPr>
                <w:p>
                  <w:pPr>
                    <w:snapToGrid w:val="0"/>
                    <w:jc w:val="center"/>
                    <w:rPr>
                      <w:rFonts w:cs="Times New Roman"/>
                      <w:szCs w:val="21"/>
                    </w:rPr>
                  </w:pPr>
                  <w:r>
                    <w:rPr>
                      <w:rFonts w:cs="Times New Roman"/>
                      <w:szCs w:val="21"/>
                    </w:rPr>
                    <w:t>2100mm</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44</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激光测距仪</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45</w:t>
                  </w:r>
                </w:p>
              </w:tc>
              <w:tc>
                <w:tcPr>
                  <w:tcW w:w="1161" w:type="pct"/>
                  <w:tcBorders>
                    <w:tl2br w:val="nil"/>
                    <w:tr2bl w:val="nil"/>
                  </w:tcBorders>
                  <w:vAlign w:val="center"/>
                </w:tcPr>
                <w:p>
                  <w:pPr>
                    <w:snapToGrid w:val="0"/>
                    <w:jc w:val="center"/>
                    <w:rPr>
                      <w:rFonts w:cs="Times New Roman"/>
                      <w:szCs w:val="21"/>
                    </w:rPr>
                  </w:pPr>
                  <w:r>
                    <w:rPr>
                      <w:rFonts w:cs="Times New Roman"/>
                      <w:szCs w:val="21"/>
                    </w:rPr>
                    <w:t>控制系统</w:t>
                  </w:r>
                </w:p>
              </w:tc>
              <w:tc>
                <w:tcPr>
                  <w:tcW w:w="1223" w:type="pct"/>
                  <w:tcBorders>
                    <w:tl2br w:val="nil"/>
                    <w:tr2bl w:val="nil"/>
                  </w:tcBorders>
                  <w:vAlign w:val="center"/>
                </w:tcPr>
                <w:p>
                  <w:pPr>
                    <w:snapToGrid w:val="0"/>
                    <w:jc w:val="center"/>
                    <w:rPr>
                      <w:rFonts w:cs="Times New Roman"/>
                      <w:szCs w:val="21"/>
                    </w:rPr>
                  </w:pPr>
                  <w:r>
                    <w:rPr>
                      <w:rFonts w:cs="Times New Roman"/>
                      <w:szCs w:val="21"/>
                    </w:rPr>
                    <w:t>可编程控制器</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46</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其他</w:t>
                  </w:r>
                </w:p>
              </w:tc>
              <w:tc>
                <w:tcPr>
                  <w:tcW w:w="1223" w:type="pct"/>
                  <w:tcBorders>
                    <w:tl2br w:val="nil"/>
                    <w:tr2bl w:val="nil"/>
                  </w:tcBorders>
                  <w:vAlign w:val="center"/>
                </w:tcPr>
                <w:p>
                  <w:pPr>
                    <w:snapToGrid w:val="0"/>
                    <w:jc w:val="center"/>
                    <w:rPr>
                      <w:rFonts w:cs="Times New Roman"/>
                      <w:szCs w:val="21"/>
                    </w:rPr>
                  </w:pPr>
                  <w:r>
                    <w:rPr>
                      <w:rFonts w:cs="Times New Roman"/>
                      <w:szCs w:val="21"/>
                    </w:rPr>
                    <w:t>液压升降平台</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47</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抽芯装置</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48</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包装机</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szCs w:val="21"/>
                    </w:rPr>
                    <w:t>49</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液压翻转机</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szCs w:val="21"/>
                    </w:rPr>
                    <w:t>50</w:t>
                  </w:r>
                </w:p>
              </w:tc>
              <w:tc>
                <w:tcPr>
                  <w:tcW w:w="1161" w:type="pct"/>
                  <w:vMerge w:val="restart"/>
                  <w:tcBorders>
                    <w:tl2br w:val="nil"/>
                    <w:tr2bl w:val="nil"/>
                  </w:tcBorders>
                  <w:vAlign w:val="center"/>
                </w:tcPr>
                <w:p>
                  <w:pPr>
                    <w:snapToGrid w:val="0"/>
                    <w:jc w:val="center"/>
                    <w:rPr>
                      <w:rFonts w:cs="Times New Roman"/>
                      <w:szCs w:val="21"/>
                      <w:highlight w:val="yellow"/>
                    </w:rPr>
                  </w:pPr>
                  <w:r>
                    <w:rPr>
                      <w:rFonts w:cs="Times New Roman"/>
                      <w:szCs w:val="21"/>
                    </w:rPr>
                    <w:t>环保设备</w:t>
                  </w:r>
                </w:p>
              </w:tc>
              <w:tc>
                <w:tcPr>
                  <w:tcW w:w="1223" w:type="pct"/>
                  <w:tcBorders>
                    <w:tl2br w:val="nil"/>
                    <w:tr2bl w:val="nil"/>
                  </w:tcBorders>
                  <w:vAlign w:val="center"/>
                </w:tcPr>
                <w:p>
                  <w:pPr>
                    <w:snapToGrid w:val="0"/>
                    <w:jc w:val="center"/>
                    <w:rPr>
                      <w:rFonts w:cs="Times New Roman"/>
                      <w:szCs w:val="21"/>
                    </w:rPr>
                  </w:pPr>
                  <w:r>
                    <w:rPr>
                      <w:rFonts w:cs="Times New Roman"/>
                      <w:szCs w:val="21"/>
                    </w:rPr>
                    <w:t>二级活性炭吸附装置</w:t>
                  </w:r>
                </w:p>
              </w:tc>
              <w:tc>
                <w:tcPr>
                  <w:tcW w:w="1285" w:type="pct"/>
                  <w:tcBorders>
                    <w:tl2br w:val="nil"/>
                    <w:tr2bl w:val="nil"/>
                  </w:tcBorders>
                  <w:vAlign w:val="center"/>
                </w:tcPr>
                <w:p>
                  <w:pPr>
                    <w:snapToGrid w:val="0"/>
                    <w:jc w:val="center"/>
                    <w:rPr>
                      <w:rFonts w:cs="Times New Roman"/>
                      <w:szCs w:val="21"/>
                    </w:rPr>
                  </w:pPr>
                  <w:r>
                    <w:rPr>
                      <w:rFonts w:cs="Times New Roman"/>
                      <w:szCs w:val="21"/>
                    </w:rPr>
                    <w:t>风机量25000m</w:t>
                  </w:r>
                  <w:r>
                    <w:rPr>
                      <w:rFonts w:cs="Times New Roman"/>
                      <w:szCs w:val="21"/>
                      <w:vertAlign w:val="superscript"/>
                    </w:rPr>
                    <w:t>3</w:t>
                  </w:r>
                  <w:r>
                    <w:rPr>
                      <w:rFonts w:cs="Times New Roman"/>
                      <w:szCs w:val="21"/>
                    </w:rPr>
                    <w:t>/h</w:t>
                  </w:r>
                </w:p>
              </w:tc>
              <w:tc>
                <w:tcPr>
                  <w:tcW w:w="845" w:type="pct"/>
                  <w:tcBorders>
                    <w:tl2br w:val="nil"/>
                    <w:tr2bl w:val="nil"/>
                  </w:tcBorders>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84" w:type="pct"/>
                  <w:tcBorders>
                    <w:tl2br w:val="nil"/>
                    <w:tr2bl w:val="nil"/>
                  </w:tcBorders>
                  <w:vAlign w:val="center"/>
                </w:tcPr>
                <w:p>
                  <w:pPr>
                    <w:widowControl/>
                    <w:jc w:val="center"/>
                    <w:textAlignment w:val="center"/>
                    <w:rPr>
                      <w:rFonts w:cs="Times New Roman"/>
                      <w:kern w:val="0"/>
                      <w:sz w:val="22"/>
                      <w:lang w:bidi="ar"/>
                    </w:rPr>
                  </w:pPr>
                  <w:r>
                    <w:rPr>
                      <w:rFonts w:cs="Times New Roman"/>
                      <w:kern w:val="0"/>
                      <w:sz w:val="22"/>
                      <w:lang w:bidi="ar"/>
                    </w:rPr>
                    <w:t>52</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低氮燃烧器</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vAlign w:val="center"/>
                </w:tcPr>
                <w:p>
                  <w:pPr>
                    <w:snapToGrid w:val="0"/>
                    <w:jc w:val="center"/>
                    <w:rPr>
                      <w:rFonts w:cs="Times New Roman"/>
                      <w:b/>
                      <w:bCs/>
                      <w:szCs w:val="21"/>
                    </w:rPr>
                  </w:pPr>
                  <w:r>
                    <w:rPr>
                      <w:rFonts w:cs="Times New Roman"/>
                      <w:b/>
                      <w:bCs/>
                      <w:szCs w:val="21"/>
                    </w:rPr>
                    <w:t>2600湿法薄毡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原料段</w:t>
                  </w:r>
                </w:p>
              </w:tc>
              <w:tc>
                <w:tcPr>
                  <w:tcW w:w="1223" w:type="pct"/>
                  <w:tcBorders>
                    <w:tl2br w:val="nil"/>
                    <w:tr2bl w:val="nil"/>
                  </w:tcBorders>
                  <w:vAlign w:val="center"/>
                </w:tcPr>
                <w:p>
                  <w:pPr>
                    <w:snapToGrid w:val="0"/>
                    <w:jc w:val="center"/>
                    <w:rPr>
                      <w:rFonts w:cs="Times New Roman"/>
                      <w:szCs w:val="21"/>
                    </w:rPr>
                  </w:pPr>
                  <w:r>
                    <w:rPr>
                      <w:rFonts w:cs="Times New Roman"/>
                      <w:szCs w:val="21"/>
                    </w:rPr>
                    <w:t>斗式提升机</w:t>
                  </w:r>
                </w:p>
              </w:tc>
              <w:tc>
                <w:tcPr>
                  <w:tcW w:w="1285" w:type="pct"/>
                  <w:tcBorders>
                    <w:tl2br w:val="nil"/>
                    <w:tr2bl w:val="nil"/>
                  </w:tcBorders>
                  <w:vAlign w:val="center"/>
                </w:tcPr>
                <w:p>
                  <w:pPr>
                    <w:snapToGrid w:val="0"/>
                    <w:jc w:val="center"/>
                    <w:rPr>
                      <w:rFonts w:cs="Times New Roman"/>
                      <w:szCs w:val="21"/>
                    </w:rPr>
                  </w:pPr>
                  <w:r>
                    <w:rPr>
                      <w:rFonts w:cs="Times New Roman"/>
                      <w:szCs w:val="21"/>
                    </w:rPr>
                    <w:t>3000kg/h 2.2kw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纤维供料机</w:t>
                  </w:r>
                </w:p>
              </w:tc>
              <w:tc>
                <w:tcPr>
                  <w:tcW w:w="1285" w:type="pct"/>
                  <w:tcBorders>
                    <w:tl2br w:val="nil"/>
                    <w:tr2bl w:val="nil"/>
                  </w:tcBorders>
                  <w:vAlign w:val="center"/>
                </w:tcPr>
                <w:p>
                  <w:pPr>
                    <w:snapToGrid w:val="0"/>
                    <w:jc w:val="center"/>
                    <w:rPr>
                      <w:rFonts w:cs="Times New Roman"/>
                      <w:szCs w:val="21"/>
                    </w:rPr>
                  </w:pPr>
                  <w:r>
                    <w:rPr>
                      <w:rFonts w:cs="Times New Roman"/>
                      <w:szCs w:val="21"/>
                    </w:rPr>
                    <w:t>2m3 1.85kw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3</w:t>
                  </w:r>
                </w:p>
              </w:tc>
              <w:tc>
                <w:tcPr>
                  <w:tcW w:w="1161" w:type="pct"/>
                  <w:vMerge w:val="continue"/>
                  <w:tcBorders>
                    <w:tl2br w:val="nil"/>
                    <w:tr2bl w:val="nil"/>
                  </w:tcBorders>
                  <w:vAlign w:val="center"/>
                </w:tcPr>
                <w:p>
                  <w:pPr>
                    <w:snapToGrid w:val="0"/>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JGC-40称重给料机</w:t>
                  </w:r>
                </w:p>
              </w:tc>
              <w:tc>
                <w:tcPr>
                  <w:tcW w:w="1285" w:type="pct"/>
                  <w:tcBorders>
                    <w:tl2br w:val="nil"/>
                    <w:tr2bl w:val="nil"/>
                  </w:tcBorders>
                  <w:vAlign w:val="center"/>
                </w:tcPr>
                <w:p>
                  <w:pPr>
                    <w:snapToGrid w:val="0"/>
                    <w:jc w:val="center"/>
                    <w:rPr>
                      <w:rFonts w:cs="Times New Roman"/>
                      <w:szCs w:val="21"/>
                    </w:rPr>
                  </w:pPr>
                  <w:r>
                    <w:rPr>
                      <w:rFonts w:cs="Times New Roman"/>
                      <w:szCs w:val="21"/>
                    </w:rPr>
                    <w:t>5-30kg/min 1.5kw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4</w:t>
                  </w:r>
                </w:p>
              </w:tc>
              <w:tc>
                <w:tcPr>
                  <w:tcW w:w="1161" w:type="pct"/>
                  <w:vMerge w:val="restart"/>
                  <w:tcBorders>
                    <w:tl2br w:val="nil"/>
                    <w:tr2bl w:val="nil"/>
                  </w:tcBorders>
                  <w:vAlign w:val="center"/>
                </w:tcPr>
                <w:p>
                  <w:pPr>
                    <w:snapToGrid w:val="0"/>
                    <w:jc w:val="center"/>
                    <w:rPr>
                      <w:rFonts w:cs="Times New Roman"/>
                      <w:szCs w:val="21"/>
                    </w:rPr>
                  </w:pPr>
                  <w:r>
                    <w:rPr>
                      <w:rFonts w:cs="Times New Roman"/>
                      <w:szCs w:val="21"/>
                    </w:rPr>
                    <w:t>浆料系统</w:t>
                  </w: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6m</w:t>
                  </w:r>
                  <w:r>
                    <w:rPr>
                      <w:rFonts w:cs="Times New Roman"/>
                      <w:szCs w:val="21"/>
                      <w:vertAlign w:val="superscript"/>
                    </w:rPr>
                    <w:t>3</w:t>
                  </w:r>
                  <w:r>
                    <w:rPr>
                      <w:rFonts w:cs="Times New Roman"/>
                      <w:szCs w:val="21"/>
                    </w:rPr>
                    <w:t>打浆罐</w:t>
                  </w:r>
                </w:p>
              </w:tc>
              <w:tc>
                <w:tcPr>
                  <w:tcW w:w="1285" w:type="pct"/>
                  <w:tcBorders>
                    <w:tl2br w:val="nil"/>
                    <w:tr2bl w:val="nil"/>
                  </w:tcBorders>
                  <w:vAlign w:val="center"/>
                </w:tcPr>
                <w:p>
                  <w:pPr>
                    <w:snapToGrid w:val="0"/>
                    <w:jc w:val="center"/>
                    <w:rPr>
                      <w:rFonts w:cs="Times New Roman"/>
                      <w:szCs w:val="21"/>
                    </w:rPr>
                  </w:pPr>
                  <w:r>
                    <w:rPr>
                      <w:rFonts w:cs="Times New Roman"/>
                      <w:szCs w:val="21"/>
                    </w:rPr>
                    <w:t>30kw-6</w:t>
                  </w:r>
                </w:p>
              </w:tc>
              <w:tc>
                <w:tcPr>
                  <w:tcW w:w="845" w:type="pct"/>
                  <w:tcBorders>
                    <w:tl2br w:val="nil"/>
                    <w:tr2bl w:val="nil"/>
                  </w:tcBorders>
                  <w:vAlign w:val="center"/>
                </w:tcPr>
                <w:p>
                  <w:pPr>
                    <w:snapToGrid w:val="0"/>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5</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60m</w:t>
                  </w:r>
                  <w:r>
                    <w:rPr>
                      <w:rFonts w:cs="Times New Roman"/>
                      <w:szCs w:val="21"/>
                      <w:vertAlign w:val="superscript"/>
                    </w:rPr>
                    <w:t>3</w:t>
                  </w:r>
                  <w:r>
                    <w:rPr>
                      <w:rFonts w:cs="Times New Roman"/>
                      <w:szCs w:val="21"/>
                    </w:rPr>
                    <w:t>料浆罐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6</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料浆罐搅拌装置</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2台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7</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白水罐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8</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溢水罐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9</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废浆罐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10</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输送泵</w:t>
                  </w:r>
                </w:p>
              </w:tc>
              <w:tc>
                <w:tcPr>
                  <w:tcW w:w="1285" w:type="pct"/>
                  <w:tcBorders>
                    <w:tl2br w:val="nil"/>
                    <w:tr2bl w:val="nil"/>
                  </w:tcBorders>
                  <w:vAlign w:val="center"/>
                </w:tcPr>
                <w:p>
                  <w:pPr>
                    <w:snapToGrid w:val="0"/>
                    <w:jc w:val="center"/>
                    <w:rPr>
                      <w:rFonts w:cs="Times New Roman"/>
                      <w:szCs w:val="21"/>
                    </w:rPr>
                  </w:pPr>
                  <w:r>
                    <w:rPr>
                      <w:rFonts w:cs="Times New Roman"/>
                      <w:szCs w:val="21"/>
                    </w:rPr>
                    <w:t>Q=335m</w:t>
                  </w:r>
                  <w:r>
                    <w:rPr>
                      <w:rFonts w:cs="Times New Roman"/>
                      <w:szCs w:val="21"/>
                      <w:vertAlign w:val="superscript"/>
                    </w:rPr>
                    <w:t>3</w:t>
                  </w:r>
                  <w:r>
                    <w:rPr>
                      <w:rFonts w:cs="Times New Roman"/>
                      <w:szCs w:val="21"/>
                    </w:rPr>
                    <w:t>/h，H=8m</w:t>
                  </w:r>
                </w:p>
                <w:p>
                  <w:pPr>
                    <w:snapToGrid w:val="0"/>
                    <w:jc w:val="center"/>
                    <w:rPr>
                      <w:rFonts w:cs="Times New Roman"/>
                      <w:szCs w:val="21"/>
                    </w:rPr>
                  </w:pPr>
                  <w:r>
                    <w:rPr>
                      <w:rFonts w:cs="Times New Roman"/>
                      <w:szCs w:val="21"/>
                    </w:rPr>
                    <w:t>/minN=15kw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11</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喂料泵</w:t>
                  </w:r>
                </w:p>
              </w:tc>
              <w:tc>
                <w:tcPr>
                  <w:tcW w:w="1285" w:type="pct"/>
                  <w:tcBorders>
                    <w:tl2br w:val="nil"/>
                    <w:tr2bl w:val="nil"/>
                  </w:tcBorders>
                  <w:vAlign w:val="center"/>
                </w:tcPr>
                <w:p>
                  <w:pPr>
                    <w:snapToGrid w:val="0"/>
                    <w:jc w:val="center"/>
                    <w:rPr>
                      <w:rFonts w:cs="Times New Roman"/>
                      <w:szCs w:val="21"/>
                    </w:rPr>
                  </w:pPr>
                  <w:r>
                    <w:rPr>
                      <w:rFonts w:cs="Times New Roman"/>
                      <w:szCs w:val="21"/>
                    </w:rPr>
                    <w:t>Q=335m</w:t>
                  </w:r>
                  <w:r>
                    <w:rPr>
                      <w:rFonts w:cs="Times New Roman"/>
                      <w:szCs w:val="21"/>
                      <w:vertAlign w:val="superscript"/>
                    </w:rPr>
                    <w:t>3</w:t>
                  </w:r>
                  <w:r>
                    <w:rPr>
                      <w:rFonts w:cs="Times New Roman"/>
                      <w:szCs w:val="21"/>
                    </w:rPr>
                    <w:t>/h，H=10m</w:t>
                  </w:r>
                </w:p>
                <w:p>
                  <w:pPr>
                    <w:snapToGrid w:val="0"/>
                    <w:jc w:val="center"/>
                    <w:rPr>
                      <w:rFonts w:cs="Times New Roman"/>
                      <w:szCs w:val="21"/>
                    </w:rPr>
                  </w:pPr>
                  <w:r>
                    <w:rPr>
                      <w:rFonts w:cs="Times New Roman"/>
                      <w:szCs w:val="21"/>
                    </w:rPr>
                    <w:t>/minN=18.5kw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12</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白水循环泵</w:t>
                  </w:r>
                </w:p>
              </w:tc>
              <w:tc>
                <w:tcPr>
                  <w:tcW w:w="1285" w:type="pct"/>
                  <w:tcBorders>
                    <w:tl2br w:val="nil"/>
                    <w:tr2bl w:val="nil"/>
                  </w:tcBorders>
                  <w:vAlign w:val="center"/>
                </w:tcPr>
                <w:p>
                  <w:pPr>
                    <w:snapToGrid w:val="0"/>
                    <w:jc w:val="center"/>
                    <w:rPr>
                      <w:rFonts w:cs="Times New Roman"/>
                      <w:szCs w:val="21"/>
                    </w:rPr>
                  </w:pPr>
                  <w:r>
                    <w:rPr>
                      <w:rFonts w:cs="Times New Roman"/>
                      <w:szCs w:val="21"/>
                    </w:rPr>
                    <w:t>Q=4000m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H=13m</w:t>
                  </w:r>
                </w:p>
                <w:p>
                  <w:pPr>
                    <w:snapToGrid w:val="0"/>
                    <w:jc w:val="center"/>
                    <w:rPr>
                      <w:rFonts w:cs="Times New Roman"/>
                      <w:szCs w:val="21"/>
                    </w:rPr>
                  </w:pPr>
                  <w:r>
                    <w:rPr>
                      <w:rFonts w:cs="Times New Roman"/>
                      <w:szCs w:val="21"/>
                    </w:rPr>
                    <w:t>N=220kw-6</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13</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废浆罐回水泵</w:t>
                  </w:r>
                </w:p>
              </w:tc>
              <w:tc>
                <w:tcPr>
                  <w:tcW w:w="1285" w:type="pct"/>
                  <w:tcBorders>
                    <w:tl2br w:val="nil"/>
                    <w:tr2bl w:val="nil"/>
                  </w:tcBorders>
                  <w:vAlign w:val="center"/>
                </w:tcPr>
                <w:p>
                  <w:pPr>
                    <w:snapToGrid w:val="0"/>
                    <w:jc w:val="center"/>
                    <w:rPr>
                      <w:rFonts w:cs="Times New Roman"/>
                      <w:szCs w:val="21"/>
                    </w:rPr>
                  </w:pPr>
                  <w:r>
                    <w:rPr>
                      <w:rFonts w:cs="Times New Roman"/>
                      <w:szCs w:val="21"/>
                    </w:rPr>
                    <w:t>Q=368m</w:t>
                  </w:r>
                  <w:r>
                    <w:rPr>
                      <w:rFonts w:cs="Times New Roman"/>
                      <w:szCs w:val="21"/>
                      <w:vertAlign w:val="superscript"/>
                    </w:rPr>
                    <w:t>3</w:t>
                  </w:r>
                  <w:r>
                    <w:rPr>
                      <w:rFonts w:cs="Times New Roman"/>
                      <w:szCs w:val="21"/>
                    </w:rPr>
                    <w:t>/h、H=15.5m N=22kw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14</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喷淋泵</w:t>
                  </w:r>
                </w:p>
              </w:tc>
              <w:tc>
                <w:tcPr>
                  <w:tcW w:w="1285" w:type="pct"/>
                  <w:tcBorders>
                    <w:tl2br w:val="nil"/>
                    <w:tr2bl w:val="nil"/>
                  </w:tcBorders>
                  <w:vAlign w:val="center"/>
                </w:tcPr>
                <w:p>
                  <w:pPr>
                    <w:snapToGrid w:val="0"/>
                    <w:jc w:val="center"/>
                    <w:rPr>
                      <w:rFonts w:cs="Times New Roman"/>
                      <w:szCs w:val="21"/>
                    </w:rPr>
                  </w:pPr>
                  <w:r>
                    <w:rPr>
                      <w:rFonts w:cs="Times New Roman"/>
                      <w:szCs w:val="21"/>
                    </w:rPr>
                    <w:t>Q=100m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H=50m N=30kw</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15</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成型抽吸风机Ⅰ</w:t>
                  </w:r>
                </w:p>
              </w:tc>
              <w:tc>
                <w:tcPr>
                  <w:tcW w:w="1285" w:type="pct"/>
                  <w:tcBorders>
                    <w:tl2br w:val="nil"/>
                    <w:tr2bl w:val="nil"/>
                  </w:tcBorders>
                  <w:vAlign w:val="center"/>
                </w:tcPr>
                <w:p>
                  <w:pPr>
                    <w:snapToGrid w:val="0"/>
                    <w:jc w:val="center"/>
                    <w:rPr>
                      <w:rFonts w:cs="Times New Roman"/>
                      <w:szCs w:val="21"/>
                    </w:rPr>
                  </w:pPr>
                  <w:r>
                    <w:rPr>
                      <w:rFonts w:cs="Times New Roman"/>
                      <w:szCs w:val="21"/>
                    </w:rPr>
                    <w:t>Q=4651m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H=16931PaN=37kw变频调节风量</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16</w:t>
                  </w:r>
                </w:p>
              </w:tc>
              <w:tc>
                <w:tcPr>
                  <w:tcW w:w="1161" w:type="pct"/>
                  <w:vMerge w:val="continue"/>
                  <w:tcBorders>
                    <w:tl2br w:val="nil"/>
                    <w:tr2bl w:val="nil"/>
                  </w:tcBorders>
                  <w:vAlign w:val="center"/>
                </w:tcPr>
                <w:p>
                  <w:pPr>
                    <w:jc w:val="center"/>
                    <w:rPr>
                      <w:rFonts w:cs="Times New Roman"/>
                      <w:szCs w:val="21"/>
                    </w:rPr>
                  </w:pPr>
                </w:p>
              </w:tc>
              <w:tc>
                <w:tcPr>
                  <w:tcW w:w="1223" w:type="pct"/>
                  <w:tcBorders>
                    <w:tl2br w:val="nil"/>
                    <w:tr2bl w:val="nil"/>
                  </w:tcBorders>
                  <w:vAlign w:val="center"/>
                </w:tcPr>
                <w:p>
                  <w:pPr>
                    <w:snapToGrid w:val="0"/>
                    <w:jc w:val="center"/>
                    <w:rPr>
                      <w:rFonts w:cs="Times New Roman"/>
                      <w:szCs w:val="21"/>
                    </w:rPr>
                  </w:pPr>
                  <w:r>
                    <w:rPr>
                      <w:rFonts w:cs="Times New Roman"/>
                      <w:szCs w:val="21"/>
                    </w:rPr>
                    <w:t>成型抽吸风机Ⅱ</w:t>
                  </w:r>
                </w:p>
              </w:tc>
              <w:tc>
                <w:tcPr>
                  <w:tcW w:w="1285" w:type="pct"/>
                  <w:tcBorders>
                    <w:tl2br w:val="nil"/>
                    <w:tr2bl w:val="nil"/>
                  </w:tcBorders>
                  <w:vAlign w:val="center"/>
                </w:tcPr>
                <w:p>
                  <w:pPr>
                    <w:snapToGrid w:val="0"/>
                    <w:jc w:val="center"/>
                    <w:rPr>
                      <w:rFonts w:cs="Times New Roman"/>
                      <w:szCs w:val="21"/>
                    </w:rPr>
                  </w:pPr>
                  <w:r>
                    <w:rPr>
                      <w:rFonts w:cs="Times New Roman"/>
                      <w:szCs w:val="21"/>
                    </w:rPr>
                    <w:t>Q=6306m</w:t>
                  </w:r>
                  <w:r>
                    <w:rPr>
                      <w:rFonts w:cs="Times New Roman"/>
                      <w:szCs w:val="21"/>
                      <w:vertAlign w:val="superscript"/>
                    </w:rPr>
                    <w:t>3</w:t>
                  </w:r>
                  <w:r>
                    <w:rPr>
                      <w:rFonts w:cs="Times New Roman"/>
                      <w:szCs w:val="21"/>
                    </w:rPr>
                    <w:t>/h</w:t>
                  </w:r>
                </w:p>
                <w:p>
                  <w:pPr>
                    <w:snapToGrid w:val="0"/>
                    <w:jc w:val="center"/>
                    <w:rPr>
                      <w:rFonts w:cs="Times New Roman"/>
                      <w:szCs w:val="21"/>
                    </w:rPr>
                  </w:pPr>
                  <w:r>
                    <w:rPr>
                      <w:rFonts w:cs="Times New Roman"/>
                      <w:szCs w:val="21"/>
                    </w:rPr>
                    <w:t>H=16931PaN=45kw</w:t>
                  </w:r>
                </w:p>
                <w:p>
                  <w:pPr>
                    <w:snapToGrid w:val="0"/>
                    <w:jc w:val="center"/>
                    <w:rPr>
                      <w:rFonts w:cs="Times New Roman"/>
                      <w:szCs w:val="21"/>
                    </w:rPr>
                  </w:pPr>
                  <w:r>
                    <w:rPr>
                      <w:rFonts w:cs="Times New Roman"/>
                      <w:szCs w:val="21"/>
                    </w:rPr>
                    <w:t>变频调节风量</w:t>
                  </w:r>
                </w:p>
              </w:tc>
              <w:tc>
                <w:tcPr>
                  <w:tcW w:w="845" w:type="pct"/>
                  <w:tcBorders>
                    <w:tl2br w:val="nil"/>
                    <w:tr2bl w:val="nil"/>
                  </w:tcBorders>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eastAsiaTheme="minorEastAsia"/>
                      <w:szCs w:val="21"/>
                    </w:rPr>
                  </w:pPr>
                  <w:r>
                    <w:rPr>
                      <w:rFonts w:cs="Times New Roman"/>
                      <w:kern w:val="0"/>
                      <w:sz w:val="22"/>
                      <w:lang w:bidi="ar"/>
                    </w:rPr>
                    <w:t>17</w:t>
                  </w:r>
                </w:p>
              </w:tc>
              <w:tc>
                <w:tcPr>
                  <w:tcW w:w="1161" w:type="pct"/>
                  <w:vMerge w:val="restart"/>
                  <w:tcBorders>
                    <w:tl2br w:val="nil"/>
                    <w:tr2bl w:val="nil"/>
                  </w:tcBorders>
                  <w:vAlign w:val="center"/>
                </w:tcPr>
                <w:p>
                  <w:pPr>
                    <w:jc w:val="center"/>
                    <w:rPr>
                      <w:rFonts w:cs="Times New Roman" w:eastAsiaTheme="minorEastAsia"/>
                      <w:szCs w:val="21"/>
                    </w:rPr>
                  </w:pPr>
                  <w:r>
                    <w:rPr>
                      <w:rFonts w:cs="Times New Roman"/>
                      <w:szCs w:val="21"/>
                    </w:rPr>
                    <w:t>脱水系统</w:t>
                  </w: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一级气水分离罐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18</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snapToGrid w:val="0"/>
                    <w:jc w:val="center"/>
                    <w:rPr>
                      <w:rFonts w:cs="Times New Roman" w:eastAsiaTheme="minorEastAsia"/>
                      <w:szCs w:val="21"/>
                    </w:rPr>
                  </w:pPr>
                  <w:r>
                    <w:rPr>
                      <w:rFonts w:cs="Times New Roman"/>
                      <w:szCs w:val="21"/>
                    </w:rPr>
                    <w:t>二级分离罐</w:t>
                  </w:r>
                </w:p>
              </w:tc>
              <w:tc>
                <w:tcPr>
                  <w:tcW w:w="1285" w:type="pct"/>
                  <w:tcBorders>
                    <w:tl2br w:val="nil"/>
                    <w:tr2bl w:val="nil"/>
                  </w:tcBorders>
                  <w:vAlign w:val="center"/>
                </w:tcPr>
                <w:p>
                  <w:pPr>
                    <w:snapToGrid w:val="0"/>
                    <w:jc w:val="center"/>
                    <w:rPr>
                      <w:rFonts w:cs="Times New Roman"/>
                      <w:szCs w:val="21"/>
                    </w:rPr>
                  </w:pPr>
                </w:p>
              </w:tc>
              <w:tc>
                <w:tcPr>
                  <w:tcW w:w="845" w:type="pct"/>
                  <w:tcBorders>
                    <w:tl2br w:val="nil"/>
                    <w:tr2bl w:val="nil"/>
                  </w:tcBorders>
                  <w:vAlign w:val="center"/>
                </w:tcPr>
                <w:p>
                  <w:pPr>
                    <w:snapToGrid w:val="0"/>
                    <w:jc w:val="center"/>
                    <w:rPr>
                      <w:rFonts w:cs="Times New Roman"/>
                      <w:szCs w:val="21"/>
                    </w:rPr>
                  </w:pPr>
                  <w:r>
                    <w:rPr>
                      <w:rFonts w:cs="Times New Roman"/>
                      <w:szCs w:val="21"/>
                    </w:rPr>
                    <w:t>3个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19</w:t>
                  </w:r>
                </w:p>
              </w:tc>
              <w:tc>
                <w:tcPr>
                  <w:tcW w:w="1161" w:type="pct"/>
                  <w:vMerge w:val="restart"/>
                  <w:tcBorders>
                    <w:tl2br w:val="nil"/>
                    <w:tr2bl w:val="nil"/>
                  </w:tcBorders>
                  <w:vAlign w:val="center"/>
                </w:tcPr>
                <w:p>
                  <w:pPr>
                    <w:jc w:val="center"/>
                    <w:rPr>
                      <w:rFonts w:cs="Times New Roman" w:eastAsiaTheme="minorEastAsia"/>
                      <w:szCs w:val="21"/>
                    </w:rPr>
                  </w:pPr>
                  <w:r>
                    <w:rPr>
                      <w:rFonts w:cs="Times New Roman" w:eastAsiaTheme="minorEastAsia"/>
                      <w:szCs w:val="21"/>
                    </w:rPr>
                    <w:t>预粘接剂制备系统</w:t>
                  </w:r>
                </w:p>
              </w:tc>
              <w:tc>
                <w:tcPr>
                  <w:tcW w:w="1223" w:type="pct"/>
                  <w:tcBorders>
                    <w:tl2br w:val="nil"/>
                    <w:tr2bl w:val="nil"/>
                  </w:tcBorders>
                  <w:vAlign w:val="center"/>
                </w:tcPr>
                <w:p>
                  <w:pPr>
                    <w:jc w:val="center"/>
                    <w:rPr>
                      <w:rFonts w:cs="Times New Roman" w:eastAsiaTheme="minorEastAsia"/>
                      <w:szCs w:val="21"/>
                    </w:rPr>
                  </w:pPr>
                  <w:r>
                    <w:rPr>
                      <w:rFonts w:cs="Times New Roman"/>
                      <w:szCs w:val="21"/>
                    </w:rPr>
                    <w:t>添加剂搅拌罐</w:t>
                  </w:r>
                </w:p>
              </w:tc>
              <w:tc>
                <w:tcPr>
                  <w:tcW w:w="1285" w:type="pct"/>
                  <w:tcBorders>
                    <w:tl2br w:val="nil"/>
                    <w:tr2bl w:val="nil"/>
                  </w:tcBorders>
                  <w:vAlign w:val="center"/>
                </w:tcPr>
                <w:p>
                  <w:pPr>
                    <w:snapToGrid w:val="0"/>
                    <w:jc w:val="center"/>
                    <w:rPr>
                      <w:rFonts w:cs="Times New Roman"/>
                      <w:szCs w:val="21"/>
                    </w:rPr>
                  </w:pPr>
                  <w:r>
                    <w:rPr>
                      <w:rFonts w:cs="Times New Roman"/>
                      <w:szCs w:val="21"/>
                    </w:rPr>
                    <w:t>0.3m</w:t>
                  </w:r>
                  <w:r>
                    <w:rPr>
                      <w:rFonts w:cs="Times New Roman"/>
                      <w:szCs w:val="21"/>
                      <w:vertAlign w:val="superscript"/>
                    </w:rPr>
                    <w:t>3</w:t>
                  </w: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eastAsiaTheme="minorEastAsia"/>
                      <w:bCs/>
                      <w:szCs w:val="21"/>
                    </w:rPr>
                  </w:pPr>
                  <w:r>
                    <w:rPr>
                      <w:rFonts w:cs="Times New Roman"/>
                      <w:kern w:val="0"/>
                      <w:sz w:val="22"/>
                      <w:lang w:bidi="ar"/>
                    </w:rPr>
                    <w:t>20</w:t>
                  </w:r>
                </w:p>
              </w:tc>
              <w:tc>
                <w:tcPr>
                  <w:tcW w:w="1161" w:type="pct"/>
                  <w:vMerge w:val="continue"/>
                  <w:tcBorders>
                    <w:tl2br w:val="nil"/>
                    <w:tr2bl w:val="nil"/>
                  </w:tcBorders>
                  <w:vAlign w:val="center"/>
                </w:tcPr>
                <w:p>
                  <w:pPr>
                    <w:jc w:val="center"/>
                    <w:rPr>
                      <w:rFonts w:cs="Times New Roman" w:eastAsiaTheme="minorEastAsia"/>
                      <w:szCs w:val="21"/>
                    </w:rPr>
                  </w:pPr>
                </w:p>
              </w:tc>
              <w:tc>
                <w:tcPr>
                  <w:tcW w:w="1223" w:type="pct"/>
                  <w:tcBorders>
                    <w:tl2br w:val="nil"/>
                    <w:tr2bl w:val="nil"/>
                  </w:tcBorders>
                  <w:vAlign w:val="center"/>
                </w:tcPr>
                <w:p>
                  <w:pPr>
                    <w:jc w:val="center"/>
                    <w:rPr>
                      <w:rFonts w:cs="Times New Roman" w:eastAsiaTheme="minorEastAsia"/>
                      <w:szCs w:val="21"/>
                    </w:rPr>
                  </w:pPr>
                  <w:r>
                    <w:rPr>
                      <w:rFonts w:cs="Times New Roman"/>
                      <w:szCs w:val="21"/>
                    </w:rPr>
                    <w:t>添加剂贮罐</w:t>
                  </w:r>
                </w:p>
              </w:tc>
              <w:tc>
                <w:tcPr>
                  <w:tcW w:w="1285" w:type="pct"/>
                  <w:tcBorders>
                    <w:tl2br w:val="nil"/>
                    <w:tr2bl w:val="nil"/>
                  </w:tcBorders>
                  <w:vAlign w:val="center"/>
                </w:tcPr>
                <w:p>
                  <w:pPr>
                    <w:snapToGrid w:val="0"/>
                    <w:jc w:val="center"/>
                    <w:rPr>
                      <w:rFonts w:cs="Times New Roman"/>
                      <w:szCs w:val="21"/>
                    </w:rPr>
                  </w:pPr>
                  <w:r>
                    <w:rPr>
                      <w:rFonts w:cs="Times New Roman"/>
                      <w:szCs w:val="21"/>
                    </w:rPr>
                    <w:t>0.6m</w:t>
                  </w:r>
                  <w:r>
                    <w:rPr>
                      <w:rFonts w:cs="Times New Roman"/>
                      <w:szCs w:val="21"/>
                      <w:vertAlign w:val="superscript"/>
                    </w:rPr>
                    <w:t>3</w:t>
                  </w: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21</w:t>
                  </w:r>
                </w:p>
              </w:tc>
              <w:tc>
                <w:tcPr>
                  <w:tcW w:w="1161" w:type="pct"/>
                  <w:vMerge w:val="continue"/>
                  <w:tcBorders>
                    <w:tl2br w:val="nil"/>
                    <w:tr2bl w:val="nil"/>
                  </w:tcBorders>
                  <w:vAlign w:val="center"/>
                </w:tcPr>
                <w:p>
                  <w:pPr>
                    <w:jc w:val="center"/>
                    <w:rPr>
                      <w:rFonts w:cs="Times New Roman" w:eastAsiaTheme="minorEastAsia"/>
                      <w:bCs/>
                      <w:szCs w:val="21"/>
                    </w:rPr>
                  </w:pPr>
                </w:p>
              </w:tc>
              <w:tc>
                <w:tcPr>
                  <w:tcW w:w="1223" w:type="pct"/>
                  <w:tcBorders>
                    <w:tl2br w:val="nil"/>
                    <w:tr2bl w:val="nil"/>
                  </w:tcBorders>
                  <w:vAlign w:val="center"/>
                </w:tcPr>
                <w:p>
                  <w:pPr>
                    <w:jc w:val="center"/>
                    <w:rPr>
                      <w:rFonts w:cs="Times New Roman" w:eastAsiaTheme="minorEastAsia"/>
                      <w:szCs w:val="21"/>
                    </w:rPr>
                  </w:pPr>
                  <w:r>
                    <w:rPr>
                      <w:rFonts w:cs="Times New Roman"/>
                      <w:szCs w:val="21"/>
                    </w:rPr>
                    <w:t>增稠剂贮罐</w:t>
                  </w:r>
                </w:p>
              </w:tc>
              <w:tc>
                <w:tcPr>
                  <w:tcW w:w="1285" w:type="pct"/>
                  <w:tcBorders>
                    <w:tl2br w:val="nil"/>
                    <w:tr2bl w:val="nil"/>
                  </w:tcBorders>
                  <w:vAlign w:val="center"/>
                </w:tcPr>
                <w:p>
                  <w:pPr>
                    <w:snapToGrid w:val="0"/>
                    <w:jc w:val="center"/>
                    <w:rPr>
                      <w:rFonts w:cs="Times New Roman"/>
                      <w:szCs w:val="21"/>
                    </w:rPr>
                  </w:pPr>
                  <w:r>
                    <w:rPr>
                      <w:rFonts w:cs="Times New Roman"/>
                      <w:szCs w:val="21"/>
                    </w:rPr>
                    <w:t>5m</w:t>
                  </w:r>
                  <w:r>
                    <w:rPr>
                      <w:rFonts w:cs="Times New Roman"/>
                      <w:szCs w:val="21"/>
                      <w:vertAlign w:val="superscript"/>
                    </w:rPr>
                    <w:t>3</w:t>
                  </w: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eastAsiaTheme="minorEastAsia"/>
                      <w:szCs w:val="21"/>
                    </w:rPr>
                  </w:pPr>
                  <w:r>
                    <w:rPr>
                      <w:rFonts w:cs="Times New Roman"/>
                      <w:kern w:val="0"/>
                      <w:sz w:val="22"/>
                      <w:lang w:bidi="ar"/>
                    </w:rPr>
                    <w:t>22</w:t>
                  </w:r>
                </w:p>
              </w:tc>
              <w:tc>
                <w:tcPr>
                  <w:tcW w:w="1161" w:type="pct"/>
                  <w:vMerge w:val="continue"/>
                  <w:tcBorders>
                    <w:tl2br w:val="nil"/>
                    <w:tr2bl w:val="nil"/>
                  </w:tcBorders>
                  <w:vAlign w:val="center"/>
                </w:tcPr>
                <w:p>
                  <w:pPr>
                    <w:jc w:val="center"/>
                    <w:rPr>
                      <w:rFonts w:cs="Times New Roman" w:eastAsiaTheme="minorEastAsia"/>
                      <w:bCs/>
                      <w:szCs w:val="21"/>
                    </w:rPr>
                  </w:pPr>
                </w:p>
              </w:tc>
              <w:tc>
                <w:tcPr>
                  <w:tcW w:w="1223" w:type="pct"/>
                  <w:tcBorders>
                    <w:tl2br w:val="nil"/>
                    <w:tr2bl w:val="nil"/>
                  </w:tcBorders>
                  <w:vAlign w:val="center"/>
                </w:tcPr>
                <w:p>
                  <w:pPr>
                    <w:jc w:val="center"/>
                    <w:rPr>
                      <w:rFonts w:cs="Times New Roman" w:eastAsiaTheme="minorEastAsia"/>
                      <w:szCs w:val="21"/>
                    </w:rPr>
                  </w:pPr>
                  <w:r>
                    <w:rPr>
                      <w:rFonts w:cs="Times New Roman"/>
                      <w:szCs w:val="21"/>
                    </w:rPr>
                    <w:t>增稠剂搅拌罐</w:t>
                  </w:r>
                </w:p>
              </w:tc>
              <w:tc>
                <w:tcPr>
                  <w:tcW w:w="1285" w:type="pct"/>
                  <w:tcBorders>
                    <w:tl2br w:val="nil"/>
                    <w:tr2bl w:val="nil"/>
                  </w:tcBorders>
                  <w:vAlign w:val="center"/>
                </w:tcPr>
                <w:p>
                  <w:pPr>
                    <w:snapToGrid w:val="0"/>
                    <w:jc w:val="center"/>
                    <w:rPr>
                      <w:rFonts w:cs="Times New Roman"/>
                      <w:szCs w:val="21"/>
                    </w:rPr>
                  </w:pPr>
                  <w:r>
                    <w:rPr>
                      <w:rFonts w:cs="Times New Roman"/>
                      <w:szCs w:val="21"/>
                    </w:rPr>
                    <w:t>4m</w:t>
                  </w:r>
                  <w:r>
                    <w:rPr>
                      <w:rFonts w:cs="Times New Roman"/>
                      <w:szCs w:val="21"/>
                      <w:vertAlign w:val="superscript"/>
                    </w:rPr>
                    <w:t>3</w:t>
                  </w:r>
                </w:p>
              </w:tc>
              <w:tc>
                <w:tcPr>
                  <w:tcW w:w="845" w:type="pct"/>
                  <w:tcBorders>
                    <w:tl2br w:val="nil"/>
                    <w:tr2bl w:val="nil"/>
                  </w:tcBorders>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tcBorders>
                    <w:tl2br w:val="nil"/>
                    <w:tr2bl w:val="nil"/>
                  </w:tcBorders>
                  <w:vAlign w:val="center"/>
                </w:tcPr>
                <w:p>
                  <w:pPr>
                    <w:widowControl/>
                    <w:jc w:val="center"/>
                    <w:textAlignment w:val="center"/>
                    <w:rPr>
                      <w:rFonts w:cs="Times New Roman"/>
                      <w:szCs w:val="21"/>
                    </w:rPr>
                  </w:pPr>
                  <w:r>
                    <w:rPr>
                      <w:rFonts w:cs="Times New Roman"/>
                      <w:kern w:val="0"/>
                      <w:sz w:val="22"/>
                      <w:lang w:bidi="ar"/>
                    </w:rPr>
                    <w:t>23</w:t>
                  </w:r>
                </w:p>
              </w:tc>
              <w:tc>
                <w:tcPr>
                  <w:tcW w:w="1161" w:type="pct"/>
                  <w:vMerge w:val="continue"/>
                  <w:tcBorders>
                    <w:tl2br w:val="nil"/>
                    <w:tr2bl w:val="nil"/>
                  </w:tcBorders>
                  <w:vAlign w:val="center"/>
                </w:tcPr>
                <w:p>
                  <w:pPr>
                    <w:jc w:val="center"/>
                    <w:rPr>
                      <w:rFonts w:cs="Times New Roman" w:eastAsiaTheme="minorEastAsia"/>
                      <w:bCs/>
                      <w:szCs w:val="21"/>
                    </w:rPr>
                  </w:pPr>
                </w:p>
              </w:tc>
              <w:tc>
                <w:tcPr>
                  <w:tcW w:w="1223" w:type="pct"/>
                  <w:tcBorders>
                    <w:tl2br w:val="nil"/>
                    <w:tr2bl w:val="nil"/>
                  </w:tcBorders>
                  <w:vAlign w:val="center"/>
                </w:tcPr>
                <w:p>
                  <w:pPr>
                    <w:jc w:val="center"/>
                    <w:rPr>
                      <w:rFonts w:cs="Times New Roman"/>
                      <w:szCs w:val="21"/>
                    </w:rPr>
                  </w:pPr>
                  <w:r>
                    <w:rPr>
                      <w:rFonts w:cs="Times New Roman"/>
                      <w:szCs w:val="21"/>
                    </w:rPr>
                    <w:t>计量泵</w:t>
                  </w:r>
                </w:p>
                <w:p>
                  <w:pPr>
                    <w:jc w:val="center"/>
                    <w:rPr>
                      <w:rFonts w:cs="Times New Roman"/>
                      <w:szCs w:val="21"/>
                    </w:rPr>
                  </w:pPr>
                  <w:r>
                    <w:rPr>
                      <w:rFonts w:cs="Times New Roman"/>
                      <w:szCs w:val="21"/>
                    </w:rPr>
                    <w:t>（增稠剂）</w:t>
                  </w:r>
                </w:p>
              </w:tc>
              <w:tc>
                <w:tcPr>
                  <w:tcW w:w="1285" w:type="pct"/>
                  <w:tcBorders>
                    <w:tl2br w:val="nil"/>
                    <w:tr2bl w:val="nil"/>
                  </w:tcBorders>
                  <w:vAlign w:val="center"/>
                </w:tcPr>
                <w:p>
                  <w:pPr>
                    <w:jc w:val="center"/>
                    <w:rPr>
                      <w:rFonts w:cs="Times New Roman"/>
                      <w:szCs w:val="21"/>
                    </w:rPr>
                  </w:pPr>
                  <w:r>
                    <w:rPr>
                      <w:rFonts w:cs="Times New Roman"/>
                      <w:szCs w:val="21"/>
                    </w:rPr>
                    <w:t>Q=2500L/h</w:t>
                  </w:r>
                </w:p>
                <w:p>
                  <w:pPr>
                    <w:jc w:val="center"/>
                    <w:rPr>
                      <w:rFonts w:cs="Times New Roman"/>
                      <w:szCs w:val="21"/>
                    </w:rPr>
                  </w:pPr>
                  <w:r>
                    <w:rPr>
                      <w:rFonts w:cs="Times New Roman"/>
                      <w:szCs w:val="21"/>
                    </w:rPr>
                    <w:t>P=0.5MPa</w:t>
                  </w:r>
                </w:p>
              </w:tc>
              <w:tc>
                <w:tcPr>
                  <w:tcW w:w="845" w:type="pct"/>
                  <w:tcBorders>
                    <w:tl2br w:val="nil"/>
                    <w:tr2bl w:val="nil"/>
                  </w:tcBorders>
                  <w:vAlign w:val="center"/>
                </w:tcPr>
                <w:p>
                  <w:pPr>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24</w:t>
                  </w:r>
                </w:p>
              </w:tc>
              <w:tc>
                <w:tcPr>
                  <w:tcW w:w="1161" w:type="pct"/>
                  <w:vMerge w:val="continue"/>
                  <w:vAlign w:val="center"/>
                </w:tcPr>
                <w:p>
                  <w:pPr>
                    <w:jc w:val="center"/>
                    <w:rPr>
                      <w:rFonts w:cs="Times New Roman" w:eastAsiaTheme="minorEastAsia"/>
                      <w:szCs w:val="21"/>
                    </w:rPr>
                  </w:pPr>
                </w:p>
              </w:tc>
              <w:tc>
                <w:tcPr>
                  <w:tcW w:w="1223" w:type="pct"/>
                  <w:vAlign w:val="center"/>
                </w:tcPr>
                <w:p>
                  <w:pPr>
                    <w:jc w:val="center"/>
                    <w:rPr>
                      <w:rFonts w:cs="Times New Roman"/>
                      <w:szCs w:val="21"/>
                    </w:rPr>
                  </w:pPr>
                  <w:r>
                    <w:rPr>
                      <w:rFonts w:cs="Times New Roman"/>
                      <w:szCs w:val="21"/>
                    </w:rPr>
                    <w:t>计量泵2</w:t>
                  </w:r>
                </w:p>
                <w:p>
                  <w:pPr>
                    <w:jc w:val="center"/>
                    <w:rPr>
                      <w:rFonts w:cs="Times New Roman"/>
                      <w:szCs w:val="21"/>
                    </w:rPr>
                  </w:pPr>
                  <w:r>
                    <w:rPr>
                      <w:rFonts w:cs="Times New Roman"/>
                      <w:szCs w:val="21"/>
                    </w:rPr>
                    <w:t>（消泡剂）</w:t>
                  </w:r>
                </w:p>
              </w:tc>
              <w:tc>
                <w:tcPr>
                  <w:tcW w:w="1285" w:type="pct"/>
                  <w:vAlign w:val="center"/>
                </w:tcPr>
                <w:p>
                  <w:pPr>
                    <w:jc w:val="center"/>
                    <w:rPr>
                      <w:rFonts w:cs="Times New Roman"/>
                      <w:szCs w:val="21"/>
                    </w:rPr>
                  </w:pPr>
                  <w:r>
                    <w:rPr>
                      <w:rFonts w:cs="Times New Roman"/>
                      <w:szCs w:val="21"/>
                    </w:rPr>
                    <w:t>Q=80L/h</w:t>
                  </w:r>
                </w:p>
                <w:p>
                  <w:pPr>
                    <w:jc w:val="center"/>
                    <w:rPr>
                      <w:rFonts w:cs="Times New Roman"/>
                      <w:szCs w:val="21"/>
                    </w:rPr>
                  </w:pPr>
                  <w:r>
                    <w:rPr>
                      <w:rFonts w:cs="Times New Roman"/>
                      <w:szCs w:val="21"/>
                    </w:rPr>
                    <w:t>P=0.4MPa</w:t>
                  </w:r>
                </w:p>
              </w:tc>
              <w:tc>
                <w:tcPr>
                  <w:tcW w:w="845" w:type="pct"/>
                  <w:vAlign w:val="center"/>
                </w:tcPr>
                <w:p>
                  <w:pPr>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25</w:t>
                  </w:r>
                </w:p>
              </w:tc>
              <w:tc>
                <w:tcPr>
                  <w:tcW w:w="1161" w:type="pct"/>
                  <w:vMerge w:val="continue"/>
                  <w:vAlign w:val="center"/>
                </w:tcPr>
                <w:p>
                  <w:pPr>
                    <w:jc w:val="center"/>
                    <w:rPr>
                      <w:rFonts w:cs="Times New Roman" w:eastAsiaTheme="minorEastAsia"/>
                      <w:szCs w:val="21"/>
                    </w:rPr>
                  </w:pPr>
                </w:p>
              </w:tc>
              <w:tc>
                <w:tcPr>
                  <w:tcW w:w="1223" w:type="pct"/>
                  <w:vAlign w:val="center"/>
                </w:tcPr>
                <w:p>
                  <w:pPr>
                    <w:jc w:val="center"/>
                    <w:rPr>
                      <w:rFonts w:cs="Times New Roman"/>
                      <w:szCs w:val="21"/>
                    </w:rPr>
                  </w:pPr>
                  <w:r>
                    <w:rPr>
                      <w:rFonts w:cs="Times New Roman"/>
                      <w:szCs w:val="21"/>
                    </w:rPr>
                    <w:t>添加剂罐</w:t>
                  </w:r>
                </w:p>
              </w:tc>
              <w:tc>
                <w:tcPr>
                  <w:tcW w:w="1285" w:type="pct"/>
                  <w:vAlign w:val="center"/>
                </w:tcPr>
                <w:p>
                  <w:pPr>
                    <w:jc w:val="center"/>
                    <w:rPr>
                      <w:rFonts w:cs="Times New Roman"/>
                      <w:szCs w:val="21"/>
                    </w:rPr>
                  </w:pPr>
                  <w:r>
                    <w:rPr>
                      <w:rFonts w:cs="Times New Roman"/>
                      <w:szCs w:val="21"/>
                    </w:rPr>
                    <w:t>140L</w:t>
                  </w:r>
                </w:p>
              </w:tc>
              <w:tc>
                <w:tcPr>
                  <w:tcW w:w="845" w:type="pct"/>
                  <w:vAlign w:val="center"/>
                </w:tcPr>
                <w:p>
                  <w:pPr>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26</w:t>
                  </w:r>
                </w:p>
              </w:tc>
              <w:tc>
                <w:tcPr>
                  <w:tcW w:w="1161" w:type="pct"/>
                  <w:vMerge w:val="restart"/>
                  <w:vAlign w:val="center"/>
                </w:tcPr>
                <w:p>
                  <w:pPr>
                    <w:jc w:val="center"/>
                    <w:rPr>
                      <w:rFonts w:cs="Times New Roman" w:eastAsiaTheme="minorEastAsia"/>
                      <w:szCs w:val="21"/>
                    </w:rPr>
                  </w:pPr>
                  <w:r>
                    <w:rPr>
                      <w:rFonts w:cs="Times New Roman"/>
                      <w:szCs w:val="21"/>
                    </w:rPr>
                    <w:t>粘接剂制备系统</w:t>
                  </w:r>
                </w:p>
              </w:tc>
              <w:tc>
                <w:tcPr>
                  <w:tcW w:w="1223" w:type="pct"/>
                  <w:vAlign w:val="center"/>
                </w:tcPr>
                <w:p>
                  <w:pPr>
                    <w:jc w:val="center"/>
                    <w:rPr>
                      <w:rFonts w:cs="Times New Roman" w:eastAsiaTheme="minorEastAsia"/>
                      <w:szCs w:val="21"/>
                    </w:rPr>
                  </w:pPr>
                  <w:r>
                    <w:rPr>
                      <w:rFonts w:cs="Times New Roman"/>
                      <w:szCs w:val="21"/>
                    </w:rPr>
                    <w:t>粘接剂搅拌罐</w:t>
                  </w:r>
                </w:p>
              </w:tc>
              <w:tc>
                <w:tcPr>
                  <w:tcW w:w="1285" w:type="pct"/>
                  <w:vAlign w:val="center"/>
                </w:tcPr>
                <w:p>
                  <w:pPr>
                    <w:jc w:val="center"/>
                    <w:rPr>
                      <w:rFonts w:cs="Times New Roman" w:eastAsiaTheme="minorEastAsia"/>
                      <w:szCs w:val="21"/>
                    </w:rPr>
                  </w:pPr>
                  <w:r>
                    <w:rPr>
                      <w:rFonts w:cs="Times New Roman" w:eastAsiaTheme="minorEastAsia"/>
                      <w:szCs w:val="21"/>
                    </w:rPr>
                    <w:t>3</w:t>
                  </w:r>
                  <w:r>
                    <w:rPr>
                      <w:rFonts w:cs="Times New Roman"/>
                      <w:szCs w:val="21"/>
                    </w:rPr>
                    <w:t>m</w:t>
                  </w:r>
                  <w:r>
                    <w:rPr>
                      <w:rFonts w:cs="Times New Roman"/>
                      <w:szCs w:val="21"/>
                      <w:vertAlign w:val="superscript"/>
                    </w:rPr>
                    <w:t>3</w:t>
                  </w:r>
                </w:p>
              </w:tc>
              <w:tc>
                <w:tcPr>
                  <w:tcW w:w="845" w:type="pct"/>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27</w:t>
                  </w:r>
                </w:p>
              </w:tc>
              <w:tc>
                <w:tcPr>
                  <w:tcW w:w="1161" w:type="pct"/>
                  <w:vMerge w:val="continue"/>
                  <w:vAlign w:val="center"/>
                </w:tcPr>
                <w:p>
                  <w:pPr>
                    <w:jc w:val="center"/>
                    <w:rPr>
                      <w:rFonts w:cs="Times New Roman" w:eastAsiaTheme="minorEastAsia"/>
                      <w:szCs w:val="21"/>
                    </w:rPr>
                  </w:pPr>
                </w:p>
              </w:tc>
              <w:tc>
                <w:tcPr>
                  <w:tcW w:w="1223" w:type="pct"/>
                  <w:vAlign w:val="center"/>
                </w:tcPr>
                <w:p>
                  <w:pPr>
                    <w:jc w:val="center"/>
                    <w:rPr>
                      <w:rFonts w:cs="Times New Roman" w:eastAsiaTheme="minorEastAsia"/>
                      <w:szCs w:val="21"/>
                    </w:rPr>
                  </w:pPr>
                  <w:r>
                    <w:rPr>
                      <w:rFonts w:cs="Times New Roman"/>
                      <w:szCs w:val="21"/>
                    </w:rPr>
                    <w:t>粘接剂贮罐</w:t>
                  </w:r>
                </w:p>
              </w:tc>
              <w:tc>
                <w:tcPr>
                  <w:tcW w:w="1285" w:type="pct"/>
                  <w:vAlign w:val="center"/>
                </w:tcPr>
                <w:p>
                  <w:pPr>
                    <w:jc w:val="center"/>
                    <w:rPr>
                      <w:rFonts w:cs="Times New Roman" w:eastAsiaTheme="minorEastAsia"/>
                      <w:szCs w:val="21"/>
                    </w:rPr>
                  </w:pPr>
                  <w:r>
                    <w:rPr>
                      <w:rFonts w:cs="Times New Roman" w:eastAsiaTheme="minorEastAsia"/>
                      <w:szCs w:val="21"/>
                    </w:rPr>
                    <w:t>3</w:t>
                  </w:r>
                  <w:r>
                    <w:rPr>
                      <w:rFonts w:cs="Times New Roman"/>
                      <w:szCs w:val="21"/>
                    </w:rPr>
                    <w:t>m</w:t>
                  </w:r>
                  <w:r>
                    <w:rPr>
                      <w:rFonts w:cs="Times New Roman"/>
                      <w:szCs w:val="21"/>
                      <w:vertAlign w:val="superscript"/>
                    </w:rPr>
                    <w:t>3</w:t>
                  </w:r>
                </w:p>
              </w:tc>
              <w:tc>
                <w:tcPr>
                  <w:tcW w:w="845" w:type="pct"/>
                  <w:vAlign w:val="center"/>
                </w:tcPr>
                <w:p>
                  <w:pPr>
                    <w:snapToGrid w:val="0"/>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28</w:t>
                  </w:r>
                </w:p>
              </w:tc>
              <w:tc>
                <w:tcPr>
                  <w:tcW w:w="1161" w:type="pct"/>
                  <w:vMerge w:val="restart"/>
                  <w:vAlign w:val="center"/>
                </w:tcPr>
                <w:p>
                  <w:pPr>
                    <w:snapToGrid w:val="0"/>
                    <w:jc w:val="center"/>
                    <w:rPr>
                      <w:rFonts w:cs="Times New Roman" w:eastAsiaTheme="minorEastAsia"/>
                      <w:szCs w:val="21"/>
                    </w:rPr>
                  </w:pPr>
                  <w:r>
                    <w:rPr>
                      <w:rFonts w:cs="Times New Roman"/>
                      <w:szCs w:val="21"/>
                    </w:rPr>
                    <w:t>粘接剂抽吸循环系统</w:t>
                  </w:r>
                </w:p>
              </w:tc>
              <w:tc>
                <w:tcPr>
                  <w:tcW w:w="1223" w:type="pct"/>
                  <w:vAlign w:val="center"/>
                </w:tcPr>
                <w:p>
                  <w:pPr>
                    <w:jc w:val="center"/>
                    <w:rPr>
                      <w:rFonts w:cs="Times New Roman" w:eastAsiaTheme="minorEastAsia"/>
                      <w:szCs w:val="21"/>
                    </w:rPr>
                  </w:pPr>
                  <w:r>
                    <w:rPr>
                      <w:rFonts w:cs="Times New Roman"/>
                      <w:szCs w:val="21"/>
                    </w:rPr>
                    <w:t>粘接剂循环罐</w:t>
                  </w:r>
                </w:p>
              </w:tc>
              <w:tc>
                <w:tcPr>
                  <w:tcW w:w="1285" w:type="pct"/>
                  <w:vAlign w:val="center"/>
                </w:tcPr>
                <w:p>
                  <w:pPr>
                    <w:snapToGrid w:val="0"/>
                    <w:jc w:val="center"/>
                    <w:rPr>
                      <w:rFonts w:cs="Times New Roman"/>
                      <w:szCs w:val="21"/>
                    </w:rPr>
                  </w:pPr>
                  <w:r>
                    <w:rPr>
                      <w:rFonts w:cs="Times New Roman"/>
                      <w:szCs w:val="21"/>
                    </w:rPr>
                    <w:t>2m</w:t>
                  </w:r>
                  <w:r>
                    <w:rPr>
                      <w:rFonts w:cs="Times New Roman"/>
                      <w:szCs w:val="21"/>
                      <w:vertAlign w:val="superscript"/>
                    </w:rPr>
                    <w:t>3</w:t>
                  </w:r>
                </w:p>
              </w:tc>
              <w:tc>
                <w:tcPr>
                  <w:tcW w:w="845" w:type="pct"/>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29</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eastAsiaTheme="minorEastAsia"/>
                      <w:szCs w:val="21"/>
                    </w:rPr>
                  </w:pPr>
                  <w:r>
                    <w:rPr>
                      <w:rFonts w:cs="Times New Roman"/>
                      <w:szCs w:val="21"/>
                    </w:rPr>
                    <w:t>胶循环罐液位传感器</w:t>
                  </w:r>
                </w:p>
              </w:tc>
              <w:tc>
                <w:tcPr>
                  <w:tcW w:w="1285" w:type="pct"/>
                  <w:vAlign w:val="center"/>
                </w:tcPr>
                <w:p>
                  <w:pPr>
                    <w:snapToGrid w:val="0"/>
                    <w:jc w:val="center"/>
                    <w:rPr>
                      <w:rFonts w:cs="Times New Roman"/>
                      <w:szCs w:val="21"/>
                    </w:rPr>
                  </w:pPr>
                  <w:r>
                    <w:rPr>
                      <w:rFonts w:cs="Times New Roman"/>
                      <w:szCs w:val="21"/>
                    </w:rPr>
                    <w:t>0-2m</w:t>
                  </w:r>
                </w:p>
              </w:tc>
              <w:tc>
                <w:tcPr>
                  <w:tcW w:w="845" w:type="pct"/>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30</w:t>
                  </w:r>
                </w:p>
              </w:tc>
              <w:tc>
                <w:tcPr>
                  <w:tcW w:w="1161" w:type="pct"/>
                  <w:vMerge w:val="restart"/>
                  <w:vAlign w:val="center"/>
                </w:tcPr>
                <w:p>
                  <w:pPr>
                    <w:snapToGrid w:val="0"/>
                    <w:jc w:val="center"/>
                    <w:rPr>
                      <w:rFonts w:cs="Times New Roman" w:eastAsiaTheme="minorEastAsia"/>
                      <w:szCs w:val="21"/>
                    </w:rPr>
                  </w:pPr>
                  <w:r>
                    <w:rPr>
                      <w:rFonts w:cs="Times New Roman"/>
                      <w:szCs w:val="21"/>
                    </w:rPr>
                    <w:t>上浆成型</w:t>
                  </w:r>
                </w:p>
              </w:tc>
              <w:tc>
                <w:tcPr>
                  <w:tcW w:w="1223" w:type="pct"/>
                  <w:vAlign w:val="center"/>
                </w:tcPr>
                <w:p>
                  <w:pPr>
                    <w:snapToGrid w:val="0"/>
                    <w:jc w:val="center"/>
                    <w:rPr>
                      <w:rFonts w:cs="Times New Roman" w:eastAsiaTheme="minorEastAsia"/>
                      <w:szCs w:val="21"/>
                    </w:rPr>
                  </w:pPr>
                  <w:r>
                    <w:rPr>
                      <w:rFonts w:cs="Times New Roman"/>
                      <w:szCs w:val="21"/>
                    </w:rPr>
                    <w:t>上浆分配器</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31</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eastAsiaTheme="minorEastAsia"/>
                      <w:szCs w:val="21"/>
                    </w:rPr>
                  </w:pPr>
                  <w:r>
                    <w:rPr>
                      <w:rFonts w:cs="Times New Roman"/>
                      <w:szCs w:val="21"/>
                    </w:rPr>
                    <w:t>流浆箱</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32</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eastAsiaTheme="minorEastAsia"/>
                      <w:szCs w:val="21"/>
                    </w:rPr>
                  </w:pPr>
                  <w:r>
                    <w:rPr>
                      <w:rFonts w:cs="Times New Roman"/>
                      <w:szCs w:val="21"/>
                    </w:rPr>
                    <w:t>滤水盒</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33</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eastAsiaTheme="minorEastAsia"/>
                      <w:szCs w:val="21"/>
                    </w:rPr>
                  </w:pPr>
                  <w:r>
                    <w:rPr>
                      <w:rFonts w:cs="Times New Roman"/>
                      <w:szCs w:val="21"/>
                    </w:rPr>
                    <w:t>斜网成型部</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34</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eastAsiaTheme="minorEastAsia"/>
                      <w:szCs w:val="21"/>
                    </w:rPr>
                  </w:pPr>
                  <w:r>
                    <w:rPr>
                      <w:rFonts w:cs="Times New Roman"/>
                      <w:szCs w:val="21"/>
                    </w:rPr>
                    <w:t>成型部传动</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35</w:t>
                  </w:r>
                </w:p>
              </w:tc>
              <w:tc>
                <w:tcPr>
                  <w:tcW w:w="1161" w:type="pct"/>
                  <w:vMerge w:val="restart"/>
                  <w:vAlign w:val="center"/>
                </w:tcPr>
                <w:p>
                  <w:pPr>
                    <w:snapToGrid w:val="0"/>
                    <w:jc w:val="center"/>
                    <w:rPr>
                      <w:rFonts w:cs="Times New Roman"/>
                      <w:szCs w:val="21"/>
                    </w:rPr>
                  </w:pPr>
                  <w:r>
                    <w:rPr>
                      <w:rFonts w:cs="Times New Roman"/>
                      <w:szCs w:val="21"/>
                    </w:rPr>
                    <w:t>施胶部</w:t>
                  </w:r>
                </w:p>
              </w:tc>
              <w:tc>
                <w:tcPr>
                  <w:tcW w:w="1223" w:type="pct"/>
                  <w:vAlign w:val="center"/>
                </w:tcPr>
                <w:p>
                  <w:pPr>
                    <w:snapToGrid w:val="0"/>
                    <w:jc w:val="center"/>
                    <w:rPr>
                      <w:rFonts w:cs="Times New Roman" w:eastAsiaTheme="minorEastAsia"/>
                      <w:szCs w:val="21"/>
                    </w:rPr>
                  </w:pPr>
                  <w:r>
                    <w:rPr>
                      <w:rFonts w:cs="Times New Roman"/>
                      <w:szCs w:val="21"/>
                    </w:rPr>
                    <w:t>可调式溢流施胶槽</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2个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36</w:t>
                  </w:r>
                </w:p>
              </w:tc>
              <w:tc>
                <w:tcPr>
                  <w:tcW w:w="1161" w:type="pct"/>
                  <w:vMerge w:val="continue"/>
                  <w:vAlign w:val="center"/>
                </w:tcPr>
                <w:p>
                  <w:pPr>
                    <w:snapToGrid w:val="0"/>
                    <w:jc w:val="center"/>
                    <w:rPr>
                      <w:rFonts w:cs="Times New Roman"/>
                      <w:szCs w:val="21"/>
                    </w:rPr>
                  </w:pPr>
                </w:p>
              </w:tc>
              <w:tc>
                <w:tcPr>
                  <w:tcW w:w="1223" w:type="pct"/>
                  <w:vAlign w:val="center"/>
                </w:tcPr>
                <w:p>
                  <w:pPr>
                    <w:snapToGrid w:val="0"/>
                    <w:jc w:val="center"/>
                    <w:rPr>
                      <w:rFonts w:cs="Times New Roman"/>
                      <w:szCs w:val="21"/>
                    </w:rPr>
                  </w:pPr>
                  <w:r>
                    <w:rPr>
                      <w:rFonts w:cs="Times New Roman"/>
                      <w:szCs w:val="21"/>
                    </w:rPr>
                    <w:t>不锈钢抽吸槽</w:t>
                  </w:r>
                </w:p>
              </w:tc>
              <w:tc>
                <w:tcPr>
                  <w:tcW w:w="1285" w:type="pct"/>
                  <w:vAlign w:val="center"/>
                </w:tcPr>
                <w:p>
                  <w:pPr>
                    <w:snapToGrid w:val="0"/>
                    <w:jc w:val="center"/>
                    <w:rPr>
                      <w:rFonts w:cs="Times New Roman"/>
                      <w:szCs w:val="21"/>
                    </w:rPr>
                  </w:pPr>
                  <w:r>
                    <w:rPr>
                      <w:rFonts w:cs="Times New Roman"/>
                      <w:szCs w:val="21"/>
                    </w:rPr>
                    <w:t>DN200</w:t>
                  </w:r>
                </w:p>
              </w:tc>
              <w:tc>
                <w:tcPr>
                  <w:tcW w:w="845" w:type="pct"/>
                  <w:vAlign w:val="center"/>
                </w:tcPr>
                <w:p>
                  <w:pPr>
                    <w:snapToGrid w:val="0"/>
                    <w:jc w:val="center"/>
                    <w:rPr>
                      <w:rFonts w:cs="Times New Roman"/>
                      <w:szCs w:val="21"/>
                    </w:rPr>
                  </w:pPr>
                  <w:r>
                    <w:rPr>
                      <w:rFonts w:cs="Times New Roman"/>
                      <w:szCs w:val="21"/>
                    </w:rPr>
                    <w:t>1个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37</w:t>
                  </w:r>
                </w:p>
              </w:tc>
              <w:tc>
                <w:tcPr>
                  <w:tcW w:w="1161" w:type="pct"/>
                  <w:vMerge w:val="continue"/>
                  <w:vAlign w:val="center"/>
                </w:tcPr>
                <w:p>
                  <w:pPr>
                    <w:snapToGrid w:val="0"/>
                    <w:jc w:val="center"/>
                    <w:rPr>
                      <w:rFonts w:cs="Times New Roman"/>
                      <w:szCs w:val="21"/>
                    </w:rPr>
                  </w:pPr>
                </w:p>
              </w:tc>
              <w:tc>
                <w:tcPr>
                  <w:tcW w:w="1223" w:type="pct"/>
                  <w:vAlign w:val="center"/>
                </w:tcPr>
                <w:p>
                  <w:pPr>
                    <w:snapToGrid w:val="0"/>
                    <w:jc w:val="center"/>
                    <w:rPr>
                      <w:rFonts w:cs="Times New Roman"/>
                      <w:szCs w:val="21"/>
                    </w:rPr>
                  </w:pPr>
                  <w:r>
                    <w:rPr>
                      <w:rFonts w:cs="Times New Roman"/>
                      <w:szCs w:val="21"/>
                    </w:rPr>
                    <w:t>不锈钢抽吸槽</w:t>
                  </w:r>
                </w:p>
              </w:tc>
              <w:tc>
                <w:tcPr>
                  <w:tcW w:w="1285" w:type="pct"/>
                  <w:vAlign w:val="center"/>
                </w:tcPr>
                <w:p>
                  <w:pPr>
                    <w:snapToGrid w:val="0"/>
                    <w:jc w:val="center"/>
                    <w:rPr>
                      <w:rFonts w:cs="Times New Roman"/>
                      <w:szCs w:val="21"/>
                    </w:rPr>
                  </w:pPr>
                  <w:r>
                    <w:rPr>
                      <w:rFonts w:cs="Times New Roman"/>
                      <w:szCs w:val="21"/>
                    </w:rPr>
                    <w:t>DN300</w:t>
                  </w:r>
                </w:p>
              </w:tc>
              <w:tc>
                <w:tcPr>
                  <w:tcW w:w="845" w:type="pct"/>
                  <w:vAlign w:val="center"/>
                </w:tcPr>
                <w:p>
                  <w:pPr>
                    <w:snapToGrid w:val="0"/>
                    <w:jc w:val="center"/>
                    <w:rPr>
                      <w:rFonts w:cs="Times New Roman"/>
                      <w:szCs w:val="21"/>
                    </w:rPr>
                  </w:pPr>
                  <w:r>
                    <w:rPr>
                      <w:rFonts w:cs="Times New Roman"/>
                      <w:szCs w:val="21"/>
                    </w:rPr>
                    <w:t>3个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38</w:t>
                  </w:r>
                </w:p>
              </w:tc>
              <w:tc>
                <w:tcPr>
                  <w:tcW w:w="1161" w:type="pct"/>
                  <w:vMerge w:val="continue"/>
                  <w:vAlign w:val="center"/>
                </w:tcPr>
                <w:p>
                  <w:pPr>
                    <w:snapToGrid w:val="0"/>
                    <w:jc w:val="center"/>
                    <w:rPr>
                      <w:rFonts w:cs="Times New Roman"/>
                      <w:szCs w:val="21"/>
                    </w:rPr>
                  </w:pPr>
                </w:p>
              </w:tc>
              <w:tc>
                <w:tcPr>
                  <w:tcW w:w="1223" w:type="pct"/>
                  <w:vAlign w:val="center"/>
                </w:tcPr>
                <w:p>
                  <w:pPr>
                    <w:snapToGrid w:val="0"/>
                    <w:jc w:val="center"/>
                    <w:rPr>
                      <w:rFonts w:cs="Times New Roman"/>
                      <w:szCs w:val="21"/>
                    </w:rPr>
                  </w:pPr>
                  <w:r>
                    <w:rPr>
                      <w:rFonts w:cs="Times New Roman"/>
                      <w:szCs w:val="21"/>
                    </w:rPr>
                    <w:t>施胶网部</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39</w:t>
                  </w:r>
                </w:p>
              </w:tc>
              <w:tc>
                <w:tcPr>
                  <w:tcW w:w="1161" w:type="pct"/>
                  <w:vMerge w:val="continue"/>
                  <w:vAlign w:val="center"/>
                </w:tcPr>
                <w:p>
                  <w:pPr>
                    <w:snapToGrid w:val="0"/>
                    <w:jc w:val="center"/>
                    <w:rPr>
                      <w:rFonts w:cs="Times New Roman"/>
                      <w:szCs w:val="21"/>
                    </w:rPr>
                  </w:pPr>
                </w:p>
              </w:tc>
              <w:tc>
                <w:tcPr>
                  <w:tcW w:w="1223" w:type="pct"/>
                  <w:vAlign w:val="center"/>
                </w:tcPr>
                <w:p>
                  <w:pPr>
                    <w:snapToGrid w:val="0"/>
                    <w:jc w:val="center"/>
                    <w:rPr>
                      <w:rFonts w:cs="Times New Roman"/>
                      <w:szCs w:val="21"/>
                    </w:rPr>
                  </w:pPr>
                  <w:r>
                    <w:rPr>
                      <w:rFonts w:cs="Times New Roman"/>
                      <w:szCs w:val="21"/>
                    </w:rPr>
                    <w:t>齿轮减速机变频电机</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40</w:t>
                  </w:r>
                </w:p>
              </w:tc>
              <w:tc>
                <w:tcPr>
                  <w:tcW w:w="1161" w:type="pct"/>
                  <w:vMerge w:val="restart"/>
                  <w:vAlign w:val="center"/>
                </w:tcPr>
                <w:p>
                  <w:pPr>
                    <w:snapToGrid w:val="0"/>
                    <w:jc w:val="center"/>
                    <w:rPr>
                      <w:rFonts w:cs="Times New Roman" w:eastAsiaTheme="minorEastAsia"/>
                      <w:szCs w:val="21"/>
                    </w:rPr>
                  </w:pPr>
                  <w:r>
                    <w:rPr>
                      <w:rFonts w:cs="Times New Roman"/>
                      <w:szCs w:val="21"/>
                    </w:rPr>
                    <w:t>烘干固化部</w:t>
                  </w:r>
                </w:p>
              </w:tc>
              <w:tc>
                <w:tcPr>
                  <w:tcW w:w="1223" w:type="pct"/>
                  <w:vAlign w:val="center"/>
                </w:tcPr>
                <w:p>
                  <w:pPr>
                    <w:snapToGrid w:val="0"/>
                    <w:jc w:val="center"/>
                    <w:rPr>
                      <w:rFonts w:cs="Times New Roman"/>
                      <w:szCs w:val="21"/>
                    </w:rPr>
                  </w:pPr>
                  <w:r>
                    <w:rPr>
                      <w:rFonts w:cs="Times New Roman"/>
                      <w:szCs w:val="21"/>
                    </w:rPr>
                    <w:t>炉体</w:t>
                  </w:r>
                </w:p>
              </w:tc>
              <w:tc>
                <w:tcPr>
                  <w:tcW w:w="1285" w:type="pct"/>
                  <w:vAlign w:val="center"/>
                </w:tcPr>
                <w:p>
                  <w:pPr>
                    <w:snapToGrid w:val="0"/>
                    <w:jc w:val="center"/>
                    <w:rPr>
                      <w:rFonts w:cs="Times New Roman"/>
                      <w:szCs w:val="21"/>
                    </w:rPr>
                  </w:pPr>
                  <w:r>
                    <w:rPr>
                      <w:rFonts w:cs="Times New Roman"/>
                      <w:szCs w:val="21"/>
                    </w:rPr>
                    <w:t>6000×2900×3000</w:t>
                  </w:r>
                </w:p>
              </w:tc>
              <w:tc>
                <w:tcPr>
                  <w:tcW w:w="845" w:type="pct"/>
                  <w:vAlign w:val="center"/>
                </w:tcPr>
                <w:p>
                  <w:pPr>
                    <w:snapToGrid w:val="0"/>
                    <w:jc w:val="center"/>
                    <w:rPr>
                      <w:rFonts w:cs="Times New Roman"/>
                      <w:szCs w:val="21"/>
                    </w:rPr>
                  </w:pPr>
                  <w:r>
                    <w:rPr>
                      <w:rFonts w:cs="Times New Roman"/>
                      <w:szCs w:val="21"/>
                    </w:rPr>
                    <w:t>6台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41</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szCs w:val="21"/>
                    </w:rPr>
                  </w:pPr>
                  <w:r>
                    <w:rPr>
                      <w:rFonts w:cs="Times New Roman"/>
                      <w:szCs w:val="21"/>
                    </w:rPr>
                    <w:t>燃烧及循环系统</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6套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42</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szCs w:val="21"/>
                    </w:rPr>
                  </w:pPr>
                  <w:r>
                    <w:rPr>
                      <w:rFonts w:cs="Times New Roman"/>
                      <w:szCs w:val="21"/>
                    </w:rPr>
                    <w:t>排湿系统</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43</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szCs w:val="21"/>
                    </w:rPr>
                  </w:pPr>
                  <w:r>
                    <w:rPr>
                      <w:rFonts w:cs="Times New Roman"/>
                      <w:szCs w:val="21"/>
                    </w:rPr>
                    <w:t>固化炉网带</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44</w:t>
                  </w:r>
                </w:p>
              </w:tc>
              <w:tc>
                <w:tcPr>
                  <w:tcW w:w="1161" w:type="pct"/>
                  <w:vMerge w:val="restart"/>
                  <w:vAlign w:val="center"/>
                </w:tcPr>
                <w:p>
                  <w:pPr>
                    <w:snapToGrid w:val="0"/>
                    <w:jc w:val="center"/>
                    <w:rPr>
                      <w:rFonts w:cs="Times New Roman" w:eastAsiaTheme="minorEastAsia"/>
                      <w:szCs w:val="21"/>
                    </w:rPr>
                  </w:pPr>
                  <w:r>
                    <w:rPr>
                      <w:rFonts w:cs="Times New Roman"/>
                      <w:szCs w:val="21"/>
                    </w:rPr>
                    <w:t>卷曲段</w:t>
                  </w:r>
                </w:p>
              </w:tc>
              <w:tc>
                <w:tcPr>
                  <w:tcW w:w="1223" w:type="pct"/>
                  <w:vAlign w:val="center"/>
                </w:tcPr>
                <w:p>
                  <w:pPr>
                    <w:snapToGrid w:val="0"/>
                    <w:jc w:val="center"/>
                    <w:rPr>
                      <w:rFonts w:cs="Times New Roman"/>
                      <w:szCs w:val="21"/>
                    </w:rPr>
                  </w:pPr>
                  <w:r>
                    <w:rPr>
                      <w:rFonts w:cs="Times New Roman"/>
                      <w:szCs w:val="21"/>
                    </w:rPr>
                    <w:t>双位收卷机</w:t>
                  </w:r>
                </w:p>
              </w:tc>
              <w:tc>
                <w:tcPr>
                  <w:tcW w:w="1285" w:type="pct"/>
                  <w:vAlign w:val="center"/>
                </w:tcPr>
                <w:p>
                  <w:pPr>
                    <w:snapToGrid w:val="0"/>
                    <w:jc w:val="center"/>
                    <w:rPr>
                      <w:rFonts w:cs="Times New Roman"/>
                      <w:szCs w:val="21"/>
                    </w:rPr>
                  </w:pPr>
                  <w:r>
                    <w:rPr>
                      <w:rFonts w:cs="Times New Roman"/>
                      <w:szCs w:val="21"/>
                    </w:rPr>
                    <w:t>2600mm</w:t>
                  </w: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45</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szCs w:val="21"/>
                    </w:rPr>
                  </w:pPr>
                  <w:r>
                    <w:rPr>
                      <w:rFonts w:cs="Times New Roman"/>
                      <w:szCs w:val="21"/>
                    </w:rPr>
                    <w:t>激光测距仪</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46</w:t>
                  </w:r>
                </w:p>
              </w:tc>
              <w:tc>
                <w:tcPr>
                  <w:tcW w:w="1161" w:type="pct"/>
                  <w:vAlign w:val="center"/>
                </w:tcPr>
                <w:p>
                  <w:pPr>
                    <w:snapToGrid w:val="0"/>
                    <w:jc w:val="center"/>
                    <w:rPr>
                      <w:rFonts w:cs="Times New Roman" w:eastAsiaTheme="minorEastAsia"/>
                      <w:szCs w:val="21"/>
                    </w:rPr>
                  </w:pPr>
                  <w:r>
                    <w:rPr>
                      <w:rFonts w:cs="Times New Roman"/>
                      <w:szCs w:val="21"/>
                    </w:rPr>
                    <w:t>控制系统</w:t>
                  </w:r>
                </w:p>
              </w:tc>
              <w:tc>
                <w:tcPr>
                  <w:tcW w:w="1223" w:type="pct"/>
                  <w:vAlign w:val="center"/>
                </w:tcPr>
                <w:p>
                  <w:pPr>
                    <w:snapToGrid w:val="0"/>
                    <w:jc w:val="center"/>
                    <w:rPr>
                      <w:rFonts w:cs="Times New Roman"/>
                      <w:szCs w:val="21"/>
                    </w:rPr>
                  </w:pPr>
                  <w:r>
                    <w:rPr>
                      <w:rFonts w:cs="Times New Roman"/>
                      <w:szCs w:val="21"/>
                    </w:rPr>
                    <w:t>可编程控制器</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47</w:t>
                  </w:r>
                </w:p>
              </w:tc>
              <w:tc>
                <w:tcPr>
                  <w:tcW w:w="1161" w:type="pct"/>
                  <w:vMerge w:val="restart"/>
                  <w:vAlign w:val="center"/>
                </w:tcPr>
                <w:p>
                  <w:pPr>
                    <w:snapToGrid w:val="0"/>
                    <w:jc w:val="center"/>
                    <w:rPr>
                      <w:rFonts w:cs="Times New Roman" w:eastAsiaTheme="minorEastAsia"/>
                      <w:szCs w:val="21"/>
                    </w:rPr>
                  </w:pPr>
                  <w:r>
                    <w:rPr>
                      <w:rFonts w:cs="Times New Roman"/>
                      <w:szCs w:val="21"/>
                    </w:rPr>
                    <w:t>其他</w:t>
                  </w:r>
                </w:p>
              </w:tc>
              <w:tc>
                <w:tcPr>
                  <w:tcW w:w="1223" w:type="pct"/>
                  <w:vAlign w:val="center"/>
                </w:tcPr>
                <w:p>
                  <w:pPr>
                    <w:snapToGrid w:val="0"/>
                    <w:jc w:val="center"/>
                    <w:rPr>
                      <w:rFonts w:cs="Times New Roman"/>
                      <w:szCs w:val="21"/>
                    </w:rPr>
                  </w:pPr>
                  <w:r>
                    <w:rPr>
                      <w:rFonts w:cs="Times New Roman"/>
                      <w:szCs w:val="21"/>
                    </w:rPr>
                    <w:t>液压升降平台</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kern w:val="0"/>
                      <w:sz w:val="22"/>
                      <w:lang w:bidi="ar"/>
                    </w:rPr>
                    <w:t>48</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szCs w:val="21"/>
                    </w:rPr>
                  </w:pPr>
                  <w:r>
                    <w:rPr>
                      <w:rFonts w:cs="Times New Roman"/>
                      <w:szCs w:val="21"/>
                    </w:rPr>
                    <w:t>抽芯装置</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84" w:type="pct"/>
                  <w:vAlign w:val="center"/>
                </w:tcPr>
                <w:p>
                  <w:pPr>
                    <w:widowControl/>
                    <w:jc w:val="center"/>
                    <w:textAlignment w:val="center"/>
                    <w:rPr>
                      <w:rFonts w:cs="Times New Roman"/>
                      <w:szCs w:val="21"/>
                    </w:rPr>
                  </w:pPr>
                  <w:r>
                    <w:rPr>
                      <w:rFonts w:cs="Times New Roman"/>
                      <w:szCs w:val="21"/>
                    </w:rPr>
                    <w:t>49</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szCs w:val="21"/>
                    </w:rPr>
                  </w:pPr>
                  <w:r>
                    <w:rPr>
                      <w:rFonts w:cs="Times New Roman"/>
                      <w:szCs w:val="21"/>
                    </w:rPr>
                    <w:t>包装机</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84" w:type="pct"/>
                  <w:vAlign w:val="center"/>
                </w:tcPr>
                <w:p>
                  <w:pPr>
                    <w:widowControl/>
                    <w:jc w:val="center"/>
                    <w:textAlignment w:val="center"/>
                    <w:rPr>
                      <w:rFonts w:cs="Times New Roman"/>
                      <w:szCs w:val="21"/>
                    </w:rPr>
                  </w:pPr>
                  <w:r>
                    <w:rPr>
                      <w:rFonts w:cs="Times New Roman"/>
                      <w:szCs w:val="21"/>
                    </w:rPr>
                    <w:t>50</w:t>
                  </w:r>
                </w:p>
              </w:tc>
              <w:tc>
                <w:tcPr>
                  <w:tcW w:w="1161" w:type="pct"/>
                  <w:vMerge w:val="continue"/>
                  <w:vAlign w:val="center"/>
                </w:tcPr>
                <w:p>
                  <w:pPr>
                    <w:snapToGrid w:val="0"/>
                    <w:jc w:val="center"/>
                    <w:rPr>
                      <w:rFonts w:cs="Times New Roman" w:eastAsiaTheme="minorEastAsia"/>
                      <w:szCs w:val="21"/>
                    </w:rPr>
                  </w:pPr>
                </w:p>
              </w:tc>
              <w:tc>
                <w:tcPr>
                  <w:tcW w:w="1223" w:type="pct"/>
                  <w:vAlign w:val="center"/>
                </w:tcPr>
                <w:p>
                  <w:pPr>
                    <w:snapToGrid w:val="0"/>
                    <w:jc w:val="center"/>
                    <w:rPr>
                      <w:rFonts w:cs="Times New Roman"/>
                      <w:szCs w:val="21"/>
                    </w:rPr>
                  </w:pPr>
                  <w:r>
                    <w:rPr>
                      <w:rFonts w:cs="Times New Roman"/>
                      <w:szCs w:val="21"/>
                    </w:rPr>
                    <w:t>液压翻转机</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jc w:val="center"/>
              </w:trPr>
              <w:tc>
                <w:tcPr>
                  <w:tcW w:w="484" w:type="pct"/>
                  <w:vAlign w:val="center"/>
                </w:tcPr>
                <w:p>
                  <w:pPr>
                    <w:widowControl/>
                    <w:jc w:val="center"/>
                    <w:textAlignment w:val="center"/>
                    <w:rPr>
                      <w:rFonts w:cs="Times New Roman"/>
                      <w:kern w:val="0"/>
                      <w:sz w:val="22"/>
                      <w:lang w:bidi="ar"/>
                    </w:rPr>
                  </w:pPr>
                  <w:r>
                    <w:rPr>
                      <w:rFonts w:cs="Times New Roman"/>
                      <w:kern w:val="0"/>
                      <w:sz w:val="22"/>
                      <w:lang w:bidi="ar"/>
                    </w:rPr>
                    <w:t>51</w:t>
                  </w:r>
                </w:p>
              </w:tc>
              <w:tc>
                <w:tcPr>
                  <w:tcW w:w="1161" w:type="pct"/>
                  <w:vAlign w:val="center"/>
                </w:tcPr>
                <w:p>
                  <w:pPr>
                    <w:snapToGrid w:val="0"/>
                    <w:jc w:val="center"/>
                    <w:rPr>
                      <w:rFonts w:cs="Times New Roman"/>
                      <w:szCs w:val="21"/>
                      <w:highlight w:val="yellow"/>
                    </w:rPr>
                  </w:pPr>
                  <w:r>
                    <w:rPr>
                      <w:rFonts w:cs="Times New Roman"/>
                      <w:szCs w:val="21"/>
                    </w:rPr>
                    <w:t>环保设备</w:t>
                  </w:r>
                </w:p>
              </w:tc>
              <w:tc>
                <w:tcPr>
                  <w:tcW w:w="1223" w:type="pct"/>
                  <w:vAlign w:val="center"/>
                </w:tcPr>
                <w:p>
                  <w:pPr>
                    <w:snapToGrid w:val="0"/>
                    <w:jc w:val="center"/>
                    <w:rPr>
                      <w:rFonts w:cs="Times New Roman"/>
                      <w:szCs w:val="21"/>
                    </w:rPr>
                  </w:pPr>
                  <w:r>
                    <w:rPr>
                      <w:rFonts w:cs="Times New Roman"/>
                      <w:szCs w:val="21"/>
                    </w:rPr>
                    <w:t>低氮燃烧器</w:t>
                  </w:r>
                </w:p>
              </w:tc>
              <w:tc>
                <w:tcPr>
                  <w:tcW w:w="1285" w:type="pct"/>
                  <w:vAlign w:val="center"/>
                </w:tcPr>
                <w:p>
                  <w:pPr>
                    <w:snapToGrid w:val="0"/>
                    <w:jc w:val="center"/>
                    <w:rPr>
                      <w:rFonts w:cs="Times New Roman"/>
                      <w:szCs w:val="21"/>
                    </w:rPr>
                  </w:pPr>
                </w:p>
              </w:tc>
              <w:tc>
                <w:tcPr>
                  <w:tcW w:w="845" w:type="pct"/>
                  <w:vAlign w:val="center"/>
                </w:tcPr>
                <w:p>
                  <w:pPr>
                    <w:snapToGrid w:val="0"/>
                    <w:jc w:val="center"/>
                    <w:rPr>
                      <w:rFonts w:cs="Times New Roman"/>
                      <w:szCs w:val="21"/>
                    </w:rPr>
                  </w:pPr>
                  <w:r>
                    <w:rPr>
                      <w:rFonts w:cs="Times New Roman"/>
                      <w:szCs w:val="21"/>
                    </w:rPr>
                    <w:t>1台</w:t>
                  </w:r>
                </w:p>
              </w:tc>
            </w:tr>
          </w:tbl>
          <w:p>
            <w:pPr>
              <w:spacing w:line="360" w:lineRule="auto"/>
              <w:ind w:firstLine="482" w:firstLineChars="200"/>
              <w:rPr>
                <w:rFonts w:cs="Times New Roman"/>
                <w:b/>
                <w:sz w:val="24"/>
                <w:szCs w:val="24"/>
              </w:rPr>
            </w:pPr>
            <w:r>
              <w:rPr>
                <w:rFonts w:cs="Times New Roman"/>
                <w:b/>
                <w:sz w:val="24"/>
                <w:szCs w:val="24"/>
              </w:rPr>
              <w:t>6、主要原辅材料及燃料</w:t>
            </w:r>
          </w:p>
          <w:p>
            <w:pPr>
              <w:spacing w:line="360" w:lineRule="auto"/>
              <w:ind w:firstLine="480" w:firstLineChars="200"/>
              <w:rPr>
                <w:rFonts w:cs="Times New Roman"/>
                <w:kern w:val="24"/>
                <w:sz w:val="24"/>
                <w:szCs w:val="24"/>
              </w:rPr>
            </w:pPr>
            <w:r>
              <w:rPr>
                <w:rFonts w:cs="Times New Roman"/>
                <w:kern w:val="24"/>
                <w:sz w:val="24"/>
                <w:szCs w:val="24"/>
              </w:rPr>
              <w:t>本项目主要原辅材料及燃料种类和用量见表2-5。</w:t>
            </w:r>
          </w:p>
          <w:p>
            <w:pPr>
              <w:spacing w:line="360" w:lineRule="auto"/>
              <w:jc w:val="center"/>
              <w:rPr>
                <w:rFonts w:cs="Times New Roman"/>
                <w:b/>
                <w:bCs/>
                <w:sz w:val="24"/>
                <w:szCs w:val="24"/>
              </w:rPr>
            </w:pPr>
            <w:r>
              <w:rPr>
                <w:rFonts w:cs="Times New Roman"/>
                <w:b/>
                <w:bCs/>
                <w:sz w:val="24"/>
                <w:szCs w:val="24"/>
              </w:rPr>
              <w:t>表2-5  主要原辅材料及能耗表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46"/>
              <w:gridCol w:w="1510"/>
              <w:gridCol w:w="1119"/>
              <w:gridCol w:w="1412"/>
              <w:gridCol w:w="1412"/>
              <w:gridCol w:w="1047"/>
              <w:gridCol w:w="1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tblHeader/>
                <w:jc w:val="center"/>
              </w:trPr>
              <w:tc>
                <w:tcPr>
                  <w:tcW w:w="485" w:type="pct"/>
                  <w:tcBorders>
                    <w:tl2br w:val="nil"/>
                    <w:tr2bl w:val="nil"/>
                  </w:tcBorders>
                  <w:vAlign w:val="center"/>
                </w:tcPr>
                <w:p>
                  <w:pPr>
                    <w:jc w:val="center"/>
                    <w:rPr>
                      <w:rFonts w:cs="Times New Roman"/>
                      <w:b/>
                      <w:szCs w:val="21"/>
                    </w:rPr>
                  </w:pPr>
                  <w:r>
                    <w:rPr>
                      <w:rFonts w:cs="Times New Roman"/>
                      <w:b/>
                      <w:szCs w:val="21"/>
                    </w:rPr>
                    <w:t>类别</w:t>
                  </w:r>
                </w:p>
              </w:tc>
              <w:tc>
                <w:tcPr>
                  <w:tcW w:w="865" w:type="pct"/>
                  <w:tcBorders>
                    <w:tl2br w:val="nil"/>
                    <w:tr2bl w:val="nil"/>
                  </w:tcBorders>
                  <w:vAlign w:val="center"/>
                </w:tcPr>
                <w:p>
                  <w:pPr>
                    <w:jc w:val="center"/>
                    <w:rPr>
                      <w:rFonts w:cs="Times New Roman"/>
                      <w:b/>
                      <w:szCs w:val="21"/>
                    </w:rPr>
                  </w:pPr>
                  <w:r>
                    <w:rPr>
                      <w:rFonts w:cs="Times New Roman"/>
                      <w:b/>
                      <w:szCs w:val="21"/>
                    </w:rPr>
                    <w:t>名称</w:t>
                  </w:r>
                </w:p>
              </w:tc>
              <w:tc>
                <w:tcPr>
                  <w:tcW w:w="641" w:type="pct"/>
                  <w:tcBorders>
                    <w:tl2br w:val="nil"/>
                    <w:tr2bl w:val="nil"/>
                  </w:tcBorders>
                  <w:vAlign w:val="center"/>
                </w:tcPr>
                <w:p>
                  <w:pPr>
                    <w:jc w:val="center"/>
                    <w:rPr>
                      <w:rFonts w:cs="Times New Roman"/>
                      <w:b/>
                      <w:szCs w:val="21"/>
                    </w:rPr>
                  </w:pPr>
                  <w:r>
                    <w:rPr>
                      <w:rFonts w:cs="Times New Roman"/>
                      <w:b/>
                      <w:szCs w:val="21"/>
                    </w:rPr>
                    <w:t>单位</w:t>
                  </w:r>
                </w:p>
              </w:tc>
              <w:tc>
                <w:tcPr>
                  <w:tcW w:w="809" w:type="pct"/>
                  <w:tcBorders>
                    <w:tl2br w:val="nil"/>
                    <w:tr2bl w:val="nil"/>
                  </w:tcBorders>
                  <w:vAlign w:val="center"/>
                </w:tcPr>
                <w:p>
                  <w:pPr>
                    <w:jc w:val="center"/>
                    <w:rPr>
                      <w:rFonts w:cs="Times New Roman"/>
                      <w:b/>
                      <w:szCs w:val="21"/>
                    </w:rPr>
                  </w:pPr>
                  <w:r>
                    <w:rPr>
                      <w:rFonts w:cs="Times New Roman"/>
                      <w:b/>
                      <w:szCs w:val="21"/>
                    </w:rPr>
                    <w:t>年用量</w:t>
                  </w:r>
                </w:p>
              </w:tc>
              <w:tc>
                <w:tcPr>
                  <w:tcW w:w="809" w:type="pct"/>
                  <w:tcBorders>
                    <w:tl2br w:val="nil"/>
                    <w:tr2bl w:val="nil"/>
                  </w:tcBorders>
                  <w:vAlign w:val="center"/>
                </w:tcPr>
                <w:p>
                  <w:pPr>
                    <w:jc w:val="center"/>
                    <w:rPr>
                      <w:rFonts w:cs="Times New Roman"/>
                      <w:b/>
                      <w:szCs w:val="21"/>
                    </w:rPr>
                  </w:pPr>
                  <w:r>
                    <w:rPr>
                      <w:rFonts w:cs="Times New Roman"/>
                      <w:b/>
                      <w:szCs w:val="21"/>
                    </w:rPr>
                    <w:t>最大储存量</w:t>
                  </w:r>
                </w:p>
              </w:tc>
              <w:tc>
                <w:tcPr>
                  <w:tcW w:w="600" w:type="pct"/>
                  <w:tcBorders>
                    <w:tl2br w:val="nil"/>
                    <w:tr2bl w:val="nil"/>
                  </w:tcBorders>
                  <w:vAlign w:val="center"/>
                </w:tcPr>
                <w:p>
                  <w:pPr>
                    <w:jc w:val="center"/>
                    <w:rPr>
                      <w:rFonts w:cs="Times New Roman"/>
                      <w:b/>
                      <w:szCs w:val="21"/>
                    </w:rPr>
                  </w:pPr>
                  <w:r>
                    <w:rPr>
                      <w:rFonts w:cs="Times New Roman"/>
                      <w:b/>
                      <w:szCs w:val="21"/>
                    </w:rPr>
                    <w:t>形态</w:t>
                  </w:r>
                </w:p>
              </w:tc>
              <w:tc>
                <w:tcPr>
                  <w:tcW w:w="788" w:type="pct"/>
                  <w:tcBorders>
                    <w:tl2br w:val="nil"/>
                    <w:tr2bl w:val="nil"/>
                  </w:tcBorders>
                  <w:vAlign w:val="center"/>
                </w:tcPr>
                <w:p>
                  <w:pPr>
                    <w:jc w:val="center"/>
                    <w:rPr>
                      <w:rFonts w:cs="Times New Roman"/>
                      <w:b/>
                      <w:szCs w:val="21"/>
                    </w:rPr>
                  </w:pPr>
                  <w:r>
                    <w:rPr>
                      <w:rFonts w:cs="Times New Roman"/>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7"/>
                  <w:tcBorders>
                    <w:tl2br w:val="nil"/>
                    <w:tr2bl w:val="nil"/>
                  </w:tcBorders>
                  <w:vAlign w:val="center"/>
                </w:tcPr>
                <w:p>
                  <w:pPr>
                    <w:jc w:val="center"/>
                    <w:rPr>
                      <w:rFonts w:cs="Times New Roman"/>
                      <w:bCs/>
                      <w:szCs w:val="21"/>
                    </w:rPr>
                  </w:pPr>
                  <w:r>
                    <w:rPr>
                      <w:rFonts w:cs="Times New Roman"/>
                      <w:szCs w:val="21"/>
                    </w:rPr>
                    <w:t>2100湿法薄毡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restart"/>
                  <w:tcBorders>
                    <w:tl2br w:val="nil"/>
                    <w:tr2bl w:val="nil"/>
                  </w:tcBorders>
                  <w:vAlign w:val="center"/>
                </w:tcPr>
                <w:p>
                  <w:pPr>
                    <w:jc w:val="center"/>
                    <w:rPr>
                      <w:rFonts w:cs="Times New Roman"/>
                      <w:bCs/>
                      <w:szCs w:val="21"/>
                    </w:rPr>
                  </w:pPr>
                  <w:r>
                    <w:rPr>
                      <w:rFonts w:cs="Times New Roman"/>
                      <w:bCs/>
                      <w:szCs w:val="21"/>
                    </w:rPr>
                    <w:t xml:space="preserve">原辅料  </w:t>
                  </w:r>
                </w:p>
              </w:tc>
              <w:tc>
                <w:tcPr>
                  <w:tcW w:w="865" w:type="pct"/>
                  <w:tcBorders>
                    <w:tl2br w:val="nil"/>
                    <w:tr2bl w:val="nil"/>
                  </w:tcBorders>
                  <w:vAlign w:val="center"/>
                </w:tcPr>
                <w:p>
                  <w:pPr>
                    <w:jc w:val="center"/>
                    <w:rPr>
                      <w:rFonts w:cs="Times New Roman"/>
                      <w:bCs/>
                      <w:szCs w:val="21"/>
                    </w:rPr>
                  </w:pPr>
                  <w:r>
                    <w:rPr>
                      <w:rFonts w:cs="Times New Roman"/>
                      <w:bCs/>
                      <w:szCs w:val="21"/>
                    </w:rPr>
                    <w:t>玻璃纤维短切原丝</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1950</w:t>
                  </w:r>
                </w:p>
              </w:tc>
              <w:tc>
                <w:tcPr>
                  <w:tcW w:w="809" w:type="pct"/>
                  <w:tcBorders>
                    <w:tl2br w:val="nil"/>
                    <w:tr2bl w:val="nil"/>
                  </w:tcBorders>
                  <w:vAlign w:val="center"/>
                </w:tcPr>
                <w:p>
                  <w:pPr>
                    <w:jc w:val="center"/>
                    <w:rPr>
                      <w:rFonts w:cs="Times New Roman"/>
                      <w:bCs/>
                      <w:szCs w:val="21"/>
                    </w:rPr>
                  </w:pPr>
                  <w:r>
                    <w:rPr>
                      <w:rFonts w:cs="Times New Roman"/>
                      <w:bCs/>
                      <w:szCs w:val="21"/>
                    </w:rPr>
                    <w:t>40</w:t>
                  </w:r>
                </w:p>
              </w:tc>
              <w:tc>
                <w:tcPr>
                  <w:tcW w:w="600" w:type="pct"/>
                  <w:tcBorders>
                    <w:tl2br w:val="nil"/>
                    <w:tr2bl w:val="nil"/>
                  </w:tcBorders>
                  <w:vAlign w:val="center"/>
                </w:tcPr>
                <w:p>
                  <w:pPr>
                    <w:jc w:val="center"/>
                    <w:rPr>
                      <w:rFonts w:cs="Times New Roman"/>
                      <w:bCs/>
                      <w:szCs w:val="21"/>
                    </w:rPr>
                  </w:pPr>
                  <w:r>
                    <w:rPr>
                      <w:rFonts w:cs="Times New Roman"/>
                      <w:bCs/>
                      <w:szCs w:val="21"/>
                    </w:rPr>
                    <w:t>固态</w:t>
                  </w:r>
                </w:p>
              </w:tc>
              <w:tc>
                <w:tcPr>
                  <w:tcW w:w="788" w:type="pct"/>
                  <w:tcBorders>
                    <w:tl2br w:val="nil"/>
                    <w:tr2bl w:val="nil"/>
                  </w:tcBorders>
                  <w:vAlign w:val="center"/>
                </w:tcPr>
                <w:p>
                  <w:pPr>
                    <w:jc w:val="center"/>
                    <w:rPr>
                      <w:rFonts w:cs="Times New Roman"/>
                      <w:bCs/>
                      <w:szCs w:val="21"/>
                    </w:rPr>
                  </w:pPr>
                  <w:r>
                    <w:rPr>
                      <w:rFonts w:cs="Times New Roman"/>
                      <w:bCs/>
                      <w:szCs w:val="21"/>
                    </w:rPr>
                    <w:t>含水率约10%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bCs/>
                      <w:szCs w:val="21"/>
                    </w:rPr>
                  </w:pPr>
                  <w:r>
                    <w:rPr>
                      <w:rFonts w:cs="Times New Roman"/>
                      <w:bCs/>
                      <w:szCs w:val="21"/>
                    </w:rPr>
                    <w:t>加筋纱</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snapToGrid w:val="0"/>
                      <w:kern w:val="0"/>
                      <w:szCs w:val="21"/>
                    </w:rPr>
                  </w:pPr>
                  <w:r>
                    <w:rPr>
                      <w:rFonts w:cs="Times New Roman"/>
                      <w:kern w:val="0"/>
                      <w:sz w:val="22"/>
                      <w:lang w:bidi="ar"/>
                    </w:rPr>
                    <w:t>32.5</w:t>
                  </w:r>
                </w:p>
              </w:tc>
              <w:tc>
                <w:tcPr>
                  <w:tcW w:w="809" w:type="pct"/>
                  <w:tcBorders>
                    <w:tl2br w:val="nil"/>
                    <w:tr2bl w:val="nil"/>
                  </w:tcBorders>
                  <w:vAlign w:val="center"/>
                </w:tcPr>
                <w:p>
                  <w:pPr>
                    <w:tabs>
                      <w:tab w:val="right" w:pos="9135"/>
                    </w:tabs>
                    <w:snapToGrid w:val="0"/>
                    <w:jc w:val="center"/>
                    <w:rPr>
                      <w:rFonts w:cs="Times New Roman"/>
                      <w:szCs w:val="21"/>
                    </w:rPr>
                  </w:pPr>
                  <w:r>
                    <w:rPr>
                      <w:rFonts w:cs="Times New Roman"/>
                      <w:szCs w:val="21"/>
                    </w:rPr>
                    <w:t>0.7</w:t>
                  </w:r>
                </w:p>
              </w:tc>
              <w:tc>
                <w:tcPr>
                  <w:tcW w:w="600" w:type="pct"/>
                  <w:tcBorders>
                    <w:tl2br w:val="nil"/>
                    <w:tr2bl w:val="nil"/>
                  </w:tcBorders>
                  <w:vAlign w:val="center"/>
                </w:tcPr>
                <w:p>
                  <w:pPr>
                    <w:jc w:val="center"/>
                    <w:rPr>
                      <w:rFonts w:cs="Times New Roman"/>
                      <w:bCs/>
                      <w:szCs w:val="21"/>
                    </w:rPr>
                  </w:pPr>
                  <w:r>
                    <w:rPr>
                      <w:rFonts w:cs="Times New Roman"/>
                      <w:bCs/>
                      <w:szCs w:val="21"/>
                    </w:rPr>
                    <w:t>固态</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b/>
                      <w:szCs w:val="21"/>
                    </w:rPr>
                  </w:pPr>
                  <w:r>
                    <w:rPr>
                      <w:rFonts w:cs="Times New Roman"/>
                      <w:b/>
                      <w:szCs w:val="21"/>
                    </w:rPr>
                    <w:t>粘结剂：</w:t>
                  </w:r>
                </w:p>
              </w:tc>
              <w:tc>
                <w:tcPr>
                  <w:tcW w:w="641" w:type="pct"/>
                  <w:tcBorders>
                    <w:tl2br w:val="nil"/>
                    <w:tr2bl w:val="nil"/>
                  </w:tcBorders>
                  <w:vAlign w:val="center"/>
                </w:tcPr>
                <w:p>
                  <w:pPr>
                    <w:jc w:val="center"/>
                    <w:rPr>
                      <w:rFonts w:cs="Times New Roman"/>
                      <w:b/>
                      <w:szCs w:val="21"/>
                    </w:rPr>
                  </w:pPr>
                </w:p>
              </w:tc>
              <w:tc>
                <w:tcPr>
                  <w:tcW w:w="809" w:type="pct"/>
                  <w:tcBorders>
                    <w:tl2br w:val="nil"/>
                    <w:tr2bl w:val="nil"/>
                  </w:tcBorders>
                  <w:vAlign w:val="center"/>
                </w:tcPr>
                <w:p>
                  <w:pPr>
                    <w:widowControl/>
                    <w:jc w:val="center"/>
                    <w:textAlignment w:val="center"/>
                    <w:rPr>
                      <w:rFonts w:cs="Times New Roman"/>
                      <w:b/>
                      <w:snapToGrid w:val="0"/>
                      <w:kern w:val="0"/>
                      <w:szCs w:val="21"/>
                    </w:rPr>
                  </w:pPr>
                </w:p>
              </w:tc>
              <w:tc>
                <w:tcPr>
                  <w:tcW w:w="809" w:type="pct"/>
                  <w:tcBorders>
                    <w:tl2br w:val="nil"/>
                    <w:tr2bl w:val="nil"/>
                  </w:tcBorders>
                  <w:vAlign w:val="center"/>
                </w:tcPr>
                <w:p>
                  <w:pPr>
                    <w:tabs>
                      <w:tab w:val="right" w:pos="9135"/>
                    </w:tabs>
                    <w:snapToGrid w:val="0"/>
                    <w:jc w:val="center"/>
                    <w:rPr>
                      <w:rFonts w:cs="Times New Roman"/>
                      <w:szCs w:val="21"/>
                    </w:rPr>
                  </w:pPr>
                </w:p>
              </w:tc>
              <w:tc>
                <w:tcPr>
                  <w:tcW w:w="600" w:type="pct"/>
                  <w:tcBorders>
                    <w:tl2br w:val="nil"/>
                    <w:tr2bl w:val="nil"/>
                  </w:tcBorders>
                  <w:vAlign w:val="center"/>
                </w:tcPr>
                <w:p>
                  <w:pPr>
                    <w:jc w:val="center"/>
                    <w:rPr>
                      <w:rFonts w:cs="Times New Roman"/>
                      <w:bCs/>
                      <w:szCs w:val="21"/>
                    </w:rPr>
                  </w:pP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hint="eastAsia" w:cs="Times New Roman"/>
                      <w:bCs/>
                      <w:color w:val="000000" w:themeColor="text1"/>
                      <w:szCs w:val="21"/>
                      <w14:textFill>
                        <w14:solidFill>
                          <w14:schemeClr w14:val="tx1"/>
                        </w14:solidFill>
                      </w14:textFill>
                    </w:rPr>
                    <w:t>水性功能乳液</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
                      <w:snapToGrid w:val="0"/>
                      <w:kern w:val="0"/>
                      <w:szCs w:val="21"/>
                    </w:rPr>
                  </w:pPr>
                  <w:r>
                    <w:rPr>
                      <w:rFonts w:cs="Times New Roman"/>
                      <w:kern w:val="0"/>
                      <w:sz w:val="22"/>
                      <w:lang w:bidi="ar"/>
                    </w:rPr>
                    <w:t>455</w:t>
                  </w:r>
                </w:p>
              </w:tc>
              <w:tc>
                <w:tcPr>
                  <w:tcW w:w="809" w:type="pct"/>
                  <w:tcBorders>
                    <w:tl2br w:val="nil"/>
                    <w:tr2bl w:val="nil"/>
                  </w:tcBorders>
                  <w:vAlign w:val="center"/>
                </w:tcPr>
                <w:p>
                  <w:pPr>
                    <w:jc w:val="center"/>
                    <w:rPr>
                      <w:rFonts w:cs="Times New Roman"/>
                      <w:bCs/>
                      <w:szCs w:val="21"/>
                    </w:rPr>
                  </w:pPr>
                  <w:r>
                    <w:rPr>
                      <w:rFonts w:cs="Times New Roman"/>
                      <w:bCs/>
                      <w:szCs w:val="21"/>
                    </w:rPr>
                    <w:t>10</w:t>
                  </w:r>
                </w:p>
              </w:tc>
              <w:tc>
                <w:tcPr>
                  <w:tcW w:w="600" w:type="pct"/>
                  <w:tcBorders>
                    <w:tl2br w:val="nil"/>
                    <w:tr2bl w:val="nil"/>
                  </w:tcBorders>
                  <w:vAlign w:val="center"/>
                </w:tcPr>
                <w:p>
                  <w:pPr>
                    <w:jc w:val="center"/>
                    <w:rPr>
                      <w:rFonts w:cs="Times New Roman"/>
                      <w:bCs/>
                      <w:szCs w:val="21"/>
                    </w:rPr>
                  </w:pPr>
                  <w:r>
                    <w:rPr>
                      <w:rFonts w:cs="Times New Roman"/>
                      <w:bCs/>
                      <w:szCs w:val="21"/>
                    </w:rPr>
                    <w:t>液态</w:t>
                  </w:r>
                </w:p>
              </w:tc>
              <w:tc>
                <w:tcPr>
                  <w:tcW w:w="788" w:type="pct"/>
                  <w:tcBorders>
                    <w:tl2br w:val="nil"/>
                    <w:tr2bl w:val="nil"/>
                  </w:tcBorders>
                  <w:vAlign w:val="center"/>
                </w:tcPr>
                <w:p>
                  <w:pPr>
                    <w:jc w:val="center"/>
                    <w:rPr>
                      <w:rFonts w:cs="Times New Roman"/>
                      <w:bCs/>
                      <w:szCs w:val="21"/>
                    </w:rPr>
                  </w:pPr>
                  <w:r>
                    <w:rPr>
                      <w:rFonts w:cs="Times New Roman"/>
                      <w:bCs/>
                      <w:szCs w:val="21"/>
                    </w:rPr>
                    <w:t>含水率50%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脲醛</w:t>
                  </w:r>
                  <w:r>
                    <w:rPr>
                      <w:rFonts w:hint="eastAsia"/>
                      <w:color w:val="000000" w:themeColor="text1"/>
                      <w14:textFill>
                        <w14:solidFill>
                          <w14:schemeClr w14:val="tx1"/>
                        </w14:solidFill>
                      </w14:textFill>
                    </w:rPr>
                    <w:t>胶</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snapToGrid w:val="0"/>
                      <w:kern w:val="0"/>
                      <w:szCs w:val="21"/>
                    </w:rPr>
                  </w:pPr>
                  <w:r>
                    <w:rPr>
                      <w:rFonts w:cs="Times New Roman"/>
                      <w:kern w:val="0"/>
                      <w:sz w:val="22"/>
                      <w:lang w:bidi="ar"/>
                    </w:rPr>
                    <w:t>845</w:t>
                  </w:r>
                </w:p>
              </w:tc>
              <w:tc>
                <w:tcPr>
                  <w:tcW w:w="809" w:type="pct"/>
                  <w:tcBorders>
                    <w:tl2br w:val="nil"/>
                    <w:tr2bl w:val="nil"/>
                  </w:tcBorders>
                  <w:vAlign w:val="center"/>
                </w:tcPr>
                <w:p>
                  <w:pPr>
                    <w:jc w:val="center"/>
                    <w:rPr>
                      <w:rFonts w:cs="Times New Roman"/>
                      <w:bCs/>
                      <w:szCs w:val="21"/>
                    </w:rPr>
                  </w:pPr>
                  <w:r>
                    <w:rPr>
                      <w:rFonts w:cs="Times New Roman"/>
                      <w:bCs/>
                      <w:szCs w:val="21"/>
                    </w:rPr>
                    <w:t>18</w:t>
                  </w:r>
                </w:p>
              </w:tc>
              <w:tc>
                <w:tcPr>
                  <w:tcW w:w="600" w:type="pct"/>
                  <w:tcBorders>
                    <w:tl2br w:val="nil"/>
                    <w:tr2bl w:val="nil"/>
                  </w:tcBorders>
                  <w:vAlign w:val="center"/>
                </w:tcPr>
                <w:p>
                  <w:pPr>
                    <w:jc w:val="center"/>
                    <w:rPr>
                      <w:rFonts w:cs="Times New Roman"/>
                      <w:bCs/>
                      <w:szCs w:val="21"/>
                    </w:rPr>
                  </w:pPr>
                  <w:r>
                    <w:rPr>
                      <w:rFonts w:cs="Times New Roman"/>
                      <w:bCs/>
                      <w:szCs w:val="21"/>
                    </w:rPr>
                    <w:t>液态</w:t>
                  </w:r>
                </w:p>
              </w:tc>
              <w:tc>
                <w:tcPr>
                  <w:tcW w:w="788" w:type="pct"/>
                  <w:tcBorders>
                    <w:tl2br w:val="nil"/>
                    <w:tr2bl w:val="nil"/>
                  </w:tcBorders>
                  <w:vAlign w:val="center"/>
                </w:tcPr>
                <w:p>
                  <w:pPr>
                    <w:jc w:val="center"/>
                    <w:rPr>
                      <w:rFonts w:cs="Times New Roman"/>
                      <w:bCs/>
                      <w:szCs w:val="21"/>
                    </w:rPr>
                  </w:pPr>
                  <w:r>
                    <w:rPr>
                      <w:rFonts w:cs="Times New Roman"/>
                      <w:bCs/>
                      <w:szCs w:val="21"/>
                    </w:rPr>
                    <w:t>含水率50%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
                      <w:color w:val="000000" w:themeColor="text1"/>
                      <w:szCs w:val="21"/>
                      <w14:textFill>
                        <w14:solidFill>
                          <w14:schemeClr w14:val="tx1"/>
                        </w14:solidFill>
                      </w14:textFill>
                    </w:rPr>
                  </w:pPr>
                  <w:r>
                    <w:rPr>
                      <w:rFonts w:cs="Times New Roman" w:eastAsiaTheme="minorEastAsia"/>
                      <w:b/>
                      <w:color w:val="000000" w:themeColor="text1"/>
                      <w:szCs w:val="21"/>
                      <w14:textFill>
                        <w14:solidFill>
                          <w14:schemeClr w14:val="tx1"/>
                        </w14:solidFill>
                      </w14:textFill>
                    </w:rPr>
                    <w:t>助剂</w:t>
                  </w:r>
                  <w:r>
                    <w:rPr>
                      <w:rFonts w:cs="Times New Roman"/>
                      <w:b/>
                      <w:color w:val="000000" w:themeColor="text1"/>
                      <w:szCs w:val="21"/>
                      <w14:textFill>
                        <w14:solidFill>
                          <w14:schemeClr w14:val="tx1"/>
                        </w14:solidFill>
                      </w14:textFill>
                    </w:rPr>
                    <w:t>：</w:t>
                  </w:r>
                </w:p>
              </w:tc>
              <w:tc>
                <w:tcPr>
                  <w:tcW w:w="641" w:type="pct"/>
                  <w:tcBorders>
                    <w:tl2br w:val="nil"/>
                    <w:tr2bl w:val="nil"/>
                  </w:tcBorders>
                  <w:vAlign w:val="center"/>
                </w:tcPr>
                <w:p>
                  <w:pPr>
                    <w:jc w:val="center"/>
                    <w:rPr>
                      <w:rFonts w:cs="Times New Roman" w:eastAsiaTheme="minorEastAsia"/>
                      <w:b/>
                      <w:szCs w:val="21"/>
                    </w:rPr>
                  </w:pPr>
                </w:p>
              </w:tc>
              <w:tc>
                <w:tcPr>
                  <w:tcW w:w="809" w:type="pct"/>
                  <w:tcBorders>
                    <w:tl2br w:val="nil"/>
                    <w:tr2bl w:val="nil"/>
                  </w:tcBorders>
                  <w:vAlign w:val="center"/>
                </w:tcPr>
                <w:p>
                  <w:pPr>
                    <w:widowControl/>
                    <w:jc w:val="center"/>
                    <w:textAlignment w:val="center"/>
                    <w:rPr>
                      <w:rFonts w:cs="Times New Roman"/>
                      <w:b/>
                      <w:snapToGrid w:val="0"/>
                      <w:kern w:val="0"/>
                      <w:szCs w:val="21"/>
                    </w:rPr>
                  </w:pPr>
                </w:p>
              </w:tc>
              <w:tc>
                <w:tcPr>
                  <w:tcW w:w="809" w:type="pct"/>
                  <w:tcBorders>
                    <w:tl2br w:val="nil"/>
                    <w:tr2bl w:val="nil"/>
                  </w:tcBorders>
                  <w:vAlign w:val="center"/>
                </w:tcPr>
                <w:p>
                  <w:pPr>
                    <w:jc w:val="center"/>
                    <w:rPr>
                      <w:rFonts w:cs="Times New Roman"/>
                      <w:bCs/>
                      <w:szCs w:val="21"/>
                    </w:rPr>
                  </w:pPr>
                </w:p>
              </w:tc>
              <w:tc>
                <w:tcPr>
                  <w:tcW w:w="600" w:type="pct"/>
                  <w:tcBorders>
                    <w:tl2br w:val="nil"/>
                    <w:tr2bl w:val="nil"/>
                  </w:tcBorders>
                  <w:vAlign w:val="center"/>
                </w:tcPr>
                <w:p>
                  <w:pPr>
                    <w:jc w:val="center"/>
                    <w:rPr>
                      <w:rFonts w:cs="Times New Roman"/>
                      <w:bCs/>
                      <w:szCs w:val="21"/>
                    </w:rPr>
                  </w:pP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分散剂（阳离子型）</w:t>
                  </w:r>
                </w:p>
              </w:tc>
              <w:tc>
                <w:tcPr>
                  <w:tcW w:w="641" w:type="pct"/>
                  <w:tcBorders>
                    <w:tl2br w:val="nil"/>
                    <w:tr2bl w:val="nil"/>
                  </w:tcBorders>
                  <w:vAlign w:val="center"/>
                </w:tcPr>
                <w:p>
                  <w:pPr>
                    <w:jc w:val="center"/>
                    <w:rPr>
                      <w:rFonts w:cs="Times New Roman" w:eastAsiaTheme="minorEastAsia"/>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9</w:t>
                  </w:r>
                </w:p>
              </w:tc>
              <w:tc>
                <w:tcPr>
                  <w:tcW w:w="809" w:type="pct"/>
                  <w:tcBorders>
                    <w:tl2br w:val="nil"/>
                    <w:tr2bl w:val="nil"/>
                  </w:tcBorders>
                  <w:vAlign w:val="center"/>
                </w:tcPr>
                <w:p>
                  <w:pPr>
                    <w:jc w:val="center"/>
                    <w:rPr>
                      <w:rFonts w:cs="Times New Roman"/>
                      <w:bCs/>
                      <w:szCs w:val="21"/>
                    </w:rPr>
                  </w:pPr>
                  <w:r>
                    <w:rPr>
                      <w:rFonts w:cs="Times New Roman"/>
                      <w:bCs/>
                      <w:szCs w:val="21"/>
                    </w:rPr>
                    <w:t>0.2</w:t>
                  </w:r>
                </w:p>
              </w:tc>
              <w:tc>
                <w:tcPr>
                  <w:tcW w:w="600" w:type="pct"/>
                  <w:tcBorders>
                    <w:tl2br w:val="nil"/>
                    <w:tr2bl w:val="nil"/>
                  </w:tcBorders>
                  <w:vAlign w:val="center"/>
                </w:tcPr>
                <w:p>
                  <w:pPr>
                    <w:jc w:val="center"/>
                    <w:rPr>
                      <w:rFonts w:cs="Times New Roman"/>
                      <w:bCs/>
                      <w:szCs w:val="21"/>
                    </w:rPr>
                  </w:pPr>
                  <w:r>
                    <w:rPr>
                      <w:rFonts w:cs="Times New Roman"/>
                      <w:bCs/>
                      <w:szCs w:val="21"/>
                    </w:rPr>
                    <w:t>结晶料</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增稠剂</w:t>
                  </w:r>
                </w:p>
              </w:tc>
              <w:tc>
                <w:tcPr>
                  <w:tcW w:w="641" w:type="pct"/>
                  <w:tcBorders>
                    <w:tl2br w:val="nil"/>
                    <w:tr2bl w:val="nil"/>
                  </w:tcBorders>
                  <w:vAlign w:val="center"/>
                </w:tcPr>
                <w:p>
                  <w:pPr>
                    <w:jc w:val="center"/>
                    <w:rPr>
                      <w:rFonts w:cs="Times New Roman" w:eastAsiaTheme="minorEastAsia"/>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
                      <w:snapToGrid w:val="0"/>
                      <w:kern w:val="0"/>
                      <w:szCs w:val="21"/>
                    </w:rPr>
                  </w:pPr>
                  <w:r>
                    <w:rPr>
                      <w:rFonts w:cs="Times New Roman"/>
                      <w:kern w:val="0"/>
                      <w:sz w:val="22"/>
                      <w:lang w:bidi="ar"/>
                    </w:rPr>
                    <w:t>8.6</w:t>
                  </w:r>
                </w:p>
              </w:tc>
              <w:tc>
                <w:tcPr>
                  <w:tcW w:w="809" w:type="pct"/>
                  <w:tcBorders>
                    <w:tl2br w:val="nil"/>
                    <w:tr2bl w:val="nil"/>
                  </w:tcBorders>
                  <w:vAlign w:val="center"/>
                </w:tcPr>
                <w:p>
                  <w:pPr>
                    <w:jc w:val="center"/>
                    <w:rPr>
                      <w:rFonts w:cs="Times New Roman"/>
                      <w:bCs/>
                      <w:szCs w:val="21"/>
                    </w:rPr>
                  </w:pPr>
                  <w:r>
                    <w:rPr>
                      <w:rFonts w:cs="Times New Roman"/>
                      <w:bCs/>
                      <w:szCs w:val="21"/>
                    </w:rPr>
                    <w:t>0.2</w:t>
                  </w:r>
                </w:p>
              </w:tc>
              <w:tc>
                <w:tcPr>
                  <w:tcW w:w="600" w:type="pct"/>
                  <w:tcBorders>
                    <w:tl2br w:val="nil"/>
                    <w:tr2bl w:val="nil"/>
                  </w:tcBorders>
                  <w:vAlign w:val="center"/>
                </w:tcPr>
                <w:p>
                  <w:pPr>
                    <w:jc w:val="center"/>
                    <w:rPr>
                      <w:rFonts w:cs="Times New Roman"/>
                      <w:bCs/>
                      <w:szCs w:val="21"/>
                    </w:rPr>
                  </w:pPr>
                  <w:r>
                    <w:rPr>
                      <w:rFonts w:cs="Times New Roman"/>
                      <w:bCs/>
                      <w:szCs w:val="21"/>
                    </w:rPr>
                    <w:t>粉料</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消泡剂</w:t>
                  </w:r>
                </w:p>
              </w:tc>
              <w:tc>
                <w:tcPr>
                  <w:tcW w:w="641" w:type="pct"/>
                  <w:tcBorders>
                    <w:tl2br w:val="nil"/>
                    <w:tr2bl w:val="nil"/>
                  </w:tcBorders>
                  <w:vAlign w:val="center"/>
                </w:tcPr>
                <w:p>
                  <w:pPr>
                    <w:jc w:val="center"/>
                    <w:rPr>
                      <w:rFonts w:cs="Times New Roman" w:eastAsiaTheme="minorEastAsia"/>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snapToGrid w:val="0"/>
                      <w:kern w:val="0"/>
                      <w:szCs w:val="21"/>
                    </w:rPr>
                  </w:pPr>
                  <w:r>
                    <w:rPr>
                      <w:rFonts w:cs="Times New Roman"/>
                      <w:kern w:val="0"/>
                      <w:sz w:val="22"/>
                      <w:lang w:bidi="ar"/>
                    </w:rPr>
                    <w:t>9.1</w:t>
                  </w:r>
                </w:p>
              </w:tc>
              <w:tc>
                <w:tcPr>
                  <w:tcW w:w="809" w:type="pct"/>
                  <w:tcBorders>
                    <w:tl2br w:val="nil"/>
                    <w:tr2bl w:val="nil"/>
                  </w:tcBorders>
                  <w:vAlign w:val="center"/>
                </w:tcPr>
                <w:p>
                  <w:pPr>
                    <w:jc w:val="center"/>
                    <w:rPr>
                      <w:rFonts w:cs="Times New Roman"/>
                      <w:bCs/>
                      <w:szCs w:val="21"/>
                    </w:rPr>
                  </w:pPr>
                  <w:r>
                    <w:rPr>
                      <w:rFonts w:cs="Times New Roman"/>
                      <w:bCs/>
                      <w:szCs w:val="21"/>
                    </w:rPr>
                    <w:t>0.2</w:t>
                  </w:r>
                </w:p>
              </w:tc>
              <w:tc>
                <w:tcPr>
                  <w:tcW w:w="600" w:type="pct"/>
                  <w:tcBorders>
                    <w:tl2br w:val="nil"/>
                    <w:tr2bl w:val="nil"/>
                  </w:tcBorders>
                  <w:vAlign w:val="center"/>
                </w:tcPr>
                <w:p>
                  <w:pPr>
                    <w:jc w:val="center"/>
                    <w:rPr>
                      <w:rFonts w:cs="Times New Roman"/>
                      <w:bCs/>
                      <w:szCs w:val="21"/>
                    </w:rPr>
                  </w:pPr>
                  <w:r>
                    <w:rPr>
                      <w:rFonts w:cs="Times New Roman"/>
                      <w:bCs/>
                      <w:szCs w:val="21"/>
                    </w:rPr>
                    <w:t>液态</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restart"/>
                  <w:tcBorders>
                    <w:tl2br w:val="nil"/>
                    <w:tr2bl w:val="nil"/>
                  </w:tcBorders>
                  <w:vAlign w:val="center"/>
                </w:tcPr>
                <w:p>
                  <w:pPr>
                    <w:jc w:val="center"/>
                    <w:rPr>
                      <w:rFonts w:cs="Times New Roman"/>
                      <w:bCs/>
                      <w:szCs w:val="21"/>
                    </w:rPr>
                  </w:pPr>
                  <w:r>
                    <w:rPr>
                      <w:rFonts w:cs="Times New Roman"/>
                      <w:bCs/>
                      <w:szCs w:val="21"/>
                    </w:rPr>
                    <w:t>能耗</w:t>
                  </w:r>
                </w:p>
              </w:tc>
              <w:tc>
                <w:tcPr>
                  <w:tcW w:w="865" w:type="pct"/>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天然气</w:t>
                  </w:r>
                </w:p>
              </w:tc>
              <w:tc>
                <w:tcPr>
                  <w:tcW w:w="641" w:type="pct"/>
                  <w:tcBorders>
                    <w:tl2br w:val="nil"/>
                    <w:tr2bl w:val="nil"/>
                  </w:tcBorders>
                </w:tcPr>
                <w:p>
                  <w:pPr>
                    <w:jc w:val="center"/>
                    <w:rPr>
                      <w:rFonts w:cs="Times New Roman"/>
                      <w:bCs/>
                      <w:szCs w:val="21"/>
                    </w:rPr>
                  </w:pPr>
                  <w:r>
                    <w:rPr>
                      <w:rFonts w:cs="Times New Roman"/>
                      <w:bCs/>
                      <w:szCs w:val="21"/>
                    </w:rPr>
                    <w:t>万Nm</w:t>
                  </w:r>
                  <w:r>
                    <w:rPr>
                      <w:rFonts w:cs="Times New Roman"/>
                      <w:bCs/>
                      <w:szCs w:val="21"/>
                      <w:vertAlign w:val="superscript"/>
                    </w:rPr>
                    <w:t>3</w:t>
                  </w:r>
                </w:p>
              </w:tc>
              <w:tc>
                <w:tcPr>
                  <w:tcW w:w="809" w:type="pct"/>
                  <w:tcBorders>
                    <w:tl2br w:val="nil"/>
                    <w:tr2bl w:val="nil"/>
                  </w:tcBorders>
                  <w:vAlign w:val="center"/>
                </w:tcPr>
                <w:p>
                  <w:pPr>
                    <w:adjustRightInd w:val="0"/>
                    <w:snapToGrid w:val="0"/>
                    <w:jc w:val="center"/>
                    <w:rPr>
                      <w:rFonts w:cs="Times New Roman"/>
                      <w:snapToGrid w:val="0"/>
                      <w:kern w:val="0"/>
                      <w:szCs w:val="21"/>
                    </w:rPr>
                  </w:pPr>
                  <w:r>
                    <w:rPr>
                      <w:rFonts w:cs="Times New Roman"/>
                      <w:snapToGrid w:val="0"/>
                      <w:kern w:val="0"/>
                      <w:szCs w:val="21"/>
                    </w:rPr>
                    <w:t>115.5</w:t>
                  </w:r>
                </w:p>
              </w:tc>
              <w:tc>
                <w:tcPr>
                  <w:tcW w:w="809" w:type="pct"/>
                  <w:tcBorders>
                    <w:tl2br w:val="nil"/>
                    <w:tr2bl w:val="nil"/>
                  </w:tcBorders>
                  <w:vAlign w:val="center"/>
                </w:tcPr>
                <w:p>
                  <w:pPr>
                    <w:jc w:val="center"/>
                    <w:rPr>
                      <w:rFonts w:cs="Times New Roman"/>
                      <w:bCs/>
                      <w:szCs w:val="21"/>
                    </w:rPr>
                  </w:pPr>
                  <w:r>
                    <w:rPr>
                      <w:rFonts w:cs="Times New Roman"/>
                      <w:bCs/>
                      <w:szCs w:val="21"/>
                    </w:rPr>
                    <w:t>/</w:t>
                  </w:r>
                </w:p>
              </w:tc>
              <w:tc>
                <w:tcPr>
                  <w:tcW w:w="600" w:type="pct"/>
                  <w:tcBorders>
                    <w:tl2br w:val="nil"/>
                    <w:tr2bl w:val="nil"/>
                  </w:tcBorders>
                  <w:vAlign w:val="center"/>
                </w:tcPr>
                <w:p>
                  <w:pPr>
                    <w:jc w:val="center"/>
                    <w:rPr>
                      <w:rFonts w:cs="Times New Roman"/>
                      <w:bCs/>
                      <w:szCs w:val="21"/>
                    </w:rPr>
                  </w:pPr>
                  <w:r>
                    <w:rPr>
                      <w:rFonts w:cs="Times New Roman"/>
                      <w:bCs/>
                      <w:szCs w:val="21"/>
                    </w:rPr>
                    <w:t>/</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color w:val="000000" w:themeColor="text1"/>
                      <w:szCs w:val="21"/>
                      <w:highlight w:val="yellow"/>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水</w:t>
                  </w:r>
                </w:p>
              </w:tc>
              <w:tc>
                <w:tcPr>
                  <w:tcW w:w="641" w:type="pct"/>
                  <w:tcBorders>
                    <w:tl2br w:val="nil"/>
                    <w:tr2bl w:val="nil"/>
                  </w:tcBorders>
                </w:tcPr>
                <w:p>
                  <w:pPr>
                    <w:jc w:val="center"/>
                    <w:rPr>
                      <w:rFonts w:cs="Times New Roman"/>
                      <w:bCs/>
                      <w:szCs w:val="21"/>
                    </w:rPr>
                  </w:pPr>
                  <w:r>
                    <w:rPr>
                      <w:rFonts w:cs="Times New Roman"/>
                      <w:bCs/>
                      <w:szCs w:val="21"/>
                    </w:rPr>
                    <w:t>m</w:t>
                  </w:r>
                  <w:r>
                    <w:rPr>
                      <w:rFonts w:cs="Times New Roman"/>
                      <w:bCs/>
                      <w:szCs w:val="21"/>
                      <w:vertAlign w:val="superscript"/>
                    </w:rPr>
                    <w:t>3</w:t>
                  </w:r>
                </w:p>
              </w:tc>
              <w:tc>
                <w:tcPr>
                  <w:tcW w:w="809" w:type="pct"/>
                  <w:tcBorders>
                    <w:tl2br w:val="nil"/>
                    <w:tr2bl w:val="nil"/>
                  </w:tcBorders>
                  <w:vAlign w:val="center"/>
                </w:tcPr>
                <w:p>
                  <w:pPr>
                    <w:adjustRightInd w:val="0"/>
                    <w:snapToGrid w:val="0"/>
                    <w:jc w:val="center"/>
                    <w:rPr>
                      <w:rFonts w:cs="Times New Roman"/>
                      <w:snapToGrid w:val="0"/>
                      <w:kern w:val="0"/>
                      <w:szCs w:val="21"/>
                    </w:rPr>
                  </w:pPr>
                  <w:r>
                    <w:rPr>
                      <w:rFonts w:cs="Times New Roman"/>
                      <w:snapToGrid w:val="0"/>
                      <w:kern w:val="0"/>
                      <w:szCs w:val="21"/>
                    </w:rPr>
                    <w:t>6818.46</w:t>
                  </w:r>
                </w:p>
              </w:tc>
              <w:tc>
                <w:tcPr>
                  <w:tcW w:w="809" w:type="pct"/>
                  <w:tcBorders>
                    <w:tl2br w:val="nil"/>
                    <w:tr2bl w:val="nil"/>
                  </w:tcBorders>
                  <w:vAlign w:val="center"/>
                </w:tcPr>
                <w:p>
                  <w:pPr>
                    <w:jc w:val="center"/>
                    <w:rPr>
                      <w:rFonts w:cs="Times New Roman"/>
                      <w:bCs/>
                      <w:szCs w:val="21"/>
                    </w:rPr>
                  </w:pPr>
                  <w:r>
                    <w:rPr>
                      <w:rFonts w:cs="Times New Roman"/>
                      <w:bCs/>
                      <w:szCs w:val="21"/>
                    </w:rPr>
                    <w:t>/</w:t>
                  </w:r>
                </w:p>
              </w:tc>
              <w:tc>
                <w:tcPr>
                  <w:tcW w:w="600" w:type="pct"/>
                  <w:tcBorders>
                    <w:tl2br w:val="nil"/>
                    <w:tr2bl w:val="nil"/>
                  </w:tcBorders>
                  <w:vAlign w:val="center"/>
                </w:tcPr>
                <w:p>
                  <w:pPr>
                    <w:jc w:val="center"/>
                    <w:rPr>
                      <w:rFonts w:cs="Times New Roman"/>
                      <w:bCs/>
                      <w:szCs w:val="21"/>
                    </w:rPr>
                  </w:pPr>
                  <w:r>
                    <w:rPr>
                      <w:rFonts w:cs="Times New Roman"/>
                      <w:bCs/>
                      <w:szCs w:val="21"/>
                    </w:rPr>
                    <w:t>/</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color w:val="000000" w:themeColor="text1"/>
                      <w:szCs w:val="21"/>
                      <w:highlight w:val="yellow"/>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电</w:t>
                  </w:r>
                </w:p>
              </w:tc>
              <w:tc>
                <w:tcPr>
                  <w:tcW w:w="641" w:type="pct"/>
                  <w:tcBorders>
                    <w:tl2br w:val="nil"/>
                    <w:tr2bl w:val="nil"/>
                  </w:tcBorders>
                </w:tcPr>
                <w:p>
                  <w:pPr>
                    <w:jc w:val="center"/>
                    <w:rPr>
                      <w:rFonts w:cs="Times New Roman"/>
                      <w:bCs/>
                      <w:szCs w:val="21"/>
                    </w:rPr>
                  </w:pPr>
                  <w:r>
                    <w:rPr>
                      <w:rFonts w:cs="Times New Roman"/>
                      <w:bCs/>
                      <w:szCs w:val="21"/>
                    </w:rPr>
                    <w:t>万kWh</w:t>
                  </w:r>
                </w:p>
              </w:tc>
              <w:tc>
                <w:tcPr>
                  <w:tcW w:w="809" w:type="pct"/>
                  <w:tcBorders>
                    <w:tl2br w:val="nil"/>
                    <w:tr2bl w:val="nil"/>
                  </w:tcBorders>
                  <w:vAlign w:val="center"/>
                </w:tcPr>
                <w:p>
                  <w:pPr>
                    <w:adjustRightInd w:val="0"/>
                    <w:snapToGrid w:val="0"/>
                    <w:jc w:val="center"/>
                    <w:rPr>
                      <w:rFonts w:cs="Times New Roman"/>
                      <w:snapToGrid w:val="0"/>
                      <w:kern w:val="0"/>
                      <w:szCs w:val="21"/>
                    </w:rPr>
                  </w:pPr>
                  <w:r>
                    <w:rPr>
                      <w:rFonts w:cs="Times New Roman"/>
                      <w:snapToGrid w:val="0"/>
                      <w:kern w:val="0"/>
                      <w:szCs w:val="21"/>
                    </w:rPr>
                    <w:t>100</w:t>
                  </w:r>
                </w:p>
              </w:tc>
              <w:tc>
                <w:tcPr>
                  <w:tcW w:w="809" w:type="pct"/>
                  <w:tcBorders>
                    <w:tl2br w:val="nil"/>
                    <w:tr2bl w:val="nil"/>
                  </w:tcBorders>
                  <w:vAlign w:val="center"/>
                </w:tcPr>
                <w:p>
                  <w:pPr>
                    <w:jc w:val="center"/>
                    <w:rPr>
                      <w:rFonts w:cs="Times New Roman"/>
                      <w:bCs/>
                      <w:szCs w:val="21"/>
                    </w:rPr>
                  </w:pPr>
                  <w:r>
                    <w:rPr>
                      <w:rFonts w:cs="Times New Roman"/>
                      <w:bCs/>
                      <w:szCs w:val="21"/>
                    </w:rPr>
                    <w:t>/</w:t>
                  </w:r>
                </w:p>
              </w:tc>
              <w:tc>
                <w:tcPr>
                  <w:tcW w:w="600" w:type="pct"/>
                  <w:tcBorders>
                    <w:tl2br w:val="nil"/>
                    <w:tr2bl w:val="nil"/>
                  </w:tcBorders>
                  <w:vAlign w:val="center"/>
                </w:tcPr>
                <w:p>
                  <w:pPr>
                    <w:jc w:val="center"/>
                    <w:rPr>
                      <w:rFonts w:cs="Times New Roman"/>
                      <w:bCs/>
                      <w:szCs w:val="21"/>
                    </w:rPr>
                  </w:pPr>
                  <w:r>
                    <w:rPr>
                      <w:rFonts w:cs="Times New Roman"/>
                      <w:bCs/>
                      <w:szCs w:val="21"/>
                    </w:rPr>
                    <w:t>/</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5000" w:type="pct"/>
                  <w:gridSpan w:val="7"/>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2600湿法薄毡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restart"/>
                  <w:tcBorders>
                    <w:tl2br w:val="nil"/>
                    <w:tr2bl w:val="nil"/>
                  </w:tcBorders>
                  <w:vAlign w:val="center"/>
                </w:tcPr>
                <w:p>
                  <w:pPr>
                    <w:jc w:val="center"/>
                    <w:rPr>
                      <w:rFonts w:cs="Times New Roman"/>
                      <w:bCs/>
                      <w:szCs w:val="21"/>
                    </w:rPr>
                  </w:pPr>
                  <w:r>
                    <w:rPr>
                      <w:rFonts w:cs="Times New Roman"/>
                      <w:bCs/>
                      <w:szCs w:val="21"/>
                    </w:rPr>
                    <w:t>原辅料</w:t>
                  </w:r>
                </w:p>
              </w:tc>
              <w:tc>
                <w:tcPr>
                  <w:tcW w:w="865" w:type="pct"/>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玻璃纤维短切原丝</w:t>
                  </w:r>
                </w:p>
              </w:tc>
              <w:tc>
                <w:tcPr>
                  <w:tcW w:w="641" w:type="pct"/>
                  <w:tcBorders>
                    <w:tl2br w:val="nil"/>
                    <w:tr2bl w:val="nil"/>
                  </w:tcBorders>
                  <w:vAlign w:val="center"/>
                </w:tcPr>
                <w:p>
                  <w:pPr>
                    <w:jc w:val="center"/>
                    <w:rPr>
                      <w:rFonts w:cs="Times New Roman" w:eastAsiaTheme="minorEastAsia"/>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2250</w:t>
                  </w:r>
                </w:p>
              </w:tc>
              <w:tc>
                <w:tcPr>
                  <w:tcW w:w="809" w:type="pct"/>
                  <w:tcBorders>
                    <w:tl2br w:val="nil"/>
                    <w:tr2bl w:val="nil"/>
                  </w:tcBorders>
                  <w:vAlign w:val="center"/>
                </w:tcPr>
                <w:p>
                  <w:pPr>
                    <w:jc w:val="center"/>
                    <w:rPr>
                      <w:rFonts w:cs="Times New Roman"/>
                      <w:bCs/>
                      <w:szCs w:val="21"/>
                    </w:rPr>
                  </w:pPr>
                  <w:r>
                    <w:rPr>
                      <w:rFonts w:cs="Times New Roman"/>
                      <w:bCs/>
                      <w:szCs w:val="21"/>
                    </w:rPr>
                    <w:t>48</w:t>
                  </w:r>
                </w:p>
              </w:tc>
              <w:tc>
                <w:tcPr>
                  <w:tcW w:w="600" w:type="pct"/>
                  <w:tcBorders>
                    <w:tl2br w:val="nil"/>
                    <w:tr2bl w:val="nil"/>
                  </w:tcBorders>
                  <w:vAlign w:val="center"/>
                </w:tcPr>
                <w:p>
                  <w:pPr>
                    <w:jc w:val="center"/>
                    <w:rPr>
                      <w:rFonts w:cs="Times New Roman"/>
                      <w:bCs/>
                      <w:szCs w:val="21"/>
                    </w:rPr>
                  </w:pPr>
                  <w:r>
                    <w:rPr>
                      <w:rFonts w:cs="Times New Roman"/>
                      <w:bCs/>
                      <w:szCs w:val="21"/>
                    </w:rPr>
                    <w:t>固态</w:t>
                  </w:r>
                </w:p>
              </w:tc>
              <w:tc>
                <w:tcPr>
                  <w:tcW w:w="788" w:type="pct"/>
                  <w:tcBorders>
                    <w:tl2br w:val="nil"/>
                    <w:tr2bl w:val="nil"/>
                  </w:tcBorders>
                  <w:vAlign w:val="center"/>
                </w:tcPr>
                <w:p>
                  <w:pPr>
                    <w:jc w:val="center"/>
                    <w:rPr>
                      <w:rFonts w:cs="Times New Roman"/>
                      <w:bCs/>
                      <w:szCs w:val="21"/>
                    </w:rPr>
                  </w:pPr>
                  <w:r>
                    <w:rPr>
                      <w:rFonts w:cs="Times New Roman"/>
                      <w:bCs/>
                      <w:szCs w:val="21"/>
                    </w:rPr>
                    <w:t>含水率约10%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加筋纱</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37.5</w:t>
                  </w:r>
                </w:p>
              </w:tc>
              <w:tc>
                <w:tcPr>
                  <w:tcW w:w="809" w:type="pct"/>
                  <w:tcBorders>
                    <w:tl2br w:val="nil"/>
                    <w:tr2bl w:val="nil"/>
                  </w:tcBorders>
                  <w:vAlign w:val="center"/>
                </w:tcPr>
                <w:p>
                  <w:pPr>
                    <w:jc w:val="center"/>
                    <w:rPr>
                      <w:rFonts w:cs="Times New Roman"/>
                      <w:bCs/>
                      <w:szCs w:val="21"/>
                    </w:rPr>
                  </w:pPr>
                  <w:r>
                    <w:rPr>
                      <w:rFonts w:cs="Times New Roman"/>
                      <w:bCs/>
                      <w:szCs w:val="21"/>
                    </w:rPr>
                    <w:t>0.8</w:t>
                  </w:r>
                </w:p>
              </w:tc>
              <w:tc>
                <w:tcPr>
                  <w:tcW w:w="600" w:type="pct"/>
                  <w:tcBorders>
                    <w:tl2br w:val="nil"/>
                    <w:tr2bl w:val="nil"/>
                  </w:tcBorders>
                  <w:vAlign w:val="center"/>
                </w:tcPr>
                <w:p>
                  <w:pPr>
                    <w:jc w:val="center"/>
                    <w:rPr>
                      <w:rFonts w:cs="Times New Roman"/>
                      <w:bCs/>
                      <w:szCs w:val="21"/>
                    </w:rPr>
                  </w:pPr>
                  <w:r>
                    <w:rPr>
                      <w:rFonts w:cs="Times New Roman"/>
                      <w:bCs/>
                      <w:szCs w:val="21"/>
                    </w:rPr>
                    <w:t>固态</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b/>
                      <w:color w:val="000000" w:themeColor="text1"/>
                      <w:szCs w:val="21"/>
                      <w14:textFill>
                        <w14:solidFill>
                          <w14:schemeClr w14:val="tx1"/>
                        </w14:solidFill>
                      </w14:textFill>
                    </w:rPr>
                  </w:pPr>
                  <w:r>
                    <w:rPr>
                      <w:rFonts w:cs="Times New Roman"/>
                      <w:b/>
                      <w:color w:val="000000" w:themeColor="text1"/>
                      <w:szCs w:val="21"/>
                      <w14:textFill>
                        <w14:solidFill>
                          <w14:schemeClr w14:val="tx1"/>
                        </w14:solidFill>
                      </w14:textFill>
                    </w:rPr>
                    <w:t>粘结剂：</w:t>
                  </w:r>
                </w:p>
              </w:tc>
              <w:tc>
                <w:tcPr>
                  <w:tcW w:w="641" w:type="pct"/>
                  <w:tcBorders>
                    <w:tl2br w:val="nil"/>
                    <w:tr2bl w:val="nil"/>
                  </w:tcBorders>
                  <w:vAlign w:val="center"/>
                </w:tcPr>
                <w:p>
                  <w:pPr>
                    <w:jc w:val="center"/>
                    <w:rPr>
                      <w:rFonts w:cs="Times New Roman"/>
                      <w:bCs/>
                      <w:szCs w:val="21"/>
                    </w:rPr>
                  </w:pPr>
                </w:p>
              </w:tc>
              <w:tc>
                <w:tcPr>
                  <w:tcW w:w="809" w:type="pct"/>
                  <w:tcBorders>
                    <w:tl2br w:val="nil"/>
                    <w:tr2bl w:val="nil"/>
                  </w:tcBorders>
                  <w:vAlign w:val="center"/>
                </w:tcPr>
                <w:p>
                  <w:pPr>
                    <w:widowControl/>
                    <w:jc w:val="center"/>
                    <w:textAlignment w:val="center"/>
                    <w:rPr>
                      <w:rFonts w:cs="Times New Roman"/>
                      <w:bCs/>
                      <w:szCs w:val="21"/>
                    </w:rPr>
                  </w:pPr>
                </w:p>
              </w:tc>
              <w:tc>
                <w:tcPr>
                  <w:tcW w:w="809" w:type="pct"/>
                  <w:tcBorders>
                    <w:tl2br w:val="nil"/>
                    <w:tr2bl w:val="nil"/>
                  </w:tcBorders>
                  <w:vAlign w:val="center"/>
                </w:tcPr>
                <w:p>
                  <w:pPr>
                    <w:jc w:val="center"/>
                    <w:rPr>
                      <w:rFonts w:cs="Times New Roman"/>
                      <w:bCs/>
                      <w:szCs w:val="21"/>
                    </w:rPr>
                  </w:pPr>
                </w:p>
              </w:tc>
              <w:tc>
                <w:tcPr>
                  <w:tcW w:w="600" w:type="pct"/>
                  <w:tcBorders>
                    <w:tl2br w:val="nil"/>
                    <w:tr2bl w:val="nil"/>
                  </w:tcBorders>
                  <w:vAlign w:val="center"/>
                </w:tcPr>
                <w:p>
                  <w:pPr>
                    <w:jc w:val="center"/>
                    <w:rPr>
                      <w:rFonts w:cs="Times New Roman"/>
                      <w:bCs/>
                      <w:szCs w:val="21"/>
                    </w:rPr>
                  </w:pP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color w:val="000000" w:themeColor="text1"/>
                      <w:szCs w:val="21"/>
                      <w14:textFill>
                        <w14:solidFill>
                          <w14:schemeClr w14:val="tx1"/>
                        </w14:solidFill>
                      </w14:textFill>
                    </w:rPr>
                  </w:pPr>
                  <w:r>
                    <w:rPr>
                      <w:rFonts w:cs="Times New Roman" w:eastAsiaTheme="minorEastAsia"/>
                      <w:bCs/>
                      <w:color w:val="000000" w:themeColor="text1"/>
                      <w:szCs w:val="21"/>
                      <w14:textFill>
                        <w14:solidFill>
                          <w14:schemeClr w14:val="tx1"/>
                        </w14:solidFill>
                      </w14:textFill>
                    </w:rPr>
                    <w:t>水性功能乳液</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525</w:t>
                  </w:r>
                </w:p>
              </w:tc>
              <w:tc>
                <w:tcPr>
                  <w:tcW w:w="809" w:type="pct"/>
                  <w:tcBorders>
                    <w:tl2br w:val="nil"/>
                    <w:tr2bl w:val="nil"/>
                  </w:tcBorders>
                  <w:vAlign w:val="center"/>
                </w:tcPr>
                <w:p>
                  <w:pPr>
                    <w:jc w:val="center"/>
                    <w:rPr>
                      <w:rFonts w:cs="Times New Roman"/>
                      <w:bCs/>
                      <w:szCs w:val="21"/>
                    </w:rPr>
                  </w:pPr>
                  <w:r>
                    <w:rPr>
                      <w:rFonts w:cs="Times New Roman"/>
                      <w:bCs/>
                      <w:szCs w:val="21"/>
                    </w:rPr>
                    <w:t>10</w:t>
                  </w:r>
                </w:p>
              </w:tc>
              <w:tc>
                <w:tcPr>
                  <w:tcW w:w="600" w:type="pct"/>
                  <w:tcBorders>
                    <w:tl2br w:val="nil"/>
                    <w:tr2bl w:val="nil"/>
                  </w:tcBorders>
                  <w:vAlign w:val="center"/>
                </w:tcPr>
                <w:p>
                  <w:pPr>
                    <w:jc w:val="center"/>
                    <w:rPr>
                      <w:rFonts w:cs="Times New Roman"/>
                      <w:bCs/>
                      <w:szCs w:val="21"/>
                    </w:rPr>
                  </w:pPr>
                  <w:r>
                    <w:rPr>
                      <w:rFonts w:cs="Times New Roman"/>
                      <w:bCs/>
                      <w:szCs w:val="21"/>
                    </w:rPr>
                    <w:t>液态</w:t>
                  </w:r>
                </w:p>
              </w:tc>
              <w:tc>
                <w:tcPr>
                  <w:tcW w:w="788" w:type="pct"/>
                  <w:tcBorders>
                    <w:tl2br w:val="nil"/>
                    <w:tr2bl w:val="nil"/>
                  </w:tcBorders>
                  <w:vAlign w:val="center"/>
                </w:tcPr>
                <w:p>
                  <w:pPr>
                    <w:jc w:val="center"/>
                    <w:rPr>
                      <w:rFonts w:cs="Times New Roman"/>
                      <w:bCs/>
                      <w:szCs w:val="21"/>
                    </w:rPr>
                  </w:pPr>
                  <w:r>
                    <w:rPr>
                      <w:rFonts w:cs="Times New Roman"/>
                      <w:bCs/>
                      <w:szCs w:val="21"/>
                    </w:rPr>
                    <w:t>含水率50%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hint="eastAsia" w:eastAsia="宋体" w:cs="Times New Roman"/>
                      <w:bCs/>
                      <w:szCs w:val="21"/>
                      <w:lang w:eastAsia="zh-CN"/>
                    </w:rPr>
                  </w:pPr>
                  <w:r>
                    <w:rPr>
                      <w:rFonts w:cs="Times New Roman"/>
                      <w:bCs/>
                      <w:szCs w:val="21"/>
                    </w:rPr>
                    <w:t>脲醛</w:t>
                  </w:r>
                  <w:r>
                    <w:rPr>
                      <w:rFonts w:hint="eastAsia" w:cs="Times New Roman"/>
                      <w:bCs/>
                      <w:szCs w:val="21"/>
                      <w:lang w:val="en-US" w:eastAsia="zh-CN"/>
                    </w:rPr>
                    <w:t>胶</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975</w:t>
                  </w:r>
                </w:p>
              </w:tc>
              <w:tc>
                <w:tcPr>
                  <w:tcW w:w="809" w:type="pct"/>
                  <w:tcBorders>
                    <w:tl2br w:val="nil"/>
                    <w:tr2bl w:val="nil"/>
                  </w:tcBorders>
                  <w:vAlign w:val="center"/>
                </w:tcPr>
                <w:p>
                  <w:pPr>
                    <w:jc w:val="center"/>
                    <w:rPr>
                      <w:rFonts w:cs="Times New Roman"/>
                      <w:bCs/>
                      <w:szCs w:val="21"/>
                    </w:rPr>
                  </w:pPr>
                  <w:r>
                    <w:rPr>
                      <w:rFonts w:cs="Times New Roman"/>
                      <w:bCs/>
                      <w:szCs w:val="21"/>
                    </w:rPr>
                    <w:t>18</w:t>
                  </w:r>
                </w:p>
              </w:tc>
              <w:tc>
                <w:tcPr>
                  <w:tcW w:w="600" w:type="pct"/>
                  <w:tcBorders>
                    <w:tl2br w:val="nil"/>
                    <w:tr2bl w:val="nil"/>
                  </w:tcBorders>
                  <w:vAlign w:val="center"/>
                </w:tcPr>
                <w:p>
                  <w:pPr>
                    <w:jc w:val="center"/>
                    <w:rPr>
                      <w:rFonts w:cs="Times New Roman"/>
                      <w:bCs/>
                      <w:szCs w:val="21"/>
                    </w:rPr>
                  </w:pPr>
                  <w:r>
                    <w:rPr>
                      <w:rFonts w:cs="Times New Roman"/>
                      <w:bCs/>
                      <w:szCs w:val="21"/>
                    </w:rPr>
                    <w:t>液态</w:t>
                  </w:r>
                </w:p>
              </w:tc>
              <w:tc>
                <w:tcPr>
                  <w:tcW w:w="788" w:type="pct"/>
                  <w:tcBorders>
                    <w:tl2br w:val="nil"/>
                    <w:tr2bl w:val="nil"/>
                  </w:tcBorders>
                  <w:vAlign w:val="center"/>
                </w:tcPr>
                <w:p>
                  <w:pPr>
                    <w:jc w:val="center"/>
                    <w:rPr>
                      <w:rFonts w:cs="Times New Roman"/>
                      <w:bCs/>
                      <w:szCs w:val="21"/>
                    </w:rPr>
                  </w:pPr>
                  <w:r>
                    <w:rPr>
                      <w:rFonts w:cs="Times New Roman"/>
                      <w:bCs/>
                      <w:szCs w:val="21"/>
                    </w:rPr>
                    <w:t>含水率50%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
                      <w:szCs w:val="21"/>
                    </w:rPr>
                  </w:pPr>
                  <w:r>
                    <w:rPr>
                      <w:rFonts w:cs="Times New Roman" w:eastAsiaTheme="minorEastAsia"/>
                      <w:b/>
                      <w:szCs w:val="21"/>
                    </w:rPr>
                    <w:t>助剂</w:t>
                  </w:r>
                  <w:r>
                    <w:rPr>
                      <w:rFonts w:cs="Times New Roman"/>
                      <w:b/>
                      <w:szCs w:val="21"/>
                    </w:rPr>
                    <w:t>：</w:t>
                  </w:r>
                </w:p>
              </w:tc>
              <w:tc>
                <w:tcPr>
                  <w:tcW w:w="641" w:type="pct"/>
                  <w:tcBorders>
                    <w:tl2br w:val="nil"/>
                    <w:tr2bl w:val="nil"/>
                  </w:tcBorders>
                  <w:vAlign w:val="center"/>
                </w:tcPr>
                <w:p>
                  <w:pPr>
                    <w:jc w:val="center"/>
                    <w:rPr>
                      <w:rFonts w:cs="Times New Roman"/>
                      <w:bCs/>
                      <w:szCs w:val="21"/>
                    </w:rPr>
                  </w:pPr>
                </w:p>
              </w:tc>
              <w:tc>
                <w:tcPr>
                  <w:tcW w:w="809" w:type="pct"/>
                  <w:tcBorders>
                    <w:tl2br w:val="nil"/>
                    <w:tr2bl w:val="nil"/>
                  </w:tcBorders>
                  <w:vAlign w:val="center"/>
                </w:tcPr>
                <w:p>
                  <w:pPr>
                    <w:widowControl/>
                    <w:jc w:val="center"/>
                    <w:textAlignment w:val="center"/>
                    <w:rPr>
                      <w:rFonts w:cs="Times New Roman"/>
                      <w:bCs/>
                      <w:szCs w:val="21"/>
                    </w:rPr>
                  </w:pPr>
                </w:p>
              </w:tc>
              <w:tc>
                <w:tcPr>
                  <w:tcW w:w="809" w:type="pct"/>
                  <w:tcBorders>
                    <w:tl2br w:val="nil"/>
                    <w:tr2bl w:val="nil"/>
                  </w:tcBorders>
                  <w:vAlign w:val="center"/>
                </w:tcPr>
                <w:p>
                  <w:pPr>
                    <w:jc w:val="center"/>
                    <w:rPr>
                      <w:rFonts w:cs="Times New Roman"/>
                      <w:bCs/>
                      <w:szCs w:val="21"/>
                    </w:rPr>
                  </w:pPr>
                </w:p>
              </w:tc>
              <w:tc>
                <w:tcPr>
                  <w:tcW w:w="600" w:type="pct"/>
                  <w:tcBorders>
                    <w:tl2br w:val="nil"/>
                    <w:tr2bl w:val="nil"/>
                  </w:tcBorders>
                  <w:vAlign w:val="center"/>
                </w:tcPr>
                <w:p>
                  <w:pPr>
                    <w:jc w:val="center"/>
                    <w:rPr>
                      <w:rFonts w:cs="Times New Roman"/>
                      <w:bCs/>
                      <w:szCs w:val="21"/>
                    </w:rPr>
                  </w:pP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szCs w:val="21"/>
                    </w:rPr>
                  </w:pPr>
                  <w:r>
                    <w:rPr>
                      <w:rFonts w:cs="Times New Roman" w:eastAsiaTheme="minorEastAsia"/>
                      <w:bCs/>
                      <w:szCs w:val="21"/>
                    </w:rPr>
                    <w:t>分散剂（阳离子型）</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10.3</w:t>
                  </w:r>
                </w:p>
              </w:tc>
              <w:tc>
                <w:tcPr>
                  <w:tcW w:w="809" w:type="pct"/>
                  <w:tcBorders>
                    <w:tl2br w:val="nil"/>
                    <w:tr2bl w:val="nil"/>
                  </w:tcBorders>
                  <w:vAlign w:val="center"/>
                </w:tcPr>
                <w:p>
                  <w:pPr>
                    <w:jc w:val="center"/>
                    <w:rPr>
                      <w:rFonts w:cs="Times New Roman"/>
                      <w:bCs/>
                      <w:szCs w:val="21"/>
                    </w:rPr>
                  </w:pPr>
                  <w:r>
                    <w:rPr>
                      <w:rFonts w:cs="Times New Roman"/>
                      <w:bCs/>
                      <w:szCs w:val="21"/>
                    </w:rPr>
                    <w:t>0.2</w:t>
                  </w:r>
                </w:p>
              </w:tc>
              <w:tc>
                <w:tcPr>
                  <w:tcW w:w="600" w:type="pct"/>
                  <w:tcBorders>
                    <w:tl2br w:val="nil"/>
                    <w:tr2bl w:val="nil"/>
                  </w:tcBorders>
                  <w:vAlign w:val="center"/>
                </w:tcPr>
                <w:p>
                  <w:pPr>
                    <w:jc w:val="center"/>
                    <w:rPr>
                      <w:rFonts w:cs="Times New Roman"/>
                      <w:bCs/>
                      <w:szCs w:val="21"/>
                    </w:rPr>
                  </w:pPr>
                  <w:r>
                    <w:rPr>
                      <w:rFonts w:cs="Times New Roman"/>
                      <w:bCs/>
                      <w:szCs w:val="21"/>
                    </w:rPr>
                    <w:t>结晶料</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Borders>
                    <w:tl2br w:val="nil"/>
                    <w:tr2bl w:val="nil"/>
                  </w:tcBorders>
                  <w:vAlign w:val="center"/>
                </w:tcPr>
                <w:p>
                  <w:pPr>
                    <w:jc w:val="center"/>
                    <w:rPr>
                      <w:rFonts w:cs="Times New Roman"/>
                      <w:bCs/>
                      <w:szCs w:val="21"/>
                    </w:rPr>
                  </w:pPr>
                </w:p>
              </w:tc>
              <w:tc>
                <w:tcPr>
                  <w:tcW w:w="865" w:type="pct"/>
                  <w:tcBorders>
                    <w:tl2br w:val="nil"/>
                    <w:tr2bl w:val="nil"/>
                  </w:tcBorders>
                  <w:vAlign w:val="center"/>
                </w:tcPr>
                <w:p>
                  <w:pPr>
                    <w:jc w:val="center"/>
                    <w:rPr>
                      <w:rFonts w:cs="Times New Roman" w:eastAsiaTheme="minorEastAsia"/>
                      <w:bCs/>
                      <w:szCs w:val="21"/>
                    </w:rPr>
                  </w:pPr>
                  <w:r>
                    <w:rPr>
                      <w:rFonts w:cs="Times New Roman" w:eastAsiaTheme="minorEastAsia"/>
                      <w:bCs/>
                      <w:szCs w:val="21"/>
                    </w:rPr>
                    <w:t>增稠剂</w:t>
                  </w:r>
                </w:p>
              </w:tc>
              <w:tc>
                <w:tcPr>
                  <w:tcW w:w="641" w:type="pct"/>
                  <w:tcBorders>
                    <w:tl2br w:val="nil"/>
                    <w:tr2bl w:val="nil"/>
                  </w:tcBorders>
                  <w:vAlign w:val="center"/>
                </w:tcPr>
                <w:p>
                  <w:pPr>
                    <w:jc w:val="center"/>
                    <w:rPr>
                      <w:rFonts w:cs="Times New Roman"/>
                      <w:bCs/>
                      <w:szCs w:val="21"/>
                    </w:rPr>
                  </w:pPr>
                  <w:r>
                    <w:rPr>
                      <w:rFonts w:cs="Times New Roman"/>
                      <w:bCs/>
                      <w:szCs w:val="21"/>
                    </w:rPr>
                    <w:t>t</w:t>
                  </w:r>
                </w:p>
              </w:tc>
              <w:tc>
                <w:tcPr>
                  <w:tcW w:w="809" w:type="pct"/>
                  <w:tcBorders>
                    <w:tl2br w:val="nil"/>
                    <w:tr2bl w:val="nil"/>
                  </w:tcBorders>
                  <w:vAlign w:val="center"/>
                </w:tcPr>
                <w:p>
                  <w:pPr>
                    <w:widowControl/>
                    <w:jc w:val="center"/>
                    <w:textAlignment w:val="center"/>
                    <w:rPr>
                      <w:rFonts w:cs="Times New Roman"/>
                      <w:bCs/>
                      <w:szCs w:val="21"/>
                    </w:rPr>
                  </w:pPr>
                  <w:r>
                    <w:rPr>
                      <w:rFonts w:cs="Times New Roman"/>
                      <w:kern w:val="0"/>
                      <w:sz w:val="22"/>
                      <w:lang w:bidi="ar"/>
                    </w:rPr>
                    <w:t>9.9</w:t>
                  </w:r>
                </w:p>
              </w:tc>
              <w:tc>
                <w:tcPr>
                  <w:tcW w:w="809" w:type="pct"/>
                  <w:tcBorders>
                    <w:tl2br w:val="nil"/>
                    <w:tr2bl w:val="nil"/>
                  </w:tcBorders>
                  <w:vAlign w:val="center"/>
                </w:tcPr>
                <w:p>
                  <w:pPr>
                    <w:jc w:val="center"/>
                    <w:rPr>
                      <w:rFonts w:cs="Times New Roman"/>
                      <w:bCs/>
                      <w:szCs w:val="21"/>
                    </w:rPr>
                  </w:pPr>
                  <w:r>
                    <w:rPr>
                      <w:rFonts w:cs="Times New Roman"/>
                      <w:bCs/>
                      <w:szCs w:val="21"/>
                    </w:rPr>
                    <w:t>0.2</w:t>
                  </w:r>
                </w:p>
              </w:tc>
              <w:tc>
                <w:tcPr>
                  <w:tcW w:w="600" w:type="pct"/>
                  <w:tcBorders>
                    <w:tl2br w:val="nil"/>
                    <w:tr2bl w:val="nil"/>
                  </w:tcBorders>
                  <w:vAlign w:val="center"/>
                </w:tcPr>
                <w:p>
                  <w:pPr>
                    <w:jc w:val="center"/>
                    <w:rPr>
                      <w:rFonts w:cs="Times New Roman"/>
                      <w:bCs/>
                      <w:szCs w:val="21"/>
                    </w:rPr>
                  </w:pPr>
                  <w:r>
                    <w:rPr>
                      <w:rFonts w:cs="Times New Roman"/>
                      <w:bCs/>
                      <w:szCs w:val="21"/>
                    </w:rPr>
                    <w:t>粉料</w:t>
                  </w:r>
                </w:p>
              </w:tc>
              <w:tc>
                <w:tcPr>
                  <w:tcW w:w="788" w:type="pct"/>
                  <w:tcBorders>
                    <w:tl2br w:val="nil"/>
                    <w:tr2bl w:val="nil"/>
                  </w:tcBorders>
                  <w:vAlign w:val="center"/>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Pr>
                <w:p>
                  <w:pPr>
                    <w:jc w:val="center"/>
                    <w:rPr>
                      <w:rFonts w:cs="Times New Roman"/>
                      <w:bCs/>
                      <w:szCs w:val="21"/>
                    </w:rPr>
                  </w:pPr>
                </w:p>
              </w:tc>
              <w:tc>
                <w:tcPr>
                  <w:tcW w:w="865" w:type="pct"/>
                  <w:vAlign w:val="center"/>
                </w:tcPr>
                <w:p>
                  <w:pPr>
                    <w:jc w:val="center"/>
                    <w:rPr>
                      <w:rFonts w:cs="Times New Roman" w:eastAsiaTheme="minorEastAsia"/>
                      <w:bCs/>
                      <w:szCs w:val="21"/>
                    </w:rPr>
                  </w:pPr>
                  <w:r>
                    <w:rPr>
                      <w:rFonts w:cs="Times New Roman" w:eastAsiaTheme="minorEastAsia"/>
                      <w:bCs/>
                      <w:szCs w:val="21"/>
                    </w:rPr>
                    <w:t>消泡剂</w:t>
                  </w:r>
                </w:p>
              </w:tc>
              <w:tc>
                <w:tcPr>
                  <w:tcW w:w="641" w:type="pct"/>
                </w:tcPr>
                <w:p>
                  <w:pPr>
                    <w:jc w:val="center"/>
                    <w:rPr>
                      <w:rFonts w:cs="Times New Roman"/>
                      <w:bCs/>
                      <w:szCs w:val="21"/>
                    </w:rPr>
                  </w:pPr>
                  <w:r>
                    <w:rPr>
                      <w:rFonts w:cs="Times New Roman"/>
                      <w:bCs/>
                      <w:szCs w:val="21"/>
                    </w:rPr>
                    <w:t>t</w:t>
                  </w:r>
                </w:p>
              </w:tc>
              <w:tc>
                <w:tcPr>
                  <w:tcW w:w="809" w:type="pct"/>
                  <w:vAlign w:val="center"/>
                </w:tcPr>
                <w:p>
                  <w:pPr>
                    <w:widowControl/>
                    <w:jc w:val="center"/>
                    <w:textAlignment w:val="center"/>
                    <w:rPr>
                      <w:rFonts w:cs="Times New Roman"/>
                      <w:bCs/>
                      <w:szCs w:val="21"/>
                    </w:rPr>
                  </w:pPr>
                  <w:r>
                    <w:rPr>
                      <w:rFonts w:cs="Times New Roman"/>
                      <w:kern w:val="0"/>
                      <w:sz w:val="22"/>
                      <w:lang w:bidi="ar"/>
                    </w:rPr>
                    <w:t>10.5</w:t>
                  </w:r>
                </w:p>
              </w:tc>
              <w:tc>
                <w:tcPr>
                  <w:tcW w:w="809" w:type="pct"/>
                </w:tcPr>
                <w:p>
                  <w:pPr>
                    <w:jc w:val="center"/>
                    <w:rPr>
                      <w:rFonts w:cs="Times New Roman"/>
                      <w:bCs/>
                      <w:szCs w:val="21"/>
                    </w:rPr>
                  </w:pPr>
                  <w:r>
                    <w:rPr>
                      <w:rFonts w:cs="Times New Roman"/>
                      <w:bCs/>
                      <w:szCs w:val="21"/>
                    </w:rPr>
                    <w:t>0.2</w:t>
                  </w:r>
                </w:p>
              </w:tc>
              <w:tc>
                <w:tcPr>
                  <w:tcW w:w="600" w:type="pct"/>
                  <w:vAlign w:val="center"/>
                </w:tcPr>
                <w:p>
                  <w:pPr>
                    <w:jc w:val="center"/>
                    <w:rPr>
                      <w:rFonts w:cs="Times New Roman"/>
                      <w:bCs/>
                      <w:szCs w:val="21"/>
                    </w:rPr>
                  </w:pPr>
                  <w:r>
                    <w:rPr>
                      <w:rFonts w:cs="Times New Roman"/>
                      <w:bCs/>
                      <w:szCs w:val="21"/>
                    </w:rPr>
                    <w:t>液态</w:t>
                  </w:r>
                </w:p>
              </w:tc>
              <w:tc>
                <w:tcPr>
                  <w:tcW w:w="788" w:type="pct"/>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restart"/>
                  <w:vAlign w:val="center"/>
                </w:tcPr>
                <w:p>
                  <w:pPr>
                    <w:jc w:val="center"/>
                    <w:rPr>
                      <w:rFonts w:cs="Times New Roman"/>
                      <w:bCs/>
                      <w:szCs w:val="21"/>
                    </w:rPr>
                  </w:pPr>
                  <w:r>
                    <w:rPr>
                      <w:rFonts w:cs="Times New Roman"/>
                      <w:bCs/>
                      <w:szCs w:val="21"/>
                    </w:rPr>
                    <w:t>能耗</w:t>
                  </w:r>
                </w:p>
                <w:p>
                  <w:pPr>
                    <w:jc w:val="center"/>
                    <w:rPr>
                      <w:rFonts w:cs="Times New Roman"/>
                      <w:bCs/>
                      <w:szCs w:val="21"/>
                    </w:rPr>
                  </w:pPr>
                </w:p>
              </w:tc>
              <w:tc>
                <w:tcPr>
                  <w:tcW w:w="865" w:type="pct"/>
                  <w:vAlign w:val="center"/>
                </w:tcPr>
                <w:p>
                  <w:pPr>
                    <w:jc w:val="center"/>
                    <w:rPr>
                      <w:rFonts w:cs="Times New Roman" w:eastAsiaTheme="minorEastAsia"/>
                      <w:bCs/>
                      <w:szCs w:val="21"/>
                    </w:rPr>
                  </w:pPr>
                  <w:r>
                    <w:rPr>
                      <w:rFonts w:cs="Times New Roman" w:eastAsiaTheme="minorEastAsia"/>
                      <w:bCs/>
                      <w:szCs w:val="21"/>
                    </w:rPr>
                    <w:t>天然气</w:t>
                  </w:r>
                </w:p>
              </w:tc>
              <w:tc>
                <w:tcPr>
                  <w:tcW w:w="641" w:type="pct"/>
                </w:tcPr>
                <w:p>
                  <w:pPr>
                    <w:jc w:val="center"/>
                    <w:rPr>
                      <w:rFonts w:cs="Times New Roman"/>
                      <w:bCs/>
                      <w:szCs w:val="21"/>
                    </w:rPr>
                  </w:pPr>
                  <w:r>
                    <w:rPr>
                      <w:rFonts w:cs="Times New Roman"/>
                      <w:bCs/>
                      <w:szCs w:val="21"/>
                    </w:rPr>
                    <w:t>万Nm</w:t>
                  </w:r>
                  <w:r>
                    <w:rPr>
                      <w:rFonts w:cs="Times New Roman"/>
                      <w:bCs/>
                      <w:szCs w:val="21"/>
                      <w:vertAlign w:val="superscript"/>
                    </w:rPr>
                    <w:t>3</w:t>
                  </w:r>
                </w:p>
              </w:tc>
              <w:tc>
                <w:tcPr>
                  <w:tcW w:w="809" w:type="pct"/>
                </w:tcPr>
                <w:p>
                  <w:pPr>
                    <w:jc w:val="center"/>
                    <w:rPr>
                      <w:rFonts w:hint="default" w:eastAsia="宋体" w:cs="Times New Roman"/>
                      <w:bCs/>
                      <w:szCs w:val="21"/>
                      <w:lang w:val="en-US" w:eastAsia="zh-CN"/>
                    </w:rPr>
                  </w:pPr>
                  <w:r>
                    <w:rPr>
                      <w:rFonts w:hint="eastAsia" w:cs="Times New Roman"/>
                      <w:snapToGrid w:val="0"/>
                      <w:color w:val="000000" w:themeColor="text1"/>
                      <w:kern w:val="0"/>
                      <w:szCs w:val="21"/>
                      <w:lang w:val="en-US" w:eastAsia="zh-CN"/>
                      <w14:textFill>
                        <w14:solidFill>
                          <w14:schemeClr w14:val="tx1"/>
                        </w14:solidFill>
                      </w14:textFill>
                    </w:rPr>
                    <w:t>142.5</w:t>
                  </w:r>
                </w:p>
              </w:tc>
              <w:tc>
                <w:tcPr>
                  <w:tcW w:w="809" w:type="pct"/>
                </w:tcPr>
                <w:p>
                  <w:pPr>
                    <w:jc w:val="center"/>
                    <w:rPr>
                      <w:rFonts w:cs="Times New Roman"/>
                      <w:bCs/>
                      <w:szCs w:val="21"/>
                    </w:rPr>
                  </w:pPr>
                  <w:r>
                    <w:rPr>
                      <w:rFonts w:cs="Times New Roman"/>
                      <w:bCs/>
                      <w:szCs w:val="21"/>
                    </w:rPr>
                    <w:t>/</w:t>
                  </w:r>
                </w:p>
              </w:tc>
              <w:tc>
                <w:tcPr>
                  <w:tcW w:w="600" w:type="pct"/>
                  <w:vAlign w:val="center"/>
                </w:tcPr>
                <w:p>
                  <w:pPr>
                    <w:jc w:val="center"/>
                    <w:rPr>
                      <w:rFonts w:cs="Times New Roman"/>
                      <w:bCs/>
                      <w:szCs w:val="21"/>
                    </w:rPr>
                  </w:pPr>
                  <w:r>
                    <w:rPr>
                      <w:rFonts w:cs="Times New Roman"/>
                      <w:bCs/>
                      <w:szCs w:val="21"/>
                    </w:rPr>
                    <w:t>/</w:t>
                  </w:r>
                </w:p>
              </w:tc>
              <w:tc>
                <w:tcPr>
                  <w:tcW w:w="788" w:type="pct"/>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5" w:type="pct"/>
                  <w:vMerge w:val="continue"/>
                </w:tcPr>
                <w:p>
                  <w:pPr>
                    <w:jc w:val="center"/>
                    <w:rPr>
                      <w:rFonts w:cs="Times New Roman"/>
                      <w:bCs/>
                      <w:szCs w:val="21"/>
                    </w:rPr>
                  </w:pPr>
                </w:p>
              </w:tc>
              <w:tc>
                <w:tcPr>
                  <w:tcW w:w="865" w:type="pct"/>
                  <w:vAlign w:val="center"/>
                </w:tcPr>
                <w:p>
                  <w:pPr>
                    <w:jc w:val="center"/>
                    <w:rPr>
                      <w:rFonts w:cs="Times New Roman" w:eastAsiaTheme="minorEastAsia"/>
                      <w:bCs/>
                      <w:szCs w:val="21"/>
                      <w:highlight w:val="yellow"/>
                    </w:rPr>
                  </w:pPr>
                  <w:r>
                    <w:rPr>
                      <w:rFonts w:cs="Times New Roman" w:eastAsiaTheme="minorEastAsia"/>
                      <w:bCs/>
                      <w:szCs w:val="21"/>
                    </w:rPr>
                    <w:t>水</w:t>
                  </w:r>
                </w:p>
              </w:tc>
              <w:tc>
                <w:tcPr>
                  <w:tcW w:w="641" w:type="pct"/>
                </w:tcPr>
                <w:p>
                  <w:pPr>
                    <w:jc w:val="center"/>
                    <w:rPr>
                      <w:rFonts w:cs="Times New Roman"/>
                      <w:bCs/>
                      <w:szCs w:val="21"/>
                    </w:rPr>
                  </w:pPr>
                  <w:r>
                    <w:rPr>
                      <w:rFonts w:cs="Times New Roman"/>
                      <w:bCs/>
                      <w:szCs w:val="21"/>
                    </w:rPr>
                    <w:t>m</w:t>
                  </w:r>
                  <w:r>
                    <w:rPr>
                      <w:rFonts w:cs="Times New Roman"/>
                      <w:bCs/>
                      <w:szCs w:val="21"/>
                      <w:vertAlign w:val="superscript"/>
                    </w:rPr>
                    <w:t>3</w:t>
                  </w:r>
                </w:p>
              </w:tc>
              <w:tc>
                <w:tcPr>
                  <w:tcW w:w="809" w:type="pct"/>
                </w:tcPr>
                <w:p>
                  <w:pPr>
                    <w:jc w:val="center"/>
                    <w:rPr>
                      <w:rFonts w:cs="Times New Roman"/>
                      <w:bCs/>
                      <w:szCs w:val="21"/>
                    </w:rPr>
                  </w:pPr>
                  <w:r>
                    <w:rPr>
                      <w:rFonts w:cs="Times New Roman"/>
                      <w:bCs/>
                      <w:szCs w:val="21"/>
                    </w:rPr>
                    <w:t>7802.85</w:t>
                  </w:r>
                </w:p>
              </w:tc>
              <w:tc>
                <w:tcPr>
                  <w:tcW w:w="809" w:type="pct"/>
                </w:tcPr>
                <w:p>
                  <w:pPr>
                    <w:jc w:val="center"/>
                    <w:rPr>
                      <w:rFonts w:cs="Times New Roman"/>
                      <w:bCs/>
                      <w:szCs w:val="21"/>
                    </w:rPr>
                  </w:pPr>
                  <w:r>
                    <w:rPr>
                      <w:rFonts w:cs="Times New Roman"/>
                      <w:bCs/>
                      <w:szCs w:val="21"/>
                    </w:rPr>
                    <w:t>/</w:t>
                  </w:r>
                </w:p>
              </w:tc>
              <w:tc>
                <w:tcPr>
                  <w:tcW w:w="600" w:type="pct"/>
                  <w:vAlign w:val="center"/>
                </w:tcPr>
                <w:p>
                  <w:pPr>
                    <w:jc w:val="center"/>
                    <w:rPr>
                      <w:rFonts w:cs="Times New Roman"/>
                      <w:bCs/>
                      <w:szCs w:val="21"/>
                    </w:rPr>
                  </w:pPr>
                  <w:r>
                    <w:rPr>
                      <w:rFonts w:cs="Times New Roman"/>
                      <w:bCs/>
                      <w:szCs w:val="21"/>
                    </w:rPr>
                    <w:t>/</w:t>
                  </w:r>
                </w:p>
              </w:tc>
              <w:tc>
                <w:tcPr>
                  <w:tcW w:w="788" w:type="pct"/>
                </w:tcPr>
                <w:p>
                  <w:pPr>
                    <w:jc w:val="center"/>
                    <w:rPr>
                      <w:rFonts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3" w:hRule="atLeast"/>
                <w:jc w:val="center"/>
              </w:trPr>
              <w:tc>
                <w:tcPr>
                  <w:tcW w:w="485" w:type="pct"/>
                  <w:vMerge w:val="continue"/>
                </w:tcPr>
                <w:p>
                  <w:pPr>
                    <w:jc w:val="center"/>
                    <w:rPr>
                      <w:rFonts w:cs="Times New Roman"/>
                      <w:bCs/>
                      <w:szCs w:val="21"/>
                    </w:rPr>
                  </w:pPr>
                </w:p>
              </w:tc>
              <w:tc>
                <w:tcPr>
                  <w:tcW w:w="865" w:type="pct"/>
                  <w:vAlign w:val="center"/>
                </w:tcPr>
                <w:p>
                  <w:pPr>
                    <w:jc w:val="center"/>
                    <w:rPr>
                      <w:rFonts w:cs="Times New Roman" w:eastAsiaTheme="minorEastAsia"/>
                      <w:bCs/>
                      <w:szCs w:val="21"/>
                      <w:highlight w:val="yellow"/>
                    </w:rPr>
                  </w:pPr>
                  <w:r>
                    <w:rPr>
                      <w:rFonts w:cs="Times New Roman" w:eastAsiaTheme="minorEastAsia"/>
                      <w:bCs/>
                      <w:szCs w:val="21"/>
                    </w:rPr>
                    <w:t>电</w:t>
                  </w:r>
                </w:p>
              </w:tc>
              <w:tc>
                <w:tcPr>
                  <w:tcW w:w="641" w:type="pct"/>
                </w:tcPr>
                <w:p>
                  <w:pPr>
                    <w:jc w:val="center"/>
                    <w:rPr>
                      <w:rFonts w:cs="Times New Roman"/>
                      <w:bCs/>
                      <w:szCs w:val="21"/>
                    </w:rPr>
                  </w:pPr>
                  <w:r>
                    <w:rPr>
                      <w:rFonts w:cs="Times New Roman"/>
                      <w:bCs/>
                      <w:szCs w:val="21"/>
                    </w:rPr>
                    <w:t>万kWh</w:t>
                  </w:r>
                </w:p>
              </w:tc>
              <w:tc>
                <w:tcPr>
                  <w:tcW w:w="809" w:type="pct"/>
                </w:tcPr>
                <w:p>
                  <w:pPr>
                    <w:jc w:val="center"/>
                    <w:rPr>
                      <w:rFonts w:cs="Times New Roman"/>
                      <w:bCs/>
                      <w:szCs w:val="21"/>
                    </w:rPr>
                  </w:pPr>
                  <w:r>
                    <w:rPr>
                      <w:rFonts w:cs="Times New Roman"/>
                      <w:snapToGrid w:val="0"/>
                      <w:kern w:val="0"/>
                      <w:szCs w:val="21"/>
                    </w:rPr>
                    <w:t>100</w:t>
                  </w:r>
                </w:p>
              </w:tc>
              <w:tc>
                <w:tcPr>
                  <w:tcW w:w="809" w:type="pct"/>
                </w:tcPr>
                <w:p>
                  <w:pPr>
                    <w:jc w:val="center"/>
                    <w:rPr>
                      <w:rFonts w:cs="Times New Roman"/>
                      <w:bCs/>
                      <w:szCs w:val="21"/>
                    </w:rPr>
                  </w:pPr>
                  <w:r>
                    <w:rPr>
                      <w:rFonts w:cs="Times New Roman"/>
                      <w:bCs/>
                      <w:szCs w:val="21"/>
                    </w:rPr>
                    <w:t>/</w:t>
                  </w:r>
                </w:p>
              </w:tc>
              <w:tc>
                <w:tcPr>
                  <w:tcW w:w="600" w:type="pct"/>
                  <w:vAlign w:val="center"/>
                </w:tcPr>
                <w:p>
                  <w:pPr>
                    <w:jc w:val="center"/>
                    <w:rPr>
                      <w:rFonts w:cs="Times New Roman"/>
                      <w:bCs/>
                      <w:szCs w:val="21"/>
                    </w:rPr>
                  </w:pPr>
                  <w:r>
                    <w:rPr>
                      <w:rFonts w:cs="Times New Roman"/>
                      <w:bCs/>
                      <w:szCs w:val="21"/>
                    </w:rPr>
                    <w:t>/</w:t>
                  </w:r>
                </w:p>
              </w:tc>
              <w:tc>
                <w:tcPr>
                  <w:tcW w:w="788" w:type="pct"/>
                </w:tcPr>
                <w:p>
                  <w:pPr>
                    <w:jc w:val="center"/>
                    <w:rPr>
                      <w:rFonts w:cs="Times New Roman"/>
                      <w:bCs/>
                      <w:szCs w:val="21"/>
                    </w:rPr>
                  </w:pPr>
                </w:p>
              </w:tc>
            </w:tr>
          </w:tbl>
          <w:p>
            <w:pPr>
              <w:tabs>
                <w:tab w:val="left" w:pos="1260"/>
              </w:tabs>
              <w:adjustRightInd w:val="0"/>
              <w:spacing w:line="360" w:lineRule="auto"/>
              <w:ind w:firstLine="482" w:firstLineChars="200"/>
              <w:rPr>
                <w:rFonts w:cs="Times New Roman"/>
                <w:b/>
                <w:bCs/>
                <w:kern w:val="0"/>
                <w:sz w:val="24"/>
                <w:szCs w:val="24"/>
              </w:rPr>
            </w:pPr>
            <w:r>
              <w:rPr>
                <w:rFonts w:cs="Times New Roman"/>
                <w:b/>
                <w:bCs/>
                <w:kern w:val="0"/>
                <w:sz w:val="24"/>
                <w:szCs w:val="24"/>
              </w:rPr>
              <w:t>主要原辅料理化性质：</w:t>
            </w:r>
          </w:p>
          <w:p>
            <w:pPr>
              <w:tabs>
                <w:tab w:val="left" w:pos="1260"/>
              </w:tabs>
              <w:adjustRightInd w:val="0"/>
              <w:spacing w:line="360" w:lineRule="auto"/>
              <w:ind w:firstLine="482" w:firstLineChars="200"/>
              <w:rPr>
                <w:rFonts w:cs="Times New Roman"/>
                <w:b/>
                <w:bCs/>
                <w:color w:val="000000" w:themeColor="text1"/>
                <w:kern w:val="0"/>
                <w:sz w:val="24"/>
                <w:szCs w:val="24"/>
                <w:highlight w:val="yellow"/>
                <w14:textFill>
                  <w14:solidFill>
                    <w14:schemeClr w14:val="tx1"/>
                  </w14:solidFill>
                </w14:textFill>
              </w:rPr>
            </w:pPr>
            <w:r>
              <w:rPr>
                <w:rFonts w:cs="Times New Roman"/>
                <w:b/>
                <w:bCs/>
                <w:kern w:val="0"/>
                <w:sz w:val="24"/>
                <w:szCs w:val="24"/>
              </w:rPr>
              <w:t>①</w:t>
            </w:r>
            <w:r>
              <w:rPr>
                <w:rFonts w:hint="eastAsia" w:cs="Times New Roman"/>
                <w:b/>
                <w:bCs/>
                <w:color w:val="000000" w:themeColor="text1"/>
                <w:kern w:val="0"/>
                <w:sz w:val="24"/>
                <w:szCs w:val="24"/>
                <w14:textFill>
                  <w14:solidFill>
                    <w14:schemeClr w14:val="tx1"/>
                  </w14:solidFill>
                </w14:textFill>
              </w:rPr>
              <w:t>水性功能乳液</w:t>
            </w:r>
          </w:p>
          <w:p>
            <w:pPr>
              <w:tabs>
                <w:tab w:val="left" w:pos="1260"/>
              </w:tabs>
              <w:adjustRightInd w:val="0"/>
              <w:spacing w:line="360" w:lineRule="auto"/>
              <w:ind w:firstLine="480" w:firstLineChars="200"/>
              <w:rPr>
                <w:rFonts w:cs="Times New Roman"/>
                <w:kern w:val="0"/>
                <w:sz w:val="24"/>
                <w:szCs w:val="24"/>
              </w:rPr>
            </w:pPr>
            <w:r>
              <w:rPr>
                <w:rFonts w:hint="eastAsia" w:cs="Times New Roman"/>
                <w:color w:val="000000" w:themeColor="text1"/>
                <w:kern w:val="0"/>
                <w:sz w:val="24"/>
                <w:szCs w:val="24"/>
                <w14:textFill>
                  <w14:solidFill>
                    <w14:schemeClr w14:val="tx1"/>
                  </w14:solidFill>
                </w14:textFill>
              </w:rPr>
              <w:t>水性功能乳液</w:t>
            </w:r>
            <w:r>
              <w:rPr>
                <w:rFonts w:cs="Times New Roman"/>
                <w:color w:val="000000" w:themeColor="text1"/>
                <w:kern w:val="0"/>
                <w:sz w:val="24"/>
                <w:szCs w:val="24"/>
                <w14:textFill>
                  <w14:solidFill>
                    <w14:schemeClr w14:val="tx1"/>
                  </w14:solidFill>
                </w14:textFill>
              </w:rPr>
              <w:t>为乳白色或近透明黏稠液体。是由纯丙烯酸酯类单体共聚而成的乳液，它是一种小粒径、多用途、性能卓著的乳液，适用于多种涂料配方，具有突出的耐水性和耐候性，特别是在高光和半光涂料中有优异的表现。</w:t>
            </w:r>
            <w:r>
              <w:rPr>
                <w:rFonts w:hint="eastAsia" w:cs="Times New Roman"/>
                <w:color w:val="000000" w:themeColor="text1"/>
                <w:kern w:val="0"/>
                <w:sz w:val="24"/>
                <w:szCs w:val="24"/>
                <w14:textFill>
                  <w14:solidFill>
                    <w14:schemeClr w14:val="tx1"/>
                  </w14:solidFill>
                </w14:textFill>
              </w:rPr>
              <w:t>水性功能乳液</w:t>
            </w:r>
            <w:r>
              <w:rPr>
                <w:rFonts w:cs="Times New Roman"/>
                <w:kern w:val="0"/>
                <w:sz w:val="24"/>
                <w:szCs w:val="24"/>
              </w:rPr>
              <w:t>有良好的耐水性、耐碱性和抗污性。pH值（25℃）为8~9，黏度50 ~500mPa·s，含固量（150℃,20min）49%~51%，阴离子型，玻璃化温度20℃，最低成膜温度20℃。</w:t>
            </w:r>
          </w:p>
          <w:p>
            <w:pPr>
              <w:tabs>
                <w:tab w:val="left" w:pos="1260"/>
              </w:tabs>
              <w:adjustRightInd w:val="0"/>
              <w:spacing w:line="360" w:lineRule="auto"/>
              <w:ind w:firstLine="480" w:firstLineChars="200"/>
              <w:rPr>
                <w:rFonts w:cs="Times New Roman"/>
                <w:b/>
                <w:sz w:val="24"/>
                <w:szCs w:val="24"/>
              </w:rPr>
            </w:pPr>
            <w:r>
              <w:rPr>
                <w:rFonts w:cs="Times New Roman"/>
                <w:kern w:val="0"/>
                <w:sz w:val="24"/>
                <w:szCs w:val="24"/>
              </w:rPr>
              <w:t>根据水性功能粘合剂成分报告：VOC含量为75mg/kg（0.075g/L），满足《胶粘剂挥发性有机物化合物限量》（GB33372-2020）表2 水基型胶黏剂VOCs 含量限量要求（其他领域丙烯酸酯类≤50g/L）</w:t>
            </w:r>
            <w:r>
              <w:rPr>
                <w:rFonts w:cs="Times New Roman"/>
                <w:bCs/>
                <w:sz w:val="24"/>
                <w:szCs w:val="24"/>
              </w:rPr>
              <w:t>，见附件9</w:t>
            </w:r>
            <w:r>
              <w:rPr>
                <w:rFonts w:cs="Times New Roman"/>
                <w:kern w:val="0"/>
                <w:sz w:val="24"/>
                <w:szCs w:val="24"/>
              </w:rPr>
              <w:t>。</w:t>
            </w:r>
          </w:p>
          <w:p>
            <w:pPr>
              <w:spacing w:line="360" w:lineRule="auto"/>
              <w:ind w:firstLine="482" w:firstLineChars="200"/>
              <w:rPr>
                <w:rFonts w:hint="eastAsia" w:eastAsia="宋体" w:cs="Times New Roman"/>
                <w:b/>
                <w:sz w:val="24"/>
                <w:szCs w:val="24"/>
                <w:lang w:eastAsia="zh-CN"/>
              </w:rPr>
            </w:pPr>
            <w:r>
              <w:rPr>
                <w:rFonts w:cs="Times New Roman"/>
                <w:b/>
                <w:sz w:val="24"/>
                <w:szCs w:val="24"/>
              </w:rPr>
              <w:t>②脲醛</w:t>
            </w:r>
            <w:r>
              <w:rPr>
                <w:rFonts w:hint="eastAsia" w:cs="Times New Roman"/>
                <w:b/>
                <w:sz w:val="24"/>
                <w:szCs w:val="24"/>
                <w:lang w:val="en-US" w:eastAsia="zh-CN"/>
              </w:rPr>
              <w:t>胶</w:t>
            </w:r>
          </w:p>
          <w:p>
            <w:pPr>
              <w:spacing w:line="360" w:lineRule="auto"/>
              <w:ind w:firstLine="480" w:firstLineChars="200"/>
              <w:rPr>
                <w:rFonts w:cs="Times New Roman"/>
                <w:bCs/>
                <w:sz w:val="24"/>
                <w:szCs w:val="24"/>
              </w:rPr>
            </w:pPr>
            <w:r>
              <w:rPr>
                <w:rFonts w:cs="Times New Roman"/>
                <w:bCs/>
                <w:sz w:val="24"/>
                <w:szCs w:val="24"/>
              </w:rPr>
              <w:t>分子式C</w:t>
            </w:r>
            <w:r>
              <w:rPr>
                <w:rFonts w:cs="Times New Roman"/>
                <w:bCs/>
                <w:sz w:val="24"/>
                <w:szCs w:val="24"/>
                <w:vertAlign w:val="subscript"/>
              </w:rPr>
              <w:t>2</w:t>
            </w:r>
            <w:r>
              <w:rPr>
                <w:rFonts w:cs="Times New Roman"/>
                <w:bCs/>
                <w:sz w:val="24"/>
                <w:szCs w:val="24"/>
              </w:rPr>
              <w:t>H</w:t>
            </w:r>
            <w:r>
              <w:rPr>
                <w:rFonts w:cs="Times New Roman"/>
                <w:bCs/>
                <w:sz w:val="24"/>
                <w:szCs w:val="24"/>
                <w:vertAlign w:val="subscript"/>
              </w:rPr>
              <w:t>6</w:t>
            </w:r>
            <w:r>
              <w:rPr>
                <w:rFonts w:cs="Times New Roman"/>
                <w:bCs/>
                <w:sz w:val="24"/>
                <w:szCs w:val="24"/>
              </w:rPr>
              <w:t>N</w:t>
            </w:r>
            <w:r>
              <w:rPr>
                <w:rFonts w:cs="Times New Roman"/>
                <w:bCs/>
                <w:sz w:val="24"/>
                <w:szCs w:val="24"/>
                <w:vertAlign w:val="subscript"/>
              </w:rPr>
              <w:t>2</w:t>
            </w:r>
            <w:r>
              <w:rPr>
                <w:rFonts w:cs="Times New Roman"/>
                <w:bCs/>
                <w:sz w:val="24"/>
                <w:szCs w:val="24"/>
              </w:rPr>
              <w:t>O</w:t>
            </w:r>
            <w:r>
              <w:rPr>
                <w:rFonts w:cs="Times New Roman"/>
                <w:bCs/>
                <w:sz w:val="24"/>
                <w:szCs w:val="24"/>
                <w:vertAlign w:val="subscript"/>
              </w:rPr>
              <w:t>2</w:t>
            </w:r>
            <w:r>
              <w:rPr>
                <w:rFonts w:cs="Times New Roman"/>
                <w:bCs/>
                <w:sz w:val="24"/>
                <w:szCs w:val="24"/>
              </w:rPr>
              <w:t>，分子量90.08，又称尿素甲醛树脂，是尿素与甲醛在催化剂（碱性或酸性催化剂）作用下缩聚成初期脲醛树脂，然后再在固化剂或助剂作用下形成不溶、不熔的末期热固性树脂。比重1.48～1.52，热变形温度在128～138℃，176℃开始热解，并释放出甲醛。当加热到200℃以上时，则逸出CO，CO</w:t>
            </w:r>
            <w:r>
              <w:rPr>
                <w:rFonts w:cs="Times New Roman"/>
                <w:bCs/>
                <w:sz w:val="24"/>
                <w:szCs w:val="24"/>
                <w:vertAlign w:val="subscript"/>
              </w:rPr>
              <w:t>2</w:t>
            </w:r>
            <w:r>
              <w:rPr>
                <w:rFonts w:cs="Times New Roman"/>
                <w:bCs/>
                <w:sz w:val="24"/>
                <w:szCs w:val="24"/>
              </w:rPr>
              <w:t>，NH</w:t>
            </w:r>
            <w:r>
              <w:rPr>
                <w:rFonts w:cs="Times New Roman"/>
                <w:bCs/>
                <w:sz w:val="24"/>
                <w:szCs w:val="24"/>
                <w:vertAlign w:val="subscript"/>
              </w:rPr>
              <w:t>3</w:t>
            </w:r>
            <w:r>
              <w:rPr>
                <w:rFonts w:cs="Times New Roman"/>
                <w:bCs/>
                <w:sz w:val="24"/>
                <w:szCs w:val="24"/>
              </w:rPr>
              <w:t>等热解产物。呈半透明状，耐弱酸、弱碱，绝缘性能好，耐磨性极佳，价格便宜，它是胶粘剂中用量最大的品种。项目购买的为环保型的脲醛胶产品，根据生产厂家提供资料，游离</w:t>
            </w:r>
            <w:r>
              <w:rPr>
                <w:rFonts w:hint="eastAsia" w:cs="Times New Roman"/>
                <w:bCs/>
                <w:sz w:val="24"/>
                <w:szCs w:val="24"/>
                <w:lang w:val="en-US" w:eastAsia="zh-CN"/>
              </w:rPr>
              <w:t>甲</w:t>
            </w:r>
            <w:r>
              <w:rPr>
                <w:rFonts w:cs="Times New Roman"/>
                <w:bCs/>
                <w:sz w:val="24"/>
                <w:szCs w:val="24"/>
              </w:rPr>
              <w:t>醛含量≤0.3%，见附件10。</w:t>
            </w:r>
          </w:p>
          <w:p>
            <w:pPr>
              <w:spacing w:line="360" w:lineRule="auto"/>
              <w:ind w:firstLine="482" w:firstLineChars="200"/>
              <w:rPr>
                <w:rFonts w:cs="Times New Roman"/>
                <w:b/>
                <w:sz w:val="24"/>
                <w:szCs w:val="24"/>
              </w:rPr>
            </w:pPr>
            <w:r>
              <w:rPr>
                <w:rFonts w:cs="Times New Roman"/>
                <w:b/>
                <w:sz w:val="24"/>
                <w:szCs w:val="24"/>
              </w:rPr>
              <w:t>③助剂</w:t>
            </w:r>
          </w:p>
          <w:p>
            <w:pPr>
              <w:spacing w:line="360" w:lineRule="auto"/>
              <w:ind w:firstLine="482" w:firstLineChars="200"/>
              <w:rPr>
                <w:rFonts w:cs="Times New Roman"/>
                <w:bCs/>
                <w:sz w:val="24"/>
                <w:szCs w:val="24"/>
              </w:rPr>
            </w:pPr>
            <w:r>
              <w:rPr>
                <w:rFonts w:cs="Times New Roman"/>
                <w:b/>
                <w:sz w:val="24"/>
                <w:szCs w:val="24"/>
              </w:rPr>
              <w:t>分散剂：</w:t>
            </w:r>
            <w:r>
              <w:rPr>
                <w:rFonts w:cs="Times New Roman"/>
                <w:bCs/>
                <w:sz w:val="24"/>
                <w:szCs w:val="24"/>
              </w:rPr>
              <w:t>分散剂的作用是使用润湿分散剂减少完成分散过程所需要的时间和能量，缩短分散时间，提高光泽，提高着色力和遮盖力，改善展</w:t>
            </w:r>
            <w:r>
              <w:fldChar w:fldCharType="begin"/>
            </w:r>
            <w:r>
              <w:instrText xml:space="preserve"> HYPERLINK "https://baike.so.com/doc/438064.html" \t "https://baike.so.com/doc/_blank" </w:instrText>
            </w:r>
            <w:r>
              <w:fldChar w:fldCharType="separate"/>
            </w:r>
            <w:r>
              <w:rPr>
                <w:rFonts w:cs="Times New Roman"/>
                <w:bCs/>
                <w:sz w:val="24"/>
                <w:szCs w:val="24"/>
              </w:rPr>
              <w:t>色性</w:t>
            </w:r>
            <w:r>
              <w:rPr>
                <w:rFonts w:cs="Times New Roman"/>
                <w:bCs/>
                <w:sz w:val="24"/>
                <w:szCs w:val="24"/>
              </w:rPr>
              <w:fldChar w:fldCharType="end"/>
            </w:r>
            <w:r>
              <w:rPr>
                <w:rFonts w:cs="Times New Roman"/>
                <w:bCs/>
                <w:sz w:val="24"/>
                <w:szCs w:val="24"/>
              </w:rPr>
              <w:t>和调色性，防止浮色发花，防止絮凝，防止沉降。本项目使用</w:t>
            </w:r>
            <w:r>
              <w:rPr>
                <w:rFonts w:hint="eastAsia" w:cs="Times New Roman"/>
                <w:bCs/>
                <w:sz w:val="24"/>
                <w:szCs w:val="24"/>
              </w:rPr>
              <w:t>的分散剂组合物的质量组成是：阳离子型含氮有机化合物分散液，0.15～0.25％；增稠剂：0.1％；醇类或酯类消泡剂，0.05~0.21％；其余为去离子水。</w:t>
            </w:r>
          </w:p>
          <w:p>
            <w:pPr>
              <w:spacing w:line="360" w:lineRule="auto"/>
              <w:ind w:firstLine="482" w:firstLineChars="200"/>
              <w:rPr>
                <w:rFonts w:cs="Times New Roman"/>
                <w:bCs/>
                <w:sz w:val="24"/>
                <w:szCs w:val="24"/>
              </w:rPr>
            </w:pPr>
            <w:r>
              <w:rPr>
                <w:rFonts w:cs="Times New Roman"/>
                <w:b/>
                <w:sz w:val="24"/>
                <w:szCs w:val="24"/>
              </w:rPr>
              <w:t>增稠剂：</w:t>
            </w:r>
            <w:r>
              <w:rPr>
                <w:rFonts w:cs="Times New Roman"/>
                <w:bCs/>
                <w:sz w:val="24"/>
                <w:szCs w:val="24"/>
              </w:rPr>
              <w:t>本项目使用</w:t>
            </w:r>
            <w:r>
              <w:rPr>
                <w:rFonts w:hint="eastAsia" w:cs="Times New Roman"/>
                <w:bCs/>
                <w:sz w:val="24"/>
                <w:szCs w:val="24"/>
              </w:rPr>
              <w:t>的增稠剂是</w:t>
            </w:r>
            <w:r>
              <w:rPr>
                <w:rFonts w:hint="eastAsia" w:cs="Times New Roman"/>
                <w:bCs/>
                <w:color w:val="000000" w:themeColor="text1"/>
                <w:sz w:val="24"/>
                <w:szCs w:val="24"/>
                <w14:textFill>
                  <w14:solidFill>
                    <w14:schemeClr w14:val="tx1"/>
                  </w14:solidFill>
                </w14:textFill>
              </w:rPr>
              <w:t>一种由86%的羟乙基纤维素、7.5%的乙酸钠、5%水以及1.5%的纤维素组成的流变助剂，</w:t>
            </w:r>
            <w:r>
              <w:rPr>
                <w:rFonts w:cs="Times New Roman"/>
                <w:bCs/>
                <w:sz w:val="24"/>
                <w:szCs w:val="24"/>
              </w:rPr>
              <w:t>加入增稠剂后能调节流变性。</w:t>
            </w:r>
          </w:p>
          <w:p>
            <w:pPr>
              <w:spacing w:line="360" w:lineRule="auto"/>
              <w:ind w:firstLine="482" w:firstLineChars="200"/>
              <w:rPr>
                <w:rFonts w:cs="Times New Roman"/>
                <w:bCs/>
                <w:sz w:val="24"/>
                <w:szCs w:val="24"/>
              </w:rPr>
            </w:pPr>
            <w:r>
              <w:rPr>
                <w:rFonts w:cs="Times New Roman"/>
                <w:b/>
                <w:sz w:val="24"/>
                <w:szCs w:val="24"/>
              </w:rPr>
              <w:t>消泡剂：</w:t>
            </w:r>
            <w:r>
              <w:rPr>
                <w:rFonts w:cs="Times New Roman"/>
                <w:bCs/>
                <w:sz w:val="24"/>
                <w:szCs w:val="24"/>
              </w:rPr>
              <w:t>本项目使用</w:t>
            </w:r>
            <w:r>
              <w:rPr>
                <w:rFonts w:hint="eastAsia" w:cs="Times New Roman"/>
                <w:bCs/>
                <w:sz w:val="24"/>
                <w:szCs w:val="24"/>
              </w:rPr>
              <w:t>的</w:t>
            </w:r>
            <w:r>
              <w:rPr>
                <w:rFonts w:hint="eastAsia" w:cs="Times New Roman"/>
                <w:bCs/>
                <w:sz w:val="24"/>
                <w:szCs w:val="24"/>
                <w:lang w:val="en-US" w:eastAsia="zh-CN"/>
              </w:rPr>
              <w:t>消泡</w:t>
            </w:r>
            <w:r>
              <w:rPr>
                <w:rFonts w:hint="eastAsia" w:cs="Times New Roman"/>
                <w:bCs/>
                <w:sz w:val="24"/>
                <w:szCs w:val="24"/>
              </w:rPr>
              <w:t>剂是一种由20%的聚二甲基硅氧烷、硬脂酸10%、二氧化硅10%以及60%水组成的溶液</w:t>
            </w:r>
            <w:r>
              <w:rPr>
                <w:rFonts w:cs="Times New Roman"/>
                <w:bCs/>
                <w:sz w:val="24"/>
                <w:szCs w:val="24"/>
              </w:rPr>
              <w:t>。</w:t>
            </w:r>
          </w:p>
          <w:p>
            <w:pPr>
              <w:spacing w:line="360" w:lineRule="auto"/>
              <w:ind w:firstLine="482" w:firstLineChars="200"/>
              <w:rPr>
                <w:rFonts w:cs="Times New Roman"/>
                <w:b/>
                <w:sz w:val="24"/>
                <w:szCs w:val="24"/>
              </w:rPr>
            </w:pPr>
            <w:r>
              <w:rPr>
                <w:rFonts w:cs="Times New Roman"/>
                <w:b/>
                <w:sz w:val="24"/>
                <w:szCs w:val="24"/>
              </w:rPr>
              <w:t xml:space="preserve">7、公用工程及辅助设施 </w:t>
            </w:r>
          </w:p>
          <w:p>
            <w:pPr>
              <w:spacing w:line="360" w:lineRule="auto"/>
              <w:ind w:firstLine="482" w:firstLineChars="200"/>
              <w:rPr>
                <w:rFonts w:cs="Times New Roman"/>
                <w:b/>
                <w:kern w:val="24"/>
                <w:sz w:val="24"/>
                <w:szCs w:val="24"/>
              </w:rPr>
            </w:pPr>
            <w:r>
              <w:rPr>
                <w:rFonts w:cs="Times New Roman"/>
                <w:b/>
                <w:kern w:val="24"/>
                <w:sz w:val="24"/>
                <w:szCs w:val="24"/>
              </w:rPr>
              <w:t>（1）供电</w:t>
            </w:r>
          </w:p>
          <w:p>
            <w:pPr>
              <w:spacing w:line="360" w:lineRule="auto"/>
              <w:ind w:firstLine="480" w:firstLineChars="200"/>
              <w:rPr>
                <w:rFonts w:cs="Times New Roman"/>
                <w:bCs/>
                <w:kern w:val="24"/>
                <w:sz w:val="24"/>
                <w:szCs w:val="24"/>
              </w:rPr>
            </w:pPr>
            <w:r>
              <w:rPr>
                <w:rFonts w:cs="Times New Roman"/>
                <w:bCs/>
                <w:kern w:val="24"/>
                <w:sz w:val="24"/>
                <w:szCs w:val="24"/>
              </w:rPr>
              <w:t>宣汉电网覆盖率100%，项目用电由园区市政电力管网供给。</w:t>
            </w:r>
          </w:p>
          <w:p>
            <w:pPr>
              <w:spacing w:line="360" w:lineRule="auto"/>
              <w:ind w:firstLine="482" w:firstLineChars="200"/>
              <w:rPr>
                <w:rFonts w:cs="Times New Roman"/>
                <w:b/>
                <w:kern w:val="24"/>
                <w:sz w:val="24"/>
                <w:szCs w:val="24"/>
              </w:rPr>
            </w:pPr>
            <w:r>
              <w:rPr>
                <w:rFonts w:cs="Times New Roman"/>
                <w:b/>
                <w:kern w:val="24"/>
                <w:sz w:val="24"/>
                <w:szCs w:val="24"/>
              </w:rPr>
              <w:t>（2）给排水工程</w:t>
            </w:r>
          </w:p>
          <w:p>
            <w:pPr>
              <w:spacing w:line="360" w:lineRule="auto"/>
              <w:ind w:firstLine="480" w:firstLineChars="200"/>
              <w:rPr>
                <w:rFonts w:cs="Times New Roman"/>
                <w:kern w:val="24"/>
                <w:sz w:val="24"/>
                <w:szCs w:val="24"/>
              </w:rPr>
            </w:pPr>
            <w:r>
              <w:rPr>
                <w:rFonts w:cs="Times New Roman"/>
                <w:kern w:val="24"/>
                <w:sz w:val="24"/>
                <w:szCs w:val="24"/>
              </w:rPr>
              <w:t>项目为雨污分流，雨水进入雨水管网。</w:t>
            </w:r>
            <w:r>
              <w:rPr>
                <w:rFonts w:cs="Times New Roman"/>
                <w:sz w:val="24"/>
                <w:szCs w:val="24"/>
              </w:rPr>
              <w:t>本项目生活用水和生产用水均使用自来水。</w:t>
            </w:r>
            <w:r>
              <w:rPr>
                <w:rFonts w:cs="Times New Roman"/>
                <w:kern w:val="24"/>
                <w:sz w:val="24"/>
                <w:szCs w:val="24"/>
              </w:rPr>
              <w:t>本项目运营期用水主要包括生活用水、食堂用水、助剂配制用水、粘胶结剂配制用水、纤维消耗用水、设备清洗用水</w:t>
            </w:r>
            <w:r>
              <w:rPr>
                <w:rFonts w:cs="Times New Roman"/>
                <w:bCs/>
                <w:sz w:val="24"/>
                <w:szCs w:val="24"/>
              </w:rPr>
              <w:t>等</w:t>
            </w:r>
            <w:r>
              <w:rPr>
                <w:rFonts w:cs="Times New Roman"/>
                <w:kern w:val="24"/>
                <w:sz w:val="24"/>
                <w:szCs w:val="24"/>
              </w:rPr>
              <w:t>，根据《四川省用水定额》（川府函〔2021〕8号）制定的用水标准，项目用水量预测及分配情况如下。</w:t>
            </w:r>
          </w:p>
          <w:p>
            <w:pPr>
              <w:spacing w:line="360" w:lineRule="auto"/>
              <w:ind w:firstLine="482" w:firstLineChars="200"/>
              <w:rPr>
                <w:rFonts w:cs="Times New Roman"/>
                <w:b/>
                <w:bCs/>
                <w:kern w:val="24"/>
                <w:sz w:val="24"/>
                <w:szCs w:val="24"/>
              </w:rPr>
            </w:pPr>
            <w:r>
              <w:rPr>
                <w:rFonts w:cs="Times New Roman"/>
                <w:b/>
                <w:bCs/>
                <w:kern w:val="24"/>
                <w:sz w:val="24"/>
                <w:szCs w:val="24"/>
              </w:rPr>
              <w:t>2100湿法薄毡（一期）</w:t>
            </w:r>
          </w:p>
          <w:p>
            <w:pPr>
              <w:spacing w:line="360" w:lineRule="auto"/>
              <w:ind w:firstLine="480" w:firstLineChars="200"/>
              <w:rPr>
                <w:rFonts w:cs="Times New Roman"/>
                <w:sz w:val="24"/>
                <w:szCs w:val="24"/>
              </w:rPr>
            </w:pPr>
            <w:r>
              <w:rPr>
                <w:rFonts w:cs="Times New Roman"/>
                <w:kern w:val="24"/>
                <w:sz w:val="24"/>
                <w:szCs w:val="24"/>
              </w:rPr>
              <w:t>①生活用水</w:t>
            </w:r>
          </w:p>
          <w:p>
            <w:pPr>
              <w:spacing w:line="360" w:lineRule="auto"/>
              <w:ind w:firstLine="480" w:firstLineChars="200"/>
              <w:rPr>
                <w:rFonts w:cs="Times New Roman"/>
                <w:sz w:val="24"/>
                <w:szCs w:val="24"/>
              </w:rPr>
            </w:pPr>
            <w:r>
              <w:rPr>
                <w:rFonts w:cs="Times New Roman"/>
                <w:sz w:val="24"/>
                <w:szCs w:val="24"/>
              </w:rPr>
              <w:t>生活污水主要是员工生活和办公产生的污水。一期劳动定员10人，生活用水量按100L/人·d计，则生活用水量为1.0m</w:t>
            </w:r>
            <w:r>
              <w:rPr>
                <w:rFonts w:cs="Times New Roman"/>
                <w:sz w:val="24"/>
                <w:szCs w:val="24"/>
                <w:vertAlign w:val="superscript"/>
              </w:rPr>
              <w:t>3</w:t>
            </w:r>
            <w:r>
              <w:rPr>
                <w:rFonts w:cs="Times New Roman"/>
                <w:sz w:val="24"/>
                <w:szCs w:val="24"/>
              </w:rPr>
              <w:t>/d，330m</w:t>
            </w:r>
            <w:r>
              <w:rPr>
                <w:rFonts w:cs="Times New Roman"/>
                <w:sz w:val="24"/>
                <w:szCs w:val="24"/>
                <w:vertAlign w:val="superscript"/>
              </w:rPr>
              <w:t>3</w:t>
            </w:r>
            <w:r>
              <w:rPr>
                <w:rFonts w:cs="Times New Roman"/>
                <w:sz w:val="24"/>
                <w:szCs w:val="24"/>
              </w:rPr>
              <w:t>/a，为新鲜水。排水系数按0.85计，则生活污水产生量为0.85m</w:t>
            </w:r>
            <w:r>
              <w:rPr>
                <w:rFonts w:cs="Times New Roman"/>
                <w:sz w:val="24"/>
                <w:szCs w:val="24"/>
                <w:vertAlign w:val="superscript"/>
              </w:rPr>
              <w:t>3</w:t>
            </w:r>
            <w:r>
              <w:rPr>
                <w:rFonts w:cs="Times New Roman"/>
                <w:sz w:val="24"/>
                <w:szCs w:val="24"/>
              </w:rPr>
              <w:t>/d，280.5m</w:t>
            </w:r>
            <w:r>
              <w:rPr>
                <w:rFonts w:cs="Times New Roman"/>
                <w:sz w:val="24"/>
                <w:szCs w:val="24"/>
                <w:vertAlign w:val="superscript"/>
              </w:rPr>
              <w:t>3</w:t>
            </w:r>
            <w:r>
              <w:rPr>
                <w:rFonts w:cs="Times New Roman"/>
                <w:sz w:val="24"/>
                <w:szCs w:val="24"/>
              </w:rPr>
              <w:t>/a。生活污水经化粪池处理后排入园区管网，进入柳池工业园区污水处理厂处理达到《城镇污水处理厂污染物排放标准》（GB18918-2002）一级A标后排入后河。</w:t>
            </w:r>
          </w:p>
          <w:p>
            <w:pPr>
              <w:spacing w:line="360" w:lineRule="auto"/>
              <w:ind w:firstLine="480" w:firstLineChars="200"/>
              <w:rPr>
                <w:rFonts w:cs="Times New Roman"/>
                <w:sz w:val="24"/>
                <w:szCs w:val="24"/>
              </w:rPr>
            </w:pPr>
            <w:r>
              <w:rPr>
                <w:rFonts w:cs="Times New Roman"/>
                <w:sz w:val="24"/>
                <w:szCs w:val="24"/>
              </w:rPr>
              <w:t>②食堂用水</w:t>
            </w:r>
          </w:p>
          <w:p>
            <w:pPr>
              <w:spacing w:line="360" w:lineRule="auto"/>
              <w:ind w:firstLine="480" w:firstLineChars="200"/>
              <w:rPr>
                <w:rFonts w:cs="Times New Roman"/>
                <w:sz w:val="24"/>
                <w:szCs w:val="24"/>
              </w:rPr>
            </w:pPr>
            <w:r>
              <w:rPr>
                <w:rFonts w:cs="Times New Roman"/>
                <w:sz w:val="24"/>
                <w:szCs w:val="24"/>
              </w:rPr>
              <w:t>本项目食堂用餐人数按10人计，食堂用水量按20L/人·d计，则食堂用水量为0.2m</w:t>
            </w:r>
            <w:r>
              <w:rPr>
                <w:rFonts w:cs="Times New Roman"/>
                <w:sz w:val="24"/>
                <w:szCs w:val="24"/>
                <w:vertAlign w:val="superscript"/>
              </w:rPr>
              <w:t>3</w:t>
            </w:r>
            <w:r>
              <w:rPr>
                <w:rFonts w:cs="Times New Roman"/>
                <w:sz w:val="24"/>
                <w:szCs w:val="24"/>
              </w:rPr>
              <w:t>/d，66m</w:t>
            </w:r>
            <w:r>
              <w:rPr>
                <w:rFonts w:cs="Times New Roman"/>
                <w:sz w:val="24"/>
                <w:szCs w:val="24"/>
                <w:vertAlign w:val="superscript"/>
              </w:rPr>
              <w:t>3</w:t>
            </w:r>
            <w:r>
              <w:rPr>
                <w:rFonts w:cs="Times New Roman"/>
                <w:sz w:val="24"/>
                <w:szCs w:val="24"/>
              </w:rPr>
              <w:t>/a，为新鲜水。排水系数按0.85计，则食堂废水产生量为0.17m</w:t>
            </w:r>
            <w:r>
              <w:rPr>
                <w:rFonts w:cs="Times New Roman"/>
                <w:sz w:val="24"/>
                <w:szCs w:val="24"/>
                <w:vertAlign w:val="superscript"/>
              </w:rPr>
              <w:t>3</w:t>
            </w:r>
            <w:r>
              <w:rPr>
                <w:rFonts w:cs="Times New Roman"/>
                <w:sz w:val="24"/>
                <w:szCs w:val="24"/>
              </w:rPr>
              <w:t>/d，56.1m</w:t>
            </w:r>
            <w:r>
              <w:rPr>
                <w:rFonts w:cs="Times New Roman"/>
                <w:sz w:val="24"/>
                <w:szCs w:val="24"/>
                <w:vertAlign w:val="superscript"/>
              </w:rPr>
              <w:t>3</w:t>
            </w:r>
            <w:r>
              <w:rPr>
                <w:rFonts w:cs="Times New Roman"/>
                <w:sz w:val="24"/>
                <w:szCs w:val="24"/>
              </w:rPr>
              <w:t>/a。食堂废水先经隔油池处理后再同生活污水一同排入园区管网。</w:t>
            </w:r>
          </w:p>
          <w:p>
            <w:pPr>
              <w:spacing w:line="360" w:lineRule="auto"/>
              <w:ind w:firstLine="480" w:firstLineChars="200"/>
              <w:rPr>
                <w:rFonts w:cs="Times New Roman"/>
                <w:sz w:val="24"/>
                <w:szCs w:val="24"/>
              </w:rPr>
            </w:pPr>
            <w:r>
              <w:rPr>
                <w:rFonts w:cs="Times New Roman"/>
                <w:sz w:val="24"/>
                <w:szCs w:val="24"/>
              </w:rPr>
              <w:t>③</w:t>
            </w:r>
            <w:r>
              <w:rPr>
                <w:rFonts w:cs="Times New Roman"/>
                <w:kern w:val="24"/>
                <w:sz w:val="24"/>
                <w:szCs w:val="24"/>
              </w:rPr>
              <w:t>助剂配制用水</w:t>
            </w:r>
          </w:p>
          <w:p>
            <w:pPr>
              <w:spacing w:line="360" w:lineRule="auto"/>
              <w:ind w:firstLine="480" w:firstLineChars="200"/>
              <w:rPr>
                <w:rFonts w:cs="Times New Roman"/>
                <w:sz w:val="24"/>
                <w:szCs w:val="24"/>
              </w:rPr>
            </w:pPr>
            <w:r>
              <w:rPr>
                <w:rFonts w:cs="Times New Roman"/>
                <w:sz w:val="24"/>
                <w:szCs w:val="24"/>
              </w:rPr>
              <w:t>由企业提供材料，项目使用的分散剂和消泡剂需要按约1：20的比例兑水，增稠剂需要按约1：100的比例兑水，根据业主提供资料，分散剂和消泡剂用量为18.1t/a，增稠剂用量为8.6t/a，则助剂配置年用水量为1222m</w:t>
            </w:r>
            <w:r>
              <w:rPr>
                <w:rFonts w:cs="Times New Roman"/>
                <w:sz w:val="24"/>
                <w:szCs w:val="24"/>
                <w:vertAlign w:val="superscript"/>
              </w:rPr>
              <w:t>3</w:t>
            </w:r>
            <w:r>
              <w:rPr>
                <w:rFonts w:cs="Times New Roman"/>
                <w:sz w:val="24"/>
                <w:szCs w:val="24"/>
              </w:rPr>
              <w:t>/a（3.703m</w:t>
            </w:r>
            <w:r>
              <w:rPr>
                <w:rFonts w:cs="Times New Roman"/>
                <w:sz w:val="24"/>
                <w:szCs w:val="24"/>
                <w:vertAlign w:val="superscript"/>
              </w:rPr>
              <w:t>3</w:t>
            </w:r>
            <w:r>
              <w:rPr>
                <w:rFonts w:cs="Times New Roman"/>
                <w:sz w:val="24"/>
                <w:szCs w:val="24"/>
              </w:rPr>
              <w:t>/d），为新鲜水。全部进入产品。</w:t>
            </w:r>
          </w:p>
          <w:p>
            <w:pPr>
              <w:spacing w:line="360" w:lineRule="auto"/>
              <w:ind w:firstLine="480" w:firstLineChars="200"/>
              <w:rPr>
                <w:rFonts w:cs="Times New Roman"/>
                <w:sz w:val="24"/>
                <w:szCs w:val="24"/>
              </w:rPr>
            </w:pPr>
            <w:r>
              <w:rPr>
                <w:rFonts w:cs="Times New Roman"/>
                <w:sz w:val="24"/>
                <w:szCs w:val="24"/>
              </w:rPr>
              <w:t>④</w:t>
            </w:r>
            <w:r>
              <w:rPr>
                <w:rFonts w:cs="Times New Roman"/>
                <w:kern w:val="24"/>
                <w:sz w:val="24"/>
                <w:szCs w:val="24"/>
              </w:rPr>
              <w:t>粘结剂配制用水</w:t>
            </w:r>
          </w:p>
          <w:p>
            <w:pPr>
              <w:spacing w:line="360" w:lineRule="auto"/>
              <w:ind w:firstLine="480" w:firstLineChars="200"/>
              <w:rPr>
                <w:rFonts w:cs="Times New Roman"/>
                <w:sz w:val="24"/>
                <w:szCs w:val="24"/>
              </w:rPr>
            </w:pPr>
            <w:r>
              <w:rPr>
                <w:rFonts w:cs="Times New Roman"/>
                <w:sz w:val="24"/>
                <w:szCs w:val="24"/>
              </w:rPr>
              <w:t>由企业提供材料，项目使用的</w:t>
            </w:r>
            <w:r>
              <w:rPr>
                <w:rFonts w:cs="Times New Roman"/>
                <w:kern w:val="24"/>
                <w:sz w:val="24"/>
                <w:szCs w:val="24"/>
              </w:rPr>
              <w:t>粘结剂</w:t>
            </w:r>
            <w:r>
              <w:rPr>
                <w:rFonts w:cs="Times New Roman"/>
                <w:sz w:val="24"/>
                <w:szCs w:val="24"/>
              </w:rPr>
              <w:t>需要将</w:t>
            </w:r>
            <w:r>
              <w:rPr>
                <w:rFonts w:hint="eastAsia" w:cs="Times New Roman"/>
                <w:color w:val="000000" w:themeColor="text1"/>
                <w:sz w:val="24"/>
                <w:szCs w:val="24"/>
                <w14:textFill>
                  <w14:solidFill>
                    <w14:schemeClr w14:val="tx1"/>
                  </w14:solidFill>
                </w14:textFill>
              </w:rPr>
              <w:t>水性功能乳液</w:t>
            </w:r>
            <w:r>
              <w:rPr>
                <w:rFonts w:cs="Times New Roman"/>
                <w:color w:val="000000" w:themeColor="text1"/>
                <w:sz w:val="24"/>
                <w:szCs w:val="24"/>
                <w14:textFill>
                  <w14:solidFill>
                    <w14:schemeClr w14:val="tx1"/>
                  </w14:solidFill>
                </w14:textFill>
              </w:rPr>
              <w:t>、脲醛</w:t>
            </w:r>
            <w:r>
              <w:rPr>
                <w:rFonts w:hint="eastAsia" w:cs="Times New Roman"/>
                <w:color w:val="000000" w:themeColor="text1"/>
                <w:sz w:val="24"/>
                <w:szCs w:val="24"/>
                <w:lang w:val="en-US" w:eastAsia="zh-CN"/>
                <w14:textFill>
                  <w14:solidFill>
                    <w14:schemeClr w14:val="tx1"/>
                  </w14:solidFill>
                </w14:textFill>
              </w:rPr>
              <w:t>胶</w:t>
            </w:r>
            <w:r>
              <w:rPr>
                <w:rFonts w:cs="Times New Roman"/>
                <w:sz w:val="24"/>
                <w:szCs w:val="24"/>
              </w:rPr>
              <w:t>等与水按约1：2.5的比例兑水，根据业主提供资料，项目配置</w:t>
            </w:r>
            <w:r>
              <w:rPr>
                <w:rFonts w:cs="Times New Roman"/>
                <w:kern w:val="24"/>
                <w:sz w:val="24"/>
                <w:szCs w:val="24"/>
              </w:rPr>
              <w:t>粘结剂</w:t>
            </w:r>
            <w:r>
              <w:rPr>
                <w:rFonts w:cs="Times New Roman"/>
                <w:sz w:val="24"/>
                <w:szCs w:val="24"/>
              </w:rPr>
              <w:t>原料用量为1</w:t>
            </w:r>
            <w:r>
              <w:rPr>
                <w:rFonts w:hint="eastAsia" w:cs="Times New Roman"/>
                <w:sz w:val="24"/>
                <w:szCs w:val="24"/>
                <w:lang w:val="en-US" w:eastAsia="zh-CN"/>
              </w:rPr>
              <w:t>3</w:t>
            </w:r>
            <w:r>
              <w:rPr>
                <w:rFonts w:cs="Times New Roman"/>
                <w:sz w:val="24"/>
                <w:szCs w:val="24"/>
              </w:rPr>
              <w:t>00t/a，则粘胶配置年用水量约为3250m</w:t>
            </w:r>
            <w:r>
              <w:rPr>
                <w:rFonts w:cs="Times New Roman"/>
                <w:sz w:val="24"/>
                <w:szCs w:val="24"/>
                <w:vertAlign w:val="superscript"/>
              </w:rPr>
              <w:t>3</w:t>
            </w:r>
            <w:r>
              <w:rPr>
                <w:rFonts w:cs="Times New Roman"/>
                <w:sz w:val="24"/>
                <w:szCs w:val="24"/>
              </w:rPr>
              <w:t>/a（9.848m</w:t>
            </w:r>
            <w:r>
              <w:rPr>
                <w:rFonts w:cs="Times New Roman"/>
                <w:sz w:val="24"/>
                <w:szCs w:val="24"/>
                <w:vertAlign w:val="superscript"/>
              </w:rPr>
              <w:t>3</w:t>
            </w:r>
            <w:r>
              <w:rPr>
                <w:rFonts w:cs="Times New Roman"/>
                <w:sz w:val="24"/>
                <w:szCs w:val="24"/>
              </w:rPr>
              <w:t>/d），为新鲜水。全部进入产品。</w:t>
            </w:r>
          </w:p>
          <w:p>
            <w:pPr>
              <w:spacing w:line="360" w:lineRule="auto"/>
              <w:ind w:firstLine="480" w:firstLineChars="200"/>
              <w:rPr>
                <w:rFonts w:cs="Times New Roman"/>
                <w:sz w:val="24"/>
                <w:szCs w:val="24"/>
              </w:rPr>
            </w:pPr>
            <w:r>
              <w:rPr>
                <w:rFonts w:cs="Times New Roman"/>
                <w:kern w:val="24"/>
                <w:sz w:val="24"/>
                <w:szCs w:val="24"/>
              </w:rPr>
              <w:t>⑤纤维消耗用水</w:t>
            </w:r>
          </w:p>
          <w:p>
            <w:pPr>
              <w:spacing w:line="360" w:lineRule="auto"/>
              <w:ind w:firstLine="480" w:firstLineChars="200"/>
              <w:rPr>
                <w:rFonts w:cs="Times New Roman"/>
                <w:sz w:val="24"/>
                <w:szCs w:val="24"/>
              </w:rPr>
            </w:pPr>
            <w:r>
              <w:rPr>
                <w:rFonts w:cs="Times New Roman"/>
                <w:sz w:val="24"/>
                <w:szCs w:val="24"/>
              </w:rPr>
              <w:t>湿法毡生产过程中，纤维需要在水里分散，用过滤的方式将纤维抄起，再加粘结剂，通过烘干制成最终的产品。根据业主提供资料，每用1kg纤维需要消耗1kg的水，则</w:t>
            </w:r>
            <w:r>
              <w:rPr>
                <w:rFonts w:cs="Times New Roman"/>
                <w:kern w:val="24"/>
                <w:sz w:val="24"/>
                <w:szCs w:val="24"/>
              </w:rPr>
              <w:t>纤维消耗用水量为</w:t>
            </w:r>
            <w:r>
              <w:rPr>
                <w:rFonts w:cs="Times New Roman"/>
                <w:sz w:val="24"/>
                <w:szCs w:val="24"/>
              </w:rPr>
              <w:t>1950m</w:t>
            </w:r>
            <w:r>
              <w:rPr>
                <w:rFonts w:cs="Times New Roman"/>
                <w:sz w:val="24"/>
                <w:szCs w:val="24"/>
                <w:vertAlign w:val="superscript"/>
              </w:rPr>
              <w:t>3</w:t>
            </w:r>
            <w:r>
              <w:rPr>
                <w:rFonts w:cs="Times New Roman"/>
                <w:sz w:val="24"/>
                <w:szCs w:val="24"/>
              </w:rPr>
              <w:t>/a（5.909m</w:t>
            </w:r>
            <w:r>
              <w:rPr>
                <w:rFonts w:cs="Times New Roman"/>
                <w:sz w:val="24"/>
                <w:szCs w:val="24"/>
                <w:vertAlign w:val="superscript"/>
              </w:rPr>
              <w:t>3</w:t>
            </w:r>
            <w:r>
              <w:rPr>
                <w:rFonts w:cs="Times New Roman"/>
                <w:sz w:val="24"/>
                <w:szCs w:val="24"/>
              </w:rPr>
              <w:t>/d），为新鲜水。全部进入产品。</w:t>
            </w:r>
          </w:p>
          <w:p>
            <w:pPr>
              <w:spacing w:line="360" w:lineRule="auto"/>
              <w:ind w:firstLine="480" w:firstLineChars="200"/>
              <w:rPr>
                <w:rFonts w:cs="Times New Roman"/>
                <w:sz w:val="24"/>
                <w:szCs w:val="24"/>
              </w:rPr>
            </w:pPr>
            <w:r>
              <w:rPr>
                <w:rFonts w:cs="Times New Roman"/>
                <w:sz w:val="24"/>
                <w:szCs w:val="24"/>
              </w:rPr>
              <w:t>⑥</w:t>
            </w:r>
            <w:r>
              <w:rPr>
                <w:rFonts w:cs="Times New Roman"/>
                <w:kern w:val="24"/>
                <w:sz w:val="24"/>
                <w:szCs w:val="24"/>
              </w:rPr>
              <w:t>设备清洗用水</w:t>
            </w:r>
          </w:p>
          <w:p>
            <w:pPr>
              <w:spacing w:line="360" w:lineRule="auto"/>
              <w:ind w:firstLine="480" w:firstLineChars="200"/>
              <w:rPr>
                <w:rFonts w:cs="Times New Roman"/>
                <w:sz w:val="24"/>
                <w:szCs w:val="24"/>
              </w:rPr>
            </w:pPr>
            <w:r>
              <w:rPr>
                <w:rFonts w:cs="Times New Roman"/>
                <w:sz w:val="24"/>
                <w:szCs w:val="24"/>
              </w:rPr>
              <w:t>根据业主介绍，设备停产时会对部分设备进行清洗，预计一年停产2次，每次设备清洗用水量为2m</w:t>
            </w:r>
            <w:r>
              <w:rPr>
                <w:rFonts w:cs="Times New Roman"/>
                <w:sz w:val="24"/>
                <w:szCs w:val="24"/>
                <w:vertAlign w:val="superscript"/>
              </w:rPr>
              <w:t>3</w:t>
            </w:r>
            <w:r>
              <w:rPr>
                <w:rFonts w:cs="Times New Roman"/>
                <w:sz w:val="24"/>
                <w:szCs w:val="24"/>
              </w:rPr>
              <w:t>，故为4m</w:t>
            </w:r>
            <w:r>
              <w:rPr>
                <w:rFonts w:cs="Times New Roman"/>
                <w:sz w:val="24"/>
                <w:szCs w:val="24"/>
                <w:vertAlign w:val="superscript"/>
              </w:rPr>
              <w:t>3</w:t>
            </w:r>
            <w:r>
              <w:rPr>
                <w:rFonts w:cs="Times New Roman"/>
                <w:sz w:val="24"/>
                <w:szCs w:val="24"/>
              </w:rPr>
              <w:t>/a（0.012m</w:t>
            </w:r>
            <w:r>
              <w:rPr>
                <w:rFonts w:cs="Times New Roman"/>
                <w:sz w:val="24"/>
                <w:szCs w:val="24"/>
                <w:vertAlign w:val="superscript"/>
              </w:rPr>
              <w:t>3</w:t>
            </w:r>
            <w:r>
              <w:rPr>
                <w:rFonts w:cs="Times New Roman"/>
                <w:sz w:val="24"/>
                <w:szCs w:val="24"/>
              </w:rPr>
              <w:t>/d），为新鲜水</w:t>
            </w:r>
            <w:r>
              <w:rPr>
                <w:rFonts w:cs="Times New Roman"/>
                <w:kern w:val="24"/>
                <w:sz w:val="24"/>
                <w:szCs w:val="24"/>
              </w:rPr>
              <w:t>。</w:t>
            </w:r>
            <w:r>
              <w:rPr>
                <w:rFonts w:cs="Times New Roman"/>
                <w:sz w:val="24"/>
                <w:szCs w:val="24"/>
              </w:rPr>
              <w:t>排水系数按0.85计，则</w:t>
            </w:r>
            <w:r>
              <w:rPr>
                <w:rFonts w:cs="Times New Roman"/>
                <w:kern w:val="24"/>
                <w:sz w:val="24"/>
                <w:szCs w:val="24"/>
              </w:rPr>
              <w:t>设备清洗</w:t>
            </w:r>
            <w:r>
              <w:rPr>
                <w:rFonts w:cs="Times New Roman"/>
                <w:sz w:val="24"/>
                <w:szCs w:val="24"/>
              </w:rPr>
              <w:t>废水产生量为3.4m</w:t>
            </w:r>
            <w:r>
              <w:rPr>
                <w:rFonts w:cs="Times New Roman"/>
                <w:sz w:val="24"/>
                <w:szCs w:val="24"/>
                <w:vertAlign w:val="superscript"/>
              </w:rPr>
              <w:t>3</w:t>
            </w:r>
            <w:r>
              <w:rPr>
                <w:rFonts w:cs="Times New Roman"/>
                <w:sz w:val="24"/>
                <w:szCs w:val="24"/>
              </w:rPr>
              <w:t>/a（0.010m</w:t>
            </w:r>
            <w:r>
              <w:rPr>
                <w:rFonts w:cs="Times New Roman"/>
                <w:sz w:val="24"/>
                <w:szCs w:val="24"/>
                <w:vertAlign w:val="superscript"/>
              </w:rPr>
              <w:t>3</w:t>
            </w:r>
            <w:r>
              <w:rPr>
                <w:rFonts w:cs="Times New Roman"/>
                <w:sz w:val="24"/>
                <w:szCs w:val="24"/>
              </w:rPr>
              <w:t>/d）。</w:t>
            </w:r>
            <w:r>
              <w:rPr>
                <w:rFonts w:cs="Times New Roman"/>
                <w:kern w:val="24"/>
                <w:sz w:val="24"/>
                <w:szCs w:val="24"/>
              </w:rPr>
              <w:t>设备清洗</w:t>
            </w:r>
            <w:r>
              <w:rPr>
                <w:rFonts w:cs="Times New Roman"/>
                <w:sz w:val="24"/>
                <w:szCs w:val="24"/>
              </w:rPr>
              <w:t>废水集中收集后用于粘结剂配制用水，不外排。</w:t>
            </w:r>
          </w:p>
          <w:p>
            <w:pPr>
              <w:spacing w:line="360" w:lineRule="auto"/>
              <w:jc w:val="center"/>
              <w:rPr>
                <w:rFonts w:cs="Times New Roman"/>
                <w:b/>
                <w:bCs/>
                <w:sz w:val="24"/>
                <w:szCs w:val="24"/>
              </w:rPr>
            </w:pPr>
            <w:r>
              <w:rPr>
                <w:rFonts w:cs="Times New Roman"/>
                <w:b/>
                <w:bCs/>
                <w:sz w:val="24"/>
                <w:szCs w:val="24"/>
              </w:rPr>
              <w:t>表2-6  一期项目（2100湿法薄毡）用水情况</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12"/>
              <w:gridCol w:w="1292"/>
              <w:gridCol w:w="1108"/>
              <w:gridCol w:w="996"/>
              <w:gridCol w:w="1049"/>
              <w:gridCol w:w="1049"/>
              <w:gridCol w:w="1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b/>
                      <w:bCs/>
                      <w:szCs w:val="21"/>
                    </w:rPr>
                  </w:pPr>
                  <w:r>
                    <w:rPr>
                      <w:rFonts w:cs="Times New Roman"/>
                      <w:b/>
                      <w:bCs/>
                      <w:szCs w:val="21"/>
                    </w:rPr>
                    <w:t>类型</w:t>
                  </w:r>
                </w:p>
              </w:tc>
              <w:tc>
                <w:tcPr>
                  <w:tcW w:w="740" w:type="pct"/>
                  <w:tcBorders>
                    <w:tl2br w:val="nil"/>
                    <w:tr2bl w:val="nil"/>
                  </w:tcBorders>
                  <w:vAlign w:val="center"/>
                </w:tcPr>
                <w:p>
                  <w:pPr>
                    <w:jc w:val="center"/>
                    <w:rPr>
                      <w:rFonts w:cs="Times New Roman"/>
                      <w:b/>
                      <w:bCs/>
                      <w:szCs w:val="21"/>
                    </w:rPr>
                  </w:pPr>
                  <w:r>
                    <w:rPr>
                      <w:rFonts w:cs="Times New Roman"/>
                      <w:b/>
                      <w:bCs/>
                      <w:szCs w:val="21"/>
                    </w:rPr>
                    <w:t>用水标准</w:t>
                  </w:r>
                </w:p>
              </w:tc>
              <w:tc>
                <w:tcPr>
                  <w:tcW w:w="634" w:type="pct"/>
                  <w:tcBorders>
                    <w:tl2br w:val="nil"/>
                    <w:tr2bl w:val="nil"/>
                  </w:tcBorders>
                  <w:vAlign w:val="center"/>
                </w:tcPr>
                <w:p>
                  <w:pPr>
                    <w:jc w:val="center"/>
                    <w:rPr>
                      <w:rFonts w:cs="Times New Roman"/>
                      <w:b/>
                      <w:bCs/>
                      <w:szCs w:val="21"/>
                    </w:rPr>
                  </w:pPr>
                  <w:r>
                    <w:rPr>
                      <w:rFonts w:cs="Times New Roman"/>
                      <w:b/>
                      <w:bCs/>
                      <w:szCs w:val="21"/>
                    </w:rPr>
                    <w:t>用水规模</w:t>
                  </w:r>
                </w:p>
              </w:tc>
              <w:tc>
                <w:tcPr>
                  <w:tcW w:w="571" w:type="pct"/>
                  <w:tcBorders>
                    <w:tl2br w:val="nil"/>
                    <w:tr2bl w:val="nil"/>
                  </w:tcBorders>
                  <w:vAlign w:val="center"/>
                </w:tcPr>
                <w:p>
                  <w:pPr>
                    <w:jc w:val="center"/>
                    <w:rPr>
                      <w:rFonts w:cs="Times New Roman"/>
                      <w:b/>
                      <w:bCs/>
                      <w:szCs w:val="21"/>
                    </w:rPr>
                  </w:pPr>
                  <w:r>
                    <w:rPr>
                      <w:rFonts w:cs="Times New Roman"/>
                      <w:b/>
                      <w:bCs/>
                      <w:szCs w:val="21"/>
                    </w:rPr>
                    <w:t>总用水量（m</w:t>
                  </w:r>
                  <w:r>
                    <w:rPr>
                      <w:rFonts w:cs="Times New Roman"/>
                      <w:b/>
                      <w:bCs/>
                      <w:szCs w:val="21"/>
                      <w:vertAlign w:val="superscript"/>
                    </w:rPr>
                    <w:t>3</w:t>
                  </w:r>
                  <w:r>
                    <w:rPr>
                      <w:rFonts w:cs="Times New Roman"/>
                      <w:b/>
                      <w:bCs/>
                      <w:szCs w:val="21"/>
                    </w:rPr>
                    <w:t>/d）</w:t>
                  </w:r>
                </w:p>
              </w:tc>
              <w:tc>
                <w:tcPr>
                  <w:tcW w:w="601" w:type="pct"/>
                  <w:tcBorders>
                    <w:tl2br w:val="nil"/>
                    <w:tr2bl w:val="nil"/>
                  </w:tcBorders>
                  <w:vAlign w:val="center"/>
                </w:tcPr>
                <w:p>
                  <w:pPr>
                    <w:jc w:val="center"/>
                    <w:rPr>
                      <w:rFonts w:cs="Times New Roman"/>
                      <w:b/>
                      <w:bCs/>
                      <w:szCs w:val="21"/>
                    </w:rPr>
                  </w:pPr>
                  <w:r>
                    <w:rPr>
                      <w:rFonts w:cs="Times New Roman"/>
                      <w:b/>
                      <w:bCs/>
                      <w:szCs w:val="21"/>
                    </w:rPr>
                    <w:t>废水产生量（m</w:t>
                  </w:r>
                  <w:r>
                    <w:rPr>
                      <w:rFonts w:cs="Times New Roman"/>
                      <w:b/>
                      <w:bCs/>
                      <w:szCs w:val="21"/>
                      <w:vertAlign w:val="superscript"/>
                    </w:rPr>
                    <w:t>3</w:t>
                  </w:r>
                  <w:r>
                    <w:rPr>
                      <w:rFonts w:cs="Times New Roman"/>
                      <w:b/>
                      <w:bCs/>
                      <w:szCs w:val="21"/>
                    </w:rPr>
                    <w:t>/d）</w:t>
                  </w:r>
                </w:p>
              </w:tc>
              <w:tc>
                <w:tcPr>
                  <w:tcW w:w="601" w:type="pct"/>
                  <w:tcBorders>
                    <w:tl2br w:val="nil"/>
                    <w:tr2bl w:val="nil"/>
                  </w:tcBorders>
                  <w:vAlign w:val="center"/>
                </w:tcPr>
                <w:p>
                  <w:pPr>
                    <w:jc w:val="center"/>
                    <w:rPr>
                      <w:rFonts w:cs="Times New Roman"/>
                      <w:b/>
                      <w:bCs/>
                      <w:szCs w:val="21"/>
                    </w:rPr>
                  </w:pPr>
                  <w:r>
                    <w:rPr>
                      <w:rFonts w:cs="Times New Roman"/>
                      <w:b/>
                      <w:bCs/>
                      <w:szCs w:val="21"/>
                    </w:rPr>
                    <w:t>新鲜水用量（m</w:t>
                  </w:r>
                  <w:r>
                    <w:rPr>
                      <w:rFonts w:cs="Times New Roman"/>
                      <w:b/>
                      <w:bCs/>
                      <w:szCs w:val="21"/>
                      <w:vertAlign w:val="superscript"/>
                    </w:rPr>
                    <w:t>3</w:t>
                  </w:r>
                  <w:r>
                    <w:rPr>
                      <w:rFonts w:cs="Times New Roman"/>
                      <w:b/>
                      <w:bCs/>
                      <w:szCs w:val="21"/>
                    </w:rPr>
                    <w:t>/d）</w:t>
                  </w:r>
                </w:p>
              </w:tc>
              <w:tc>
                <w:tcPr>
                  <w:tcW w:w="985" w:type="pct"/>
                  <w:tcBorders>
                    <w:tl2br w:val="nil"/>
                    <w:tr2bl w:val="nil"/>
                  </w:tcBorders>
                  <w:vAlign w:val="center"/>
                </w:tcPr>
                <w:p>
                  <w:pPr>
                    <w:jc w:val="center"/>
                    <w:rPr>
                      <w:rFonts w:cs="Times New Roman"/>
                      <w:b/>
                      <w:bCs/>
                      <w:szCs w:val="21"/>
                    </w:rPr>
                  </w:pPr>
                  <w:r>
                    <w:rPr>
                      <w:rFonts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生活用水</w:t>
                  </w:r>
                </w:p>
              </w:tc>
              <w:tc>
                <w:tcPr>
                  <w:tcW w:w="740" w:type="pct"/>
                  <w:tcBorders>
                    <w:tl2br w:val="nil"/>
                    <w:tr2bl w:val="nil"/>
                  </w:tcBorders>
                  <w:vAlign w:val="center"/>
                </w:tcPr>
                <w:p>
                  <w:pPr>
                    <w:jc w:val="center"/>
                    <w:rPr>
                      <w:rFonts w:cs="Times New Roman"/>
                      <w:szCs w:val="21"/>
                    </w:rPr>
                  </w:pPr>
                  <w:r>
                    <w:rPr>
                      <w:rFonts w:cs="Times New Roman"/>
                      <w:kern w:val="24"/>
                      <w:szCs w:val="21"/>
                    </w:rPr>
                    <w:t>100L/人·d</w:t>
                  </w:r>
                </w:p>
              </w:tc>
              <w:tc>
                <w:tcPr>
                  <w:tcW w:w="634" w:type="pct"/>
                  <w:tcBorders>
                    <w:tl2br w:val="nil"/>
                    <w:tr2bl w:val="nil"/>
                  </w:tcBorders>
                  <w:vAlign w:val="center"/>
                </w:tcPr>
                <w:p>
                  <w:pPr>
                    <w:jc w:val="center"/>
                    <w:rPr>
                      <w:rFonts w:cs="Times New Roman"/>
                      <w:szCs w:val="21"/>
                    </w:rPr>
                  </w:pPr>
                  <w:r>
                    <w:rPr>
                      <w:rFonts w:cs="Times New Roman"/>
                      <w:szCs w:val="21"/>
                    </w:rPr>
                    <w:t>10人</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1.000</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0.850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1.000</w:t>
                  </w:r>
                </w:p>
              </w:tc>
              <w:tc>
                <w:tcPr>
                  <w:tcW w:w="985" w:type="pct"/>
                  <w:vMerge w:val="restart"/>
                  <w:tcBorders>
                    <w:tl2br w:val="nil"/>
                    <w:tr2bl w:val="nil"/>
                  </w:tcBorders>
                  <w:vAlign w:val="center"/>
                </w:tcPr>
                <w:p>
                  <w:pPr>
                    <w:widowControl/>
                    <w:jc w:val="center"/>
                    <w:textAlignment w:val="center"/>
                    <w:rPr>
                      <w:rFonts w:cs="Times New Roman"/>
                      <w:szCs w:val="21"/>
                    </w:rPr>
                  </w:pPr>
                  <w:r>
                    <w:rPr>
                      <w:rFonts w:cs="Times New Roman"/>
                      <w:szCs w:val="21"/>
                    </w:rPr>
                    <w:t>处理后进入园区管网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食堂用水</w:t>
                  </w:r>
                </w:p>
              </w:tc>
              <w:tc>
                <w:tcPr>
                  <w:tcW w:w="740" w:type="pct"/>
                  <w:tcBorders>
                    <w:tl2br w:val="nil"/>
                    <w:tr2bl w:val="nil"/>
                  </w:tcBorders>
                  <w:vAlign w:val="center"/>
                </w:tcPr>
                <w:p>
                  <w:pPr>
                    <w:jc w:val="center"/>
                    <w:rPr>
                      <w:rFonts w:cs="Times New Roman"/>
                      <w:kern w:val="24"/>
                      <w:szCs w:val="21"/>
                    </w:rPr>
                  </w:pPr>
                  <w:r>
                    <w:rPr>
                      <w:rFonts w:cs="Times New Roman"/>
                      <w:szCs w:val="21"/>
                    </w:rPr>
                    <w:t>20L/人·d</w:t>
                  </w:r>
                </w:p>
              </w:tc>
              <w:tc>
                <w:tcPr>
                  <w:tcW w:w="634" w:type="pct"/>
                  <w:tcBorders>
                    <w:tl2br w:val="nil"/>
                    <w:tr2bl w:val="nil"/>
                  </w:tcBorders>
                  <w:vAlign w:val="center"/>
                </w:tcPr>
                <w:p>
                  <w:pPr>
                    <w:jc w:val="center"/>
                    <w:rPr>
                      <w:rFonts w:cs="Times New Roman"/>
                      <w:szCs w:val="21"/>
                    </w:rPr>
                  </w:pPr>
                  <w:r>
                    <w:rPr>
                      <w:rFonts w:cs="Times New Roman"/>
                      <w:szCs w:val="21"/>
                    </w:rPr>
                    <w:t>10人</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0.200</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0.170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0.200</w:t>
                  </w:r>
                </w:p>
              </w:tc>
              <w:tc>
                <w:tcPr>
                  <w:tcW w:w="985"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助剂配制用水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jc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3.703</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3.703</w:t>
                  </w:r>
                </w:p>
              </w:tc>
              <w:tc>
                <w:tcPr>
                  <w:tcW w:w="98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纤维消耗用水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widowControl/>
                    <w:jc w:val="center"/>
                    <w:textAlignment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5.909</w:t>
                  </w:r>
                </w:p>
              </w:tc>
              <w:tc>
                <w:tcPr>
                  <w:tcW w:w="601"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5.909</w:t>
                  </w:r>
                </w:p>
              </w:tc>
              <w:tc>
                <w:tcPr>
                  <w:tcW w:w="98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粘结剂配制用水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jc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9.848</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9.838</w:t>
                  </w:r>
                </w:p>
              </w:tc>
              <w:tc>
                <w:tcPr>
                  <w:tcW w:w="98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进入产品，0.010</w:t>
                  </w:r>
                  <w:r>
                    <w:rPr>
                      <w:rFonts w:cs="Times New Roman"/>
                      <w:szCs w:val="21"/>
                    </w:rPr>
                    <w:t>m</w:t>
                  </w:r>
                  <w:r>
                    <w:rPr>
                      <w:rFonts w:cs="Times New Roman"/>
                      <w:szCs w:val="21"/>
                      <w:vertAlign w:val="superscript"/>
                    </w:rPr>
                    <w:t>3</w:t>
                  </w:r>
                  <w:r>
                    <w:rPr>
                      <w:rFonts w:cs="Times New Roman"/>
                      <w:szCs w:val="21"/>
                    </w:rPr>
                    <w:t>/d来自设备清洗废水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设备清洗用水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widowControl/>
                    <w:jc w:val="center"/>
                    <w:textAlignment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0.012</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0.010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0.012</w:t>
                  </w:r>
                </w:p>
              </w:tc>
              <w:tc>
                <w:tcPr>
                  <w:tcW w:w="985" w:type="pct"/>
                  <w:tcBorders>
                    <w:tl2br w:val="nil"/>
                    <w:tr2bl w:val="nil"/>
                  </w:tcBorders>
                  <w:vAlign w:val="center"/>
                </w:tcPr>
                <w:p>
                  <w:pPr>
                    <w:widowControl/>
                    <w:jc w:val="center"/>
                    <w:textAlignment w:val="center"/>
                    <w:rPr>
                      <w:rFonts w:cs="Times New Roman"/>
                      <w:kern w:val="0"/>
                      <w:szCs w:val="21"/>
                      <w:lang w:bidi="ar"/>
                    </w:rPr>
                  </w:pPr>
                  <w:r>
                    <w:rPr>
                      <w:rFonts w:hint="eastAsia" w:cs="Times New Roman"/>
                      <w:kern w:val="0"/>
                      <w:szCs w:val="21"/>
                      <w:lang w:val="en-US" w:eastAsia="zh-CN" w:bidi="ar"/>
                    </w:rPr>
                    <w:t>设备清洗废水</w:t>
                  </w:r>
                  <w:r>
                    <w:rPr>
                      <w:rFonts w:cs="Times New Roman"/>
                      <w:kern w:val="0"/>
                      <w:szCs w:val="21"/>
                      <w:lang w:bidi="ar"/>
                    </w:rPr>
                    <w:t>用于</w:t>
                  </w:r>
                  <w:r>
                    <w:rPr>
                      <w:rFonts w:cs="Times New Roman"/>
                      <w:szCs w:val="21"/>
                    </w:rPr>
                    <w:t>粘结剂配制用水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41" w:type="pct"/>
                  <w:gridSpan w:val="3"/>
                  <w:tcBorders>
                    <w:tl2br w:val="nil"/>
                    <w:tr2bl w:val="nil"/>
                  </w:tcBorders>
                  <w:vAlign w:val="center"/>
                </w:tcPr>
                <w:p>
                  <w:pPr>
                    <w:jc w:val="center"/>
                    <w:rPr>
                      <w:rFonts w:cs="Times New Roman"/>
                      <w:b/>
                      <w:bCs/>
                      <w:szCs w:val="21"/>
                    </w:rPr>
                  </w:pPr>
                  <w:r>
                    <w:rPr>
                      <w:rFonts w:cs="Times New Roman"/>
                      <w:b/>
                      <w:bCs/>
                      <w:szCs w:val="21"/>
                    </w:rPr>
                    <w:t>合计</w:t>
                  </w:r>
                </w:p>
              </w:tc>
              <w:tc>
                <w:tcPr>
                  <w:tcW w:w="997" w:type="dxa"/>
                  <w:tcBorders>
                    <w:tl2br w:val="nil"/>
                    <w:tr2bl w:val="nil"/>
                  </w:tcBorders>
                  <w:vAlign w:val="center"/>
                </w:tcPr>
                <w:p>
                  <w:pPr>
                    <w:widowControl/>
                    <w:jc w:val="center"/>
                    <w:textAlignment w:val="center"/>
                    <w:rPr>
                      <w:rFonts w:cs="Times New Roman"/>
                      <w:b/>
                      <w:bCs/>
                      <w:kern w:val="0"/>
                      <w:szCs w:val="21"/>
                      <w:lang w:bidi="ar"/>
                    </w:rPr>
                  </w:pPr>
                  <w:r>
                    <w:rPr>
                      <w:rFonts w:cs="Times New Roman"/>
                      <w:b/>
                      <w:bCs/>
                      <w:kern w:val="0"/>
                      <w:szCs w:val="21"/>
                      <w:lang w:bidi="ar"/>
                    </w:rPr>
                    <w:t>20.672</w:t>
                  </w:r>
                </w:p>
              </w:tc>
              <w:tc>
                <w:tcPr>
                  <w:tcW w:w="1049" w:type="dxa"/>
                  <w:tcBorders>
                    <w:tl2br w:val="nil"/>
                    <w:tr2bl w:val="nil"/>
                  </w:tcBorders>
                  <w:vAlign w:val="center"/>
                </w:tcPr>
                <w:p>
                  <w:pPr>
                    <w:widowControl/>
                    <w:jc w:val="center"/>
                    <w:textAlignment w:val="center"/>
                    <w:rPr>
                      <w:rFonts w:cs="Times New Roman"/>
                      <w:b/>
                      <w:bCs/>
                      <w:kern w:val="0"/>
                      <w:szCs w:val="21"/>
                      <w:lang w:bidi="ar"/>
                    </w:rPr>
                  </w:pPr>
                  <w:r>
                    <w:rPr>
                      <w:rFonts w:cs="Times New Roman"/>
                      <w:b/>
                      <w:bCs/>
                      <w:kern w:val="0"/>
                      <w:szCs w:val="21"/>
                      <w:lang w:bidi="ar"/>
                    </w:rPr>
                    <w:t>1.03</w:t>
                  </w:r>
                </w:p>
              </w:tc>
              <w:tc>
                <w:tcPr>
                  <w:tcW w:w="1049" w:type="dxa"/>
                  <w:tcBorders>
                    <w:tl2br w:val="nil"/>
                    <w:tr2bl w:val="nil"/>
                  </w:tcBorders>
                  <w:vAlign w:val="center"/>
                </w:tcPr>
                <w:p>
                  <w:pPr>
                    <w:widowControl/>
                    <w:jc w:val="center"/>
                    <w:textAlignment w:val="center"/>
                    <w:rPr>
                      <w:rFonts w:cs="Times New Roman"/>
                      <w:b/>
                      <w:bCs/>
                      <w:szCs w:val="21"/>
                    </w:rPr>
                  </w:pPr>
                  <w:r>
                    <w:rPr>
                      <w:rFonts w:cs="Times New Roman"/>
                      <w:b/>
                      <w:bCs/>
                      <w:kern w:val="0"/>
                      <w:szCs w:val="21"/>
                      <w:lang w:bidi="ar"/>
                    </w:rPr>
                    <w:t>20.662</w:t>
                  </w:r>
                </w:p>
              </w:tc>
              <w:tc>
                <w:tcPr>
                  <w:tcW w:w="985" w:type="pct"/>
                  <w:tcBorders>
                    <w:tl2br w:val="nil"/>
                    <w:tr2bl w:val="nil"/>
                  </w:tcBorders>
                  <w:vAlign w:val="center"/>
                </w:tcPr>
                <w:p>
                  <w:pPr>
                    <w:widowControl/>
                    <w:jc w:val="center"/>
                    <w:textAlignment w:val="center"/>
                    <w:rPr>
                      <w:rFonts w:cs="Times New Roman"/>
                      <w:b/>
                      <w:bCs/>
                      <w:szCs w:val="21"/>
                    </w:rPr>
                  </w:pPr>
                </w:p>
              </w:tc>
            </w:tr>
          </w:tbl>
          <w:p>
            <w:pPr>
              <w:spacing w:line="360" w:lineRule="auto"/>
              <w:ind w:firstLine="480" w:firstLineChars="200"/>
              <w:rPr>
                <w:rFonts w:cs="Times New Roman"/>
                <w:kern w:val="24"/>
                <w:sz w:val="24"/>
                <w:szCs w:val="24"/>
              </w:rPr>
            </w:pPr>
            <w:r>
              <w:rPr>
                <w:rFonts w:cs="Times New Roman"/>
                <w:kern w:val="24"/>
                <w:sz w:val="24"/>
                <w:szCs w:val="24"/>
              </w:rPr>
              <w:t>根据用水量预测及排水分析，本项目一期运营期水量平衡见下图：</w:t>
            </w:r>
          </w:p>
          <w:p>
            <w:pPr>
              <w:spacing w:line="360" w:lineRule="auto"/>
              <w:jc w:val="center"/>
              <w:rPr>
                <w:rFonts w:cs="Times New Roman"/>
                <w:b/>
                <w:bCs/>
                <w:sz w:val="24"/>
                <w:szCs w:val="24"/>
              </w:rPr>
            </w:pPr>
            <w:r>
              <w:rPr>
                <w:rFonts w:cs="Times New Roman"/>
                <w:b/>
                <w:bCs/>
                <w:sz w:val="24"/>
                <w:szCs w:val="24"/>
              </w:rPr>
              <w:object>
                <v:shape id="_x0000_i1025" o:spt="75" type="#_x0000_t75" style="height:255.95pt;width:333.75pt;" o:ole="t" filled="f" o:preferrelative="t" stroked="f" coordsize="21600,21600">
                  <v:path/>
                  <v:fill on="f" focussize="0,0"/>
                  <v:stroke on="f"/>
                  <v:imagedata r:id="rId15" cropbottom="-369f" o:title=""/>
                  <o:lock v:ext="edit" aspectratio="t"/>
                  <w10:wrap type="none"/>
                  <w10:anchorlock/>
                </v:shape>
                <o:OLEObject Type="Embed" ProgID="Visio.Drawing.11" ShapeID="_x0000_i1025" DrawAspect="Content" ObjectID="_1468075725" r:id="rId14">
                  <o:LockedField>false</o:LockedField>
                </o:OLEObject>
              </w:object>
            </w:r>
          </w:p>
          <w:p>
            <w:pPr>
              <w:spacing w:line="360" w:lineRule="auto"/>
              <w:jc w:val="center"/>
              <w:rPr>
                <w:rFonts w:cs="Times New Roman"/>
                <w:b/>
                <w:bCs/>
                <w:sz w:val="24"/>
                <w:szCs w:val="24"/>
              </w:rPr>
            </w:pPr>
            <w:r>
              <w:rPr>
                <w:rFonts w:cs="Times New Roman"/>
                <w:b/>
                <w:bCs/>
                <w:sz w:val="24"/>
                <w:szCs w:val="24"/>
              </w:rPr>
              <w:t>图2-1  一期项目（2100湿法薄毡）水平衡图（m</w:t>
            </w:r>
            <w:r>
              <w:rPr>
                <w:rFonts w:cs="Times New Roman"/>
                <w:b/>
                <w:bCs/>
                <w:sz w:val="24"/>
                <w:szCs w:val="24"/>
                <w:vertAlign w:val="superscript"/>
              </w:rPr>
              <w:t>3</w:t>
            </w:r>
            <w:r>
              <w:rPr>
                <w:rFonts w:cs="Times New Roman"/>
                <w:b/>
                <w:bCs/>
                <w:sz w:val="24"/>
                <w:szCs w:val="24"/>
              </w:rPr>
              <w:t>/d）</w:t>
            </w:r>
          </w:p>
          <w:p>
            <w:pPr>
              <w:spacing w:line="360" w:lineRule="auto"/>
              <w:ind w:firstLine="482" w:firstLineChars="200"/>
              <w:rPr>
                <w:rFonts w:cs="Times New Roman"/>
                <w:b/>
                <w:bCs/>
                <w:kern w:val="24"/>
                <w:sz w:val="24"/>
                <w:szCs w:val="24"/>
              </w:rPr>
            </w:pPr>
            <w:r>
              <w:rPr>
                <w:rFonts w:cs="Times New Roman"/>
                <w:b/>
                <w:bCs/>
                <w:kern w:val="24"/>
                <w:sz w:val="24"/>
                <w:szCs w:val="24"/>
              </w:rPr>
              <w:t>2600湿法薄毡（二期）</w:t>
            </w:r>
          </w:p>
          <w:p>
            <w:pPr>
              <w:spacing w:line="360" w:lineRule="auto"/>
              <w:ind w:firstLine="480" w:firstLineChars="200"/>
              <w:rPr>
                <w:rFonts w:cs="Times New Roman"/>
                <w:sz w:val="24"/>
                <w:szCs w:val="24"/>
              </w:rPr>
            </w:pPr>
            <w:r>
              <w:rPr>
                <w:rFonts w:cs="Times New Roman"/>
                <w:kern w:val="24"/>
                <w:sz w:val="24"/>
                <w:szCs w:val="24"/>
              </w:rPr>
              <w:t>①生活用水</w:t>
            </w:r>
          </w:p>
          <w:p>
            <w:pPr>
              <w:spacing w:line="360" w:lineRule="auto"/>
              <w:ind w:firstLine="480" w:firstLineChars="200"/>
              <w:rPr>
                <w:rFonts w:cs="Times New Roman"/>
                <w:sz w:val="24"/>
                <w:szCs w:val="24"/>
              </w:rPr>
            </w:pPr>
            <w:r>
              <w:rPr>
                <w:rFonts w:cs="Times New Roman"/>
                <w:sz w:val="24"/>
                <w:szCs w:val="24"/>
              </w:rPr>
              <w:t>生活污水主要是员工生活和办公产生的污水。</w:t>
            </w:r>
            <w:r>
              <w:rPr>
                <w:rFonts w:hint="eastAsia" w:cs="Times New Roman"/>
                <w:sz w:val="24"/>
                <w:szCs w:val="24"/>
              </w:rPr>
              <w:t>二期</w:t>
            </w:r>
            <w:r>
              <w:rPr>
                <w:rFonts w:cs="Times New Roman"/>
                <w:sz w:val="24"/>
                <w:szCs w:val="24"/>
              </w:rPr>
              <w:t>劳动定员10人，生活用水量按100L/人·d计，则生活用水量为1.0m</w:t>
            </w:r>
            <w:r>
              <w:rPr>
                <w:rFonts w:cs="Times New Roman"/>
                <w:sz w:val="24"/>
                <w:szCs w:val="24"/>
                <w:vertAlign w:val="superscript"/>
              </w:rPr>
              <w:t>3</w:t>
            </w:r>
            <w:r>
              <w:rPr>
                <w:rFonts w:cs="Times New Roman"/>
                <w:sz w:val="24"/>
                <w:szCs w:val="24"/>
              </w:rPr>
              <w:t>/d，330m</w:t>
            </w:r>
            <w:r>
              <w:rPr>
                <w:rFonts w:cs="Times New Roman"/>
                <w:sz w:val="24"/>
                <w:szCs w:val="24"/>
                <w:vertAlign w:val="superscript"/>
              </w:rPr>
              <w:t>3</w:t>
            </w:r>
            <w:r>
              <w:rPr>
                <w:rFonts w:cs="Times New Roman"/>
                <w:sz w:val="24"/>
                <w:szCs w:val="24"/>
              </w:rPr>
              <w:t>/a，为新鲜水。排水系数按0.85计，则生活污水产生量为0.85m</w:t>
            </w:r>
            <w:r>
              <w:rPr>
                <w:rFonts w:cs="Times New Roman"/>
                <w:sz w:val="24"/>
                <w:szCs w:val="24"/>
                <w:vertAlign w:val="superscript"/>
              </w:rPr>
              <w:t>3</w:t>
            </w:r>
            <w:r>
              <w:rPr>
                <w:rFonts w:cs="Times New Roman"/>
                <w:sz w:val="24"/>
                <w:szCs w:val="24"/>
              </w:rPr>
              <w:t>/d，280.5m</w:t>
            </w:r>
            <w:r>
              <w:rPr>
                <w:rFonts w:cs="Times New Roman"/>
                <w:sz w:val="24"/>
                <w:szCs w:val="24"/>
                <w:vertAlign w:val="superscript"/>
              </w:rPr>
              <w:t>3</w:t>
            </w:r>
            <w:r>
              <w:rPr>
                <w:rFonts w:cs="Times New Roman"/>
                <w:sz w:val="24"/>
                <w:szCs w:val="24"/>
              </w:rPr>
              <w:t>/a。生活污水经化粪池处理后排入园区管网，进入柳池工业园区污水处理厂处理达到《城镇污水处理厂污染物排放标准》（GB18918-2002）一级A标后排入后河。</w:t>
            </w:r>
          </w:p>
          <w:p>
            <w:pPr>
              <w:spacing w:line="360" w:lineRule="auto"/>
              <w:ind w:firstLine="480" w:firstLineChars="200"/>
              <w:rPr>
                <w:rFonts w:cs="Times New Roman"/>
                <w:sz w:val="24"/>
                <w:szCs w:val="24"/>
              </w:rPr>
            </w:pPr>
            <w:r>
              <w:rPr>
                <w:rFonts w:cs="Times New Roman"/>
                <w:sz w:val="24"/>
                <w:szCs w:val="24"/>
              </w:rPr>
              <w:t>②食堂用水</w:t>
            </w:r>
          </w:p>
          <w:p>
            <w:pPr>
              <w:spacing w:line="360" w:lineRule="auto"/>
              <w:ind w:firstLine="480" w:firstLineChars="200"/>
              <w:rPr>
                <w:rFonts w:cs="Times New Roman"/>
                <w:sz w:val="24"/>
                <w:szCs w:val="24"/>
              </w:rPr>
            </w:pPr>
            <w:r>
              <w:rPr>
                <w:rFonts w:cs="Times New Roman"/>
                <w:sz w:val="24"/>
                <w:szCs w:val="24"/>
              </w:rPr>
              <w:t>本项目食堂用餐人数按10人计，食堂用水量按20L/人·d计，则食堂用水量为0.2m</w:t>
            </w:r>
            <w:r>
              <w:rPr>
                <w:rFonts w:cs="Times New Roman"/>
                <w:sz w:val="24"/>
                <w:szCs w:val="24"/>
                <w:vertAlign w:val="superscript"/>
              </w:rPr>
              <w:t>3</w:t>
            </w:r>
            <w:r>
              <w:rPr>
                <w:rFonts w:cs="Times New Roman"/>
                <w:sz w:val="24"/>
                <w:szCs w:val="24"/>
              </w:rPr>
              <w:t>/d，66m</w:t>
            </w:r>
            <w:r>
              <w:rPr>
                <w:rFonts w:cs="Times New Roman"/>
                <w:sz w:val="24"/>
                <w:szCs w:val="24"/>
                <w:vertAlign w:val="superscript"/>
              </w:rPr>
              <w:t>3</w:t>
            </w:r>
            <w:r>
              <w:rPr>
                <w:rFonts w:cs="Times New Roman"/>
                <w:sz w:val="24"/>
                <w:szCs w:val="24"/>
              </w:rPr>
              <w:t>/a，为新鲜水。排水系数按0.85计，则食堂废水产生量为0.17m</w:t>
            </w:r>
            <w:r>
              <w:rPr>
                <w:rFonts w:cs="Times New Roman"/>
                <w:sz w:val="24"/>
                <w:szCs w:val="24"/>
                <w:vertAlign w:val="superscript"/>
              </w:rPr>
              <w:t>3</w:t>
            </w:r>
            <w:r>
              <w:rPr>
                <w:rFonts w:cs="Times New Roman"/>
                <w:sz w:val="24"/>
                <w:szCs w:val="24"/>
              </w:rPr>
              <w:t>/d，56.1m</w:t>
            </w:r>
            <w:r>
              <w:rPr>
                <w:rFonts w:cs="Times New Roman"/>
                <w:sz w:val="24"/>
                <w:szCs w:val="24"/>
                <w:vertAlign w:val="superscript"/>
              </w:rPr>
              <w:t>3</w:t>
            </w:r>
            <w:r>
              <w:rPr>
                <w:rFonts w:cs="Times New Roman"/>
                <w:sz w:val="24"/>
                <w:szCs w:val="24"/>
              </w:rPr>
              <w:t>/a。食堂废水先经隔油池处理后再同生活污水一同排入园区管网。</w:t>
            </w:r>
          </w:p>
          <w:p>
            <w:pPr>
              <w:spacing w:line="360" w:lineRule="auto"/>
              <w:ind w:firstLine="480" w:firstLineChars="200"/>
              <w:rPr>
                <w:rFonts w:cs="Times New Roman"/>
                <w:sz w:val="24"/>
                <w:szCs w:val="24"/>
              </w:rPr>
            </w:pPr>
            <w:r>
              <w:rPr>
                <w:rFonts w:cs="Times New Roman"/>
                <w:sz w:val="24"/>
                <w:szCs w:val="24"/>
              </w:rPr>
              <w:t>③</w:t>
            </w:r>
            <w:r>
              <w:rPr>
                <w:rFonts w:cs="Times New Roman"/>
                <w:kern w:val="24"/>
                <w:sz w:val="24"/>
                <w:szCs w:val="24"/>
              </w:rPr>
              <w:t>助剂配制用水</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sz w:val="24"/>
                <w:szCs w:val="24"/>
              </w:rPr>
              <w:t>由企业提供材料，项目使用的分散剂和消泡剂需要按约1：20的比例兑水，增稠剂需要按约1：100的比例兑水，根据业主提供资料，分散剂和消泡剂用量为</w:t>
            </w:r>
            <w:r>
              <w:rPr>
                <w:rFonts w:hint="eastAsia" w:cs="Times New Roman"/>
                <w:color w:val="000000" w:themeColor="text1"/>
                <w:sz w:val="24"/>
                <w:szCs w:val="24"/>
                <w:lang w:val="en-US" w:eastAsia="zh-CN"/>
                <w14:textFill>
                  <w14:solidFill>
                    <w14:schemeClr w14:val="tx1"/>
                  </w14:solidFill>
                </w14:textFill>
              </w:rPr>
              <w:t>20.8</w:t>
            </w:r>
            <w:r>
              <w:rPr>
                <w:rFonts w:cs="Times New Roman"/>
                <w:color w:val="000000" w:themeColor="text1"/>
                <w:sz w:val="24"/>
                <w:szCs w:val="24"/>
                <w14:textFill>
                  <w14:solidFill>
                    <w14:schemeClr w14:val="tx1"/>
                  </w14:solidFill>
                </w14:textFill>
              </w:rPr>
              <w:t>t/a，增稠剂用量为</w:t>
            </w:r>
            <w:r>
              <w:rPr>
                <w:rFonts w:hint="eastAsia" w:cs="Times New Roman"/>
                <w:color w:val="000000" w:themeColor="text1"/>
                <w:sz w:val="24"/>
                <w:szCs w:val="24"/>
                <w:lang w:val="en-US" w:eastAsia="zh-CN"/>
                <w14:textFill>
                  <w14:solidFill>
                    <w14:schemeClr w14:val="tx1"/>
                  </w14:solidFill>
                </w14:textFill>
              </w:rPr>
              <w:t>9.9</w:t>
            </w:r>
            <w:r>
              <w:rPr>
                <w:rFonts w:cs="Times New Roman"/>
                <w:color w:val="000000" w:themeColor="text1"/>
                <w:sz w:val="24"/>
                <w:szCs w:val="24"/>
                <w14:textFill>
                  <w14:solidFill>
                    <w14:schemeClr w14:val="tx1"/>
                  </w14:solidFill>
                </w14:textFill>
              </w:rPr>
              <w:t>t/a，则助剂配置年用水量为1406m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/a（4.261m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/d），为新鲜水。全部进入产品。</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④</w:t>
            </w:r>
            <w:r>
              <w:rPr>
                <w:rFonts w:cs="Times New Roman"/>
                <w:color w:val="000000" w:themeColor="text1"/>
                <w:kern w:val="24"/>
                <w:sz w:val="24"/>
                <w:szCs w:val="24"/>
                <w14:textFill>
                  <w14:solidFill>
                    <w14:schemeClr w14:val="tx1"/>
                  </w14:solidFill>
                </w14:textFill>
              </w:rPr>
              <w:t>粘结剂配制用水</w:t>
            </w:r>
          </w:p>
          <w:p>
            <w:pPr>
              <w:spacing w:line="360" w:lineRule="auto"/>
              <w:ind w:firstLine="480" w:firstLineChars="200"/>
              <w:rPr>
                <w:rFonts w:cs="Times New Roman"/>
                <w:sz w:val="24"/>
                <w:szCs w:val="24"/>
              </w:rPr>
            </w:pPr>
            <w:r>
              <w:rPr>
                <w:rFonts w:cs="Times New Roman"/>
                <w:color w:val="000000" w:themeColor="text1"/>
                <w:sz w:val="24"/>
                <w:szCs w:val="24"/>
                <w14:textFill>
                  <w14:solidFill>
                    <w14:schemeClr w14:val="tx1"/>
                  </w14:solidFill>
                </w14:textFill>
              </w:rPr>
              <w:t>由企业提供材料，项目使用的</w:t>
            </w:r>
            <w:r>
              <w:rPr>
                <w:rFonts w:cs="Times New Roman"/>
                <w:color w:val="000000" w:themeColor="text1"/>
                <w:kern w:val="24"/>
                <w:sz w:val="24"/>
                <w:szCs w:val="24"/>
                <w14:textFill>
                  <w14:solidFill>
                    <w14:schemeClr w14:val="tx1"/>
                  </w14:solidFill>
                </w14:textFill>
              </w:rPr>
              <w:t>粘结剂</w:t>
            </w:r>
            <w:r>
              <w:rPr>
                <w:rFonts w:cs="Times New Roman"/>
                <w:color w:val="000000" w:themeColor="text1"/>
                <w:sz w:val="24"/>
                <w:szCs w:val="24"/>
                <w14:textFill>
                  <w14:solidFill>
                    <w14:schemeClr w14:val="tx1"/>
                  </w14:solidFill>
                </w14:textFill>
              </w:rPr>
              <w:t>需要将</w:t>
            </w:r>
            <w:r>
              <w:rPr>
                <w:rFonts w:hint="eastAsia" w:cs="Times New Roman"/>
                <w:color w:val="000000" w:themeColor="text1"/>
                <w:sz w:val="24"/>
                <w:szCs w:val="24"/>
                <w:lang w:val="en-US" w:eastAsia="zh-CN"/>
                <w14:textFill>
                  <w14:solidFill>
                    <w14:schemeClr w14:val="tx1"/>
                  </w14:solidFill>
                </w14:textFill>
              </w:rPr>
              <w:t>水性功能乳液</w:t>
            </w:r>
            <w:r>
              <w:rPr>
                <w:rFonts w:cs="Times New Roman"/>
                <w:color w:val="000000" w:themeColor="text1"/>
                <w:sz w:val="24"/>
                <w:szCs w:val="24"/>
                <w14:textFill>
                  <w14:solidFill>
                    <w14:schemeClr w14:val="tx1"/>
                  </w14:solidFill>
                </w14:textFill>
              </w:rPr>
              <w:t>、脲醛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等与水按约1：2.5的比例兑水，根据业主提供资料，项目配置</w:t>
            </w:r>
            <w:r>
              <w:rPr>
                <w:rFonts w:cs="Times New Roman"/>
                <w:color w:val="000000" w:themeColor="text1"/>
                <w:kern w:val="24"/>
                <w:sz w:val="24"/>
                <w:szCs w:val="24"/>
                <w14:textFill>
                  <w14:solidFill>
                    <w14:schemeClr w14:val="tx1"/>
                  </w14:solidFill>
                </w14:textFill>
              </w:rPr>
              <w:t>粘结剂</w:t>
            </w:r>
            <w:r>
              <w:rPr>
                <w:rFonts w:cs="Times New Roman"/>
                <w:color w:val="000000" w:themeColor="text1"/>
                <w:sz w:val="24"/>
                <w:szCs w:val="24"/>
                <w14:textFill>
                  <w14:solidFill>
                    <w14:schemeClr w14:val="tx1"/>
                  </w14:solidFill>
                </w14:textFill>
              </w:rPr>
              <w:t>原料用量为1</w:t>
            </w:r>
            <w:r>
              <w:rPr>
                <w:rFonts w:hint="eastAsia" w:cs="Times New Roman"/>
                <w:color w:val="000000" w:themeColor="text1"/>
                <w:sz w:val="24"/>
                <w:szCs w:val="24"/>
                <w:lang w:val="en-US" w:eastAsia="zh-CN"/>
                <w14:textFill>
                  <w14:solidFill>
                    <w14:schemeClr w14:val="tx1"/>
                  </w14:solidFill>
                </w14:textFill>
              </w:rPr>
              <w:t>5</w:t>
            </w:r>
            <w:r>
              <w:rPr>
                <w:rFonts w:cs="Times New Roman"/>
                <w:color w:val="000000" w:themeColor="text1"/>
                <w:sz w:val="24"/>
                <w:szCs w:val="24"/>
                <w14:textFill>
                  <w14:solidFill>
                    <w14:schemeClr w14:val="tx1"/>
                  </w14:solidFill>
                </w14:textFill>
              </w:rPr>
              <w:t>00t/a，则</w:t>
            </w:r>
            <w:r>
              <w:rPr>
                <w:rFonts w:cs="Times New Roman"/>
                <w:sz w:val="24"/>
                <w:szCs w:val="24"/>
              </w:rPr>
              <w:t>粘胶配置年用水量约为3750m</w:t>
            </w:r>
            <w:r>
              <w:rPr>
                <w:rFonts w:cs="Times New Roman"/>
                <w:sz w:val="24"/>
                <w:szCs w:val="24"/>
                <w:vertAlign w:val="superscript"/>
              </w:rPr>
              <w:t>3</w:t>
            </w:r>
            <w:r>
              <w:rPr>
                <w:rFonts w:cs="Times New Roman"/>
                <w:sz w:val="24"/>
                <w:szCs w:val="24"/>
              </w:rPr>
              <w:t>/a（11.364m</w:t>
            </w:r>
            <w:r>
              <w:rPr>
                <w:rFonts w:cs="Times New Roman"/>
                <w:sz w:val="24"/>
                <w:szCs w:val="24"/>
                <w:vertAlign w:val="superscript"/>
              </w:rPr>
              <w:t>3</w:t>
            </w:r>
            <w:r>
              <w:rPr>
                <w:rFonts w:cs="Times New Roman"/>
                <w:sz w:val="24"/>
                <w:szCs w:val="24"/>
              </w:rPr>
              <w:t>/d），为新鲜水。全部进入产品。</w:t>
            </w:r>
          </w:p>
          <w:p>
            <w:pPr>
              <w:spacing w:line="360" w:lineRule="auto"/>
              <w:ind w:firstLine="480" w:firstLineChars="200"/>
              <w:rPr>
                <w:rFonts w:cs="Times New Roman"/>
                <w:sz w:val="24"/>
                <w:szCs w:val="24"/>
              </w:rPr>
            </w:pPr>
            <w:r>
              <w:rPr>
                <w:rFonts w:cs="Times New Roman"/>
                <w:kern w:val="24"/>
                <w:sz w:val="24"/>
                <w:szCs w:val="24"/>
              </w:rPr>
              <w:t>⑤纤维消耗用水</w:t>
            </w:r>
          </w:p>
          <w:p>
            <w:pPr>
              <w:spacing w:line="360" w:lineRule="auto"/>
              <w:ind w:firstLine="480" w:firstLineChars="200"/>
              <w:rPr>
                <w:rFonts w:cs="Times New Roman"/>
                <w:sz w:val="24"/>
                <w:szCs w:val="24"/>
              </w:rPr>
            </w:pPr>
            <w:r>
              <w:rPr>
                <w:rFonts w:cs="Times New Roman"/>
                <w:sz w:val="24"/>
                <w:szCs w:val="24"/>
              </w:rPr>
              <w:t>湿法毡生产过程中，纤维需要在水里分散，用过滤的方式将纤维抄起，再加粘结剂，通过烘干制成最终的产品。根据业主提供资料，每用1kg纤维需要消耗1kg的水，则</w:t>
            </w:r>
            <w:r>
              <w:rPr>
                <w:rFonts w:cs="Times New Roman"/>
                <w:kern w:val="24"/>
                <w:sz w:val="24"/>
                <w:szCs w:val="24"/>
              </w:rPr>
              <w:t>纤维消耗用水量为</w:t>
            </w:r>
            <w:r>
              <w:rPr>
                <w:rFonts w:cs="Times New Roman"/>
                <w:sz w:val="24"/>
                <w:szCs w:val="24"/>
              </w:rPr>
              <w:t>2250m</w:t>
            </w:r>
            <w:r>
              <w:rPr>
                <w:rFonts w:cs="Times New Roman"/>
                <w:sz w:val="24"/>
                <w:szCs w:val="24"/>
                <w:vertAlign w:val="superscript"/>
              </w:rPr>
              <w:t>3</w:t>
            </w:r>
            <w:r>
              <w:rPr>
                <w:rFonts w:cs="Times New Roman"/>
                <w:sz w:val="24"/>
                <w:szCs w:val="24"/>
              </w:rPr>
              <w:t>/a（6.818m</w:t>
            </w:r>
            <w:r>
              <w:rPr>
                <w:rFonts w:cs="Times New Roman"/>
                <w:sz w:val="24"/>
                <w:szCs w:val="24"/>
                <w:vertAlign w:val="superscript"/>
              </w:rPr>
              <w:t>3</w:t>
            </w:r>
            <w:r>
              <w:rPr>
                <w:rFonts w:cs="Times New Roman"/>
                <w:sz w:val="24"/>
                <w:szCs w:val="24"/>
              </w:rPr>
              <w:t>/d），为新鲜水。全部进入产品。</w:t>
            </w:r>
          </w:p>
          <w:p>
            <w:pPr>
              <w:spacing w:line="360" w:lineRule="auto"/>
              <w:ind w:firstLine="480" w:firstLineChars="200"/>
              <w:rPr>
                <w:rFonts w:cs="Times New Roman"/>
                <w:sz w:val="24"/>
                <w:szCs w:val="24"/>
              </w:rPr>
            </w:pPr>
            <w:r>
              <w:rPr>
                <w:rFonts w:cs="Times New Roman"/>
                <w:sz w:val="24"/>
                <w:szCs w:val="24"/>
              </w:rPr>
              <w:t>⑥</w:t>
            </w:r>
            <w:r>
              <w:rPr>
                <w:rFonts w:cs="Times New Roman"/>
                <w:kern w:val="24"/>
                <w:sz w:val="24"/>
                <w:szCs w:val="24"/>
              </w:rPr>
              <w:t>设备清洗用水</w:t>
            </w:r>
          </w:p>
          <w:p>
            <w:pPr>
              <w:spacing w:line="360" w:lineRule="auto"/>
              <w:ind w:firstLine="480" w:firstLineChars="200"/>
              <w:rPr>
                <w:rFonts w:cs="Times New Roman"/>
                <w:sz w:val="24"/>
                <w:szCs w:val="24"/>
              </w:rPr>
            </w:pPr>
            <w:r>
              <w:rPr>
                <w:rFonts w:cs="Times New Roman"/>
                <w:sz w:val="24"/>
                <w:szCs w:val="24"/>
              </w:rPr>
              <w:t>根据业主介绍，设备停产时会对部分设备进行清洗，预计一年停产2次，每次设备清洗用水量为2m</w:t>
            </w:r>
            <w:r>
              <w:rPr>
                <w:rFonts w:cs="Times New Roman"/>
                <w:sz w:val="24"/>
                <w:szCs w:val="24"/>
                <w:vertAlign w:val="superscript"/>
              </w:rPr>
              <w:t>3</w:t>
            </w:r>
            <w:r>
              <w:rPr>
                <w:rFonts w:cs="Times New Roman"/>
                <w:sz w:val="24"/>
                <w:szCs w:val="24"/>
              </w:rPr>
              <w:t>，故为4m</w:t>
            </w:r>
            <w:r>
              <w:rPr>
                <w:rFonts w:cs="Times New Roman"/>
                <w:sz w:val="24"/>
                <w:szCs w:val="24"/>
                <w:vertAlign w:val="superscript"/>
              </w:rPr>
              <w:t>3</w:t>
            </w:r>
            <w:r>
              <w:rPr>
                <w:rFonts w:cs="Times New Roman"/>
                <w:sz w:val="24"/>
                <w:szCs w:val="24"/>
              </w:rPr>
              <w:t>/a（0.012m</w:t>
            </w:r>
            <w:r>
              <w:rPr>
                <w:rFonts w:cs="Times New Roman"/>
                <w:sz w:val="24"/>
                <w:szCs w:val="24"/>
                <w:vertAlign w:val="superscript"/>
              </w:rPr>
              <w:t>3</w:t>
            </w:r>
            <w:r>
              <w:rPr>
                <w:rFonts w:cs="Times New Roman"/>
                <w:sz w:val="24"/>
                <w:szCs w:val="24"/>
              </w:rPr>
              <w:t>/d），为新鲜水</w:t>
            </w:r>
            <w:r>
              <w:rPr>
                <w:rFonts w:cs="Times New Roman"/>
                <w:kern w:val="24"/>
                <w:sz w:val="24"/>
                <w:szCs w:val="24"/>
              </w:rPr>
              <w:t>。</w:t>
            </w:r>
            <w:r>
              <w:rPr>
                <w:rFonts w:cs="Times New Roman"/>
                <w:sz w:val="24"/>
                <w:szCs w:val="24"/>
              </w:rPr>
              <w:t>排水系数按0.85计，则</w:t>
            </w:r>
            <w:r>
              <w:rPr>
                <w:rFonts w:cs="Times New Roman"/>
                <w:kern w:val="24"/>
                <w:sz w:val="24"/>
                <w:szCs w:val="24"/>
              </w:rPr>
              <w:t>设备清洗</w:t>
            </w:r>
            <w:r>
              <w:rPr>
                <w:rFonts w:cs="Times New Roman"/>
                <w:sz w:val="24"/>
                <w:szCs w:val="24"/>
              </w:rPr>
              <w:t>废水产生量为3.4m</w:t>
            </w:r>
            <w:r>
              <w:rPr>
                <w:rFonts w:cs="Times New Roman"/>
                <w:sz w:val="24"/>
                <w:szCs w:val="24"/>
                <w:vertAlign w:val="superscript"/>
              </w:rPr>
              <w:t>3</w:t>
            </w:r>
            <w:r>
              <w:rPr>
                <w:rFonts w:cs="Times New Roman"/>
                <w:sz w:val="24"/>
                <w:szCs w:val="24"/>
              </w:rPr>
              <w:t>/a（0.010m</w:t>
            </w:r>
            <w:r>
              <w:rPr>
                <w:rFonts w:cs="Times New Roman"/>
                <w:sz w:val="24"/>
                <w:szCs w:val="24"/>
                <w:vertAlign w:val="superscript"/>
              </w:rPr>
              <w:t>3</w:t>
            </w:r>
            <w:r>
              <w:rPr>
                <w:rFonts w:cs="Times New Roman"/>
                <w:sz w:val="24"/>
                <w:szCs w:val="24"/>
              </w:rPr>
              <w:t>/d）。</w:t>
            </w:r>
            <w:r>
              <w:rPr>
                <w:rFonts w:cs="Times New Roman"/>
                <w:kern w:val="24"/>
                <w:sz w:val="24"/>
                <w:szCs w:val="24"/>
              </w:rPr>
              <w:t>设备清洗</w:t>
            </w:r>
            <w:r>
              <w:rPr>
                <w:rFonts w:cs="Times New Roman"/>
                <w:sz w:val="24"/>
                <w:szCs w:val="24"/>
              </w:rPr>
              <w:t>废水集中收集后用于粘结剂配制用水，不外排。</w:t>
            </w:r>
          </w:p>
          <w:p>
            <w:pPr>
              <w:spacing w:line="360" w:lineRule="auto"/>
              <w:jc w:val="center"/>
              <w:rPr>
                <w:rFonts w:cs="Times New Roman"/>
                <w:b/>
                <w:bCs/>
                <w:sz w:val="24"/>
                <w:szCs w:val="24"/>
              </w:rPr>
            </w:pPr>
          </w:p>
          <w:p>
            <w:pPr>
              <w:spacing w:line="360" w:lineRule="auto"/>
              <w:jc w:val="center"/>
              <w:rPr>
                <w:rFonts w:cs="Times New Roman"/>
                <w:b/>
                <w:bCs/>
                <w:sz w:val="24"/>
                <w:szCs w:val="24"/>
              </w:rPr>
            </w:pPr>
            <w:r>
              <w:rPr>
                <w:rFonts w:cs="Times New Roman"/>
                <w:b/>
                <w:bCs/>
                <w:sz w:val="24"/>
                <w:szCs w:val="24"/>
              </w:rPr>
              <w:t>表2-7  二期项目（2600湿法薄毡）用水情况</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12"/>
              <w:gridCol w:w="1292"/>
              <w:gridCol w:w="1108"/>
              <w:gridCol w:w="996"/>
              <w:gridCol w:w="1049"/>
              <w:gridCol w:w="1049"/>
              <w:gridCol w:w="1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b/>
                      <w:bCs/>
                      <w:szCs w:val="21"/>
                    </w:rPr>
                  </w:pPr>
                  <w:r>
                    <w:rPr>
                      <w:rFonts w:cs="Times New Roman"/>
                      <w:b/>
                      <w:bCs/>
                      <w:szCs w:val="21"/>
                    </w:rPr>
                    <w:t>类型</w:t>
                  </w:r>
                </w:p>
              </w:tc>
              <w:tc>
                <w:tcPr>
                  <w:tcW w:w="740" w:type="pct"/>
                  <w:tcBorders>
                    <w:tl2br w:val="nil"/>
                    <w:tr2bl w:val="nil"/>
                  </w:tcBorders>
                  <w:vAlign w:val="center"/>
                </w:tcPr>
                <w:p>
                  <w:pPr>
                    <w:jc w:val="center"/>
                    <w:rPr>
                      <w:rFonts w:cs="Times New Roman"/>
                      <w:b/>
                      <w:bCs/>
                      <w:szCs w:val="21"/>
                    </w:rPr>
                  </w:pPr>
                  <w:r>
                    <w:rPr>
                      <w:rFonts w:cs="Times New Roman"/>
                      <w:b/>
                      <w:bCs/>
                      <w:szCs w:val="21"/>
                    </w:rPr>
                    <w:t>用水标准</w:t>
                  </w:r>
                </w:p>
              </w:tc>
              <w:tc>
                <w:tcPr>
                  <w:tcW w:w="634" w:type="pct"/>
                  <w:tcBorders>
                    <w:tl2br w:val="nil"/>
                    <w:tr2bl w:val="nil"/>
                  </w:tcBorders>
                  <w:vAlign w:val="center"/>
                </w:tcPr>
                <w:p>
                  <w:pPr>
                    <w:jc w:val="center"/>
                    <w:rPr>
                      <w:rFonts w:cs="Times New Roman"/>
                      <w:b/>
                      <w:bCs/>
                      <w:szCs w:val="21"/>
                    </w:rPr>
                  </w:pPr>
                  <w:r>
                    <w:rPr>
                      <w:rFonts w:cs="Times New Roman"/>
                      <w:b/>
                      <w:bCs/>
                      <w:szCs w:val="21"/>
                    </w:rPr>
                    <w:t>用水规模</w:t>
                  </w:r>
                </w:p>
              </w:tc>
              <w:tc>
                <w:tcPr>
                  <w:tcW w:w="571" w:type="pct"/>
                  <w:tcBorders>
                    <w:tl2br w:val="nil"/>
                    <w:tr2bl w:val="nil"/>
                  </w:tcBorders>
                  <w:vAlign w:val="center"/>
                </w:tcPr>
                <w:p>
                  <w:pPr>
                    <w:jc w:val="center"/>
                    <w:rPr>
                      <w:rFonts w:cs="Times New Roman"/>
                      <w:b/>
                      <w:bCs/>
                      <w:szCs w:val="21"/>
                    </w:rPr>
                  </w:pPr>
                  <w:r>
                    <w:rPr>
                      <w:rFonts w:cs="Times New Roman"/>
                      <w:b/>
                      <w:bCs/>
                      <w:szCs w:val="21"/>
                    </w:rPr>
                    <w:t>总用水量（m</w:t>
                  </w:r>
                  <w:r>
                    <w:rPr>
                      <w:rFonts w:cs="Times New Roman"/>
                      <w:b/>
                      <w:bCs/>
                      <w:szCs w:val="21"/>
                      <w:vertAlign w:val="superscript"/>
                    </w:rPr>
                    <w:t>3</w:t>
                  </w:r>
                  <w:r>
                    <w:rPr>
                      <w:rFonts w:cs="Times New Roman"/>
                      <w:b/>
                      <w:bCs/>
                      <w:szCs w:val="21"/>
                    </w:rPr>
                    <w:t>/d）</w:t>
                  </w:r>
                </w:p>
              </w:tc>
              <w:tc>
                <w:tcPr>
                  <w:tcW w:w="601" w:type="pct"/>
                  <w:tcBorders>
                    <w:tl2br w:val="nil"/>
                    <w:tr2bl w:val="nil"/>
                  </w:tcBorders>
                  <w:vAlign w:val="center"/>
                </w:tcPr>
                <w:p>
                  <w:pPr>
                    <w:jc w:val="center"/>
                    <w:rPr>
                      <w:rFonts w:cs="Times New Roman"/>
                      <w:b/>
                      <w:bCs/>
                      <w:szCs w:val="21"/>
                    </w:rPr>
                  </w:pPr>
                  <w:r>
                    <w:rPr>
                      <w:rFonts w:cs="Times New Roman"/>
                      <w:b/>
                      <w:bCs/>
                      <w:szCs w:val="21"/>
                    </w:rPr>
                    <w:t>废水产生量（m</w:t>
                  </w:r>
                  <w:r>
                    <w:rPr>
                      <w:rFonts w:cs="Times New Roman"/>
                      <w:b/>
                      <w:bCs/>
                      <w:szCs w:val="21"/>
                      <w:vertAlign w:val="superscript"/>
                    </w:rPr>
                    <w:t>3</w:t>
                  </w:r>
                  <w:r>
                    <w:rPr>
                      <w:rFonts w:cs="Times New Roman"/>
                      <w:b/>
                      <w:bCs/>
                      <w:szCs w:val="21"/>
                    </w:rPr>
                    <w:t>/d）</w:t>
                  </w:r>
                </w:p>
              </w:tc>
              <w:tc>
                <w:tcPr>
                  <w:tcW w:w="601" w:type="pct"/>
                  <w:tcBorders>
                    <w:tl2br w:val="nil"/>
                    <w:tr2bl w:val="nil"/>
                  </w:tcBorders>
                  <w:vAlign w:val="center"/>
                </w:tcPr>
                <w:p>
                  <w:pPr>
                    <w:jc w:val="center"/>
                    <w:rPr>
                      <w:rFonts w:cs="Times New Roman"/>
                      <w:b/>
                      <w:bCs/>
                      <w:szCs w:val="21"/>
                    </w:rPr>
                  </w:pPr>
                  <w:r>
                    <w:rPr>
                      <w:rFonts w:cs="Times New Roman"/>
                      <w:b/>
                      <w:bCs/>
                      <w:szCs w:val="21"/>
                    </w:rPr>
                    <w:t>新鲜水用量（m</w:t>
                  </w:r>
                  <w:r>
                    <w:rPr>
                      <w:rFonts w:cs="Times New Roman"/>
                      <w:b/>
                      <w:bCs/>
                      <w:szCs w:val="21"/>
                      <w:vertAlign w:val="superscript"/>
                    </w:rPr>
                    <w:t>3</w:t>
                  </w:r>
                  <w:r>
                    <w:rPr>
                      <w:rFonts w:cs="Times New Roman"/>
                      <w:b/>
                      <w:bCs/>
                      <w:szCs w:val="21"/>
                    </w:rPr>
                    <w:t>/d）</w:t>
                  </w:r>
                </w:p>
              </w:tc>
              <w:tc>
                <w:tcPr>
                  <w:tcW w:w="985" w:type="pct"/>
                  <w:tcBorders>
                    <w:tl2br w:val="nil"/>
                    <w:tr2bl w:val="nil"/>
                  </w:tcBorders>
                  <w:vAlign w:val="center"/>
                </w:tcPr>
                <w:p>
                  <w:pPr>
                    <w:jc w:val="center"/>
                    <w:rPr>
                      <w:rFonts w:cs="Times New Roman"/>
                      <w:b/>
                      <w:bCs/>
                      <w:szCs w:val="21"/>
                    </w:rPr>
                  </w:pPr>
                  <w:r>
                    <w:rPr>
                      <w:rFonts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生活用水</w:t>
                  </w:r>
                </w:p>
              </w:tc>
              <w:tc>
                <w:tcPr>
                  <w:tcW w:w="740" w:type="pct"/>
                  <w:tcBorders>
                    <w:tl2br w:val="nil"/>
                    <w:tr2bl w:val="nil"/>
                  </w:tcBorders>
                  <w:vAlign w:val="center"/>
                </w:tcPr>
                <w:p>
                  <w:pPr>
                    <w:jc w:val="center"/>
                    <w:rPr>
                      <w:rFonts w:cs="Times New Roman"/>
                      <w:szCs w:val="21"/>
                    </w:rPr>
                  </w:pPr>
                  <w:r>
                    <w:rPr>
                      <w:rFonts w:cs="Times New Roman"/>
                      <w:kern w:val="24"/>
                      <w:szCs w:val="21"/>
                    </w:rPr>
                    <w:t>100L/人·d</w:t>
                  </w:r>
                </w:p>
              </w:tc>
              <w:tc>
                <w:tcPr>
                  <w:tcW w:w="634" w:type="pct"/>
                  <w:tcBorders>
                    <w:tl2br w:val="nil"/>
                    <w:tr2bl w:val="nil"/>
                  </w:tcBorders>
                  <w:vAlign w:val="center"/>
                </w:tcPr>
                <w:p>
                  <w:pPr>
                    <w:jc w:val="center"/>
                    <w:rPr>
                      <w:rFonts w:cs="Times New Roman"/>
                      <w:szCs w:val="21"/>
                    </w:rPr>
                  </w:pPr>
                  <w:r>
                    <w:rPr>
                      <w:rFonts w:cs="Times New Roman"/>
                      <w:szCs w:val="21"/>
                    </w:rPr>
                    <w:t>10人</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1.000</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0.850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1.000</w:t>
                  </w:r>
                </w:p>
              </w:tc>
              <w:tc>
                <w:tcPr>
                  <w:tcW w:w="985" w:type="pct"/>
                  <w:vMerge w:val="restart"/>
                  <w:tcBorders>
                    <w:tl2br w:val="nil"/>
                    <w:tr2bl w:val="nil"/>
                  </w:tcBorders>
                  <w:vAlign w:val="center"/>
                </w:tcPr>
                <w:p>
                  <w:pPr>
                    <w:widowControl/>
                    <w:jc w:val="center"/>
                    <w:textAlignment w:val="center"/>
                    <w:rPr>
                      <w:rFonts w:cs="Times New Roman"/>
                      <w:szCs w:val="21"/>
                    </w:rPr>
                  </w:pPr>
                  <w:r>
                    <w:rPr>
                      <w:rFonts w:cs="Times New Roman"/>
                      <w:szCs w:val="21"/>
                    </w:rPr>
                    <w:t>进入园区管网</w:t>
                  </w:r>
                </w:p>
                <w:p>
                  <w:pPr>
                    <w:widowControl/>
                    <w:jc w:val="center"/>
                    <w:textAlignment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食堂用水</w:t>
                  </w:r>
                </w:p>
              </w:tc>
              <w:tc>
                <w:tcPr>
                  <w:tcW w:w="740" w:type="pct"/>
                  <w:tcBorders>
                    <w:tl2br w:val="nil"/>
                    <w:tr2bl w:val="nil"/>
                  </w:tcBorders>
                  <w:vAlign w:val="center"/>
                </w:tcPr>
                <w:p>
                  <w:pPr>
                    <w:jc w:val="center"/>
                    <w:rPr>
                      <w:rFonts w:cs="Times New Roman"/>
                      <w:kern w:val="24"/>
                      <w:szCs w:val="21"/>
                    </w:rPr>
                  </w:pPr>
                  <w:r>
                    <w:rPr>
                      <w:rFonts w:cs="Times New Roman"/>
                      <w:szCs w:val="21"/>
                    </w:rPr>
                    <w:t>20L/人·d</w:t>
                  </w:r>
                </w:p>
              </w:tc>
              <w:tc>
                <w:tcPr>
                  <w:tcW w:w="634" w:type="pct"/>
                  <w:tcBorders>
                    <w:tl2br w:val="nil"/>
                    <w:tr2bl w:val="nil"/>
                  </w:tcBorders>
                  <w:vAlign w:val="center"/>
                </w:tcPr>
                <w:p>
                  <w:pPr>
                    <w:jc w:val="center"/>
                    <w:rPr>
                      <w:rFonts w:cs="Times New Roman"/>
                      <w:szCs w:val="21"/>
                    </w:rPr>
                  </w:pPr>
                  <w:r>
                    <w:rPr>
                      <w:rFonts w:cs="Times New Roman"/>
                      <w:szCs w:val="21"/>
                    </w:rPr>
                    <w:t>10人</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0.200</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0.170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0.200</w:t>
                  </w:r>
                </w:p>
              </w:tc>
              <w:tc>
                <w:tcPr>
                  <w:tcW w:w="985"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助剂配制用水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jc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4.261</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4.261</w:t>
                  </w:r>
                </w:p>
              </w:tc>
              <w:tc>
                <w:tcPr>
                  <w:tcW w:w="98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纤维消耗用水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widowControl/>
                    <w:jc w:val="center"/>
                    <w:textAlignment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6.818</w:t>
                  </w:r>
                </w:p>
              </w:tc>
              <w:tc>
                <w:tcPr>
                  <w:tcW w:w="601"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6.818</w:t>
                  </w:r>
                </w:p>
              </w:tc>
              <w:tc>
                <w:tcPr>
                  <w:tcW w:w="98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粘结剂配制用水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jc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11.364</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11.354</w:t>
                  </w:r>
                </w:p>
              </w:tc>
              <w:tc>
                <w:tcPr>
                  <w:tcW w:w="98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进入产品，0.010</w:t>
                  </w:r>
                  <w:r>
                    <w:rPr>
                      <w:rFonts w:cs="Times New Roman"/>
                      <w:szCs w:val="21"/>
                    </w:rPr>
                    <w:t>m</w:t>
                  </w:r>
                  <w:r>
                    <w:rPr>
                      <w:rFonts w:cs="Times New Roman"/>
                      <w:szCs w:val="21"/>
                      <w:vertAlign w:val="superscript"/>
                    </w:rPr>
                    <w:t>3</w:t>
                  </w:r>
                  <w:r>
                    <w:rPr>
                      <w:rFonts w:cs="Times New Roman"/>
                      <w:szCs w:val="21"/>
                    </w:rPr>
                    <w:t>/d来自设备清洗废水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设备清洗用水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4" w:type="pct"/>
                  <w:tcBorders>
                    <w:tl2br w:val="nil"/>
                    <w:tr2bl w:val="nil"/>
                  </w:tcBorders>
                  <w:vAlign w:val="center"/>
                </w:tcPr>
                <w:p>
                  <w:pPr>
                    <w:widowControl/>
                    <w:jc w:val="center"/>
                    <w:textAlignment w:val="center"/>
                    <w:rPr>
                      <w:rFonts w:cs="Times New Roman"/>
                      <w:szCs w:val="21"/>
                    </w:rPr>
                  </w:pPr>
                  <w:r>
                    <w:rPr>
                      <w:rFonts w:cs="Times New Roman"/>
                      <w:szCs w:val="21"/>
                    </w:rPr>
                    <w:t>/</w:t>
                  </w:r>
                </w:p>
              </w:tc>
              <w:tc>
                <w:tcPr>
                  <w:tcW w:w="571" w:type="pct"/>
                  <w:tcBorders>
                    <w:tl2br w:val="nil"/>
                    <w:tr2bl w:val="nil"/>
                  </w:tcBorders>
                  <w:vAlign w:val="center"/>
                </w:tcPr>
                <w:p>
                  <w:pPr>
                    <w:widowControl/>
                    <w:jc w:val="center"/>
                    <w:textAlignment w:val="center"/>
                    <w:rPr>
                      <w:rFonts w:cs="Times New Roman"/>
                      <w:szCs w:val="21"/>
                    </w:rPr>
                  </w:pPr>
                  <w:r>
                    <w:rPr>
                      <w:rFonts w:cs="Times New Roman"/>
                      <w:szCs w:val="21"/>
                    </w:rPr>
                    <w:t>0.012</w:t>
                  </w:r>
                </w:p>
              </w:tc>
              <w:tc>
                <w:tcPr>
                  <w:tcW w:w="60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0.010</w:t>
                  </w:r>
                </w:p>
              </w:tc>
              <w:tc>
                <w:tcPr>
                  <w:tcW w:w="601" w:type="pct"/>
                  <w:tcBorders>
                    <w:tl2br w:val="nil"/>
                    <w:tr2bl w:val="nil"/>
                  </w:tcBorders>
                  <w:vAlign w:val="center"/>
                </w:tcPr>
                <w:p>
                  <w:pPr>
                    <w:widowControl/>
                    <w:jc w:val="center"/>
                    <w:textAlignment w:val="center"/>
                    <w:rPr>
                      <w:rFonts w:cs="Times New Roman"/>
                      <w:szCs w:val="21"/>
                    </w:rPr>
                  </w:pPr>
                  <w:r>
                    <w:rPr>
                      <w:rFonts w:cs="Times New Roman"/>
                      <w:szCs w:val="21"/>
                    </w:rPr>
                    <w:t>0.012</w:t>
                  </w:r>
                </w:p>
              </w:tc>
              <w:tc>
                <w:tcPr>
                  <w:tcW w:w="985"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用于</w:t>
                  </w:r>
                  <w:r>
                    <w:rPr>
                      <w:rFonts w:cs="Times New Roman"/>
                      <w:szCs w:val="21"/>
                    </w:rPr>
                    <w:t>粘结剂配制用水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41" w:type="pct"/>
                  <w:gridSpan w:val="3"/>
                  <w:tcBorders>
                    <w:tl2br w:val="nil"/>
                    <w:tr2bl w:val="nil"/>
                  </w:tcBorders>
                  <w:vAlign w:val="center"/>
                </w:tcPr>
                <w:p>
                  <w:pPr>
                    <w:jc w:val="center"/>
                    <w:rPr>
                      <w:rFonts w:cs="Times New Roman"/>
                      <w:b/>
                      <w:bCs/>
                      <w:szCs w:val="21"/>
                    </w:rPr>
                  </w:pPr>
                  <w:r>
                    <w:rPr>
                      <w:rFonts w:cs="Times New Roman"/>
                      <w:b/>
                      <w:bCs/>
                      <w:szCs w:val="21"/>
                    </w:rPr>
                    <w:t>合计</w:t>
                  </w:r>
                </w:p>
              </w:tc>
              <w:tc>
                <w:tcPr>
                  <w:tcW w:w="997" w:type="dxa"/>
                  <w:tcBorders>
                    <w:tl2br w:val="nil"/>
                    <w:tr2bl w:val="nil"/>
                  </w:tcBorders>
                  <w:vAlign w:val="center"/>
                </w:tcPr>
                <w:p>
                  <w:pPr>
                    <w:widowControl/>
                    <w:jc w:val="center"/>
                    <w:textAlignment w:val="center"/>
                    <w:rPr>
                      <w:rFonts w:cs="Times New Roman"/>
                      <w:b/>
                      <w:bCs/>
                      <w:kern w:val="0"/>
                      <w:szCs w:val="21"/>
                      <w:lang w:bidi="ar"/>
                    </w:rPr>
                  </w:pPr>
                  <w:r>
                    <w:rPr>
                      <w:rFonts w:cs="Times New Roman"/>
                      <w:b/>
                      <w:bCs/>
                      <w:kern w:val="0"/>
                      <w:szCs w:val="21"/>
                      <w:lang w:bidi="ar"/>
                    </w:rPr>
                    <w:t>23.655</w:t>
                  </w:r>
                </w:p>
              </w:tc>
              <w:tc>
                <w:tcPr>
                  <w:tcW w:w="1049" w:type="dxa"/>
                  <w:tcBorders>
                    <w:tl2br w:val="nil"/>
                    <w:tr2bl w:val="nil"/>
                  </w:tcBorders>
                  <w:vAlign w:val="center"/>
                </w:tcPr>
                <w:p>
                  <w:pPr>
                    <w:widowControl/>
                    <w:jc w:val="center"/>
                    <w:textAlignment w:val="center"/>
                    <w:rPr>
                      <w:rFonts w:cs="Times New Roman"/>
                      <w:b/>
                      <w:bCs/>
                      <w:kern w:val="0"/>
                      <w:szCs w:val="21"/>
                      <w:lang w:bidi="ar"/>
                    </w:rPr>
                  </w:pPr>
                  <w:r>
                    <w:rPr>
                      <w:rFonts w:cs="Times New Roman"/>
                      <w:b/>
                      <w:bCs/>
                      <w:kern w:val="0"/>
                      <w:szCs w:val="21"/>
                      <w:lang w:bidi="ar"/>
                    </w:rPr>
                    <w:t>1.03</w:t>
                  </w:r>
                </w:p>
              </w:tc>
              <w:tc>
                <w:tcPr>
                  <w:tcW w:w="1049" w:type="dxa"/>
                  <w:tcBorders>
                    <w:tl2br w:val="nil"/>
                    <w:tr2bl w:val="nil"/>
                  </w:tcBorders>
                  <w:vAlign w:val="center"/>
                </w:tcPr>
                <w:p>
                  <w:pPr>
                    <w:widowControl/>
                    <w:jc w:val="center"/>
                    <w:textAlignment w:val="center"/>
                    <w:rPr>
                      <w:rFonts w:cs="Times New Roman"/>
                      <w:b/>
                      <w:bCs/>
                      <w:szCs w:val="21"/>
                    </w:rPr>
                  </w:pPr>
                  <w:r>
                    <w:rPr>
                      <w:rFonts w:cs="Times New Roman"/>
                      <w:b/>
                      <w:bCs/>
                      <w:kern w:val="0"/>
                      <w:szCs w:val="21"/>
                      <w:lang w:bidi="ar"/>
                    </w:rPr>
                    <w:t>23.645</w:t>
                  </w:r>
                </w:p>
              </w:tc>
              <w:tc>
                <w:tcPr>
                  <w:tcW w:w="985" w:type="pct"/>
                  <w:tcBorders>
                    <w:tl2br w:val="nil"/>
                    <w:tr2bl w:val="nil"/>
                  </w:tcBorders>
                  <w:vAlign w:val="center"/>
                </w:tcPr>
                <w:p>
                  <w:pPr>
                    <w:widowControl/>
                    <w:jc w:val="center"/>
                    <w:textAlignment w:val="center"/>
                    <w:rPr>
                      <w:rFonts w:cs="Times New Roman"/>
                      <w:b/>
                      <w:bCs/>
                      <w:szCs w:val="21"/>
                    </w:rPr>
                  </w:pPr>
                </w:p>
              </w:tc>
            </w:tr>
          </w:tbl>
          <w:p>
            <w:pPr>
              <w:spacing w:line="360" w:lineRule="auto"/>
              <w:ind w:firstLine="480" w:firstLineChars="200"/>
              <w:rPr>
                <w:rFonts w:cs="Times New Roman"/>
                <w:kern w:val="24"/>
                <w:sz w:val="24"/>
                <w:szCs w:val="24"/>
              </w:rPr>
            </w:pPr>
            <w:r>
              <w:rPr>
                <w:rFonts w:cs="Times New Roman"/>
                <w:kern w:val="24"/>
                <w:sz w:val="24"/>
                <w:szCs w:val="24"/>
              </w:rPr>
              <w:t>根据用水量预测及排水分析，本项目二期运营期水量平衡见下图：</w:t>
            </w:r>
          </w:p>
          <w:p>
            <w:pPr>
              <w:spacing w:line="360" w:lineRule="auto"/>
              <w:jc w:val="center"/>
              <w:rPr>
                <w:rFonts w:cs="Times New Roman"/>
                <w:b/>
                <w:bCs/>
                <w:sz w:val="24"/>
                <w:szCs w:val="24"/>
              </w:rPr>
            </w:pPr>
            <w:r>
              <w:rPr>
                <w:rFonts w:cs="Times New Roman"/>
                <w:b/>
                <w:bCs/>
                <w:sz w:val="24"/>
                <w:szCs w:val="24"/>
              </w:rPr>
              <w:object>
                <v:shape id="_x0000_i1026" o:spt="75" type="#_x0000_t75" style="height:255.95pt;width:333.75pt;" o:ole="t" filled="f" o:preferrelative="t" stroked="f" coordsize="21600,21600">
                  <v:path/>
                  <v:fill on="f" focussize="0,0"/>
                  <v:stroke on="f"/>
                  <v:imagedata r:id="rId17" cropbottom="-369f" o:title=""/>
                  <o:lock v:ext="edit" aspectratio="t"/>
                  <w10:wrap type="none"/>
                  <w10:anchorlock/>
                </v:shape>
                <o:OLEObject Type="Embed" ProgID="Visio.Drawing.11" ShapeID="_x0000_i1026" DrawAspect="Content" ObjectID="_1468075726" r:id="rId16">
                  <o:LockedField>false</o:LockedField>
                </o:OLEObject>
              </w:object>
            </w:r>
          </w:p>
          <w:p>
            <w:pPr>
              <w:spacing w:line="360" w:lineRule="auto"/>
              <w:jc w:val="center"/>
              <w:rPr>
                <w:rFonts w:cs="Times New Roman"/>
                <w:b/>
                <w:bCs/>
                <w:sz w:val="24"/>
                <w:szCs w:val="24"/>
              </w:rPr>
            </w:pPr>
            <w:r>
              <w:rPr>
                <w:rFonts w:cs="Times New Roman"/>
                <w:b/>
                <w:bCs/>
                <w:sz w:val="24"/>
                <w:szCs w:val="24"/>
              </w:rPr>
              <w:t>图2-2  二期项目（2600湿法薄毡）水平衡图（m</w:t>
            </w:r>
            <w:r>
              <w:rPr>
                <w:rFonts w:cs="Times New Roman"/>
                <w:b/>
                <w:bCs/>
                <w:sz w:val="24"/>
                <w:szCs w:val="24"/>
                <w:vertAlign w:val="superscript"/>
              </w:rPr>
              <w:t>3</w:t>
            </w:r>
            <w:r>
              <w:rPr>
                <w:rFonts w:cs="Times New Roman"/>
                <w:b/>
                <w:bCs/>
                <w:sz w:val="24"/>
                <w:szCs w:val="24"/>
              </w:rPr>
              <w:t>/d）</w: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 xml:space="preserve">表2-8  </w:t>
            </w:r>
            <w:r>
              <w:rPr>
                <w:rFonts w:hint="eastAsia" w:cs="Times New Roman"/>
                <w:b/>
                <w:bCs/>
                <w:color w:val="000000" w:themeColor="text1"/>
                <w:sz w:val="24"/>
                <w:szCs w:val="24"/>
                <w14:textFill>
                  <w14:solidFill>
                    <w14:schemeClr w14:val="tx1"/>
                  </w14:solidFill>
                </w14:textFill>
              </w:rPr>
              <w:t>一期和二期总共</w:t>
            </w:r>
            <w:r>
              <w:rPr>
                <w:rFonts w:cs="Times New Roman"/>
                <w:b/>
                <w:bCs/>
                <w:color w:val="000000" w:themeColor="text1"/>
                <w:sz w:val="24"/>
                <w:szCs w:val="24"/>
                <w14:textFill>
                  <w14:solidFill>
                    <w14:schemeClr w14:val="tx1"/>
                  </w14:solidFill>
                </w14:textFill>
              </w:rPr>
              <w:t>用水情况</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512"/>
              <w:gridCol w:w="1292"/>
              <w:gridCol w:w="1106"/>
              <w:gridCol w:w="996"/>
              <w:gridCol w:w="1049"/>
              <w:gridCol w:w="1049"/>
              <w:gridCol w:w="1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b/>
                      <w:bCs/>
                      <w:szCs w:val="21"/>
                    </w:rPr>
                  </w:pPr>
                  <w:r>
                    <w:rPr>
                      <w:rFonts w:cs="Times New Roman"/>
                      <w:b/>
                      <w:bCs/>
                      <w:szCs w:val="21"/>
                    </w:rPr>
                    <w:t>类型</w:t>
                  </w:r>
                </w:p>
              </w:tc>
              <w:tc>
                <w:tcPr>
                  <w:tcW w:w="740" w:type="pct"/>
                  <w:tcBorders>
                    <w:tl2br w:val="nil"/>
                    <w:tr2bl w:val="nil"/>
                  </w:tcBorders>
                  <w:vAlign w:val="center"/>
                </w:tcPr>
                <w:p>
                  <w:pPr>
                    <w:jc w:val="center"/>
                    <w:rPr>
                      <w:rFonts w:cs="Times New Roman"/>
                      <w:b/>
                      <w:bCs/>
                      <w:szCs w:val="21"/>
                    </w:rPr>
                  </w:pPr>
                  <w:r>
                    <w:rPr>
                      <w:rFonts w:cs="Times New Roman"/>
                      <w:b/>
                      <w:bCs/>
                      <w:szCs w:val="21"/>
                    </w:rPr>
                    <w:t>用水标准</w:t>
                  </w:r>
                </w:p>
              </w:tc>
              <w:tc>
                <w:tcPr>
                  <w:tcW w:w="633" w:type="pct"/>
                  <w:tcBorders>
                    <w:tl2br w:val="nil"/>
                    <w:tr2bl w:val="nil"/>
                  </w:tcBorders>
                  <w:vAlign w:val="center"/>
                </w:tcPr>
                <w:p>
                  <w:pPr>
                    <w:jc w:val="center"/>
                    <w:rPr>
                      <w:rFonts w:cs="Times New Roman"/>
                      <w:b/>
                      <w:bCs/>
                      <w:szCs w:val="21"/>
                    </w:rPr>
                  </w:pPr>
                  <w:r>
                    <w:rPr>
                      <w:rFonts w:cs="Times New Roman"/>
                      <w:b/>
                      <w:bCs/>
                      <w:szCs w:val="21"/>
                    </w:rPr>
                    <w:t>用水规模</w:t>
                  </w:r>
                </w:p>
              </w:tc>
              <w:tc>
                <w:tcPr>
                  <w:tcW w:w="571" w:type="pct"/>
                  <w:tcBorders>
                    <w:tl2br w:val="nil"/>
                    <w:tr2bl w:val="nil"/>
                  </w:tcBorders>
                  <w:vAlign w:val="center"/>
                </w:tcPr>
                <w:p>
                  <w:pPr>
                    <w:jc w:val="center"/>
                    <w:rPr>
                      <w:rFonts w:cs="Times New Roman"/>
                      <w:b/>
                      <w:bCs/>
                      <w:szCs w:val="21"/>
                    </w:rPr>
                  </w:pPr>
                  <w:r>
                    <w:rPr>
                      <w:rFonts w:cs="Times New Roman"/>
                      <w:b/>
                      <w:bCs/>
                      <w:szCs w:val="21"/>
                    </w:rPr>
                    <w:t>总用水量（m</w:t>
                  </w:r>
                  <w:r>
                    <w:rPr>
                      <w:rFonts w:cs="Times New Roman"/>
                      <w:b/>
                      <w:bCs/>
                      <w:szCs w:val="21"/>
                      <w:vertAlign w:val="superscript"/>
                    </w:rPr>
                    <w:t>3</w:t>
                  </w:r>
                  <w:r>
                    <w:rPr>
                      <w:rFonts w:cs="Times New Roman"/>
                      <w:b/>
                      <w:bCs/>
                      <w:szCs w:val="21"/>
                    </w:rPr>
                    <w:t>/d）</w:t>
                  </w:r>
                </w:p>
              </w:tc>
              <w:tc>
                <w:tcPr>
                  <w:tcW w:w="601" w:type="pct"/>
                  <w:tcBorders>
                    <w:tl2br w:val="nil"/>
                    <w:tr2bl w:val="nil"/>
                  </w:tcBorders>
                  <w:vAlign w:val="center"/>
                </w:tcPr>
                <w:p>
                  <w:pPr>
                    <w:jc w:val="center"/>
                    <w:rPr>
                      <w:rFonts w:cs="Times New Roman"/>
                      <w:b/>
                      <w:bCs/>
                      <w:szCs w:val="21"/>
                    </w:rPr>
                  </w:pPr>
                  <w:r>
                    <w:rPr>
                      <w:rFonts w:cs="Times New Roman"/>
                      <w:b/>
                      <w:bCs/>
                      <w:szCs w:val="21"/>
                    </w:rPr>
                    <w:t>废水产生量（m</w:t>
                  </w:r>
                  <w:r>
                    <w:rPr>
                      <w:rFonts w:cs="Times New Roman"/>
                      <w:b/>
                      <w:bCs/>
                      <w:szCs w:val="21"/>
                      <w:vertAlign w:val="superscript"/>
                    </w:rPr>
                    <w:t>3</w:t>
                  </w:r>
                  <w:r>
                    <w:rPr>
                      <w:rFonts w:cs="Times New Roman"/>
                      <w:b/>
                      <w:bCs/>
                      <w:szCs w:val="21"/>
                    </w:rPr>
                    <w:t>/d）</w:t>
                  </w:r>
                </w:p>
              </w:tc>
              <w:tc>
                <w:tcPr>
                  <w:tcW w:w="601" w:type="pct"/>
                  <w:tcBorders>
                    <w:tl2br w:val="nil"/>
                    <w:tr2bl w:val="nil"/>
                  </w:tcBorders>
                  <w:vAlign w:val="center"/>
                </w:tcPr>
                <w:p>
                  <w:pPr>
                    <w:jc w:val="center"/>
                    <w:rPr>
                      <w:rFonts w:cs="Times New Roman"/>
                      <w:b/>
                      <w:bCs/>
                      <w:szCs w:val="21"/>
                    </w:rPr>
                  </w:pPr>
                  <w:r>
                    <w:rPr>
                      <w:rFonts w:cs="Times New Roman"/>
                      <w:b/>
                      <w:bCs/>
                      <w:szCs w:val="21"/>
                    </w:rPr>
                    <w:t>新鲜水用量（m</w:t>
                  </w:r>
                  <w:r>
                    <w:rPr>
                      <w:rFonts w:cs="Times New Roman"/>
                      <w:b/>
                      <w:bCs/>
                      <w:szCs w:val="21"/>
                      <w:vertAlign w:val="superscript"/>
                    </w:rPr>
                    <w:t>3</w:t>
                  </w:r>
                  <w:r>
                    <w:rPr>
                      <w:rFonts w:cs="Times New Roman"/>
                      <w:b/>
                      <w:bCs/>
                      <w:szCs w:val="21"/>
                    </w:rPr>
                    <w:t>/d）</w:t>
                  </w:r>
                </w:p>
              </w:tc>
              <w:tc>
                <w:tcPr>
                  <w:tcW w:w="986" w:type="pct"/>
                  <w:tcBorders>
                    <w:tl2br w:val="nil"/>
                    <w:tr2bl w:val="nil"/>
                  </w:tcBorders>
                  <w:vAlign w:val="center"/>
                </w:tcPr>
                <w:p>
                  <w:pPr>
                    <w:jc w:val="center"/>
                    <w:rPr>
                      <w:rFonts w:cs="Times New Roman"/>
                      <w:b/>
                      <w:bCs/>
                      <w:szCs w:val="21"/>
                    </w:rPr>
                  </w:pPr>
                  <w:r>
                    <w:rPr>
                      <w:rFonts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生活用水</w:t>
                  </w:r>
                </w:p>
              </w:tc>
              <w:tc>
                <w:tcPr>
                  <w:tcW w:w="740" w:type="pct"/>
                  <w:tcBorders>
                    <w:tl2br w:val="nil"/>
                    <w:tr2bl w:val="nil"/>
                  </w:tcBorders>
                  <w:vAlign w:val="center"/>
                </w:tcPr>
                <w:p>
                  <w:pPr>
                    <w:jc w:val="center"/>
                    <w:rPr>
                      <w:rFonts w:cs="Times New Roman"/>
                      <w:szCs w:val="21"/>
                    </w:rPr>
                  </w:pPr>
                  <w:r>
                    <w:rPr>
                      <w:rFonts w:cs="Times New Roman"/>
                      <w:kern w:val="24"/>
                      <w:szCs w:val="21"/>
                    </w:rPr>
                    <w:t>100L/人·d</w:t>
                  </w:r>
                </w:p>
              </w:tc>
              <w:tc>
                <w:tcPr>
                  <w:tcW w:w="633" w:type="pct"/>
                  <w:tcBorders>
                    <w:tl2br w:val="nil"/>
                    <w:tr2bl w:val="nil"/>
                  </w:tcBorders>
                  <w:vAlign w:val="center"/>
                </w:tcPr>
                <w:p>
                  <w:pPr>
                    <w:jc w:val="center"/>
                    <w:rPr>
                      <w:rFonts w:cs="Times New Roman"/>
                      <w:szCs w:val="21"/>
                    </w:rPr>
                  </w:pPr>
                  <w:r>
                    <w:rPr>
                      <w:rFonts w:cs="Times New Roman"/>
                      <w:szCs w:val="21"/>
                    </w:rPr>
                    <w:t>20人</w:t>
                  </w:r>
                </w:p>
              </w:tc>
              <w:tc>
                <w:tcPr>
                  <w:tcW w:w="571" w:type="pct"/>
                  <w:tcBorders>
                    <w:tl2br w:val="nil"/>
                    <w:tr2bl w:val="nil"/>
                  </w:tcBorders>
                  <w:vAlign w:val="center"/>
                </w:tcPr>
                <w:p>
                  <w:pPr>
                    <w:jc w:val="center"/>
                    <w:rPr>
                      <w:rFonts w:cs="Times New Roman"/>
                      <w:szCs w:val="21"/>
                    </w:rPr>
                  </w:pPr>
                  <w:r>
                    <w:rPr>
                      <w:rFonts w:cs="Times New Roman"/>
                      <w:szCs w:val="21"/>
                    </w:rPr>
                    <w:t>2</w:t>
                  </w:r>
                </w:p>
              </w:tc>
              <w:tc>
                <w:tcPr>
                  <w:tcW w:w="601" w:type="pct"/>
                  <w:tcBorders>
                    <w:tl2br w:val="nil"/>
                    <w:tr2bl w:val="nil"/>
                  </w:tcBorders>
                  <w:vAlign w:val="center"/>
                </w:tcPr>
                <w:p>
                  <w:pPr>
                    <w:jc w:val="center"/>
                    <w:rPr>
                      <w:rFonts w:cs="Times New Roman"/>
                      <w:szCs w:val="21"/>
                    </w:rPr>
                  </w:pPr>
                  <w:r>
                    <w:rPr>
                      <w:rFonts w:cs="Times New Roman"/>
                      <w:szCs w:val="21"/>
                    </w:rPr>
                    <w:t>1.7</w:t>
                  </w:r>
                </w:p>
              </w:tc>
              <w:tc>
                <w:tcPr>
                  <w:tcW w:w="601" w:type="pct"/>
                  <w:tcBorders>
                    <w:tl2br w:val="nil"/>
                    <w:tr2bl w:val="nil"/>
                  </w:tcBorders>
                  <w:vAlign w:val="center"/>
                </w:tcPr>
                <w:p>
                  <w:pPr>
                    <w:jc w:val="center"/>
                    <w:rPr>
                      <w:rFonts w:cs="Times New Roman"/>
                      <w:szCs w:val="21"/>
                    </w:rPr>
                  </w:pPr>
                  <w:r>
                    <w:rPr>
                      <w:rFonts w:cs="Times New Roman"/>
                      <w:szCs w:val="21"/>
                    </w:rPr>
                    <w:t>2</w:t>
                  </w:r>
                </w:p>
              </w:tc>
              <w:tc>
                <w:tcPr>
                  <w:tcW w:w="986" w:type="pct"/>
                  <w:vMerge w:val="restart"/>
                  <w:tcBorders>
                    <w:tl2br w:val="nil"/>
                    <w:tr2bl w:val="nil"/>
                  </w:tcBorders>
                  <w:vAlign w:val="center"/>
                </w:tcPr>
                <w:p>
                  <w:pPr>
                    <w:widowControl/>
                    <w:jc w:val="center"/>
                    <w:textAlignment w:val="center"/>
                    <w:rPr>
                      <w:rFonts w:cs="Times New Roman"/>
                      <w:szCs w:val="21"/>
                    </w:rPr>
                  </w:pPr>
                  <w:r>
                    <w:rPr>
                      <w:rFonts w:cs="Times New Roman"/>
                      <w:szCs w:val="21"/>
                    </w:rPr>
                    <w:t>进入园区管网</w:t>
                  </w:r>
                </w:p>
                <w:p>
                  <w:pPr>
                    <w:widowControl/>
                    <w:jc w:val="center"/>
                    <w:textAlignment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食堂用水</w:t>
                  </w:r>
                </w:p>
              </w:tc>
              <w:tc>
                <w:tcPr>
                  <w:tcW w:w="740" w:type="pct"/>
                  <w:tcBorders>
                    <w:tl2br w:val="nil"/>
                    <w:tr2bl w:val="nil"/>
                  </w:tcBorders>
                  <w:vAlign w:val="center"/>
                </w:tcPr>
                <w:p>
                  <w:pPr>
                    <w:jc w:val="center"/>
                    <w:rPr>
                      <w:rFonts w:cs="Times New Roman"/>
                      <w:kern w:val="24"/>
                      <w:szCs w:val="21"/>
                    </w:rPr>
                  </w:pPr>
                  <w:r>
                    <w:rPr>
                      <w:rFonts w:cs="Times New Roman"/>
                      <w:szCs w:val="21"/>
                    </w:rPr>
                    <w:t>20L/人·d</w:t>
                  </w:r>
                </w:p>
              </w:tc>
              <w:tc>
                <w:tcPr>
                  <w:tcW w:w="633" w:type="pct"/>
                  <w:tcBorders>
                    <w:tl2br w:val="nil"/>
                    <w:tr2bl w:val="nil"/>
                  </w:tcBorders>
                  <w:vAlign w:val="center"/>
                </w:tcPr>
                <w:p>
                  <w:pPr>
                    <w:jc w:val="center"/>
                    <w:rPr>
                      <w:rFonts w:cs="Times New Roman"/>
                      <w:szCs w:val="21"/>
                    </w:rPr>
                  </w:pPr>
                  <w:r>
                    <w:rPr>
                      <w:rFonts w:cs="Times New Roman"/>
                      <w:szCs w:val="21"/>
                    </w:rPr>
                    <w:t>20人</w:t>
                  </w:r>
                </w:p>
              </w:tc>
              <w:tc>
                <w:tcPr>
                  <w:tcW w:w="571" w:type="pct"/>
                  <w:tcBorders>
                    <w:tl2br w:val="nil"/>
                    <w:tr2bl w:val="nil"/>
                  </w:tcBorders>
                  <w:vAlign w:val="center"/>
                </w:tcPr>
                <w:p>
                  <w:pPr>
                    <w:jc w:val="center"/>
                    <w:rPr>
                      <w:rFonts w:cs="Times New Roman"/>
                      <w:szCs w:val="21"/>
                    </w:rPr>
                  </w:pPr>
                  <w:r>
                    <w:rPr>
                      <w:rFonts w:cs="Times New Roman"/>
                      <w:szCs w:val="21"/>
                    </w:rPr>
                    <w:t>0.4</w:t>
                  </w:r>
                </w:p>
              </w:tc>
              <w:tc>
                <w:tcPr>
                  <w:tcW w:w="601" w:type="pct"/>
                  <w:tcBorders>
                    <w:tl2br w:val="nil"/>
                    <w:tr2bl w:val="nil"/>
                  </w:tcBorders>
                  <w:vAlign w:val="center"/>
                </w:tcPr>
                <w:p>
                  <w:pPr>
                    <w:jc w:val="center"/>
                    <w:rPr>
                      <w:rFonts w:cs="Times New Roman"/>
                      <w:szCs w:val="21"/>
                    </w:rPr>
                  </w:pPr>
                  <w:r>
                    <w:rPr>
                      <w:rFonts w:cs="Times New Roman"/>
                      <w:szCs w:val="21"/>
                    </w:rPr>
                    <w:t>0.34</w:t>
                  </w:r>
                </w:p>
              </w:tc>
              <w:tc>
                <w:tcPr>
                  <w:tcW w:w="601" w:type="pct"/>
                  <w:tcBorders>
                    <w:tl2br w:val="nil"/>
                    <w:tr2bl w:val="nil"/>
                  </w:tcBorders>
                  <w:vAlign w:val="center"/>
                </w:tcPr>
                <w:p>
                  <w:pPr>
                    <w:jc w:val="center"/>
                    <w:rPr>
                      <w:rFonts w:cs="Times New Roman"/>
                      <w:szCs w:val="21"/>
                    </w:rPr>
                  </w:pPr>
                  <w:r>
                    <w:rPr>
                      <w:rFonts w:cs="Times New Roman"/>
                      <w:szCs w:val="21"/>
                    </w:rPr>
                    <w:t>0.4</w:t>
                  </w:r>
                </w:p>
              </w:tc>
              <w:tc>
                <w:tcPr>
                  <w:tcW w:w="98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助剂配制用水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3" w:type="pct"/>
                  <w:tcBorders>
                    <w:tl2br w:val="nil"/>
                    <w:tr2bl w:val="nil"/>
                  </w:tcBorders>
                  <w:vAlign w:val="center"/>
                </w:tcPr>
                <w:p>
                  <w:pPr>
                    <w:jc w:val="center"/>
                    <w:rPr>
                      <w:rFonts w:cs="Times New Roman"/>
                      <w:szCs w:val="21"/>
                    </w:rPr>
                  </w:pPr>
                  <w:r>
                    <w:rPr>
                      <w:rFonts w:cs="Times New Roman"/>
                      <w:szCs w:val="21"/>
                    </w:rPr>
                    <w:t>/</w:t>
                  </w:r>
                </w:p>
              </w:tc>
              <w:tc>
                <w:tcPr>
                  <w:tcW w:w="571" w:type="pct"/>
                  <w:tcBorders>
                    <w:tl2br w:val="nil"/>
                    <w:tr2bl w:val="nil"/>
                  </w:tcBorders>
                  <w:vAlign w:val="center"/>
                </w:tcPr>
                <w:p>
                  <w:pPr>
                    <w:jc w:val="center"/>
                    <w:rPr>
                      <w:rFonts w:cs="Times New Roman"/>
                      <w:szCs w:val="21"/>
                    </w:rPr>
                  </w:pPr>
                  <w:r>
                    <w:rPr>
                      <w:rFonts w:cs="Times New Roman"/>
                      <w:szCs w:val="21"/>
                    </w:rPr>
                    <w:t>7.964</w:t>
                  </w:r>
                </w:p>
              </w:tc>
              <w:tc>
                <w:tcPr>
                  <w:tcW w:w="601" w:type="pct"/>
                  <w:tcBorders>
                    <w:tl2br w:val="nil"/>
                    <w:tr2bl w:val="nil"/>
                  </w:tcBorders>
                  <w:vAlign w:val="center"/>
                </w:tcPr>
                <w:p>
                  <w:pPr>
                    <w:jc w:val="center"/>
                    <w:rPr>
                      <w:rFonts w:cs="Times New Roman"/>
                      <w:szCs w:val="21"/>
                    </w:rPr>
                  </w:pPr>
                  <w:r>
                    <w:rPr>
                      <w:rFonts w:cs="Times New Roman"/>
                      <w:szCs w:val="21"/>
                    </w:rPr>
                    <w:t>0</w:t>
                  </w:r>
                </w:p>
              </w:tc>
              <w:tc>
                <w:tcPr>
                  <w:tcW w:w="601" w:type="pct"/>
                  <w:tcBorders>
                    <w:tl2br w:val="nil"/>
                    <w:tr2bl w:val="nil"/>
                  </w:tcBorders>
                  <w:vAlign w:val="center"/>
                </w:tcPr>
                <w:p>
                  <w:pPr>
                    <w:jc w:val="center"/>
                    <w:rPr>
                      <w:rFonts w:cs="Times New Roman"/>
                      <w:szCs w:val="21"/>
                    </w:rPr>
                  </w:pPr>
                  <w:r>
                    <w:rPr>
                      <w:rFonts w:cs="Times New Roman"/>
                      <w:szCs w:val="21"/>
                    </w:rPr>
                    <w:t>7.964</w:t>
                  </w:r>
                </w:p>
              </w:tc>
              <w:tc>
                <w:tcPr>
                  <w:tcW w:w="986"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纤维消耗用水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3" w:type="pct"/>
                  <w:tcBorders>
                    <w:tl2br w:val="nil"/>
                    <w:tr2bl w:val="nil"/>
                  </w:tcBorders>
                  <w:vAlign w:val="center"/>
                </w:tcPr>
                <w:p>
                  <w:pPr>
                    <w:widowControl/>
                    <w:jc w:val="center"/>
                    <w:textAlignment w:val="center"/>
                    <w:rPr>
                      <w:rFonts w:cs="Times New Roman"/>
                      <w:szCs w:val="21"/>
                    </w:rPr>
                  </w:pPr>
                  <w:r>
                    <w:rPr>
                      <w:rFonts w:cs="Times New Roman"/>
                      <w:szCs w:val="21"/>
                    </w:rPr>
                    <w:t>/</w:t>
                  </w:r>
                </w:p>
              </w:tc>
              <w:tc>
                <w:tcPr>
                  <w:tcW w:w="571" w:type="pct"/>
                  <w:tcBorders>
                    <w:tl2br w:val="nil"/>
                    <w:tr2bl w:val="nil"/>
                  </w:tcBorders>
                  <w:vAlign w:val="center"/>
                </w:tcPr>
                <w:p>
                  <w:pPr>
                    <w:jc w:val="center"/>
                    <w:rPr>
                      <w:rFonts w:cs="Times New Roman"/>
                      <w:szCs w:val="21"/>
                    </w:rPr>
                  </w:pPr>
                  <w:r>
                    <w:rPr>
                      <w:rFonts w:cs="Times New Roman"/>
                      <w:szCs w:val="21"/>
                    </w:rPr>
                    <w:t>12.727</w:t>
                  </w:r>
                </w:p>
              </w:tc>
              <w:tc>
                <w:tcPr>
                  <w:tcW w:w="601" w:type="pct"/>
                  <w:tcBorders>
                    <w:tl2br w:val="nil"/>
                    <w:tr2bl w:val="nil"/>
                  </w:tcBorders>
                  <w:vAlign w:val="center"/>
                </w:tcPr>
                <w:p>
                  <w:pPr>
                    <w:jc w:val="center"/>
                    <w:rPr>
                      <w:rFonts w:cs="Times New Roman"/>
                      <w:szCs w:val="21"/>
                    </w:rPr>
                  </w:pPr>
                  <w:r>
                    <w:rPr>
                      <w:rFonts w:cs="Times New Roman"/>
                      <w:szCs w:val="21"/>
                    </w:rPr>
                    <w:t>0</w:t>
                  </w:r>
                </w:p>
              </w:tc>
              <w:tc>
                <w:tcPr>
                  <w:tcW w:w="601" w:type="pct"/>
                  <w:tcBorders>
                    <w:tl2br w:val="nil"/>
                    <w:tr2bl w:val="nil"/>
                  </w:tcBorders>
                  <w:vAlign w:val="center"/>
                </w:tcPr>
                <w:p>
                  <w:pPr>
                    <w:jc w:val="center"/>
                    <w:rPr>
                      <w:rFonts w:cs="Times New Roman"/>
                      <w:szCs w:val="21"/>
                    </w:rPr>
                  </w:pPr>
                  <w:r>
                    <w:rPr>
                      <w:rFonts w:cs="Times New Roman"/>
                      <w:szCs w:val="21"/>
                    </w:rPr>
                    <w:t>12.727</w:t>
                  </w:r>
                </w:p>
              </w:tc>
              <w:tc>
                <w:tcPr>
                  <w:tcW w:w="986"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粘结剂配制用水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3" w:type="pct"/>
                  <w:tcBorders>
                    <w:tl2br w:val="nil"/>
                    <w:tr2bl w:val="nil"/>
                  </w:tcBorders>
                  <w:vAlign w:val="center"/>
                </w:tcPr>
                <w:p>
                  <w:pPr>
                    <w:jc w:val="center"/>
                    <w:rPr>
                      <w:rFonts w:cs="Times New Roman"/>
                      <w:szCs w:val="21"/>
                    </w:rPr>
                  </w:pPr>
                  <w:r>
                    <w:rPr>
                      <w:rFonts w:cs="Times New Roman"/>
                      <w:szCs w:val="21"/>
                    </w:rPr>
                    <w:t>/</w:t>
                  </w:r>
                </w:p>
              </w:tc>
              <w:tc>
                <w:tcPr>
                  <w:tcW w:w="571" w:type="pct"/>
                  <w:tcBorders>
                    <w:tl2br w:val="nil"/>
                    <w:tr2bl w:val="nil"/>
                  </w:tcBorders>
                  <w:vAlign w:val="center"/>
                </w:tcPr>
                <w:p>
                  <w:pPr>
                    <w:jc w:val="center"/>
                    <w:rPr>
                      <w:rFonts w:cs="Times New Roman"/>
                      <w:szCs w:val="21"/>
                    </w:rPr>
                  </w:pPr>
                  <w:r>
                    <w:rPr>
                      <w:rFonts w:cs="Times New Roman"/>
                      <w:szCs w:val="21"/>
                    </w:rPr>
                    <w:t>21.212</w:t>
                  </w:r>
                </w:p>
              </w:tc>
              <w:tc>
                <w:tcPr>
                  <w:tcW w:w="601" w:type="pct"/>
                  <w:tcBorders>
                    <w:tl2br w:val="nil"/>
                    <w:tr2bl w:val="nil"/>
                  </w:tcBorders>
                  <w:vAlign w:val="center"/>
                </w:tcPr>
                <w:p>
                  <w:pPr>
                    <w:jc w:val="center"/>
                    <w:rPr>
                      <w:rFonts w:cs="Times New Roman"/>
                      <w:szCs w:val="21"/>
                    </w:rPr>
                  </w:pPr>
                  <w:r>
                    <w:rPr>
                      <w:rFonts w:cs="Times New Roman"/>
                      <w:szCs w:val="21"/>
                    </w:rPr>
                    <w:t>0</w:t>
                  </w:r>
                </w:p>
              </w:tc>
              <w:tc>
                <w:tcPr>
                  <w:tcW w:w="601" w:type="pct"/>
                  <w:tcBorders>
                    <w:tl2br w:val="nil"/>
                    <w:tr2bl w:val="nil"/>
                  </w:tcBorders>
                  <w:vAlign w:val="center"/>
                </w:tcPr>
                <w:p>
                  <w:pPr>
                    <w:jc w:val="center"/>
                    <w:rPr>
                      <w:rFonts w:cs="Times New Roman"/>
                      <w:szCs w:val="21"/>
                    </w:rPr>
                  </w:pPr>
                  <w:r>
                    <w:rPr>
                      <w:rFonts w:cs="Times New Roman"/>
                      <w:szCs w:val="21"/>
                    </w:rPr>
                    <w:t>21.192</w:t>
                  </w:r>
                </w:p>
              </w:tc>
              <w:tc>
                <w:tcPr>
                  <w:tcW w:w="986"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进入产品，0.020</w:t>
                  </w:r>
                  <w:r>
                    <w:rPr>
                      <w:rFonts w:cs="Times New Roman"/>
                      <w:szCs w:val="21"/>
                    </w:rPr>
                    <w:t>m</w:t>
                  </w:r>
                  <w:r>
                    <w:rPr>
                      <w:rFonts w:cs="Times New Roman"/>
                      <w:szCs w:val="21"/>
                      <w:vertAlign w:val="superscript"/>
                    </w:rPr>
                    <w:t>3</w:t>
                  </w:r>
                  <w:r>
                    <w:rPr>
                      <w:rFonts w:cs="Times New Roman"/>
                      <w:szCs w:val="21"/>
                    </w:rPr>
                    <w:t>/d来自设备清洗废水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66" w:type="pct"/>
                  <w:tcBorders>
                    <w:tl2br w:val="nil"/>
                    <w:tr2bl w:val="nil"/>
                  </w:tcBorders>
                  <w:vAlign w:val="center"/>
                </w:tcPr>
                <w:p>
                  <w:pPr>
                    <w:jc w:val="center"/>
                    <w:rPr>
                      <w:rFonts w:cs="Times New Roman"/>
                      <w:szCs w:val="21"/>
                    </w:rPr>
                  </w:pPr>
                  <w:r>
                    <w:rPr>
                      <w:rFonts w:cs="Times New Roman"/>
                      <w:szCs w:val="21"/>
                    </w:rPr>
                    <w:t>设备清洗用水</w:t>
                  </w:r>
                </w:p>
              </w:tc>
              <w:tc>
                <w:tcPr>
                  <w:tcW w:w="740" w:type="pct"/>
                  <w:tcBorders>
                    <w:tl2br w:val="nil"/>
                    <w:tr2bl w:val="nil"/>
                  </w:tcBorders>
                  <w:vAlign w:val="center"/>
                </w:tcPr>
                <w:p>
                  <w:pPr>
                    <w:jc w:val="center"/>
                    <w:rPr>
                      <w:rFonts w:cs="Times New Roman"/>
                      <w:szCs w:val="21"/>
                    </w:rPr>
                  </w:pPr>
                  <w:r>
                    <w:rPr>
                      <w:rFonts w:cs="Times New Roman"/>
                      <w:szCs w:val="21"/>
                    </w:rPr>
                    <w:t>/</w:t>
                  </w:r>
                </w:p>
              </w:tc>
              <w:tc>
                <w:tcPr>
                  <w:tcW w:w="633" w:type="pct"/>
                  <w:tcBorders>
                    <w:tl2br w:val="nil"/>
                    <w:tr2bl w:val="nil"/>
                  </w:tcBorders>
                  <w:vAlign w:val="center"/>
                </w:tcPr>
                <w:p>
                  <w:pPr>
                    <w:widowControl/>
                    <w:jc w:val="center"/>
                    <w:textAlignment w:val="center"/>
                    <w:rPr>
                      <w:rFonts w:cs="Times New Roman"/>
                      <w:szCs w:val="21"/>
                    </w:rPr>
                  </w:pPr>
                  <w:r>
                    <w:rPr>
                      <w:rFonts w:cs="Times New Roman"/>
                      <w:szCs w:val="21"/>
                    </w:rPr>
                    <w:t>/</w:t>
                  </w:r>
                </w:p>
              </w:tc>
              <w:tc>
                <w:tcPr>
                  <w:tcW w:w="571" w:type="pct"/>
                  <w:tcBorders>
                    <w:tl2br w:val="nil"/>
                    <w:tr2bl w:val="nil"/>
                  </w:tcBorders>
                  <w:vAlign w:val="center"/>
                </w:tcPr>
                <w:p>
                  <w:pPr>
                    <w:jc w:val="center"/>
                    <w:rPr>
                      <w:rFonts w:cs="Times New Roman"/>
                      <w:szCs w:val="21"/>
                    </w:rPr>
                  </w:pPr>
                  <w:r>
                    <w:rPr>
                      <w:rFonts w:cs="Times New Roman"/>
                      <w:szCs w:val="21"/>
                    </w:rPr>
                    <w:t>0.024</w:t>
                  </w:r>
                </w:p>
              </w:tc>
              <w:tc>
                <w:tcPr>
                  <w:tcW w:w="601" w:type="pct"/>
                  <w:tcBorders>
                    <w:tl2br w:val="nil"/>
                    <w:tr2bl w:val="nil"/>
                  </w:tcBorders>
                  <w:vAlign w:val="center"/>
                </w:tcPr>
                <w:p>
                  <w:pPr>
                    <w:jc w:val="center"/>
                    <w:rPr>
                      <w:rFonts w:cs="Times New Roman"/>
                      <w:szCs w:val="21"/>
                    </w:rPr>
                  </w:pPr>
                  <w:r>
                    <w:rPr>
                      <w:rFonts w:cs="Times New Roman"/>
                      <w:szCs w:val="21"/>
                    </w:rPr>
                    <w:t>0.02</w:t>
                  </w:r>
                </w:p>
              </w:tc>
              <w:tc>
                <w:tcPr>
                  <w:tcW w:w="601" w:type="pct"/>
                  <w:tcBorders>
                    <w:tl2br w:val="nil"/>
                    <w:tr2bl w:val="nil"/>
                  </w:tcBorders>
                  <w:vAlign w:val="center"/>
                </w:tcPr>
                <w:p>
                  <w:pPr>
                    <w:jc w:val="center"/>
                    <w:rPr>
                      <w:rFonts w:cs="Times New Roman"/>
                      <w:szCs w:val="21"/>
                    </w:rPr>
                  </w:pPr>
                  <w:r>
                    <w:rPr>
                      <w:rFonts w:cs="Times New Roman"/>
                      <w:szCs w:val="21"/>
                    </w:rPr>
                    <w:t>0.024</w:t>
                  </w:r>
                </w:p>
              </w:tc>
              <w:tc>
                <w:tcPr>
                  <w:tcW w:w="986" w:type="pct"/>
                  <w:tcBorders>
                    <w:tl2br w:val="nil"/>
                    <w:tr2bl w:val="nil"/>
                  </w:tcBorders>
                  <w:vAlign w:val="center"/>
                </w:tcPr>
                <w:p>
                  <w:pPr>
                    <w:widowControl/>
                    <w:jc w:val="center"/>
                    <w:textAlignment w:val="center"/>
                    <w:rPr>
                      <w:rFonts w:cs="Times New Roman"/>
                      <w:kern w:val="0"/>
                      <w:szCs w:val="21"/>
                      <w:lang w:bidi="ar"/>
                    </w:rPr>
                  </w:pPr>
                  <w:r>
                    <w:rPr>
                      <w:rFonts w:hint="eastAsia" w:cs="Times New Roman"/>
                      <w:kern w:val="0"/>
                      <w:szCs w:val="21"/>
                      <w:lang w:val="en-US" w:eastAsia="zh-CN" w:bidi="ar"/>
                    </w:rPr>
                    <w:t>设备清洗废水</w:t>
                  </w:r>
                  <w:r>
                    <w:rPr>
                      <w:rFonts w:cs="Times New Roman"/>
                      <w:kern w:val="0"/>
                      <w:szCs w:val="21"/>
                      <w:lang w:bidi="ar"/>
                    </w:rPr>
                    <w:t>用于</w:t>
                  </w:r>
                  <w:r>
                    <w:rPr>
                      <w:rFonts w:cs="Times New Roman"/>
                      <w:szCs w:val="21"/>
                    </w:rPr>
                    <w:t>粘结剂配制用水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240" w:type="pct"/>
                  <w:gridSpan w:val="3"/>
                  <w:tcBorders>
                    <w:tl2br w:val="nil"/>
                    <w:tr2bl w:val="nil"/>
                  </w:tcBorders>
                  <w:vAlign w:val="center"/>
                </w:tcPr>
                <w:p>
                  <w:pPr>
                    <w:jc w:val="center"/>
                    <w:rPr>
                      <w:rFonts w:cs="Times New Roman"/>
                      <w:b/>
                      <w:bCs/>
                      <w:szCs w:val="21"/>
                    </w:rPr>
                  </w:pPr>
                  <w:r>
                    <w:rPr>
                      <w:rFonts w:cs="Times New Roman"/>
                      <w:b/>
                      <w:bCs/>
                      <w:szCs w:val="21"/>
                    </w:rPr>
                    <w:t>合计</w:t>
                  </w:r>
                </w:p>
              </w:tc>
              <w:tc>
                <w:tcPr>
                  <w:tcW w:w="571" w:type="pct"/>
                  <w:tcBorders>
                    <w:tl2br w:val="nil"/>
                    <w:tr2bl w:val="nil"/>
                  </w:tcBorders>
                  <w:vAlign w:val="center"/>
                </w:tcPr>
                <w:p>
                  <w:pPr>
                    <w:jc w:val="center"/>
                    <w:rPr>
                      <w:rFonts w:cs="Times New Roman"/>
                      <w:szCs w:val="21"/>
                    </w:rPr>
                  </w:pPr>
                  <w:r>
                    <w:rPr>
                      <w:rFonts w:cs="Times New Roman"/>
                      <w:szCs w:val="21"/>
                    </w:rPr>
                    <w:t>44.327</w:t>
                  </w:r>
                </w:p>
              </w:tc>
              <w:tc>
                <w:tcPr>
                  <w:tcW w:w="601" w:type="pct"/>
                  <w:tcBorders>
                    <w:tl2br w:val="nil"/>
                    <w:tr2bl w:val="nil"/>
                  </w:tcBorders>
                  <w:vAlign w:val="center"/>
                </w:tcPr>
                <w:p>
                  <w:pPr>
                    <w:jc w:val="center"/>
                    <w:rPr>
                      <w:rFonts w:cs="Times New Roman"/>
                      <w:szCs w:val="21"/>
                    </w:rPr>
                  </w:pPr>
                  <w:r>
                    <w:rPr>
                      <w:rFonts w:cs="Times New Roman"/>
                      <w:szCs w:val="21"/>
                    </w:rPr>
                    <w:t>2.06</w:t>
                  </w:r>
                </w:p>
              </w:tc>
              <w:tc>
                <w:tcPr>
                  <w:tcW w:w="601" w:type="pct"/>
                  <w:tcBorders>
                    <w:tl2br w:val="nil"/>
                    <w:tr2bl w:val="nil"/>
                  </w:tcBorders>
                  <w:vAlign w:val="center"/>
                </w:tcPr>
                <w:p>
                  <w:pPr>
                    <w:jc w:val="center"/>
                    <w:rPr>
                      <w:rFonts w:cs="Times New Roman"/>
                      <w:szCs w:val="21"/>
                    </w:rPr>
                  </w:pPr>
                  <w:r>
                    <w:rPr>
                      <w:rFonts w:cs="Times New Roman"/>
                      <w:szCs w:val="21"/>
                    </w:rPr>
                    <w:t>44.307</w:t>
                  </w:r>
                </w:p>
              </w:tc>
              <w:tc>
                <w:tcPr>
                  <w:tcW w:w="986" w:type="pct"/>
                  <w:tcBorders>
                    <w:tl2br w:val="nil"/>
                    <w:tr2bl w:val="nil"/>
                  </w:tcBorders>
                  <w:vAlign w:val="center"/>
                </w:tcPr>
                <w:p>
                  <w:pPr>
                    <w:widowControl/>
                    <w:jc w:val="center"/>
                    <w:textAlignment w:val="center"/>
                    <w:rPr>
                      <w:rFonts w:cs="Times New Roman"/>
                      <w:b/>
                      <w:bCs/>
                      <w:szCs w:val="21"/>
                    </w:rPr>
                  </w:pPr>
                </w:p>
              </w:tc>
            </w:tr>
          </w:tbl>
          <w:p>
            <w:pPr>
              <w:spacing w:line="360" w:lineRule="auto"/>
              <w:ind w:firstLine="480" w:firstLineChars="200"/>
              <w:rPr>
                <w:rFonts w:cs="Times New Roman"/>
                <w:kern w:val="24"/>
                <w:sz w:val="24"/>
                <w:szCs w:val="24"/>
              </w:rPr>
            </w:pPr>
            <w:r>
              <w:rPr>
                <w:rFonts w:cs="Times New Roman"/>
                <w:kern w:val="24"/>
                <w:sz w:val="24"/>
                <w:szCs w:val="24"/>
              </w:rPr>
              <w:t>全厂运营期水量平衡见下图：</w:t>
            </w:r>
          </w:p>
          <w:p>
            <w:pPr>
              <w:spacing w:line="360" w:lineRule="auto"/>
              <w:jc w:val="center"/>
              <w:rPr>
                <w:rFonts w:cs="Times New Roman"/>
                <w:kern w:val="24"/>
                <w:sz w:val="24"/>
                <w:szCs w:val="24"/>
              </w:rPr>
            </w:pPr>
            <w:r>
              <w:rPr>
                <w:rFonts w:cs="Times New Roman"/>
                <w:b/>
                <w:bCs/>
                <w:sz w:val="24"/>
                <w:szCs w:val="24"/>
              </w:rPr>
              <w:object>
                <v:shape id="_x0000_i1027" o:spt="75" type="#_x0000_t75" style="height:258.95pt;width:332.25pt;" o:ole="t" filled="f" o:preferrelative="t" stroked="f" coordsize="21600,21600">
                  <v:path/>
                  <v:fill on="f" focussize="0,0"/>
                  <v:stroke on="f" joinstyle="miter"/>
                  <v:imagedata r:id="rId19" cropbottom="-369f" o:title=""/>
                  <o:lock v:ext="edit" aspectratio="t"/>
                  <w10:wrap type="none"/>
                  <w10:anchorlock/>
                </v:shape>
                <o:OLEObject Type="Embed" ProgID="Visio.Drawing.11" ShapeID="_x0000_i1027" DrawAspect="Content" ObjectID="_1468075727" r:id="rId18">
                  <o:LockedField>false</o:LockedField>
                </o:OLEObject>
              </w:object>
            </w:r>
          </w:p>
          <w:p>
            <w:pPr>
              <w:spacing w:line="360" w:lineRule="auto"/>
              <w:jc w:val="center"/>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 xml:space="preserve">图2-3   </w:t>
            </w:r>
            <w:r>
              <w:rPr>
                <w:rFonts w:hint="eastAsia" w:cs="Times New Roman"/>
                <w:b/>
                <w:bCs/>
                <w:color w:val="000000" w:themeColor="text1"/>
                <w:sz w:val="24"/>
                <w:szCs w:val="24"/>
                <w14:textFill>
                  <w14:solidFill>
                    <w14:schemeClr w14:val="tx1"/>
                  </w14:solidFill>
                </w14:textFill>
              </w:rPr>
              <w:t>一期和二期</w:t>
            </w:r>
            <w:r>
              <w:rPr>
                <w:rFonts w:cs="Times New Roman"/>
                <w:b/>
                <w:bCs/>
                <w:color w:val="000000" w:themeColor="text1"/>
                <w:sz w:val="24"/>
                <w:szCs w:val="24"/>
                <w14:textFill>
                  <w14:solidFill>
                    <w14:schemeClr w14:val="tx1"/>
                  </w14:solidFill>
                </w14:textFill>
              </w:rPr>
              <w:t>水平衡图（m</w:t>
            </w:r>
            <w:r>
              <w:rPr>
                <w:rFonts w:cs="Times New Roman"/>
                <w:b/>
                <w:bCs/>
                <w:color w:val="000000" w:themeColor="text1"/>
                <w:sz w:val="24"/>
                <w:szCs w:val="24"/>
                <w:vertAlign w:val="superscript"/>
                <w14:textFill>
                  <w14:solidFill>
                    <w14:schemeClr w14:val="tx1"/>
                  </w14:solidFill>
                </w14:textFill>
              </w:rPr>
              <w:t>3</w:t>
            </w:r>
            <w:r>
              <w:rPr>
                <w:rFonts w:cs="Times New Roman"/>
                <w:b/>
                <w:bCs/>
                <w:color w:val="000000" w:themeColor="text1"/>
                <w:sz w:val="24"/>
                <w:szCs w:val="24"/>
                <w14:textFill>
                  <w14:solidFill>
                    <w14:schemeClr w14:val="tx1"/>
                  </w14:solidFill>
                </w14:textFill>
              </w:rPr>
              <w:t>/d）</w:t>
            </w:r>
          </w:p>
          <w:p>
            <w:pPr>
              <w:spacing w:line="360" w:lineRule="auto"/>
              <w:ind w:firstLine="482" w:firstLineChars="200"/>
              <w:rPr>
                <w:rFonts w:cs="Times New Roman"/>
                <w:b/>
                <w:sz w:val="24"/>
                <w:szCs w:val="24"/>
              </w:rPr>
            </w:pPr>
            <w:r>
              <w:rPr>
                <w:rFonts w:cs="Times New Roman"/>
                <w:b/>
                <w:sz w:val="24"/>
                <w:szCs w:val="24"/>
              </w:rPr>
              <w:t>8、劳动定员及工作制度</w:t>
            </w:r>
          </w:p>
          <w:p>
            <w:pPr>
              <w:spacing w:line="360" w:lineRule="auto"/>
              <w:ind w:firstLine="480" w:firstLineChars="200"/>
              <w:rPr>
                <w:rFonts w:cs="Times New Roman"/>
                <w:kern w:val="24"/>
                <w:sz w:val="24"/>
                <w:szCs w:val="24"/>
                <w:highlight w:val="yellow"/>
              </w:rPr>
            </w:pPr>
            <w:r>
              <w:rPr>
                <w:rFonts w:cs="Times New Roman"/>
                <w:kern w:val="24"/>
                <w:sz w:val="24"/>
                <w:szCs w:val="24"/>
              </w:rPr>
              <w:t>项目现有劳动定员40人，生产线实行四班三运转制，全年生产330天。</w:t>
            </w:r>
          </w:p>
          <w:p>
            <w:pPr>
              <w:spacing w:line="360" w:lineRule="auto"/>
              <w:ind w:firstLine="480" w:firstLineChars="200"/>
              <w:rPr>
                <w:rFonts w:cs="Times New Roman"/>
                <w:kern w:val="24"/>
                <w:sz w:val="24"/>
                <w:szCs w:val="24"/>
              </w:rPr>
            </w:pPr>
            <w:r>
              <w:rPr>
                <w:rFonts w:cs="Times New Roman"/>
                <w:kern w:val="24"/>
                <w:sz w:val="24"/>
                <w:szCs w:val="24"/>
              </w:rPr>
              <w:t>本项目新增劳动定员20人，一期、二期各10人。生产线实行三班两运转作业，全年生产330天。</w:t>
            </w:r>
          </w:p>
          <w:p>
            <w:pPr>
              <w:spacing w:line="360" w:lineRule="auto"/>
              <w:ind w:firstLine="482" w:firstLineChars="200"/>
              <w:rPr>
                <w:rFonts w:cs="Times New Roman"/>
                <w:b/>
                <w:sz w:val="24"/>
                <w:szCs w:val="24"/>
              </w:rPr>
            </w:pPr>
            <w:r>
              <w:rPr>
                <w:rFonts w:cs="Times New Roman"/>
                <w:b/>
                <w:sz w:val="24"/>
                <w:szCs w:val="24"/>
              </w:rPr>
              <w:t>9、厂区平面布置</w:t>
            </w:r>
          </w:p>
          <w:p>
            <w:pPr>
              <w:spacing w:line="360" w:lineRule="auto"/>
              <w:ind w:firstLine="480" w:firstLineChars="200"/>
              <w:rPr>
                <w:rFonts w:cs="Times New Roman"/>
                <w:kern w:val="24"/>
                <w:sz w:val="24"/>
                <w:szCs w:val="24"/>
              </w:rPr>
            </w:pPr>
            <w:r>
              <w:rPr>
                <w:rFonts w:cs="Times New Roman"/>
                <w:kern w:val="24"/>
                <w:sz w:val="24"/>
                <w:szCs w:val="24"/>
              </w:rPr>
              <w:t>本项目</w:t>
            </w:r>
            <w:r>
              <w:rPr>
                <w:rFonts w:cs="Times New Roman"/>
                <w:sz w:val="24"/>
                <w:szCs w:val="24"/>
              </w:rPr>
              <w:t>位于宣汉普光科睿新材料有限公司现有厂区内，依托现有厂房进行建设，原项目位于厂房南侧，占地面积约5000平方米；本项目位于厂房北侧，占地面积约5000平方米，项目生产线自东向西按照生产工艺方案要求布置，危废暂存间利用现有。功能分区明确，布置顺畅、紧凑、合理。</w:t>
            </w:r>
          </w:p>
          <w:p>
            <w:pPr>
              <w:spacing w:line="360" w:lineRule="auto"/>
              <w:ind w:firstLine="480" w:firstLineChars="200"/>
              <w:rPr>
                <w:rFonts w:cs="Times New Roman"/>
                <w:sz w:val="24"/>
                <w:szCs w:val="24"/>
              </w:rPr>
            </w:pPr>
            <w:r>
              <w:rPr>
                <w:rFonts w:cs="Times New Roman"/>
                <w:kern w:val="24"/>
                <w:sz w:val="24"/>
                <w:szCs w:val="24"/>
              </w:rPr>
              <w:t>各功能区之间相互独立、互不干扰。厂区内道路呈环形布置，并同厂区外道路相连，形成畅通的物流、人流及消防通道，便于原料及产品运输，利于消防。</w:t>
            </w:r>
            <w:r>
              <w:rPr>
                <w:rFonts w:cs="Times New Roman"/>
                <w:sz w:val="24"/>
                <w:szCs w:val="24"/>
              </w:rPr>
              <w:t>项目原料在浸胶、烘干环节产生的废气：经二级活性炭装置（一期和二期各一套）吸附处理后分别经一根18m高排气筒（DA005、DA006）排放；天然气燃烧废气：安装低氮燃烧器；食堂油烟经抽油烟机处理后外排。项目生活污水（食堂废水先经隔油池处理）经化粪池处理后排入园区管网进入柳池工业园区污水处理厂处理。噪声采用厂房隔声、低噪声设备等降噪措施，可确保噪声达标排放，不会对周围居民造成影响；固废去向合理，不乱丢。</w:t>
            </w:r>
          </w:p>
          <w:p>
            <w:pPr>
              <w:spacing w:line="360" w:lineRule="auto"/>
              <w:ind w:firstLine="480" w:firstLineChars="200"/>
              <w:rPr>
                <w:rFonts w:cs="Times New Roman"/>
                <w:kern w:val="24"/>
                <w:sz w:val="24"/>
                <w:szCs w:val="24"/>
              </w:rPr>
            </w:pPr>
            <w:r>
              <w:rPr>
                <w:rFonts w:cs="Times New Roman"/>
                <w:sz w:val="24"/>
                <w:szCs w:val="24"/>
              </w:rPr>
              <w:t>综上分析，项目各功能分区明确、间距合理、工艺流程顺畅，场区布局时满足工艺流程，也满足功能分区要求及运输作业要求，环保措施布置合理。因此，评价认为本项目厂区平面布置合理。</w:t>
            </w:r>
            <w:r>
              <w:rPr>
                <w:rFonts w:cs="Times New Roman"/>
                <w:kern w:val="24"/>
                <w:sz w:val="24"/>
                <w:szCs w:val="24"/>
              </w:rPr>
              <w:t>项目总平面布置见附图3-2和附图4。</w:t>
            </w:r>
          </w:p>
          <w:p>
            <w:pPr>
              <w:spacing w:line="360" w:lineRule="auto"/>
              <w:ind w:firstLine="482" w:firstLineChars="200"/>
              <w:rPr>
                <w:rFonts w:cs="Times New Roman"/>
                <w:b/>
                <w:bCs/>
                <w:kern w:val="24"/>
                <w:sz w:val="24"/>
                <w:szCs w:val="24"/>
              </w:rPr>
            </w:pPr>
            <w:r>
              <w:rPr>
                <w:rFonts w:cs="Times New Roman"/>
                <w:b/>
                <w:bCs/>
                <w:kern w:val="24"/>
                <w:sz w:val="24"/>
                <w:szCs w:val="24"/>
              </w:rPr>
              <w:t>10、依托可行性分析</w:t>
            </w:r>
          </w:p>
          <w:p>
            <w:pPr>
              <w:spacing w:line="360" w:lineRule="auto"/>
              <w:ind w:firstLine="480" w:firstLineChars="200"/>
              <w:rPr>
                <w:rFonts w:cs="Times New Roman"/>
                <w:kern w:val="24"/>
                <w:sz w:val="24"/>
                <w:szCs w:val="24"/>
              </w:rPr>
            </w:pPr>
            <w:r>
              <w:rPr>
                <w:rFonts w:cs="Times New Roman"/>
                <w:kern w:val="24"/>
                <w:sz w:val="24"/>
                <w:szCs w:val="24"/>
              </w:rPr>
              <w:t>本项目依托可行性分析见下表：</w:t>
            </w:r>
          </w:p>
          <w:p>
            <w:pPr>
              <w:spacing w:line="360" w:lineRule="auto"/>
              <w:jc w:val="center"/>
              <w:rPr>
                <w:rFonts w:cs="Times New Roman"/>
                <w:b/>
                <w:bCs/>
                <w:kern w:val="24"/>
                <w:sz w:val="24"/>
                <w:szCs w:val="24"/>
              </w:rPr>
            </w:pPr>
            <w:r>
              <w:rPr>
                <w:rFonts w:cs="Times New Roman"/>
                <w:b/>
                <w:bCs/>
                <w:kern w:val="24"/>
                <w:sz w:val="24"/>
                <w:szCs w:val="24"/>
              </w:rPr>
              <w:t>表 2-9 项目依托情况及可行性</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1399"/>
              <w:gridCol w:w="4724"/>
              <w:gridCol w:w="13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tcBorders>
                    <w:tl2br w:val="nil"/>
                    <w:tr2bl w:val="nil"/>
                  </w:tcBorders>
                  <w:shd w:val="clear" w:color="000000" w:themeColor="text1" w:fill="auto"/>
                  <w:vAlign w:val="center"/>
                </w:tcPr>
                <w:p>
                  <w:pPr>
                    <w:jc w:val="center"/>
                    <w:rPr>
                      <w:rFonts w:cs="Times New Roman" w:eastAsiaTheme="minorEastAsia"/>
                      <w:b/>
                      <w:bCs/>
                      <w:szCs w:val="21"/>
                    </w:rPr>
                  </w:pPr>
                  <w:r>
                    <w:rPr>
                      <w:rFonts w:cs="Times New Roman" w:eastAsiaTheme="minorEastAsia"/>
                      <w:b/>
                      <w:bCs/>
                      <w:szCs w:val="21"/>
                    </w:rPr>
                    <w:t>依托项目</w:t>
                  </w:r>
                </w:p>
              </w:tc>
              <w:tc>
                <w:tcPr>
                  <w:tcW w:w="802" w:type="pct"/>
                  <w:tcBorders>
                    <w:tl2br w:val="nil"/>
                    <w:tr2bl w:val="nil"/>
                  </w:tcBorders>
                  <w:shd w:val="clear" w:color="000000" w:themeColor="text1" w:fill="auto"/>
                  <w:vAlign w:val="center"/>
                </w:tcPr>
                <w:p>
                  <w:pPr>
                    <w:jc w:val="center"/>
                    <w:rPr>
                      <w:rFonts w:cs="Times New Roman" w:eastAsiaTheme="minorEastAsia"/>
                      <w:b/>
                      <w:bCs/>
                      <w:szCs w:val="21"/>
                    </w:rPr>
                  </w:pPr>
                  <w:r>
                    <w:rPr>
                      <w:rFonts w:cs="Times New Roman" w:eastAsiaTheme="minorEastAsia"/>
                      <w:b/>
                      <w:bCs/>
                      <w:szCs w:val="21"/>
                    </w:rPr>
                    <w:t>依托设施</w:t>
                  </w:r>
                </w:p>
              </w:tc>
              <w:tc>
                <w:tcPr>
                  <w:tcW w:w="2706" w:type="pct"/>
                  <w:tcBorders>
                    <w:tl2br w:val="nil"/>
                    <w:tr2bl w:val="nil"/>
                  </w:tcBorders>
                  <w:shd w:val="clear" w:color="000000" w:themeColor="text1" w:fill="auto"/>
                  <w:vAlign w:val="center"/>
                </w:tcPr>
                <w:p>
                  <w:pPr>
                    <w:jc w:val="center"/>
                    <w:rPr>
                      <w:rFonts w:cs="Times New Roman" w:eastAsiaTheme="minorEastAsia"/>
                      <w:b/>
                      <w:bCs/>
                      <w:szCs w:val="21"/>
                    </w:rPr>
                  </w:pPr>
                  <w:r>
                    <w:rPr>
                      <w:rFonts w:cs="Times New Roman" w:eastAsiaTheme="minorEastAsia"/>
                      <w:b/>
                      <w:bCs/>
                      <w:szCs w:val="21"/>
                    </w:rPr>
                    <w:t>依托可行性分析</w:t>
                  </w:r>
                </w:p>
              </w:tc>
              <w:tc>
                <w:tcPr>
                  <w:tcW w:w="786" w:type="pct"/>
                  <w:tcBorders>
                    <w:tl2br w:val="nil"/>
                    <w:tr2bl w:val="nil"/>
                  </w:tcBorders>
                  <w:shd w:val="clear" w:color="000000" w:themeColor="text1" w:fill="auto"/>
                  <w:vAlign w:val="center"/>
                </w:tcPr>
                <w:p>
                  <w:pPr>
                    <w:jc w:val="center"/>
                    <w:rPr>
                      <w:rFonts w:cs="Times New Roman" w:eastAsiaTheme="minorEastAsia"/>
                      <w:b/>
                      <w:bCs/>
                      <w:szCs w:val="21"/>
                    </w:rPr>
                  </w:pPr>
                  <w:r>
                    <w:rPr>
                      <w:rFonts w:cs="Times New Roman" w:eastAsiaTheme="minorEastAsia"/>
                      <w:b/>
                      <w:bCs/>
                      <w:szCs w:val="21"/>
                    </w:rPr>
                    <w:t>可行性结论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restart"/>
                  <w:tcBorders>
                    <w:tl2br w:val="nil"/>
                    <w:tr2bl w:val="nil"/>
                  </w:tcBorders>
                  <w:vAlign w:val="center"/>
                </w:tcPr>
                <w:p>
                  <w:pPr>
                    <w:jc w:val="center"/>
                    <w:rPr>
                      <w:rFonts w:cs="Times New Roman" w:eastAsiaTheme="minorEastAsia"/>
                      <w:szCs w:val="21"/>
                    </w:rPr>
                  </w:pPr>
                  <w:r>
                    <w:rPr>
                      <w:rFonts w:cs="Times New Roman" w:eastAsiaTheme="minorEastAsia"/>
                      <w:szCs w:val="21"/>
                    </w:rPr>
                    <w:t>依托现有一期项目</w:t>
                  </w:r>
                </w:p>
              </w:tc>
              <w:tc>
                <w:tcPr>
                  <w:tcW w:w="802" w:type="pct"/>
                  <w:tcBorders>
                    <w:tl2br w:val="nil"/>
                    <w:tr2bl w:val="nil"/>
                  </w:tcBorders>
                  <w:vAlign w:val="center"/>
                </w:tcPr>
                <w:p>
                  <w:pPr>
                    <w:jc w:val="center"/>
                    <w:rPr>
                      <w:rFonts w:cs="Times New Roman" w:eastAsiaTheme="minorEastAsia"/>
                      <w:szCs w:val="21"/>
                    </w:rPr>
                  </w:pPr>
                  <w:r>
                    <w:rPr>
                      <w:rFonts w:cs="Times New Roman" w:eastAsiaTheme="minorEastAsia"/>
                      <w:szCs w:val="21"/>
                    </w:rPr>
                    <w:t>供水</w:t>
                  </w:r>
                </w:p>
              </w:tc>
              <w:tc>
                <w:tcPr>
                  <w:tcW w:w="2706" w:type="pct"/>
                  <w:tcBorders>
                    <w:tl2br w:val="nil"/>
                    <w:tr2bl w:val="nil"/>
                  </w:tcBorders>
                  <w:vAlign w:val="center"/>
                </w:tcPr>
                <w:p>
                  <w:pPr>
                    <w:jc w:val="center"/>
                    <w:rPr>
                      <w:rFonts w:cs="Times New Roman" w:eastAsiaTheme="minorEastAsia"/>
                      <w:szCs w:val="21"/>
                    </w:rPr>
                  </w:pPr>
                  <w:r>
                    <w:rPr>
                      <w:rFonts w:cs="Times New Roman" w:eastAsiaTheme="minorEastAsia"/>
                      <w:szCs w:val="21"/>
                    </w:rPr>
                    <w:t>市政供水</w:t>
                  </w:r>
                </w:p>
              </w:tc>
              <w:tc>
                <w:tcPr>
                  <w:tcW w:w="786" w:type="pct"/>
                  <w:tcBorders>
                    <w:tl2br w:val="nil"/>
                    <w:tr2bl w:val="nil"/>
                  </w:tcBorders>
                  <w:vAlign w:val="center"/>
                </w:tcPr>
                <w:p>
                  <w:pPr>
                    <w:jc w:val="center"/>
                    <w:rPr>
                      <w:rFonts w:cs="Times New Roman" w:eastAsiaTheme="minorEastAsia"/>
                      <w:szCs w:val="21"/>
                    </w:rPr>
                  </w:pPr>
                  <w:r>
                    <w:rPr>
                      <w:rFonts w:cs="Times New Roman" w:eastAsiaTheme="minorEastAsia"/>
                      <w:szCs w:val="21"/>
                    </w:rPr>
                    <w:t>依托可行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continue"/>
                  <w:tcBorders>
                    <w:tl2br w:val="nil"/>
                    <w:tr2bl w:val="nil"/>
                  </w:tcBorders>
                  <w:vAlign w:val="center"/>
                </w:tcPr>
                <w:p>
                  <w:pPr>
                    <w:jc w:val="center"/>
                    <w:rPr>
                      <w:rFonts w:cs="Times New Roman" w:eastAsiaTheme="minorEastAsia"/>
                      <w:szCs w:val="21"/>
                    </w:rPr>
                  </w:pPr>
                </w:p>
              </w:tc>
              <w:tc>
                <w:tcPr>
                  <w:tcW w:w="802" w:type="pct"/>
                  <w:tcBorders>
                    <w:tl2br w:val="nil"/>
                    <w:tr2bl w:val="nil"/>
                  </w:tcBorders>
                  <w:vAlign w:val="center"/>
                </w:tcPr>
                <w:p>
                  <w:pPr>
                    <w:jc w:val="center"/>
                    <w:rPr>
                      <w:rFonts w:cs="Times New Roman" w:eastAsiaTheme="minorEastAsia"/>
                      <w:szCs w:val="21"/>
                    </w:rPr>
                  </w:pPr>
                  <w:r>
                    <w:rPr>
                      <w:rFonts w:cs="Times New Roman" w:eastAsiaTheme="minorEastAsia"/>
                      <w:szCs w:val="21"/>
                    </w:rPr>
                    <w:t>供电</w:t>
                  </w:r>
                </w:p>
              </w:tc>
              <w:tc>
                <w:tcPr>
                  <w:tcW w:w="2706" w:type="pct"/>
                  <w:tcBorders>
                    <w:tl2br w:val="nil"/>
                    <w:tr2bl w:val="nil"/>
                  </w:tcBorders>
                  <w:vAlign w:val="center"/>
                </w:tcPr>
                <w:p>
                  <w:pPr>
                    <w:jc w:val="center"/>
                    <w:rPr>
                      <w:rFonts w:cs="Times New Roman" w:eastAsiaTheme="minorEastAsia"/>
                      <w:szCs w:val="21"/>
                    </w:rPr>
                  </w:pPr>
                  <w:r>
                    <w:rPr>
                      <w:rFonts w:cs="Times New Roman" w:eastAsiaTheme="minorEastAsia"/>
                      <w:szCs w:val="21"/>
                    </w:rPr>
                    <w:t>市政供电</w:t>
                  </w:r>
                </w:p>
              </w:tc>
              <w:tc>
                <w:tcPr>
                  <w:tcW w:w="786" w:type="pct"/>
                  <w:tcBorders>
                    <w:tl2br w:val="nil"/>
                    <w:tr2bl w:val="nil"/>
                  </w:tcBorders>
                  <w:vAlign w:val="center"/>
                </w:tcPr>
                <w:p>
                  <w:pPr>
                    <w:jc w:val="center"/>
                    <w:rPr>
                      <w:rFonts w:cs="Times New Roman" w:eastAsiaTheme="minorEastAsia"/>
                      <w:szCs w:val="21"/>
                    </w:rPr>
                  </w:pPr>
                  <w:r>
                    <w:rPr>
                      <w:rFonts w:cs="Times New Roman" w:eastAsiaTheme="minorEastAsia"/>
                      <w:szCs w:val="21"/>
                    </w:rPr>
                    <w:t>依托可行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continue"/>
                  <w:tcBorders>
                    <w:tl2br w:val="nil"/>
                    <w:tr2bl w:val="nil"/>
                  </w:tcBorders>
                  <w:vAlign w:val="center"/>
                </w:tcPr>
                <w:p>
                  <w:pPr>
                    <w:jc w:val="center"/>
                    <w:rPr>
                      <w:rFonts w:cs="Times New Roman" w:eastAsiaTheme="minorEastAsia"/>
                      <w:szCs w:val="21"/>
                    </w:rPr>
                  </w:pPr>
                </w:p>
              </w:tc>
              <w:tc>
                <w:tcPr>
                  <w:tcW w:w="802" w:type="pct"/>
                  <w:tcBorders>
                    <w:tl2br w:val="nil"/>
                    <w:tr2bl w:val="nil"/>
                  </w:tcBorders>
                  <w:vAlign w:val="center"/>
                </w:tcPr>
                <w:p>
                  <w:pPr>
                    <w:jc w:val="center"/>
                    <w:rPr>
                      <w:rFonts w:cs="Times New Roman" w:eastAsiaTheme="minorEastAsia"/>
                      <w:szCs w:val="21"/>
                    </w:rPr>
                  </w:pPr>
                  <w:r>
                    <w:rPr>
                      <w:rFonts w:cs="Times New Roman" w:eastAsiaTheme="minorEastAsia"/>
                      <w:szCs w:val="21"/>
                    </w:rPr>
                    <w:t>供气</w:t>
                  </w:r>
                </w:p>
              </w:tc>
              <w:tc>
                <w:tcPr>
                  <w:tcW w:w="2706" w:type="pct"/>
                  <w:tcBorders>
                    <w:tl2br w:val="nil"/>
                    <w:tr2bl w:val="nil"/>
                  </w:tcBorders>
                  <w:vAlign w:val="center"/>
                </w:tcPr>
                <w:p>
                  <w:pPr>
                    <w:jc w:val="center"/>
                    <w:rPr>
                      <w:rFonts w:cs="Times New Roman" w:eastAsiaTheme="minorEastAsia"/>
                      <w:szCs w:val="21"/>
                    </w:rPr>
                  </w:pPr>
                  <w:r>
                    <w:rPr>
                      <w:rFonts w:cs="Times New Roman" w:eastAsiaTheme="minorEastAsia"/>
                      <w:szCs w:val="21"/>
                    </w:rPr>
                    <w:t>市政供气</w:t>
                  </w:r>
                </w:p>
              </w:tc>
              <w:tc>
                <w:tcPr>
                  <w:tcW w:w="786" w:type="pct"/>
                  <w:tcBorders>
                    <w:tl2br w:val="nil"/>
                    <w:tr2bl w:val="nil"/>
                  </w:tcBorders>
                  <w:vAlign w:val="center"/>
                </w:tcPr>
                <w:p>
                  <w:pPr>
                    <w:jc w:val="center"/>
                    <w:rPr>
                      <w:rFonts w:cs="Times New Roman" w:eastAsiaTheme="minorEastAsia"/>
                      <w:szCs w:val="21"/>
                    </w:rPr>
                  </w:pPr>
                  <w:r>
                    <w:rPr>
                      <w:rFonts w:cs="Times New Roman" w:eastAsiaTheme="minorEastAsia"/>
                      <w:szCs w:val="21"/>
                    </w:rPr>
                    <w:t>依托可行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continue"/>
                  <w:tcBorders>
                    <w:tl2br w:val="nil"/>
                    <w:tr2bl w:val="nil"/>
                  </w:tcBorders>
                  <w:vAlign w:val="center"/>
                </w:tcPr>
                <w:p>
                  <w:pPr>
                    <w:jc w:val="center"/>
                    <w:rPr>
                      <w:rFonts w:cs="Times New Roman" w:eastAsiaTheme="minorEastAsia"/>
                      <w:szCs w:val="21"/>
                    </w:rPr>
                  </w:pPr>
                </w:p>
              </w:tc>
              <w:tc>
                <w:tcPr>
                  <w:tcW w:w="802" w:type="pct"/>
                  <w:tcBorders>
                    <w:tl2br w:val="nil"/>
                    <w:tr2bl w:val="nil"/>
                  </w:tcBorders>
                  <w:vAlign w:val="center"/>
                </w:tcPr>
                <w:p>
                  <w:pPr>
                    <w:jc w:val="center"/>
                    <w:rPr>
                      <w:rFonts w:cs="Times New Roman" w:eastAsiaTheme="minorEastAsia"/>
                      <w:szCs w:val="21"/>
                    </w:rPr>
                  </w:pPr>
                  <w:r>
                    <w:rPr>
                      <w:rFonts w:cs="Times New Roman" w:eastAsiaTheme="minorEastAsia"/>
                      <w:szCs w:val="21"/>
                    </w:rPr>
                    <w:t>化粪池</w:t>
                  </w:r>
                </w:p>
              </w:tc>
              <w:tc>
                <w:tcPr>
                  <w:tcW w:w="2706" w:type="pct"/>
                  <w:tcBorders>
                    <w:tl2br w:val="nil"/>
                    <w:tr2bl w:val="nil"/>
                  </w:tcBorders>
                  <w:vAlign w:val="center"/>
                </w:tcPr>
                <w:p>
                  <w:pPr>
                    <w:jc w:val="center"/>
                    <w:rPr>
                      <w:rFonts w:cs="Times New Roman" w:eastAsiaTheme="minorEastAsia"/>
                      <w:szCs w:val="21"/>
                    </w:rPr>
                  </w:pPr>
                  <w:r>
                    <w:rPr>
                      <w:rFonts w:cs="Times New Roman" w:eastAsiaTheme="minorEastAsia"/>
                      <w:szCs w:val="21"/>
                    </w:rPr>
                    <w:t>项目现设置有1个化粪池，容积为</w:t>
                  </w:r>
                  <w:r>
                    <w:rPr>
                      <w:rFonts w:cs="Times New Roman"/>
                      <w:szCs w:val="21"/>
                    </w:rPr>
                    <w:t>30m</w:t>
                  </w:r>
                  <w:r>
                    <w:rPr>
                      <w:rFonts w:cs="Times New Roman"/>
                      <w:szCs w:val="21"/>
                      <w:vertAlign w:val="superscript"/>
                    </w:rPr>
                    <w:t>3</w:t>
                  </w:r>
                  <w:r>
                    <w:rPr>
                      <w:rFonts w:cs="Times New Roman" w:eastAsiaTheme="minorEastAsia"/>
                      <w:szCs w:val="21"/>
                    </w:rPr>
                    <w:t>，本项目新增劳动定员20人，废水增加量为2.04</w:t>
                  </w:r>
                  <w:r>
                    <w:rPr>
                      <w:rFonts w:cs="Times New Roman"/>
                      <w:szCs w:val="21"/>
                    </w:rPr>
                    <w:t>m</w:t>
                  </w:r>
                  <w:r>
                    <w:rPr>
                      <w:rFonts w:cs="Times New Roman"/>
                      <w:szCs w:val="21"/>
                      <w:vertAlign w:val="superscript"/>
                    </w:rPr>
                    <w:t>3</w:t>
                  </w:r>
                  <w:r>
                    <w:rPr>
                      <w:rFonts w:cs="Times New Roman" w:eastAsiaTheme="minorEastAsia"/>
                      <w:szCs w:val="21"/>
                    </w:rPr>
                    <w:t>/d，化粪池现有处理量为4.13</w:t>
                  </w:r>
                  <w:r>
                    <w:rPr>
                      <w:rFonts w:cs="Times New Roman"/>
                      <w:szCs w:val="21"/>
                    </w:rPr>
                    <w:t>m</w:t>
                  </w:r>
                  <w:r>
                    <w:rPr>
                      <w:rFonts w:cs="Times New Roman"/>
                      <w:szCs w:val="21"/>
                      <w:vertAlign w:val="superscript"/>
                    </w:rPr>
                    <w:t>3</w:t>
                  </w:r>
                  <w:r>
                    <w:rPr>
                      <w:rFonts w:cs="Times New Roman" w:eastAsiaTheme="minorEastAsia"/>
                      <w:szCs w:val="21"/>
                    </w:rPr>
                    <w:t>/d，剩余处理能力为25.87</w:t>
                  </w:r>
                  <w:r>
                    <w:rPr>
                      <w:rFonts w:cs="Times New Roman"/>
                      <w:szCs w:val="21"/>
                    </w:rPr>
                    <w:t>m</w:t>
                  </w:r>
                  <w:r>
                    <w:rPr>
                      <w:rFonts w:cs="Times New Roman"/>
                      <w:szCs w:val="21"/>
                      <w:vertAlign w:val="superscript"/>
                    </w:rPr>
                    <w:t>3</w:t>
                  </w:r>
                  <w:r>
                    <w:rPr>
                      <w:rFonts w:cs="Times New Roman" w:eastAsiaTheme="minorEastAsia"/>
                      <w:szCs w:val="21"/>
                    </w:rPr>
                    <w:t>/d，故化粪池依托可行。</w:t>
                  </w:r>
                </w:p>
              </w:tc>
              <w:tc>
                <w:tcPr>
                  <w:tcW w:w="786" w:type="pct"/>
                  <w:tcBorders>
                    <w:tl2br w:val="nil"/>
                    <w:tr2bl w:val="nil"/>
                  </w:tcBorders>
                  <w:vAlign w:val="center"/>
                </w:tcPr>
                <w:p>
                  <w:pPr>
                    <w:jc w:val="center"/>
                    <w:rPr>
                      <w:rFonts w:cs="Times New Roman" w:eastAsiaTheme="minorEastAsia"/>
                      <w:szCs w:val="21"/>
                    </w:rPr>
                  </w:pPr>
                  <w:r>
                    <w:rPr>
                      <w:rFonts w:cs="Times New Roman" w:eastAsiaTheme="minorEastAsia"/>
                      <w:szCs w:val="21"/>
                    </w:rPr>
                    <w:t>依托可行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5" w:type="pct"/>
                  <w:vMerge w:val="continue"/>
                  <w:tcBorders>
                    <w:tl2br w:val="nil"/>
                    <w:tr2bl w:val="nil"/>
                  </w:tcBorders>
                  <w:vAlign w:val="center"/>
                </w:tcPr>
                <w:p>
                  <w:pPr>
                    <w:jc w:val="center"/>
                    <w:rPr>
                      <w:rFonts w:cs="Times New Roman" w:eastAsiaTheme="minorEastAsia"/>
                      <w:szCs w:val="21"/>
                    </w:rPr>
                  </w:pPr>
                </w:p>
              </w:tc>
              <w:tc>
                <w:tcPr>
                  <w:tcW w:w="802" w:type="pct"/>
                  <w:tcBorders>
                    <w:tl2br w:val="nil"/>
                    <w:tr2bl w:val="nil"/>
                  </w:tcBorders>
                  <w:vAlign w:val="center"/>
                </w:tcPr>
                <w:p>
                  <w:pPr>
                    <w:jc w:val="center"/>
                    <w:rPr>
                      <w:rFonts w:cs="Times New Roman" w:eastAsiaTheme="minorEastAsia"/>
                      <w:szCs w:val="21"/>
                    </w:rPr>
                  </w:pPr>
                  <w:r>
                    <w:rPr>
                      <w:rFonts w:cs="Times New Roman" w:eastAsiaTheme="minorEastAsia"/>
                      <w:szCs w:val="21"/>
                    </w:rPr>
                    <w:t>危废暂存间</w:t>
                  </w:r>
                </w:p>
              </w:tc>
              <w:tc>
                <w:tcPr>
                  <w:tcW w:w="2706" w:type="pct"/>
                  <w:tcBorders>
                    <w:tl2br w:val="nil"/>
                    <w:tr2bl w:val="nil"/>
                  </w:tcBorders>
                  <w:vAlign w:val="center"/>
                </w:tcPr>
                <w:p>
                  <w:pPr>
                    <w:rPr>
                      <w:rFonts w:cs="Times New Roman" w:eastAsiaTheme="minorEastAsia"/>
                      <w:szCs w:val="21"/>
                    </w:rPr>
                  </w:pPr>
                  <w:r>
                    <w:rPr>
                      <w:rFonts w:cs="Times New Roman" w:eastAsiaTheme="minorEastAsia"/>
                      <w:szCs w:val="21"/>
                    </w:rPr>
                    <w:t>现有危废暂存间一处，位于</w:t>
                  </w:r>
                  <w:r>
                    <w:rPr>
                      <w:rFonts w:cs="Times New Roman"/>
                      <w:szCs w:val="21"/>
                      <w:lang w:bidi="ar"/>
                    </w:rPr>
                    <w:t>生产车间东北侧，建筑面积15m</w:t>
                  </w:r>
                  <w:r>
                    <w:rPr>
                      <w:rFonts w:cs="Times New Roman"/>
                      <w:szCs w:val="21"/>
                      <w:vertAlign w:val="superscript"/>
                      <w:lang w:bidi="ar"/>
                    </w:rPr>
                    <w:t>2</w:t>
                  </w:r>
                  <w:r>
                    <w:rPr>
                      <w:rFonts w:cs="Times New Roman"/>
                      <w:szCs w:val="21"/>
                      <w:lang w:bidi="ar"/>
                    </w:rPr>
                    <w:t>，</w:t>
                  </w:r>
                  <w:r>
                    <w:rPr>
                      <w:rFonts w:cs="Times New Roman" w:eastAsiaTheme="minorEastAsia"/>
                      <w:szCs w:val="21"/>
                    </w:rPr>
                    <w:t>危废暂存间已进行防风、防雨、防晒、防渗设置，分类堆放，按相关规定做好危废化学品包装桶区地面硬化、铺设防渗层。企业现有项目已使用危废间5m</w:t>
                  </w:r>
                  <w:r>
                    <w:rPr>
                      <w:rFonts w:cs="Times New Roman" w:eastAsiaTheme="minorEastAsia"/>
                      <w:szCs w:val="21"/>
                      <w:vertAlign w:val="superscript"/>
                    </w:rPr>
                    <w:t>2</w:t>
                  </w:r>
                  <w:r>
                    <w:rPr>
                      <w:rFonts w:cs="Times New Roman" w:eastAsiaTheme="minorEastAsia"/>
                      <w:szCs w:val="21"/>
                    </w:rPr>
                    <w:t>，本项目需要面积5m</w:t>
                  </w:r>
                  <w:r>
                    <w:rPr>
                      <w:rFonts w:cs="Times New Roman" w:eastAsiaTheme="minorEastAsia"/>
                      <w:szCs w:val="21"/>
                      <w:vertAlign w:val="superscript"/>
                    </w:rPr>
                    <w:t>2</w:t>
                  </w:r>
                  <w:r>
                    <w:rPr>
                      <w:rFonts w:cs="Times New Roman"/>
                      <w:szCs w:val="21"/>
                    </w:rPr>
                    <w:t>，故依托可行</w:t>
                  </w:r>
                  <w:r>
                    <w:rPr>
                      <w:rFonts w:cs="Times New Roman" w:eastAsiaTheme="minorEastAsia"/>
                      <w:szCs w:val="21"/>
                    </w:rPr>
                    <w:t>。</w:t>
                  </w:r>
                </w:p>
              </w:tc>
              <w:tc>
                <w:tcPr>
                  <w:tcW w:w="786" w:type="pct"/>
                  <w:tcBorders>
                    <w:tl2br w:val="nil"/>
                    <w:tr2bl w:val="nil"/>
                  </w:tcBorders>
                  <w:vAlign w:val="center"/>
                </w:tcPr>
                <w:p>
                  <w:pPr>
                    <w:jc w:val="center"/>
                    <w:rPr>
                      <w:rFonts w:cs="Times New Roman" w:eastAsiaTheme="minorEastAsia"/>
                      <w:szCs w:val="21"/>
                    </w:rPr>
                  </w:pPr>
                  <w:r>
                    <w:rPr>
                      <w:rFonts w:cs="Times New Roman" w:eastAsiaTheme="minorEastAsia"/>
                      <w:szCs w:val="21"/>
                    </w:rPr>
                    <w:t>依托可行</w:t>
                  </w:r>
                </w:p>
              </w:tc>
            </w:tr>
          </w:tbl>
          <w:p>
            <w:pPr>
              <w:spacing w:line="360" w:lineRule="auto"/>
              <w:rPr>
                <w:rFonts w:cs="Times New Roman"/>
                <w:kern w:val="2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24" w:type="dxa"/>
            <w:vAlign w:val="center"/>
          </w:tcPr>
          <w:p>
            <w:pPr>
              <w:jc w:val="center"/>
              <w:rPr>
                <w:rFonts w:cs="Times New Roman"/>
                <w:sz w:val="24"/>
                <w:szCs w:val="24"/>
              </w:rPr>
            </w:pPr>
            <w:r>
              <w:rPr>
                <w:rFonts w:cs="Times New Roman"/>
                <w:sz w:val="24"/>
                <w:szCs w:val="24"/>
              </w:rPr>
              <w:t>工艺流程和产排污环节</w:t>
            </w:r>
          </w:p>
        </w:tc>
        <w:tc>
          <w:tcPr>
            <w:tcW w:w="8946" w:type="dxa"/>
            <w:vAlign w:val="center"/>
          </w:tcPr>
          <w:p>
            <w:pPr>
              <w:spacing w:line="360" w:lineRule="auto"/>
              <w:ind w:firstLine="482" w:firstLineChars="200"/>
              <w:rPr>
                <w:rFonts w:cs="Times New Roman"/>
                <w:b/>
                <w:bCs/>
                <w:sz w:val="24"/>
                <w:szCs w:val="24"/>
              </w:rPr>
            </w:pPr>
            <w:r>
              <w:rPr>
                <w:rFonts w:cs="Times New Roman"/>
                <w:b/>
                <w:bCs/>
                <w:sz w:val="24"/>
                <w:szCs w:val="24"/>
              </w:rPr>
              <w:t>工艺流程及污染工艺流程简述（图示）：</w:t>
            </w:r>
          </w:p>
          <w:p>
            <w:pPr>
              <w:spacing w:line="360" w:lineRule="auto"/>
              <w:ind w:firstLine="482" w:firstLineChars="200"/>
              <w:rPr>
                <w:rFonts w:cs="Times New Roman"/>
                <w:b/>
                <w:bCs/>
                <w:sz w:val="24"/>
                <w:szCs w:val="24"/>
              </w:rPr>
            </w:pPr>
            <w:r>
              <w:rPr>
                <w:rFonts w:cs="Times New Roman"/>
                <w:b/>
                <w:bCs/>
                <w:sz w:val="24"/>
                <w:szCs w:val="24"/>
              </w:rPr>
              <w:t>1、施工期工艺流程和产污环节</w:t>
            </w:r>
          </w:p>
          <w:p>
            <w:pPr>
              <w:spacing w:line="360" w:lineRule="auto"/>
              <w:ind w:firstLine="480" w:firstLineChars="200"/>
              <w:rPr>
                <w:rFonts w:cs="Times New Roman"/>
                <w:sz w:val="24"/>
                <w:szCs w:val="24"/>
              </w:rPr>
            </w:pPr>
            <w:r>
              <w:rPr>
                <w:rFonts w:cs="Times New Roman"/>
                <w:sz w:val="24"/>
                <w:szCs w:val="24"/>
              </w:rPr>
              <w:t>本项目在宣汉普光科睿新材料有限公司现有厂房内。施工期仅对厂房进行简单装修改造，并安装设备调试，无房屋基础建设，不涉及基础开挖、土石方工程等。施工期工艺流程及产污环节如图2-2所示。</w:t>
            </w:r>
          </w:p>
          <w:p>
            <w:pPr>
              <w:spacing w:line="360" w:lineRule="auto"/>
              <w:jc w:val="center"/>
              <w:rPr>
                <w:rFonts w:cs="Times New Roman"/>
                <w:sz w:val="24"/>
                <w:szCs w:val="24"/>
              </w:rPr>
            </w:pPr>
            <w:r>
              <w:rPr>
                <w:rFonts w:cs="Times New Roman"/>
              </w:rPr>
              <w:object>
                <v:shape id="_x0000_i1028" o:spt="75" type="#_x0000_t75" style="height:121.6pt;width:293.3pt;" o:ole="t" filled="f" o:preferrelative="t" stroked="f" coordsize="21600,21600">
                  <v:path/>
                  <v:fill on="f" focussize="0,0"/>
                  <v:stroke on="f" joinstyle="miter"/>
                  <v:imagedata r:id="rId21" o:title=""/>
                  <o:lock v:ext="edit" aspectratio="t"/>
                  <w10:wrap type="none"/>
                  <w10:anchorlock/>
                </v:shape>
                <o:OLEObject Type="Embed" ProgID="Visio.DrawingConvertable.15" ShapeID="_x0000_i1028" DrawAspect="Content" ObjectID="_1468075728" r:id="rId20">
                  <o:LockedField>false</o:LockedField>
                </o:OLEObject>
              </w:object>
            </w:r>
          </w:p>
          <w:p>
            <w:pPr>
              <w:spacing w:line="360" w:lineRule="auto"/>
              <w:jc w:val="center"/>
              <w:rPr>
                <w:rFonts w:cs="Times New Roman"/>
                <w:b/>
                <w:bCs/>
                <w:sz w:val="24"/>
                <w:szCs w:val="24"/>
              </w:rPr>
            </w:pPr>
            <w:r>
              <w:rPr>
                <w:rFonts w:cs="Times New Roman"/>
                <w:b/>
                <w:bCs/>
                <w:sz w:val="24"/>
                <w:szCs w:val="24"/>
              </w:rPr>
              <w:t>图2-4  施工期工艺流程及产污环节图</w:t>
            </w:r>
          </w:p>
          <w:p>
            <w:pPr>
              <w:spacing w:line="360" w:lineRule="auto"/>
              <w:ind w:firstLine="482" w:firstLineChars="200"/>
              <w:rPr>
                <w:rFonts w:cs="Times New Roman"/>
                <w:b/>
                <w:bCs/>
                <w:sz w:val="24"/>
                <w:szCs w:val="24"/>
              </w:rPr>
            </w:pPr>
            <w:r>
              <w:rPr>
                <w:rFonts w:cs="Times New Roman"/>
                <w:b/>
                <w:bCs/>
                <w:sz w:val="24"/>
                <w:szCs w:val="24"/>
              </w:rPr>
              <w:t>主要工序简述：</w:t>
            </w:r>
          </w:p>
          <w:p>
            <w:pPr>
              <w:spacing w:line="360" w:lineRule="auto"/>
              <w:ind w:firstLine="480" w:firstLineChars="200"/>
              <w:rPr>
                <w:rFonts w:cs="Times New Roman"/>
                <w:sz w:val="24"/>
                <w:szCs w:val="24"/>
              </w:rPr>
            </w:pPr>
            <w:r>
              <w:rPr>
                <w:rFonts w:cs="Times New Roman"/>
                <w:sz w:val="24"/>
                <w:szCs w:val="24"/>
              </w:rPr>
              <w:t>①装饰工程</w:t>
            </w:r>
          </w:p>
          <w:p>
            <w:pPr>
              <w:spacing w:line="360" w:lineRule="auto"/>
              <w:ind w:firstLine="480" w:firstLineChars="200"/>
              <w:rPr>
                <w:rFonts w:cs="Times New Roman"/>
                <w:sz w:val="24"/>
                <w:szCs w:val="24"/>
              </w:rPr>
            </w:pPr>
            <w:r>
              <w:rPr>
                <w:rFonts w:cs="Times New Roman"/>
                <w:sz w:val="24"/>
                <w:szCs w:val="24"/>
              </w:rPr>
              <w:t>在对构筑物的室内外进行装修时（如表面粉刷、喷涂、裱糊等），钻机、电锤等产生噪声，涂料产生废气、废弃物料及污水。</w:t>
            </w:r>
          </w:p>
          <w:p>
            <w:pPr>
              <w:spacing w:line="360" w:lineRule="auto"/>
              <w:ind w:firstLine="480" w:firstLineChars="200"/>
              <w:rPr>
                <w:rFonts w:cs="Times New Roman"/>
                <w:sz w:val="24"/>
                <w:szCs w:val="24"/>
              </w:rPr>
            </w:pPr>
            <w:r>
              <w:rPr>
                <w:rFonts w:cs="Times New Roman"/>
                <w:sz w:val="24"/>
                <w:szCs w:val="24"/>
              </w:rPr>
              <w:t>②设备安装</w:t>
            </w:r>
          </w:p>
          <w:p>
            <w:pPr>
              <w:spacing w:line="360" w:lineRule="auto"/>
              <w:ind w:firstLine="480" w:firstLineChars="200"/>
              <w:rPr>
                <w:rFonts w:cs="Times New Roman"/>
                <w:sz w:val="24"/>
                <w:szCs w:val="24"/>
              </w:rPr>
            </w:pPr>
            <w:r>
              <w:rPr>
                <w:rFonts w:cs="Times New Roman"/>
                <w:sz w:val="24"/>
                <w:szCs w:val="24"/>
              </w:rPr>
              <w:t>主要包括车间生产设备以及配套环保设施设备安装。</w:t>
            </w:r>
            <w:r>
              <w:rPr>
                <w:rFonts w:hint="eastAsia" w:cs="Times New Roman"/>
                <w:sz w:val="24"/>
                <w:szCs w:val="24"/>
              </w:rPr>
              <w:t>主要污染物为噪声</w:t>
            </w:r>
            <w:r>
              <w:rPr>
                <w:rFonts w:hint="eastAsia" w:cs="Times New Roman"/>
                <w:sz w:val="24"/>
                <w:szCs w:val="24"/>
                <w:lang w:eastAsia="zh-CN"/>
              </w:rPr>
              <w:t>、</w:t>
            </w:r>
            <w:r>
              <w:rPr>
                <w:rFonts w:hint="eastAsia" w:cs="Times New Roman"/>
                <w:sz w:val="24"/>
                <w:szCs w:val="24"/>
                <w:lang w:val="en-US" w:eastAsia="zh-CN"/>
              </w:rPr>
              <w:t>固废、废气</w:t>
            </w:r>
            <w:r>
              <w:rPr>
                <w:rFonts w:hint="eastAsia" w:cs="Times New Roman"/>
                <w:sz w:val="24"/>
                <w:szCs w:val="24"/>
              </w:rPr>
              <w:t>。</w:t>
            </w:r>
          </w:p>
          <w:p>
            <w:pPr>
              <w:spacing w:line="360" w:lineRule="auto"/>
              <w:ind w:firstLine="480" w:firstLineChars="200"/>
              <w:rPr>
                <w:rFonts w:cs="Times New Roman"/>
                <w:sz w:val="24"/>
                <w:szCs w:val="24"/>
              </w:rPr>
            </w:pPr>
            <w:r>
              <w:rPr>
                <w:rFonts w:cs="Times New Roman"/>
                <w:sz w:val="24"/>
                <w:szCs w:val="24"/>
              </w:rPr>
              <w:t>③设备调试</w:t>
            </w:r>
          </w:p>
          <w:p>
            <w:pPr>
              <w:spacing w:line="360" w:lineRule="auto"/>
              <w:ind w:firstLine="480" w:firstLineChars="200"/>
              <w:rPr>
                <w:rFonts w:cs="Times New Roman"/>
                <w:sz w:val="24"/>
                <w:szCs w:val="24"/>
              </w:rPr>
            </w:pPr>
            <w:r>
              <w:rPr>
                <w:rFonts w:cs="Times New Roman"/>
                <w:sz w:val="24"/>
                <w:szCs w:val="24"/>
              </w:rPr>
              <w:t>对安装好的设备和环保设备进行调试，看是否符合标准。</w:t>
            </w:r>
            <w:r>
              <w:rPr>
                <w:rFonts w:hint="eastAsia" w:cs="Times New Roman"/>
                <w:sz w:val="24"/>
                <w:szCs w:val="24"/>
              </w:rPr>
              <w:t>主要污染物为噪声。</w:t>
            </w:r>
          </w:p>
          <w:p>
            <w:pPr>
              <w:spacing w:line="360" w:lineRule="auto"/>
              <w:ind w:firstLine="482" w:firstLineChars="200"/>
              <w:rPr>
                <w:rFonts w:cs="Times New Roman"/>
                <w:b/>
                <w:bCs/>
                <w:sz w:val="24"/>
                <w:szCs w:val="24"/>
              </w:rPr>
            </w:pPr>
            <w:r>
              <w:rPr>
                <w:rFonts w:cs="Times New Roman"/>
                <w:b/>
                <w:bCs/>
                <w:sz w:val="24"/>
                <w:szCs w:val="24"/>
              </w:rPr>
              <w:t>2、运营期工艺流程和产污环节</w:t>
            </w:r>
          </w:p>
          <w:p>
            <w:pPr>
              <w:spacing w:line="360" w:lineRule="auto"/>
              <w:ind w:firstLine="480" w:firstLineChars="200"/>
              <w:rPr>
                <w:rFonts w:cs="Times New Roman"/>
                <w:sz w:val="24"/>
                <w:szCs w:val="24"/>
              </w:rPr>
            </w:pPr>
            <w:r>
              <w:rPr>
                <w:rFonts w:cs="Times New Roman"/>
                <w:sz w:val="24"/>
                <w:szCs w:val="24"/>
              </w:rPr>
              <w:t>本项目生产工艺主要是利用玻璃纤维短切原丝和加筋纱生产湿法薄毡，项目工艺流程及产污环节见图2-4。</w:t>
            </w:r>
          </w:p>
          <w:p>
            <w:pPr>
              <w:spacing w:line="360" w:lineRule="auto"/>
              <w:jc w:val="center"/>
              <w:rPr>
                <w:rFonts w:cs="Times New Roman"/>
                <w:sz w:val="24"/>
                <w:szCs w:val="24"/>
              </w:rPr>
            </w:pPr>
            <w:r>
              <w:rPr>
                <w:rFonts w:cs="Times New Roman"/>
                <w:sz w:val="24"/>
                <w:szCs w:val="24"/>
              </w:rPr>
              <w:object>
                <v:shape id="_x0000_i1029" o:spt="75" type="#_x0000_t75" style="height:412.55pt;width:428.35pt;" o:ole="t" filled="f" o:preferrelative="t" stroked="f" coordsize="21600,21600">
                  <v:path/>
                  <v:fill on="f" focussize="0,0"/>
                  <v:stroke on="f" joinstyle="miter"/>
                  <v:imagedata r:id="rId23" o:title=""/>
                  <o:lock v:ext="edit" aspectratio="t"/>
                  <w10:wrap type="none"/>
                  <w10:anchorlock/>
                </v:shape>
                <o:OLEObject Type="Embed" ProgID="Visio.Drawing.11" ShapeID="_x0000_i1029" DrawAspect="Content" ObjectID="_1468075729" r:id="rId22">
                  <o:LockedField>false</o:LockedField>
                </o:OLEObject>
              </w:object>
            </w:r>
          </w:p>
          <w:p>
            <w:pPr>
              <w:spacing w:line="360" w:lineRule="auto"/>
              <w:jc w:val="center"/>
              <w:rPr>
                <w:rFonts w:cs="Times New Roman"/>
                <w:b/>
                <w:bCs/>
                <w:sz w:val="24"/>
                <w:szCs w:val="24"/>
              </w:rPr>
            </w:pPr>
            <w:r>
              <w:rPr>
                <w:rFonts w:cs="Times New Roman"/>
                <w:b/>
                <w:bCs/>
                <w:sz w:val="24"/>
                <w:szCs w:val="24"/>
              </w:rPr>
              <w:t>图2-5  本项目生产工艺流程及产污环节图</w:t>
            </w:r>
          </w:p>
          <w:p>
            <w:pPr>
              <w:spacing w:line="360" w:lineRule="auto"/>
              <w:ind w:firstLine="482" w:firstLineChars="200"/>
              <w:rPr>
                <w:rFonts w:cs="Times New Roman"/>
                <w:b/>
                <w:bCs/>
                <w:sz w:val="24"/>
                <w:szCs w:val="24"/>
              </w:rPr>
            </w:pPr>
            <w:r>
              <w:rPr>
                <w:rFonts w:cs="Times New Roman"/>
                <w:b/>
                <w:bCs/>
                <w:sz w:val="24"/>
                <w:szCs w:val="24"/>
              </w:rPr>
              <w:t>工艺流程简述：</w:t>
            </w:r>
          </w:p>
          <w:p>
            <w:pPr>
              <w:spacing w:line="360" w:lineRule="auto"/>
              <w:ind w:firstLine="480" w:firstLineChars="200"/>
              <w:rPr>
                <w:rFonts w:cs="Times New Roman"/>
                <w:sz w:val="24"/>
                <w:szCs w:val="24"/>
              </w:rPr>
            </w:pPr>
            <w:r>
              <w:rPr>
                <w:rFonts w:cs="Times New Roman"/>
                <w:sz w:val="24"/>
                <w:szCs w:val="24"/>
              </w:rPr>
              <w:t>①原料上料、称重、搅拌</w:t>
            </w:r>
          </w:p>
          <w:p>
            <w:pPr>
              <w:spacing w:line="360" w:lineRule="auto"/>
              <w:ind w:firstLine="480" w:firstLineChars="200"/>
              <w:rPr>
                <w:rFonts w:cs="Times New Roman"/>
                <w:sz w:val="24"/>
                <w:szCs w:val="24"/>
              </w:rPr>
            </w:pPr>
            <w:r>
              <w:rPr>
                <w:rFonts w:cs="Times New Roman"/>
                <w:sz w:val="24"/>
                <w:szCs w:val="24"/>
              </w:rPr>
              <w:t>玻璃纤维短切丝由斗式提升机加入进纤维供料机内，经喂料轮和皮带输送机送到皮带秤上，连续称量后加入到搅拌罐中，加入水和分散剂一起搅拌和分散；</w:t>
            </w:r>
          </w:p>
          <w:p>
            <w:pPr>
              <w:spacing w:line="360" w:lineRule="auto"/>
              <w:jc w:val="center"/>
              <w:rPr>
                <w:rFonts w:cs="Times New Roman"/>
                <w:sz w:val="24"/>
                <w:szCs w:val="24"/>
              </w:rPr>
            </w:pPr>
            <w:r>
              <w:rPr>
                <w:rFonts w:cs="Times New Roman"/>
              </w:rPr>
              <w:drawing>
                <wp:inline distT="0" distB="0" distL="114300" distR="114300">
                  <wp:extent cx="1666875" cy="1605915"/>
                  <wp:effectExtent l="0" t="0" r="9525" b="1333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pic:cNvPicPr>
                        </pic:nvPicPr>
                        <pic:blipFill>
                          <a:blip r:embed="rId24"/>
                          <a:stretch>
                            <a:fillRect/>
                          </a:stretch>
                        </pic:blipFill>
                        <pic:spPr>
                          <a:xfrm>
                            <a:off x="0" y="0"/>
                            <a:ext cx="1666875" cy="1605915"/>
                          </a:xfrm>
                          <a:prstGeom prst="rect">
                            <a:avLst/>
                          </a:prstGeom>
                          <a:noFill/>
                          <a:ln>
                            <a:noFill/>
                          </a:ln>
                        </pic:spPr>
                      </pic:pic>
                    </a:graphicData>
                  </a:graphic>
                </wp:inline>
              </w:drawing>
            </w:r>
          </w:p>
          <w:p>
            <w:pPr>
              <w:spacing w:line="360" w:lineRule="auto"/>
              <w:jc w:val="center"/>
              <w:rPr>
                <w:rFonts w:cs="Times New Roman"/>
                <w:b/>
                <w:bCs/>
                <w:sz w:val="24"/>
                <w:szCs w:val="24"/>
              </w:rPr>
            </w:pPr>
            <w:r>
              <w:rPr>
                <w:rFonts w:cs="Times New Roman"/>
                <w:b/>
                <w:bCs/>
                <w:sz w:val="24"/>
                <w:szCs w:val="24"/>
              </w:rPr>
              <w:t>玻璃纤维短切丝</w:t>
            </w:r>
          </w:p>
          <w:p>
            <w:pPr>
              <w:spacing w:line="360" w:lineRule="auto"/>
              <w:ind w:firstLine="480" w:firstLineChars="200"/>
              <w:rPr>
                <w:rFonts w:cs="Times New Roman"/>
                <w:sz w:val="24"/>
                <w:szCs w:val="24"/>
              </w:rPr>
            </w:pPr>
            <w:r>
              <w:rPr>
                <w:rFonts w:cs="Times New Roman"/>
                <w:sz w:val="24"/>
                <w:szCs w:val="24"/>
              </w:rPr>
              <w:t>此工序会产生噪声。</w:t>
            </w:r>
          </w:p>
          <w:p>
            <w:pPr>
              <w:spacing w:line="360" w:lineRule="auto"/>
              <w:ind w:firstLine="480" w:firstLineChars="200"/>
              <w:rPr>
                <w:rFonts w:cs="Times New Roman"/>
                <w:sz w:val="24"/>
                <w:szCs w:val="24"/>
              </w:rPr>
            </w:pPr>
            <w:r>
              <w:rPr>
                <w:rFonts w:cs="Times New Roman"/>
                <w:sz w:val="24"/>
                <w:szCs w:val="24"/>
              </w:rPr>
              <w:t>②脱水</w:t>
            </w:r>
          </w:p>
          <w:p>
            <w:pPr>
              <w:spacing w:line="360" w:lineRule="auto"/>
              <w:ind w:firstLine="480" w:firstLineChars="200"/>
              <w:rPr>
                <w:rFonts w:hint="default" w:eastAsia="宋体" w:cs="Times New Roman"/>
                <w:color w:val="000000" w:themeColor="text1"/>
                <w:sz w:val="24"/>
                <w:szCs w:val="24"/>
                <w:lang w:val="en-US" w:eastAsia="zh-CN"/>
                <w14:textFill>
                  <w14:solidFill>
                    <w14:schemeClr w14:val="tx1"/>
                  </w14:solidFill>
                </w14:textFill>
              </w:rPr>
            </w:pPr>
            <w:r>
              <w:rPr>
                <w:rFonts w:cs="Times New Roman"/>
                <w:color w:val="000000" w:themeColor="text1"/>
                <w:sz w:val="24"/>
                <w:szCs w:val="24"/>
                <w14:textFill>
                  <w14:solidFill>
                    <w14:schemeClr w14:val="tx1"/>
                  </w14:solidFill>
                </w14:textFill>
              </w:rPr>
              <w:t>加入加筋纱与分散剂和玻璃纤维均匀混合后经网前箱泵进入到网前箱，纤维沉降到斜网上进行脱水，</w:t>
            </w:r>
            <w:r>
              <w:rPr>
                <w:rFonts w:hint="eastAsia" w:cs="Times New Roman"/>
                <w:color w:val="000000" w:themeColor="text1"/>
                <w:sz w:val="24"/>
                <w:szCs w:val="24"/>
                <w:lang w:val="en-US" w:eastAsia="zh-CN"/>
                <w14:textFill>
                  <w14:solidFill>
                    <w14:schemeClr w14:val="tx1"/>
                  </w14:solidFill>
                </w14:textFill>
              </w:rPr>
              <w:t>脱干的水通过白水池、溢水池到达废浆池，在废浆池中加入消泡剂和增稠剂，然后通过提升泵把水泵入搅拌罐中，实现水回用。</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此工序会产生噪声。</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③浸胶</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湿毡进入浸胶槽中施加粘结剂（</w:t>
            </w:r>
            <w:r>
              <w:rPr>
                <w:rFonts w:hint="eastAsia" w:cs="Times New Roman"/>
                <w:color w:val="000000" w:themeColor="text1"/>
                <w:sz w:val="24"/>
                <w:szCs w:val="24"/>
                <w14:textFill>
                  <w14:solidFill>
                    <w14:schemeClr w14:val="tx1"/>
                  </w14:solidFill>
                </w14:textFill>
              </w:rPr>
              <w:t>水性功能乳液</w:t>
            </w:r>
            <w:r>
              <w:rPr>
                <w:rFonts w:cs="Times New Roman"/>
                <w:color w:val="000000" w:themeColor="text1"/>
                <w:sz w:val="24"/>
                <w:szCs w:val="24"/>
                <w14:textFill>
                  <w14:solidFill>
                    <w14:schemeClr w14:val="tx1"/>
                  </w14:solidFill>
                </w14:textFill>
              </w:rPr>
              <w:t>和脲醛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和水混合），浸胶后，多余的粘结剂</w:t>
            </w:r>
            <w:r>
              <w:rPr>
                <w:rFonts w:hint="eastAsia" w:cs="Times New Roman"/>
                <w:color w:val="000000" w:themeColor="text1"/>
                <w:sz w:val="24"/>
                <w:szCs w:val="24"/>
                <w:lang w:val="en-US" w:eastAsia="zh-CN"/>
                <w14:textFill>
                  <w14:solidFill>
                    <w14:schemeClr w14:val="tx1"/>
                  </w14:solidFill>
                </w14:textFill>
              </w:rPr>
              <w:t>进入</w:t>
            </w:r>
            <w:r>
              <w:rPr>
                <w:rFonts w:cs="Times New Roman"/>
                <w:color w:val="000000" w:themeColor="text1"/>
                <w:sz w:val="24"/>
                <w:szCs w:val="24"/>
                <w14:textFill>
                  <w14:solidFill>
                    <w14:schemeClr w14:val="tx1"/>
                  </w14:solidFill>
                </w14:textFill>
              </w:rPr>
              <w:t>粘结剂循环系统。</w:t>
            </w:r>
          </w:p>
          <w:p>
            <w:pPr>
              <w:spacing w:line="360" w:lineRule="auto"/>
              <w:ind w:firstLine="480" w:firstLineChars="200"/>
              <w:rPr>
                <w:rFonts w:cs="Times New Roman"/>
                <w:sz w:val="24"/>
                <w:szCs w:val="24"/>
              </w:rPr>
            </w:pPr>
            <w:r>
              <w:rPr>
                <w:rFonts w:cs="Times New Roman"/>
                <w:sz w:val="24"/>
                <w:szCs w:val="24"/>
              </w:rPr>
              <w:t>此工序会产生噪声和有机废气。</w:t>
            </w:r>
          </w:p>
          <w:p>
            <w:pPr>
              <w:spacing w:line="360" w:lineRule="auto"/>
              <w:ind w:firstLine="480" w:firstLineChars="200"/>
              <w:rPr>
                <w:rFonts w:cs="Times New Roman"/>
                <w:sz w:val="24"/>
                <w:szCs w:val="24"/>
              </w:rPr>
            </w:pPr>
            <w:r>
              <w:rPr>
                <w:rFonts w:cs="Times New Roman"/>
                <w:sz w:val="24"/>
                <w:szCs w:val="24"/>
              </w:rPr>
              <w:t>④切割</w:t>
            </w:r>
          </w:p>
          <w:p>
            <w:pPr>
              <w:spacing w:line="360" w:lineRule="auto"/>
              <w:ind w:firstLine="480" w:firstLineChars="200"/>
              <w:rPr>
                <w:rFonts w:cs="Times New Roman"/>
                <w:sz w:val="24"/>
                <w:szCs w:val="24"/>
              </w:rPr>
            </w:pPr>
            <w:r>
              <w:rPr>
                <w:rFonts w:cs="Times New Roman"/>
                <w:sz w:val="24"/>
                <w:szCs w:val="24"/>
              </w:rPr>
              <w:t>浸胶后的毡按客户要求尺寸进行切边</w:t>
            </w:r>
          </w:p>
          <w:p>
            <w:pPr>
              <w:spacing w:line="360" w:lineRule="auto"/>
              <w:ind w:firstLine="480" w:firstLineChars="200"/>
              <w:rPr>
                <w:rFonts w:cs="Times New Roman"/>
                <w:sz w:val="24"/>
                <w:szCs w:val="24"/>
              </w:rPr>
            </w:pPr>
            <w:r>
              <w:rPr>
                <w:rFonts w:cs="Times New Roman"/>
                <w:sz w:val="24"/>
                <w:szCs w:val="24"/>
              </w:rPr>
              <w:t>此工序会产生噪声和下脚料。</w:t>
            </w:r>
          </w:p>
          <w:p>
            <w:pPr>
              <w:spacing w:line="360" w:lineRule="auto"/>
              <w:ind w:firstLine="480" w:firstLineChars="200"/>
              <w:rPr>
                <w:rFonts w:cs="Times New Roman"/>
                <w:sz w:val="24"/>
                <w:szCs w:val="24"/>
              </w:rPr>
            </w:pPr>
            <w:r>
              <w:rPr>
                <w:rFonts w:cs="Times New Roman"/>
                <w:sz w:val="24"/>
                <w:szCs w:val="24"/>
              </w:rPr>
              <w:t>⑤烘干</w:t>
            </w:r>
          </w:p>
          <w:p>
            <w:pPr>
              <w:spacing w:line="360" w:lineRule="auto"/>
              <w:ind w:firstLine="480" w:firstLineChars="200"/>
              <w:rPr>
                <w:rFonts w:cs="Times New Roman"/>
                <w:sz w:val="24"/>
                <w:szCs w:val="24"/>
              </w:rPr>
            </w:pPr>
            <w:r>
              <w:rPr>
                <w:rFonts w:cs="Times New Roman"/>
                <w:sz w:val="24"/>
                <w:szCs w:val="24"/>
              </w:rPr>
              <w:t>切割后的含胶玻纤毡被送入到烘干炉内，使用天然气燃烧加热的热空气进行干燥。烘干温度220℃，采用自动控制系统。</w:t>
            </w:r>
          </w:p>
          <w:p>
            <w:pPr>
              <w:spacing w:line="360" w:lineRule="auto"/>
              <w:ind w:firstLine="480" w:firstLineChars="200"/>
              <w:rPr>
                <w:rFonts w:cs="Times New Roman"/>
                <w:sz w:val="24"/>
                <w:szCs w:val="24"/>
              </w:rPr>
            </w:pPr>
            <w:r>
              <w:rPr>
                <w:rFonts w:cs="Times New Roman"/>
                <w:sz w:val="24"/>
                <w:szCs w:val="24"/>
              </w:rPr>
              <w:t>此工序会产生有机废气和天然气燃烧废气和噪声</w:t>
            </w:r>
          </w:p>
          <w:p>
            <w:pPr>
              <w:spacing w:line="360" w:lineRule="auto"/>
              <w:ind w:firstLine="480" w:firstLineChars="200"/>
              <w:rPr>
                <w:rFonts w:cs="Times New Roman"/>
                <w:sz w:val="24"/>
                <w:szCs w:val="24"/>
              </w:rPr>
            </w:pPr>
            <w:r>
              <w:rPr>
                <w:rFonts w:cs="Times New Roman"/>
                <w:sz w:val="24"/>
                <w:szCs w:val="24"/>
              </w:rPr>
              <w:t>⑥收卷、检验、入库：并在一自动卷取机上卷成筒状；经检测系统检测合格后，进行包装入库，供应市场。</w:t>
            </w:r>
          </w:p>
          <w:p>
            <w:pPr>
              <w:spacing w:line="360" w:lineRule="auto"/>
              <w:ind w:firstLine="480" w:firstLineChars="200"/>
              <w:rPr>
                <w:rFonts w:cs="Times New Roman"/>
                <w:sz w:val="24"/>
                <w:szCs w:val="24"/>
              </w:rPr>
            </w:pPr>
            <w:r>
              <w:rPr>
                <w:rFonts w:cs="Times New Roman"/>
                <w:sz w:val="24"/>
                <w:szCs w:val="24"/>
              </w:rPr>
              <w:t>此工序会产生不合格品。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4" w:type="dxa"/>
            <w:vAlign w:val="center"/>
          </w:tcPr>
          <w:p>
            <w:pPr>
              <w:jc w:val="center"/>
              <w:rPr>
                <w:rFonts w:cs="Times New Roman"/>
                <w:sz w:val="24"/>
                <w:szCs w:val="24"/>
              </w:rPr>
            </w:pPr>
            <w:r>
              <w:rPr>
                <w:rFonts w:cs="Times New Roman"/>
                <w:sz w:val="24"/>
                <w:szCs w:val="24"/>
              </w:rPr>
              <w:t>与项目有关的原有环境污染问题</w:t>
            </w:r>
          </w:p>
        </w:tc>
        <w:tc>
          <w:tcPr>
            <w:tcW w:w="8946" w:type="dxa"/>
            <w:vAlign w:val="center"/>
          </w:tcPr>
          <w:p>
            <w:pPr>
              <w:spacing w:line="360" w:lineRule="auto"/>
              <w:ind w:firstLine="482" w:firstLineChars="200"/>
              <w:rPr>
                <w:rFonts w:cs="Times New Roman"/>
                <w:b/>
                <w:bCs/>
                <w:sz w:val="24"/>
                <w:szCs w:val="24"/>
              </w:rPr>
            </w:pPr>
            <w:r>
              <w:rPr>
                <w:rFonts w:cs="Times New Roman"/>
                <w:b/>
                <w:bCs/>
                <w:sz w:val="24"/>
                <w:szCs w:val="24"/>
              </w:rPr>
              <w:t>一、现有项目</w:t>
            </w:r>
            <w:r>
              <w:rPr>
                <w:rFonts w:cs="Times New Roman"/>
                <w:b/>
                <w:bCs/>
                <w:sz w:val="24"/>
                <w:szCs w:val="24"/>
                <w:lang w:bidi="ar"/>
              </w:rPr>
              <w:t>环保审批情况</w:t>
            </w:r>
          </w:p>
          <w:p>
            <w:pPr>
              <w:spacing w:line="360" w:lineRule="auto"/>
              <w:ind w:firstLine="482" w:firstLineChars="200"/>
              <w:rPr>
                <w:rFonts w:cs="Times New Roman"/>
                <w:b/>
                <w:bCs/>
                <w:sz w:val="24"/>
                <w:szCs w:val="24"/>
              </w:rPr>
            </w:pPr>
            <w:r>
              <w:rPr>
                <w:rFonts w:cs="Times New Roman"/>
                <w:b/>
                <w:bCs/>
                <w:sz w:val="24"/>
                <w:szCs w:val="24"/>
              </w:rPr>
              <w:t>1、环评及验收情况</w:t>
            </w:r>
          </w:p>
          <w:p>
            <w:pPr>
              <w:spacing w:line="360" w:lineRule="auto"/>
              <w:ind w:firstLine="480" w:firstLineChars="200"/>
              <w:rPr>
                <w:rFonts w:cs="Times New Roman"/>
                <w:sz w:val="24"/>
                <w:szCs w:val="24"/>
              </w:rPr>
            </w:pPr>
            <w:r>
              <w:rPr>
                <w:rFonts w:cs="Times New Roman"/>
                <w:sz w:val="24"/>
                <w:szCs w:val="24"/>
              </w:rPr>
              <w:t>宣汉普光科睿新材料有限公司，于2017年8月在四川达州普光经济开发区柳池工业园区1号干道2号投资建设“年产2000吨大辊筒拉丝及其制品生产线技改项目”。原有项目环评及验收情况见下表2-10。</w:t>
            </w:r>
          </w:p>
          <w:p>
            <w:pPr>
              <w:spacing w:line="360" w:lineRule="auto"/>
              <w:jc w:val="center"/>
              <w:rPr>
                <w:rFonts w:cs="Times New Roman"/>
                <w:b/>
                <w:bCs/>
                <w:sz w:val="24"/>
                <w:szCs w:val="24"/>
              </w:rPr>
            </w:pPr>
            <w:r>
              <w:rPr>
                <w:rFonts w:cs="Times New Roman"/>
                <w:b/>
                <w:bCs/>
                <w:sz w:val="24"/>
                <w:szCs w:val="24"/>
              </w:rPr>
              <w:t>表2-10 原有项目环评及验收情况</w:t>
            </w:r>
          </w:p>
          <w:tbl>
            <w:tblPr>
              <w:tblStyle w:val="26"/>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61"/>
              <w:gridCol w:w="1405"/>
              <w:gridCol w:w="3667"/>
              <w:gridCol w:w="2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665" w:type="pct"/>
                  <w:tcBorders>
                    <w:tl2br w:val="nil"/>
                    <w:tr2bl w:val="nil"/>
                  </w:tcBorders>
                  <w:shd w:val="clear" w:color="auto" w:fill="auto"/>
                  <w:vAlign w:val="center"/>
                </w:tcPr>
                <w:p>
                  <w:pPr>
                    <w:widowControl/>
                    <w:jc w:val="center"/>
                    <w:rPr>
                      <w:rFonts w:cs="Times New Roman"/>
                      <w:b/>
                      <w:kern w:val="0"/>
                      <w:szCs w:val="21"/>
                    </w:rPr>
                  </w:pPr>
                  <w:r>
                    <w:rPr>
                      <w:rFonts w:cs="Times New Roman"/>
                      <w:b/>
                      <w:kern w:val="0"/>
                      <w:szCs w:val="21"/>
                    </w:rPr>
                    <w:t>建设单位</w:t>
                  </w:r>
                </w:p>
              </w:tc>
              <w:tc>
                <w:tcPr>
                  <w:tcW w:w="805" w:type="pct"/>
                  <w:tcBorders>
                    <w:tl2br w:val="nil"/>
                    <w:tr2bl w:val="nil"/>
                  </w:tcBorders>
                  <w:shd w:val="clear" w:color="auto" w:fill="auto"/>
                  <w:vAlign w:val="center"/>
                </w:tcPr>
                <w:p>
                  <w:pPr>
                    <w:widowControl/>
                    <w:jc w:val="center"/>
                    <w:rPr>
                      <w:rFonts w:cs="Times New Roman"/>
                      <w:b/>
                      <w:kern w:val="0"/>
                      <w:szCs w:val="21"/>
                    </w:rPr>
                  </w:pPr>
                  <w:r>
                    <w:rPr>
                      <w:rFonts w:cs="Times New Roman"/>
                      <w:b/>
                      <w:kern w:val="0"/>
                      <w:szCs w:val="21"/>
                    </w:rPr>
                    <w:t>项目名称</w:t>
                  </w:r>
                </w:p>
              </w:tc>
              <w:tc>
                <w:tcPr>
                  <w:tcW w:w="2100" w:type="pct"/>
                  <w:tcBorders>
                    <w:tl2br w:val="nil"/>
                    <w:tr2bl w:val="nil"/>
                  </w:tcBorders>
                  <w:shd w:val="clear" w:color="auto" w:fill="auto"/>
                  <w:vAlign w:val="center"/>
                </w:tcPr>
                <w:p>
                  <w:pPr>
                    <w:widowControl/>
                    <w:jc w:val="center"/>
                    <w:rPr>
                      <w:rFonts w:cs="Times New Roman"/>
                      <w:b/>
                      <w:kern w:val="0"/>
                      <w:szCs w:val="21"/>
                    </w:rPr>
                  </w:pPr>
                  <w:r>
                    <w:rPr>
                      <w:rFonts w:cs="Times New Roman"/>
                      <w:b/>
                      <w:kern w:val="0"/>
                      <w:szCs w:val="21"/>
                    </w:rPr>
                    <w:t>环评及审批情况</w:t>
                  </w:r>
                </w:p>
              </w:tc>
              <w:tc>
                <w:tcPr>
                  <w:tcW w:w="1428" w:type="pct"/>
                  <w:tcBorders>
                    <w:tl2br w:val="nil"/>
                    <w:tr2bl w:val="nil"/>
                  </w:tcBorders>
                  <w:vAlign w:val="center"/>
                </w:tcPr>
                <w:p>
                  <w:pPr>
                    <w:widowControl/>
                    <w:jc w:val="center"/>
                    <w:rPr>
                      <w:rFonts w:cs="Times New Roman"/>
                      <w:b/>
                      <w:kern w:val="0"/>
                      <w:szCs w:val="21"/>
                    </w:rPr>
                  </w:pPr>
                  <w:r>
                    <w:rPr>
                      <w:rFonts w:cs="Times New Roman"/>
                      <w:b/>
                      <w:kern w:val="0"/>
                      <w:szCs w:val="21"/>
                    </w:rPr>
                    <w:t>验收及审批情况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665" w:type="pct"/>
                  <w:tcBorders>
                    <w:tl2br w:val="nil"/>
                    <w:tr2bl w:val="nil"/>
                  </w:tcBorders>
                  <w:shd w:val="clear" w:color="auto" w:fill="auto"/>
                  <w:vAlign w:val="center"/>
                </w:tcPr>
                <w:p>
                  <w:pPr>
                    <w:widowControl/>
                    <w:jc w:val="center"/>
                    <w:rPr>
                      <w:rFonts w:cs="Times New Roman"/>
                      <w:bCs/>
                      <w:kern w:val="0"/>
                      <w:szCs w:val="21"/>
                    </w:rPr>
                  </w:pPr>
                  <w:r>
                    <w:rPr>
                      <w:rFonts w:cs="Times New Roman"/>
                      <w:bCs/>
                      <w:kern w:val="0"/>
                      <w:szCs w:val="21"/>
                    </w:rPr>
                    <w:t>宣汉普光科睿新材料有限公司</w:t>
                  </w:r>
                </w:p>
              </w:tc>
              <w:tc>
                <w:tcPr>
                  <w:tcW w:w="805" w:type="pct"/>
                  <w:tcBorders>
                    <w:tl2br w:val="nil"/>
                    <w:tr2bl w:val="nil"/>
                  </w:tcBorders>
                  <w:shd w:val="clear" w:color="auto" w:fill="auto"/>
                  <w:vAlign w:val="center"/>
                </w:tcPr>
                <w:p>
                  <w:pPr>
                    <w:widowControl/>
                    <w:jc w:val="center"/>
                    <w:rPr>
                      <w:rFonts w:cs="Times New Roman"/>
                      <w:bCs/>
                      <w:kern w:val="0"/>
                      <w:szCs w:val="21"/>
                    </w:rPr>
                  </w:pPr>
                  <w:r>
                    <w:rPr>
                      <w:rFonts w:cs="Times New Roman"/>
                      <w:bCs/>
                      <w:kern w:val="0"/>
                      <w:szCs w:val="21"/>
                    </w:rPr>
                    <w:t>年产2000吨大辊筒拉丝及其制品生产线技改项目</w:t>
                  </w:r>
                </w:p>
              </w:tc>
              <w:tc>
                <w:tcPr>
                  <w:tcW w:w="2100" w:type="pct"/>
                  <w:tcBorders>
                    <w:tl2br w:val="nil"/>
                    <w:tr2bl w:val="nil"/>
                  </w:tcBorders>
                  <w:shd w:val="clear" w:color="auto" w:fill="auto"/>
                </w:tcPr>
                <w:p>
                  <w:pPr>
                    <w:jc w:val="center"/>
                    <w:rPr>
                      <w:rFonts w:cs="Times New Roman"/>
                      <w:szCs w:val="21"/>
                    </w:rPr>
                  </w:pPr>
                  <w:r>
                    <w:rPr>
                      <w:rFonts w:cs="Times New Roman"/>
                      <w:szCs w:val="21"/>
                    </w:rPr>
                    <w:t>1、环评编制情况：2017年8月由四川华睿川协管理咨询有限公司编制完成环境影响报告表：主要生产玻璃纤维连续单丝毡和玻璃纤维蓬松毡，年产量2000吨。</w:t>
                  </w:r>
                </w:p>
                <w:p>
                  <w:pPr>
                    <w:jc w:val="center"/>
                    <w:rPr>
                      <w:rFonts w:cs="Times New Roman"/>
                      <w:szCs w:val="21"/>
                    </w:rPr>
                  </w:pPr>
                  <w:r>
                    <w:rPr>
                      <w:rFonts w:cs="Times New Roman"/>
                      <w:szCs w:val="21"/>
                    </w:rPr>
                    <w:t>2、2017年9月15日取得原宣汉县环境保护局《关于年产2000吨大辊筒拉丝及其制品生产线技改项目环境影响报告表的批复》（宣环审〔2017〕46号）。</w:t>
                  </w:r>
                </w:p>
              </w:tc>
              <w:tc>
                <w:tcPr>
                  <w:tcW w:w="1428" w:type="pct"/>
                  <w:tcBorders>
                    <w:tl2br w:val="nil"/>
                    <w:tr2bl w:val="nil"/>
                  </w:tcBorders>
                  <w:vAlign w:val="center"/>
                </w:tcPr>
                <w:p>
                  <w:pPr>
                    <w:jc w:val="center"/>
                    <w:rPr>
                      <w:rFonts w:cs="Times New Roman"/>
                      <w:bCs/>
                      <w:kern w:val="0"/>
                      <w:szCs w:val="21"/>
                    </w:rPr>
                  </w:pPr>
                  <w:r>
                    <w:rPr>
                      <w:rFonts w:cs="Times New Roman"/>
                      <w:szCs w:val="21"/>
                    </w:rPr>
                    <w:t>2019年7月13日取得了专家验收意见（分两期验收，一期验收：主要生产玻璃纤维连续单丝毡和玻璃纤维蓬松毡，年产量1000吨，各500吨；二期未建设）</w:t>
                  </w:r>
                </w:p>
              </w:tc>
            </w:tr>
          </w:tbl>
          <w:p>
            <w:pPr>
              <w:spacing w:line="360" w:lineRule="auto"/>
              <w:ind w:firstLine="480" w:firstLineChars="200"/>
              <w:rPr>
                <w:rFonts w:cs="Times New Roman"/>
                <w:sz w:val="24"/>
                <w:szCs w:val="24"/>
              </w:rPr>
            </w:pPr>
            <w:r>
              <w:rPr>
                <w:rFonts w:cs="Times New Roman"/>
                <w:sz w:val="24"/>
                <w:szCs w:val="24"/>
              </w:rPr>
              <w:t>该公司至建成投运至今，未发生环境问题，环保部门未接到过环境投诉。</w:t>
            </w:r>
          </w:p>
          <w:p>
            <w:pPr>
              <w:spacing w:line="360" w:lineRule="auto"/>
              <w:ind w:firstLine="482" w:firstLineChars="200"/>
              <w:rPr>
                <w:rFonts w:cs="Times New Roman"/>
                <w:b/>
                <w:bCs/>
                <w:sz w:val="24"/>
                <w:szCs w:val="24"/>
              </w:rPr>
            </w:pPr>
            <w:r>
              <w:rPr>
                <w:rFonts w:cs="Times New Roman"/>
                <w:b/>
                <w:bCs/>
                <w:sz w:val="24"/>
                <w:szCs w:val="24"/>
              </w:rPr>
              <w:t>2、</w:t>
            </w:r>
            <w:r>
              <w:rPr>
                <w:rFonts w:cs="Times New Roman"/>
                <w:b/>
                <w:bCs/>
                <w:sz w:val="24"/>
                <w:szCs w:val="24"/>
                <w:lang w:bidi="ar"/>
              </w:rPr>
              <w:t>排污许可</w:t>
            </w:r>
          </w:p>
          <w:p>
            <w:pPr>
              <w:spacing w:line="360" w:lineRule="auto"/>
              <w:ind w:firstLine="480" w:firstLineChars="200"/>
              <w:rPr>
                <w:rFonts w:cs="Times New Roman"/>
                <w:sz w:val="24"/>
                <w:szCs w:val="24"/>
              </w:rPr>
            </w:pPr>
            <w:r>
              <w:rPr>
                <w:rFonts w:cs="Times New Roman"/>
                <w:sz w:val="24"/>
                <w:szCs w:val="24"/>
                <w:lang w:bidi="ar"/>
              </w:rPr>
              <w:t>2020年8月25日，原有工程取得《排污许可证》，有效期：2020年8月25日至2023年8月24日止，登记编号为：91511722MA633YTW6Q001U。</w:t>
            </w:r>
          </w:p>
          <w:p>
            <w:pPr>
              <w:spacing w:line="360" w:lineRule="auto"/>
              <w:ind w:firstLine="482" w:firstLineChars="200"/>
              <w:rPr>
                <w:rFonts w:cs="Times New Roman"/>
                <w:b/>
                <w:bCs/>
                <w:sz w:val="24"/>
                <w:szCs w:val="24"/>
              </w:rPr>
            </w:pPr>
            <w:r>
              <w:rPr>
                <w:rFonts w:cs="Times New Roman"/>
                <w:b/>
                <w:bCs/>
                <w:sz w:val="24"/>
                <w:szCs w:val="24"/>
              </w:rPr>
              <w:t>3、现有项目产品方案</w:t>
            </w:r>
          </w:p>
          <w:p>
            <w:pPr>
              <w:spacing w:line="360" w:lineRule="auto"/>
              <w:jc w:val="center"/>
              <w:rPr>
                <w:rFonts w:cs="Times New Roman"/>
                <w:sz w:val="24"/>
                <w:szCs w:val="24"/>
              </w:rPr>
            </w:pPr>
            <w:r>
              <w:rPr>
                <w:rFonts w:cs="Times New Roman"/>
                <w:b/>
                <w:bCs/>
                <w:kern w:val="24"/>
                <w:sz w:val="24"/>
                <w:szCs w:val="24"/>
              </w:rPr>
              <w:t>表2-11 现有项目产品方案</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2145"/>
              <w:gridCol w:w="1899"/>
              <w:gridCol w:w="2395"/>
              <w:gridCol w:w="22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b/>
                      <w:bCs/>
                      <w:szCs w:val="21"/>
                    </w:rPr>
                  </w:pPr>
                  <w:r>
                    <w:rPr>
                      <w:rFonts w:cs="Times New Roman"/>
                      <w:b/>
                      <w:bCs/>
                      <w:szCs w:val="21"/>
                    </w:rPr>
                    <w:t>产品名称</w:t>
                  </w:r>
                </w:p>
              </w:tc>
              <w:tc>
                <w:tcPr>
                  <w:tcW w:w="1088" w:type="pct"/>
                  <w:tcBorders>
                    <w:tl2br w:val="nil"/>
                    <w:tr2bl w:val="nil"/>
                  </w:tcBorders>
                  <w:shd w:val="clear" w:color="auto" w:fill="auto"/>
                  <w:vAlign w:val="center"/>
                </w:tcPr>
                <w:p>
                  <w:pPr>
                    <w:jc w:val="center"/>
                    <w:rPr>
                      <w:rFonts w:cs="Times New Roman"/>
                      <w:b/>
                      <w:bCs/>
                      <w:szCs w:val="21"/>
                    </w:rPr>
                  </w:pPr>
                  <w:r>
                    <w:rPr>
                      <w:rFonts w:cs="Times New Roman"/>
                      <w:b/>
                      <w:bCs/>
                      <w:szCs w:val="21"/>
                    </w:rPr>
                    <w:t>环评</w:t>
                  </w:r>
                </w:p>
              </w:tc>
              <w:tc>
                <w:tcPr>
                  <w:tcW w:w="1371" w:type="pct"/>
                  <w:tcBorders>
                    <w:tl2br w:val="nil"/>
                    <w:tr2bl w:val="nil"/>
                  </w:tcBorders>
                  <w:shd w:val="clear" w:color="auto" w:fill="auto"/>
                  <w:vAlign w:val="center"/>
                </w:tcPr>
                <w:p>
                  <w:pPr>
                    <w:jc w:val="center"/>
                    <w:rPr>
                      <w:rFonts w:cs="Times New Roman"/>
                      <w:b/>
                      <w:bCs/>
                      <w:szCs w:val="21"/>
                    </w:rPr>
                  </w:pPr>
                  <w:r>
                    <w:rPr>
                      <w:rFonts w:cs="Times New Roman"/>
                      <w:b/>
                      <w:bCs/>
                      <w:szCs w:val="21"/>
                    </w:rPr>
                    <w:t>一期验收</w:t>
                  </w:r>
                </w:p>
              </w:tc>
              <w:tc>
                <w:tcPr>
                  <w:tcW w:w="1310" w:type="pct"/>
                  <w:tcBorders>
                    <w:tl2br w:val="nil"/>
                    <w:tr2bl w:val="nil"/>
                  </w:tcBorders>
                  <w:shd w:val="clear" w:color="auto" w:fill="auto"/>
                  <w:vAlign w:val="center"/>
                </w:tcPr>
                <w:p>
                  <w:pPr>
                    <w:jc w:val="center"/>
                    <w:rPr>
                      <w:rFonts w:cs="Times New Roman"/>
                      <w:b/>
                      <w:bCs/>
                      <w:szCs w:val="21"/>
                    </w:rPr>
                  </w:pPr>
                  <w:r>
                    <w:rPr>
                      <w:rFonts w:cs="Times New Roman"/>
                      <w:b/>
                      <w:bCs/>
                      <w:szCs w:val="21"/>
                    </w:rPr>
                    <w:t>二期验收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szCs w:val="21"/>
                    </w:rPr>
                  </w:pPr>
                  <w:r>
                    <w:rPr>
                      <w:rFonts w:cs="Times New Roman"/>
                      <w:szCs w:val="21"/>
                    </w:rPr>
                    <w:t>玻璃纤维连续单丝毡</w:t>
                  </w:r>
                </w:p>
              </w:tc>
              <w:tc>
                <w:tcPr>
                  <w:tcW w:w="1088" w:type="pct"/>
                  <w:tcBorders>
                    <w:tl2br w:val="nil"/>
                    <w:tr2bl w:val="nil"/>
                  </w:tcBorders>
                  <w:shd w:val="clear" w:color="auto" w:fill="auto"/>
                  <w:vAlign w:val="center"/>
                </w:tcPr>
                <w:p>
                  <w:pPr>
                    <w:jc w:val="center"/>
                    <w:rPr>
                      <w:rFonts w:cs="Times New Roman"/>
                      <w:szCs w:val="21"/>
                    </w:rPr>
                  </w:pPr>
                  <w:r>
                    <w:rPr>
                      <w:rFonts w:cs="Times New Roman"/>
                      <w:szCs w:val="21"/>
                    </w:rPr>
                    <w:t>1000吨/年</w:t>
                  </w:r>
                </w:p>
              </w:tc>
              <w:tc>
                <w:tcPr>
                  <w:tcW w:w="1371" w:type="pct"/>
                  <w:tcBorders>
                    <w:tl2br w:val="nil"/>
                    <w:tr2bl w:val="nil"/>
                  </w:tcBorders>
                  <w:shd w:val="clear" w:color="auto" w:fill="auto"/>
                  <w:vAlign w:val="center"/>
                </w:tcPr>
                <w:p>
                  <w:pPr>
                    <w:jc w:val="center"/>
                    <w:rPr>
                      <w:rFonts w:cs="Times New Roman"/>
                      <w:szCs w:val="21"/>
                    </w:rPr>
                  </w:pPr>
                  <w:r>
                    <w:rPr>
                      <w:rFonts w:cs="Times New Roman"/>
                      <w:szCs w:val="21"/>
                    </w:rPr>
                    <w:t>500吨/年</w:t>
                  </w:r>
                </w:p>
              </w:tc>
              <w:tc>
                <w:tcPr>
                  <w:tcW w:w="1310" w:type="pct"/>
                  <w:tcBorders>
                    <w:tl2br w:val="nil"/>
                    <w:tr2bl w:val="nil"/>
                  </w:tcBorders>
                  <w:shd w:val="clear" w:color="auto" w:fill="auto"/>
                  <w:vAlign w:val="center"/>
                </w:tcPr>
                <w:p>
                  <w:pPr>
                    <w:jc w:val="center"/>
                    <w:rPr>
                      <w:rFonts w:cs="Times New Roman"/>
                      <w:szCs w:val="21"/>
                    </w:rPr>
                  </w:pPr>
                  <w:r>
                    <w:rPr>
                      <w:rFonts w:cs="Times New Roman"/>
                      <w:szCs w:val="21"/>
                    </w:rPr>
                    <w:t>未建设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229" w:type="pct"/>
                  <w:tcBorders>
                    <w:tl2br w:val="nil"/>
                    <w:tr2bl w:val="nil"/>
                  </w:tcBorders>
                  <w:shd w:val="clear" w:color="auto" w:fill="auto"/>
                  <w:vAlign w:val="center"/>
                </w:tcPr>
                <w:p>
                  <w:pPr>
                    <w:jc w:val="center"/>
                    <w:rPr>
                      <w:rFonts w:cs="Times New Roman"/>
                      <w:szCs w:val="21"/>
                    </w:rPr>
                  </w:pPr>
                  <w:r>
                    <w:rPr>
                      <w:rFonts w:cs="Times New Roman"/>
                      <w:szCs w:val="21"/>
                    </w:rPr>
                    <w:t>玻璃纤维蓬松毡</w:t>
                  </w:r>
                </w:p>
              </w:tc>
              <w:tc>
                <w:tcPr>
                  <w:tcW w:w="1088" w:type="pct"/>
                  <w:tcBorders>
                    <w:tl2br w:val="nil"/>
                    <w:tr2bl w:val="nil"/>
                  </w:tcBorders>
                  <w:shd w:val="clear" w:color="auto" w:fill="auto"/>
                  <w:vAlign w:val="center"/>
                </w:tcPr>
                <w:p>
                  <w:pPr>
                    <w:jc w:val="center"/>
                    <w:rPr>
                      <w:rFonts w:cs="Times New Roman"/>
                      <w:szCs w:val="21"/>
                    </w:rPr>
                  </w:pPr>
                  <w:r>
                    <w:rPr>
                      <w:rFonts w:cs="Times New Roman"/>
                      <w:szCs w:val="21"/>
                    </w:rPr>
                    <w:t>1000吨/年</w:t>
                  </w:r>
                </w:p>
              </w:tc>
              <w:tc>
                <w:tcPr>
                  <w:tcW w:w="1371" w:type="pct"/>
                  <w:tcBorders>
                    <w:tl2br w:val="nil"/>
                    <w:tr2bl w:val="nil"/>
                  </w:tcBorders>
                  <w:shd w:val="clear" w:color="auto" w:fill="auto"/>
                  <w:vAlign w:val="center"/>
                </w:tcPr>
                <w:p>
                  <w:pPr>
                    <w:jc w:val="center"/>
                    <w:rPr>
                      <w:rFonts w:cs="Times New Roman"/>
                      <w:szCs w:val="21"/>
                    </w:rPr>
                  </w:pPr>
                  <w:r>
                    <w:rPr>
                      <w:rFonts w:cs="Times New Roman"/>
                      <w:szCs w:val="21"/>
                    </w:rPr>
                    <w:t>500吨/年</w:t>
                  </w:r>
                </w:p>
              </w:tc>
              <w:tc>
                <w:tcPr>
                  <w:tcW w:w="1310" w:type="pct"/>
                  <w:tcBorders>
                    <w:tl2br w:val="nil"/>
                    <w:tr2bl w:val="nil"/>
                  </w:tcBorders>
                  <w:shd w:val="clear" w:color="auto" w:fill="auto"/>
                  <w:vAlign w:val="center"/>
                </w:tcPr>
                <w:p>
                  <w:pPr>
                    <w:jc w:val="center"/>
                    <w:rPr>
                      <w:rFonts w:cs="Times New Roman"/>
                      <w:szCs w:val="21"/>
                    </w:rPr>
                  </w:pPr>
                  <w:r>
                    <w:rPr>
                      <w:rFonts w:cs="Times New Roman"/>
                      <w:szCs w:val="21"/>
                    </w:rPr>
                    <w:t>未建设</w:t>
                  </w:r>
                </w:p>
              </w:tc>
            </w:tr>
          </w:tbl>
          <w:p>
            <w:pPr>
              <w:spacing w:line="360" w:lineRule="auto"/>
              <w:ind w:firstLine="482" w:firstLineChars="200"/>
              <w:rPr>
                <w:rFonts w:cs="Times New Roman"/>
                <w:b/>
                <w:bCs/>
                <w:sz w:val="24"/>
                <w:szCs w:val="24"/>
              </w:rPr>
            </w:pPr>
            <w:r>
              <w:rPr>
                <w:rFonts w:cs="Times New Roman"/>
                <w:b/>
                <w:bCs/>
                <w:sz w:val="24"/>
                <w:szCs w:val="24"/>
              </w:rPr>
              <w:t>二、现有项目组成及生产工艺</w:t>
            </w:r>
          </w:p>
          <w:p>
            <w:pPr>
              <w:spacing w:line="360" w:lineRule="auto"/>
              <w:ind w:firstLine="482" w:firstLineChars="200"/>
              <w:rPr>
                <w:rFonts w:cs="Times New Roman"/>
                <w:b/>
                <w:bCs/>
                <w:sz w:val="24"/>
                <w:szCs w:val="24"/>
              </w:rPr>
            </w:pPr>
            <w:r>
              <w:rPr>
                <w:rFonts w:cs="Times New Roman"/>
                <w:b/>
                <w:bCs/>
                <w:sz w:val="24"/>
                <w:szCs w:val="24"/>
              </w:rPr>
              <w:t>1、现有项目组成及主要环境问题</w:t>
            </w:r>
          </w:p>
          <w:p>
            <w:pPr>
              <w:spacing w:line="360" w:lineRule="auto"/>
              <w:ind w:firstLine="480" w:firstLineChars="200"/>
              <w:rPr>
                <w:rFonts w:cs="Times New Roman"/>
                <w:sz w:val="24"/>
                <w:szCs w:val="24"/>
              </w:rPr>
            </w:pPr>
            <w:r>
              <w:rPr>
                <w:rFonts w:cs="Times New Roman"/>
                <w:sz w:val="24"/>
                <w:szCs w:val="24"/>
              </w:rPr>
              <w:t>现有项目组成表见2-12。</w:t>
            </w:r>
          </w:p>
          <w:p>
            <w:pPr>
              <w:spacing w:line="360" w:lineRule="auto"/>
              <w:jc w:val="center"/>
              <w:rPr>
                <w:rFonts w:cs="Times New Roman"/>
                <w:b/>
                <w:bCs/>
                <w:sz w:val="24"/>
                <w:szCs w:val="24"/>
              </w:rPr>
            </w:pPr>
            <w:r>
              <w:rPr>
                <w:rFonts w:cs="Times New Roman"/>
                <w:b/>
                <w:bCs/>
                <w:sz w:val="24"/>
                <w:szCs w:val="24"/>
              </w:rPr>
              <w:t>表2-12 厂区现有项目组成及主要环境问题</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3"/>
              <w:gridCol w:w="477"/>
              <w:gridCol w:w="1063"/>
              <w:gridCol w:w="5351"/>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tcBorders>
                    <w:tl2br w:val="nil"/>
                    <w:tr2bl w:val="nil"/>
                  </w:tcBorders>
                  <w:shd w:val="clear" w:color="auto" w:fill="auto"/>
                  <w:vAlign w:val="center"/>
                </w:tcPr>
                <w:p>
                  <w:pPr>
                    <w:jc w:val="center"/>
                    <w:rPr>
                      <w:rFonts w:cs="Times New Roman"/>
                      <w:b/>
                      <w:bCs/>
                      <w:szCs w:val="21"/>
                    </w:rPr>
                  </w:pPr>
                  <w:r>
                    <w:rPr>
                      <w:rFonts w:cs="Times New Roman"/>
                      <w:b/>
                      <w:bCs/>
                      <w:szCs w:val="21"/>
                    </w:rPr>
                    <w:t>工程分类</w:t>
                  </w:r>
                </w:p>
              </w:tc>
              <w:tc>
                <w:tcPr>
                  <w:tcW w:w="882" w:type="pct"/>
                  <w:gridSpan w:val="2"/>
                  <w:tcBorders>
                    <w:tl2br w:val="nil"/>
                    <w:tr2bl w:val="nil"/>
                  </w:tcBorders>
                  <w:shd w:val="clear" w:color="auto" w:fill="auto"/>
                  <w:vAlign w:val="center"/>
                </w:tcPr>
                <w:p>
                  <w:pPr>
                    <w:jc w:val="center"/>
                    <w:rPr>
                      <w:rFonts w:cs="Times New Roman"/>
                      <w:b/>
                      <w:bCs/>
                      <w:szCs w:val="21"/>
                    </w:rPr>
                  </w:pPr>
                  <w:r>
                    <w:rPr>
                      <w:rFonts w:cs="Times New Roman"/>
                      <w:b/>
                      <w:bCs/>
                      <w:szCs w:val="21"/>
                    </w:rPr>
                    <w:t>项目名称</w:t>
                  </w:r>
                </w:p>
              </w:tc>
              <w:tc>
                <w:tcPr>
                  <w:tcW w:w="3065" w:type="pct"/>
                  <w:tcBorders>
                    <w:tl2br w:val="nil"/>
                    <w:tr2bl w:val="nil"/>
                  </w:tcBorders>
                  <w:shd w:val="clear" w:color="auto" w:fill="auto"/>
                  <w:vAlign w:val="center"/>
                </w:tcPr>
                <w:p>
                  <w:pPr>
                    <w:jc w:val="center"/>
                    <w:rPr>
                      <w:rFonts w:cs="Times New Roman"/>
                      <w:b/>
                      <w:bCs/>
                      <w:szCs w:val="21"/>
                    </w:rPr>
                  </w:pPr>
                  <w:r>
                    <w:rPr>
                      <w:rFonts w:cs="Times New Roman"/>
                      <w:b/>
                      <w:bCs/>
                      <w:szCs w:val="21"/>
                    </w:rPr>
                    <w:t>建设内容及规模</w:t>
                  </w:r>
                </w:p>
              </w:tc>
              <w:tc>
                <w:tcPr>
                  <w:tcW w:w="649" w:type="pct"/>
                  <w:tcBorders>
                    <w:tl2br w:val="nil"/>
                    <w:tr2bl w:val="nil"/>
                  </w:tcBorders>
                  <w:shd w:val="clear" w:color="auto" w:fill="auto"/>
                  <w:vAlign w:val="center"/>
                </w:tcPr>
                <w:p>
                  <w:pPr>
                    <w:jc w:val="center"/>
                    <w:rPr>
                      <w:rFonts w:cs="Times New Roman"/>
                      <w:b/>
                      <w:bCs/>
                      <w:szCs w:val="21"/>
                    </w:rPr>
                  </w:pPr>
                  <w:r>
                    <w:rPr>
                      <w:rFonts w:cs="Times New Roman"/>
                      <w:b/>
                      <w:bCs/>
                    </w:rPr>
                    <w:t>营运期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tcBorders>
                    <w:tl2br w:val="nil"/>
                    <w:tr2bl w:val="nil"/>
                  </w:tcBorders>
                  <w:shd w:val="clear" w:color="auto" w:fill="auto"/>
                  <w:vAlign w:val="center"/>
                </w:tcPr>
                <w:p>
                  <w:pPr>
                    <w:jc w:val="center"/>
                    <w:rPr>
                      <w:rFonts w:cs="Times New Roman"/>
                      <w:szCs w:val="21"/>
                    </w:rPr>
                  </w:pPr>
                  <w:r>
                    <w:rPr>
                      <w:rFonts w:cs="Times New Roman"/>
                      <w:szCs w:val="21"/>
                    </w:rPr>
                    <w:t>主体工程</w:t>
                  </w: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厂房车间</w:t>
                  </w:r>
                </w:p>
              </w:tc>
              <w:tc>
                <w:tcPr>
                  <w:tcW w:w="3065"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钢结构，建筑面积10000m</w:t>
                  </w:r>
                  <w:r>
                    <w:rPr>
                      <w:rFonts w:cs="Times New Roman"/>
                      <w:snapToGrid w:val="0"/>
                      <w:kern w:val="0"/>
                      <w:szCs w:val="21"/>
                      <w:vertAlign w:val="superscript"/>
                    </w:rPr>
                    <w:t>2</w:t>
                  </w:r>
                  <w:r>
                    <w:rPr>
                      <w:rFonts w:cs="Times New Roman"/>
                      <w:snapToGrid w:val="0"/>
                      <w:kern w:val="0"/>
                      <w:szCs w:val="21"/>
                    </w:rPr>
                    <w:t>，建设年产1000吨大辊筒拉丝及其制品生产线，包括拉丝机组10台、辊筒10台、施胶系统4台、牵伸机组1台、烘干炉1台、后处理机组1台等</w:t>
                  </w:r>
                </w:p>
              </w:tc>
              <w:tc>
                <w:tcPr>
                  <w:tcW w:w="649" w:type="pct"/>
                  <w:tcBorders>
                    <w:tl2br w:val="nil"/>
                    <w:tr2bl w:val="nil"/>
                  </w:tcBorders>
                  <w:shd w:val="clear" w:color="auto" w:fill="auto"/>
                  <w:vAlign w:val="center"/>
                </w:tcPr>
                <w:p>
                  <w:pPr>
                    <w:jc w:val="center"/>
                    <w:rPr>
                      <w:rFonts w:cs="Times New Roman"/>
                      <w:snapToGrid w:val="0"/>
                      <w:kern w:val="0"/>
                      <w:szCs w:val="21"/>
                    </w:rPr>
                  </w:pPr>
                  <w:r>
                    <w:rPr>
                      <w:rFonts w:cs="Times New Roman"/>
                      <w:szCs w:val="21"/>
                    </w:rPr>
                    <w:t>废气、噪声、固废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restart"/>
                  <w:tcBorders>
                    <w:tl2br w:val="nil"/>
                    <w:tr2bl w:val="nil"/>
                  </w:tcBorders>
                  <w:shd w:val="clear" w:color="auto" w:fill="auto"/>
                  <w:vAlign w:val="center"/>
                </w:tcPr>
                <w:p>
                  <w:pPr>
                    <w:jc w:val="center"/>
                    <w:rPr>
                      <w:rFonts w:cs="Times New Roman"/>
                      <w:szCs w:val="21"/>
                    </w:rPr>
                  </w:pPr>
                  <w:r>
                    <w:rPr>
                      <w:rFonts w:cs="Times New Roman"/>
                      <w:szCs w:val="21"/>
                    </w:rPr>
                    <w:t>辅助工程</w:t>
                  </w: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辅助房</w:t>
                  </w:r>
                </w:p>
              </w:tc>
              <w:tc>
                <w:tcPr>
                  <w:tcW w:w="3065"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厂房旁 1F，设有2间办公室、1间变电房</w:t>
                  </w:r>
                </w:p>
              </w:tc>
              <w:tc>
                <w:tcPr>
                  <w:tcW w:w="649"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机修</w:t>
                  </w:r>
                </w:p>
              </w:tc>
              <w:tc>
                <w:tcPr>
                  <w:tcW w:w="3065"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机修间位于厂房车间内</w:t>
                  </w:r>
                </w:p>
              </w:tc>
              <w:tc>
                <w:tcPr>
                  <w:tcW w:w="649"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废机油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备料</w:t>
                  </w:r>
                </w:p>
              </w:tc>
              <w:tc>
                <w:tcPr>
                  <w:tcW w:w="3065"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备料区位于厂房车间内</w:t>
                  </w:r>
                </w:p>
              </w:tc>
              <w:tc>
                <w:tcPr>
                  <w:tcW w:w="649"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天然气调压站</w:t>
                  </w:r>
                </w:p>
              </w:tc>
              <w:tc>
                <w:tcPr>
                  <w:tcW w:w="3065"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位于项目西侧</w:t>
                  </w:r>
                </w:p>
              </w:tc>
              <w:tc>
                <w:tcPr>
                  <w:tcW w:w="649"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压缩空气</w:t>
                  </w:r>
                </w:p>
              </w:tc>
              <w:tc>
                <w:tcPr>
                  <w:tcW w:w="3065"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设置2 台额定产气量4 立方米/分的螺杆式空压机组，一用一备</w:t>
                  </w:r>
                </w:p>
              </w:tc>
              <w:tc>
                <w:tcPr>
                  <w:tcW w:w="649" w:type="pct"/>
                  <w:tcBorders>
                    <w:tl2br w:val="nil"/>
                    <w:tr2bl w:val="nil"/>
                  </w:tcBorders>
                  <w:shd w:val="clear" w:color="auto" w:fill="auto"/>
                  <w:vAlign w:val="center"/>
                </w:tcPr>
                <w:p>
                  <w:pPr>
                    <w:jc w:val="center"/>
                    <w:rPr>
                      <w:rFonts w:cs="Times New Roman"/>
                      <w:snapToGrid w:val="0"/>
                      <w:kern w:val="0"/>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restart"/>
                  <w:tcBorders>
                    <w:tl2br w:val="nil"/>
                    <w:tr2bl w:val="nil"/>
                  </w:tcBorders>
                  <w:shd w:val="clear" w:color="auto" w:fill="auto"/>
                  <w:vAlign w:val="center"/>
                </w:tcPr>
                <w:p>
                  <w:pPr>
                    <w:jc w:val="center"/>
                    <w:rPr>
                      <w:rFonts w:cs="Times New Roman"/>
                      <w:szCs w:val="21"/>
                    </w:rPr>
                  </w:pPr>
                  <w:r>
                    <w:rPr>
                      <w:rFonts w:cs="Times New Roman"/>
                      <w:szCs w:val="21"/>
                    </w:rPr>
                    <w:t>办公及生活工程</w:t>
                  </w: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食堂</w:t>
                  </w:r>
                </w:p>
              </w:tc>
              <w:tc>
                <w:tcPr>
                  <w:tcW w:w="3065" w:type="pct"/>
                  <w:tcBorders>
                    <w:tl2br w:val="nil"/>
                    <w:tr2bl w:val="nil"/>
                  </w:tcBorders>
                  <w:shd w:val="clear" w:color="auto" w:fill="auto"/>
                  <w:vAlign w:val="center"/>
                </w:tcPr>
                <w:p>
                  <w:pPr>
                    <w:rPr>
                      <w:rFonts w:cs="Times New Roman"/>
                      <w:szCs w:val="21"/>
                    </w:rPr>
                  </w:pPr>
                  <w:r>
                    <w:rPr>
                      <w:rFonts w:cs="Times New Roman"/>
                      <w:szCs w:val="21"/>
                    </w:rPr>
                    <w:t>位于综合楼一楼，食堂占地面积约200m</w:t>
                  </w:r>
                  <w:r>
                    <w:rPr>
                      <w:rFonts w:cs="Times New Roman"/>
                      <w:szCs w:val="21"/>
                      <w:vertAlign w:val="superscript"/>
                    </w:rPr>
                    <w:t>2</w:t>
                  </w:r>
                  <w:r>
                    <w:rPr>
                      <w:rFonts w:cs="Times New Roman"/>
                      <w:szCs w:val="21"/>
                    </w:rPr>
                    <w:t>。</w:t>
                  </w:r>
                </w:p>
              </w:tc>
              <w:tc>
                <w:tcPr>
                  <w:tcW w:w="649" w:type="pct"/>
                  <w:vMerge w:val="restart"/>
                  <w:tcBorders>
                    <w:tl2br w:val="nil"/>
                    <w:tr2bl w:val="nil"/>
                  </w:tcBorders>
                  <w:shd w:val="clear" w:color="auto" w:fill="auto"/>
                  <w:vAlign w:val="center"/>
                </w:tcPr>
                <w:p>
                  <w:pPr>
                    <w:rPr>
                      <w:rFonts w:cs="Times New Roman"/>
                      <w:szCs w:val="21"/>
                    </w:rPr>
                  </w:pPr>
                  <w:r>
                    <w:rPr>
                      <w:rFonts w:cs="Times New Roman"/>
                      <w:szCs w:val="21"/>
                    </w:rPr>
                    <w:t>废气、废水、固废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淋浴间</w:t>
                  </w:r>
                </w:p>
              </w:tc>
              <w:tc>
                <w:tcPr>
                  <w:tcW w:w="3065" w:type="pct"/>
                  <w:tcBorders>
                    <w:tl2br w:val="nil"/>
                    <w:tr2bl w:val="nil"/>
                  </w:tcBorders>
                  <w:shd w:val="clear" w:color="auto" w:fill="auto"/>
                  <w:vAlign w:val="center"/>
                </w:tcPr>
                <w:p>
                  <w:pPr>
                    <w:rPr>
                      <w:rFonts w:cs="Times New Roman"/>
                      <w:szCs w:val="21"/>
                    </w:rPr>
                  </w:pPr>
                  <w:r>
                    <w:rPr>
                      <w:rFonts w:cs="Times New Roman"/>
                      <w:szCs w:val="21"/>
                    </w:rPr>
                    <w:t>位于厂区西南侧，占地面积约70m</w:t>
                  </w:r>
                  <w:r>
                    <w:rPr>
                      <w:rFonts w:cs="Times New Roman"/>
                      <w:szCs w:val="21"/>
                      <w:vertAlign w:val="superscript"/>
                    </w:rPr>
                    <w:t>2</w:t>
                  </w:r>
                  <w:r>
                    <w:rPr>
                      <w:rFonts w:cs="Times New Roman"/>
                      <w:szCs w:val="21"/>
                    </w:rPr>
                    <w:t>，用于员工洗漱。</w:t>
                  </w:r>
                </w:p>
              </w:tc>
              <w:tc>
                <w:tcPr>
                  <w:tcW w:w="649" w:type="pct"/>
                  <w:vMerge w:val="continue"/>
                  <w:tcBorders>
                    <w:tl2br w:val="nil"/>
                    <w:tr2bl w:val="nil"/>
                  </w:tcBorders>
                  <w:shd w:val="clear" w:color="auto" w:fill="auto"/>
                  <w:vAlign w:val="center"/>
                </w:tcPr>
                <w:p>
                  <w:pP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综合楼</w:t>
                  </w:r>
                </w:p>
              </w:tc>
              <w:tc>
                <w:tcPr>
                  <w:tcW w:w="3065" w:type="pct"/>
                  <w:tcBorders>
                    <w:tl2br w:val="nil"/>
                    <w:tr2bl w:val="nil"/>
                  </w:tcBorders>
                  <w:shd w:val="clear" w:color="auto" w:fill="auto"/>
                  <w:vAlign w:val="center"/>
                </w:tcPr>
                <w:p>
                  <w:pPr>
                    <w:rPr>
                      <w:rFonts w:cs="Times New Roman"/>
                      <w:szCs w:val="21"/>
                    </w:rPr>
                  </w:pPr>
                  <w:r>
                    <w:rPr>
                      <w:rFonts w:cs="Times New Roman"/>
                      <w:szCs w:val="21"/>
                    </w:rPr>
                    <w:t>1栋，占地面积约200m</w:t>
                  </w:r>
                  <w:r>
                    <w:rPr>
                      <w:rFonts w:cs="Times New Roman"/>
                      <w:szCs w:val="21"/>
                      <w:vertAlign w:val="superscript"/>
                    </w:rPr>
                    <w:t>2</w:t>
                  </w:r>
                  <w:r>
                    <w:rPr>
                      <w:rFonts w:cs="Times New Roman"/>
                      <w:szCs w:val="21"/>
                    </w:rPr>
                    <w:t>，共5F，位于厂区东侧，1-3F为办公区，4-5F为倒班宿舍。</w:t>
                  </w:r>
                </w:p>
              </w:tc>
              <w:tc>
                <w:tcPr>
                  <w:tcW w:w="649" w:type="pct"/>
                  <w:vMerge w:val="continue"/>
                  <w:tcBorders>
                    <w:tl2br w:val="nil"/>
                    <w:tr2bl w:val="nil"/>
                  </w:tcBorders>
                  <w:shd w:val="clear" w:color="auto" w:fill="auto"/>
                  <w:vAlign w:val="center"/>
                </w:tcPr>
                <w:p>
                  <w:pP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restart"/>
                  <w:tcBorders>
                    <w:tl2br w:val="nil"/>
                    <w:tr2bl w:val="nil"/>
                  </w:tcBorders>
                  <w:shd w:val="clear" w:color="auto" w:fill="auto"/>
                  <w:vAlign w:val="center"/>
                </w:tcPr>
                <w:p>
                  <w:pPr>
                    <w:jc w:val="center"/>
                    <w:rPr>
                      <w:rFonts w:cs="Times New Roman"/>
                      <w:szCs w:val="21"/>
                    </w:rPr>
                  </w:pPr>
                  <w:r>
                    <w:rPr>
                      <w:rFonts w:cs="Times New Roman"/>
                      <w:szCs w:val="21"/>
                    </w:rPr>
                    <w:t>公用工程</w:t>
                  </w: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供电</w:t>
                  </w:r>
                </w:p>
              </w:tc>
              <w:tc>
                <w:tcPr>
                  <w:tcW w:w="3065" w:type="pct"/>
                  <w:tcBorders>
                    <w:tl2br w:val="nil"/>
                    <w:tr2bl w:val="nil"/>
                  </w:tcBorders>
                  <w:shd w:val="clear" w:color="auto" w:fill="auto"/>
                  <w:vAlign w:val="center"/>
                </w:tcPr>
                <w:p>
                  <w:pPr>
                    <w:jc w:val="center"/>
                    <w:rPr>
                      <w:rFonts w:cs="Times New Roman"/>
                      <w:szCs w:val="21"/>
                    </w:rPr>
                  </w:pPr>
                  <w:r>
                    <w:rPr>
                      <w:rFonts w:cs="Times New Roman"/>
                      <w:szCs w:val="21"/>
                    </w:rPr>
                    <w:t>市政供电管网供给</w:t>
                  </w:r>
                </w:p>
              </w:tc>
              <w:tc>
                <w:tcPr>
                  <w:tcW w:w="649" w:type="pct"/>
                  <w:tcBorders>
                    <w:tl2br w:val="nil"/>
                    <w:tr2bl w:val="nil"/>
                  </w:tcBorders>
                  <w:shd w:val="clear" w:color="auto" w:fill="auto"/>
                  <w:vAlign w:val="center"/>
                </w:tcPr>
                <w:p>
                  <w:pPr>
                    <w:jc w:val="center"/>
                    <w:rPr>
                      <w:rFonts w:cs="Times New Roman"/>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供水</w:t>
                  </w:r>
                </w:p>
              </w:tc>
              <w:tc>
                <w:tcPr>
                  <w:tcW w:w="3065" w:type="pct"/>
                  <w:tcBorders>
                    <w:tl2br w:val="nil"/>
                    <w:tr2bl w:val="nil"/>
                  </w:tcBorders>
                  <w:shd w:val="clear" w:color="auto" w:fill="auto"/>
                  <w:vAlign w:val="center"/>
                </w:tcPr>
                <w:p>
                  <w:pPr>
                    <w:jc w:val="center"/>
                    <w:rPr>
                      <w:rFonts w:cs="Times New Roman"/>
                      <w:szCs w:val="21"/>
                    </w:rPr>
                  </w:pPr>
                  <w:r>
                    <w:rPr>
                      <w:rFonts w:cs="Times New Roman"/>
                      <w:szCs w:val="21"/>
                    </w:rPr>
                    <w:t>市政管网给水</w:t>
                  </w:r>
                </w:p>
              </w:tc>
              <w:tc>
                <w:tcPr>
                  <w:tcW w:w="649" w:type="pct"/>
                  <w:tcBorders>
                    <w:tl2br w:val="nil"/>
                    <w:tr2bl w:val="nil"/>
                  </w:tcBorders>
                  <w:shd w:val="clear" w:color="auto" w:fill="auto"/>
                  <w:vAlign w:val="center"/>
                </w:tcPr>
                <w:p>
                  <w:pPr>
                    <w:jc w:val="center"/>
                    <w:rPr>
                      <w:rFonts w:cs="Times New Roman"/>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供气</w:t>
                  </w:r>
                </w:p>
              </w:tc>
              <w:tc>
                <w:tcPr>
                  <w:tcW w:w="3065" w:type="pct"/>
                  <w:tcBorders>
                    <w:tl2br w:val="nil"/>
                    <w:tr2bl w:val="nil"/>
                  </w:tcBorders>
                  <w:shd w:val="clear" w:color="auto" w:fill="auto"/>
                  <w:vAlign w:val="center"/>
                </w:tcPr>
                <w:p>
                  <w:pPr>
                    <w:jc w:val="center"/>
                    <w:rPr>
                      <w:rFonts w:cs="Times New Roman"/>
                      <w:szCs w:val="21"/>
                    </w:rPr>
                  </w:pPr>
                  <w:r>
                    <w:rPr>
                      <w:rFonts w:cs="Times New Roman"/>
                      <w:szCs w:val="21"/>
                    </w:rPr>
                    <w:t>市政供气管网供气</w:t>
                  </w:r>
                </w:p>
              </w:tc>
              <w:tc>
                <w:tcPr>
                  <w:tcW w:w="649" w:type="pct"/>
                  <w:tcBorders>
                    <w:tl2br w:val="nil"/>
                    <w:tr2bl w:val="nil"/>
                  </w:tcBorders>
                  <w:shd w:val="clear" w:color="auto" w:fill="auto"/>
                  <w:vAlign w:val="center"/>
                </w:tcPr>
                <w:p>
                  <w:pPr>
                    <w:jc w:val="center"/>
                    <w:rPr>
                      <w:rFonts w:cs="Times New Roman"/>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jc w:val="center"/>
                    <w:rPr>
                      <w:rFonts w:cs="Times New Roman"/>
                      <w:szCs w:val="21"/>
                    </w:rPr>
                  </w:pPr>
                  <w:r>
                    <w:rPr>
                      <w:rFonts w:cs="Times New Roman"/>
                      <w:szCs w:val="21"/>
                    </w:rPr>
                    <w:t>排水</w:t>
                  </w:r>
                </w:p>
              </w:tc>
              <w:tc>
                <w:tcPr>
                  <w:tcW w:w="3065" w:type="pct"/>
                  <w:tcBorders>
                    <w:tl2br w:val="nil"/>
                    <w:tr2bl w:val="nil"/>
                  </w:tcBorders>
                  <w:shd w:val="clear" w:color="auto" w:fill="auto"/>
                  <w:vAlign w:val="center"/>
                </w:tcPr>
                <w:p>
                  <w:pPr>
                    <w:jc w:val="center"/>
                    <w:rPr>
                      <w:rFonts w:cs="Times New Roman"/>
                      <w:szCs w:val="21"/>
                    </w:rPr>
                  </w:pPr>
                  <w:r>
                    <w:rPr>
                      <w:rFonts w:cs="Times New Roman"/>
                      <w:szCs w:val="21"/>
                    </w:rPr>
                    <w:t>雨污分流，初期雨水进入雨水管网，生活污水和地面清洁废水经化粪池处理后排入园区管网进入柳池工业园区污水处理厂处理。</w:t>
                  </w:r>
                </w:p>
              </w:tc>
              <w:tc>
                <w:tcPr>
                  <w:tcW w:w="649" w:type="pct"/>
                  <w:tcBorders>
                    <w:tl2br w:val="nil"/>
                    <w:tr2bl w:val="nil"/>
                  </w:tcBorders>
                  <w:shd w:val="clear" w:color="auto" w:fill="auto"/>
                  <w:vAlign w:val="center"/>
                </w:tcPr>
                <w:p>
                  <w:pPr>
                    <w:jc w:val="center"/>
                    <w:rPr>
                      <w:rFonts w:cs="Times New Roman"/>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tcPr>
                <w:p>
                  <w:pPr>
                    <w:jc w:val="center"/>
                    <w:rPr>
                      <w:rFonts w:cs="Times New Roman"/>
                      <w:szCs w:val="21"/>
                    </w:rPr>
                  </w:pPr>
                  <w:r>
                    <w:rPr>
                      <w:rFonts w:cs="Times New Roman"/>
                      <w:szCs w:val="21"/>
                    </w:rPr>
                    <w:t>绿化</w:t>
                  </w:r>
                </w:p>
              </w:tc>
              <w:tc>
                <w:tcPr>
                  <w:tcW w:w="3065" w:type="pct"/>
                  <w:tcBorders>
                    <w:tl2br w:val="nil"/>
                    <w:tr2bl w:val="nil"/>
                  </w:tcBorders>
                  <w:shd w:val="clear" w:color="auto" w:fill="auto"/>
                </w:tcPr>
                <w:p>
                  <w:pPr>
                    <w:jc w:val="center"/>
                    <w:rPr>
                      <w:rFonts w:cs="Times New Roman"/>
                      <w:szCs w:val="21"/>
                    </w:rPr>
                  </w:pPr>
                  <w:r>
                    <w:rPr>
                      <w:rFonts w:cs="Times New Roman"/>
                      <w:szCs w:val="21"/>
                    </w:rPr>
                    <w:t>绿化面积 800m</w:t>
                  </w:r>
                  <w:r>
                    <w:rPr>
                      <w:rFonts w:cs="Times New Roman"/>
                      <w:szCs w:val="21"/>
                      <w:vertAlign w:val="superscript"/>
                    </w:rPr>
                    <w:t>2</w:t>
                  </w:r>
                </w:p>
              </w:tc>
              <w:tc>
                <w:tcPr>
                  <w:tcW w:w="649" w:type="pct"/>
                  <w:tcBorders>
                    <w:tl2br w:val="nil"/>
                    <w:tr2bl w:val="nil"/>
                  </w:tcBorders>
                  <w:shd w:val="clear" w:color="auto" w:fill="auto"/>
                </w:tcPr>
                <w:p>
                  <w:pPr>
                    <w:jc w:val="center"/>
                    <w:rPr>
                      <w:rFonts w:cs="Times New Roman"/>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tcPr>
                <w:p>
                  <w:pPr>
                    <w:jc w:val="center"/>
                    <w:rPr>
                      <w:rFonts w:cs="Times New Roman"/>
                      <w:szCs w:val="21"/>
                    </w:rPr>
                  </w:pPr>
                  <w:r>
                    <w:rPr>
                      <w:rFonts w:cs="Times New Roman"/>
                      <w:szCs w:val="21"/>
                    </w:rPr>
                    <w:t>道路</w:t>
                  </w:r>
                </w:p>
              </w:tc>
              <w:tc>
                <w:tcPr>
                  <w:tcW w:w="3065" w:type="pct"/>
                  <w:tcBorders>
                    <w:tl2br w:val="nil"/>
                    <w:tr2bl w:val="nil"/>
                  </w:tcBorders>
                  <w:shd w:val="clear" w:color="auto" w:fill="auto"/>
                </w:tcPr>
                <w:p>
                  <w:pPr>
                    <w:jc w:val="center"/>
                    <w:rPr>
                      <w:rFonts w:cs="Times New Roman"/>
                      <w:szCs w:val="21"/>
                    </w:rPr>
                  </w:pPr>
                  <w:r>
                    <w:rPr>
                      <w:rFonts w:cs="Times New Roman"/>
                      <w:szCs w:val="21"/>
                    </w:rPr>
                    <w:t>厂区内配套道路建设及围墙建设</w:t>
                  </w:r>
                </w:p>
              </w:tc>
              <w:tc>
                <w:tcPr>
                  <w:tcW w:w="649" w:type="pct"/>
                  <w:tcBorders>
                    <w:tl2br w:val="nil"/>
                    <w:tr2bl w:val="nil"/>
                  </w:tcBorders>
                  <w:shd w:val="clear" w:color="auto" w:fill="auto"/>
                </w:tcPr>
                <w:p>
                  <w:pPr>
                    <w:jc w:val="center"/>
                    <w:rPr>
                      <w:rFonts w:cs="Times New Roman"/>
                      <w:szCs w:val="21"/>
                    </w:rPr>
                  </w:pPr>
                  <w:r>
                    <w:rPr>
                      <w:rFonts w:cs="Times New Roman"/>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restart"/>
                  <w:tcBorders>
                    <w:tl2br w:val="nil"/>
                    <w:tr2bl w:val="nil"/>
                  </w:tcBorders>
                  <w:shd w:val="clear" w:color="auto" w:fill="auto"/>
                  <w:vAlign w:val="center"/>
                </w:tcPr>
                <w:p>
                  <w:pPr>
                    <w:jc w:val="center"/>
                    <w:rPr>
                      <w:rFonts w:cs="Times New Roman"/>
                      <w:szCs w:val="21"/>
                    </w:rPr>
                  </w:pPr>
                  <w:r>
                    <w:rPr>
                      <w:rFonts w:cs="Times New Roman"/>
                      <w:szCs w:val="21"/>
                    </w:rPr>
                    <w:t>环保工程</w:t>
                  </w:r>
                </w:p>
              </w:tc>
              <w:tc>
                <w:tcPr>
                  <w:tcW w:w="273" w:type="pct"/>
                  <w:vMerge w:val="restar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bCs/>
                      <w:szCs w:val="21"/>
                    </w:rPr>
                    <w:t>废气</w:t>
                  </w:r>
                </w:p>
              </w:tc>
              <w:tc>
                <w:tcPr>
                  <w:tcW w:w="609" w:type="pct"/>
                  <w:tcBorders>
                    <w:tl2br w:val="nil"/>
                    <w:tr2bl w:val="nil"/>
                  </w:tcBorders>
                  <w:shd w:val="clear" w:color="auto" w:fill="auto"/>
                  <w:vAlign w:val="center"/>
                </w:tcPr>
                <w:p>
                  <w:pPr>
                    <w:jc w:val="center"/>
                    <w:rPr>
                      <w:rFonts w:cs="Times New Roman"/>
                      <w:bCs/>
                      <w:kern w:val="0"/>
                      <w:szCs w:val="21"/>
                    </w:rPr>
                  </w:pPr>
                  <w:r>
                    <w:rPr>
                      <w:rFonts w:cs="Times New Roman"/>
                      <w:bCs/>
                      <w:kern w:val="0"/>
                      <w:szCs w:val="21"/>
                    </w:rPr>
                    <w:t>施胶工序产生的VOCs</w:t>
                  </w:r>
                </w:p>
              </w:tc>
              <w:tc>
                <w:tcPr>
                  <w:tcW w:w="3065" w:type="pct"/>
                  <w:tcBorders>
                    <w:tl2br w:val="nil"/>
                    <w:tr2bl w:val="nil"/>
                  </w:tcBorders>
                  <w:shd w:val="clear" w:color="auto" w:fill="auto"/>
                  <w:vAlign w:val="center"/>
                </w:tcPr>
                <w:p>
                  <w:pPr>
                    <w:jc w:val="center"/>
                    <w:rPr>
                      <w:rFonts w:cs="Times New Roman"/>
                      <w:bCs/>
                      <w:szCs w:val="21"/>
                    </w:rPr>
                  </w:pPr>
                  <w:r>
                    <w:rPr>
                      <w:rFonts w:cs="Times New Roman"/>
                      <w:bCs/>
                      <w:szCs w:val="21"/>
                    </w:rPr>
                    <w:t>项目在施胶工序施胶处分别设置了集气罩，将产生的VOC</w:t>
                  </w:r>
                  <w:r>
                    <w:rPr>
                      <w:rFonts w:cs="Times New Roman"/>
                      <w:bCs/>
                      <w:szCs w:val="21"/>
                      <w:vertAlign w:val="subscript"/>
                    </w:rPr>
                    <w:t>S</w:t>
                  </w:r>
                  <w:r>
                    <w:rPr>
                      <w:rFonts w:cs="Times New Roman"/>
                      <w:bCs/>
                      <w:szCs w:val="21"/>
                    </w:rPr>
                    <w:t>引至活性炭装置吸附后经15m排气筒（2套活性炭吸附装置，2根排气筒，DA001、DA002）排放</w:t>
                  </w:r>
                </w:p>
              </w:tc>
              <w:tc>
                <w:tcPr>
                  <w:tcW w:w="649" w:type="pct"/>
                  <w:tcBorders>
                    <w:tl2br w:val="nil"/>
                    <w:tr2bl w:val="nil"/>
                  </w:tcBorders>
                  <w:shd w:val="clear" w:color="auto" w:fill="auto"/>
                  <w:vAlign w:val="center"/>
                </w:tcPr>
                <w:p>
                  <w:pPr>
                    <w:jc w:val="center"/>
                    <w:rPr>
                      <w:rFonts w:cs="Times New Roman"/>
                      <w:bCs/>
                      <w:szCs w:val="21"/>
                    </w:rPr>
                  </w:pPr>
                  <w:r>
                    <w:rPr>
                      <w:rFonts w:cs="Times New Roman"/>
                      <w:bCs/>
                      <w:szCs w:val="21"/>
                    </w:rPr>
                    <w:t>有机废气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09" w:type="pct"/>
                  <w:tcBorders>
                    <w:tl2br w:val="nil"/>
                    <w:tr2bl w:val="nil"/>
                  </w:tcBorders>
                  <w:shd w:val="clear" w:color="auto" w:fill="auto"/>
                  <w:vAlign w:val="center"/>
                </w:tcPr>
                <w:p>
                  <w:pPr>
                    <w:jc w:val="center"/>
                    <w:rPr>
                      <w:rFonts w:cs="Times New Roman"/>
                      <w:bCs/>
                      <w:kern w:val="0"/>
                      <w:szCs w:val="21"/>
                    </w:rPr>
                  </w:pPr>
                  <w:r>
                    <w:rPr>
                      <w:rFonts w:cs="Times New Roman"/>
                      <w:bCs/>
                      <w:kern w:val="0"/>
                      <w:szCs w:val="21"/>
                    </w:rPr>
                    <w:t>固化工序产生的VOCs和天然气燃烧废气</w:t>
                  </w:r>
                </w:p>
              </w:tc>
              <w:tc>
                <w:tcPr>
                  <w:tcW w:w="3065" w:type="pct"/>
                  <w:tcBorders>
                    <w:tl2br w:val="nil"/>
                    <w:tr2bl w:val="nil"/>
                  </w:tcBorders>
                  <w:shd w:val="clear" w:color="auto" w:fill="auto"/>
                  <w:vAlign w:val="center"/>
                </w:tcPr>
                <w:p>
                  <w:pPr>
                    <w:jc w:val="center"/>
                    <w:rPr>
                      <w:rFonts w:cs="Times New Roman"/>
                      <w:szCs w:val="21"/>
                    </w:rPr>
                  </w:pPr>
                  <w:r>
                    <w:rPr>
                      <w:rFonts w:cs="Times New Roman"/>
                      <w:bCs/>
                      <w:szCs w:val="21"/>
                    </w:rPr>
                    <w:t>项目固化工序产生的</w:t>
                  </w:r>
                  <w:r>
                    <w:rPr>
                      <w:rFonts w:cs="Times New Roman"/>
                      <w:bCs/>
                      <w:kern w:val="0"/>
                      <w:szCs w:val="21"/>
                    </w:rPr>
                    <w:t>VOCs和天然气燃烧废气经</w:t>
                  </w:r>
                  <w:r>
                    <w:rPr>
                      <w:rFonts w:cs="Times New Roman"/>
                      <w:bCs/>
                      <w:szCs w:val="21"/>
                    </w:rPr>
                    <w:t>活性炭装置吸附后经15m排气筒（DA003）排放</w:t>
                  </w:r>
                </w:p>
              </w:tc>
              <w:tc>
                <w:tcPr>
                  <w:tcW w:w="649" w:type="pct"/>
                  <w:tcBorders>
                    <w:tl2br w:val="nil"/>
                    <w:tr2bl w:val="nil"/>
                  </w:tcBorders>
                  <w:shd w:val="clear" w:color="auto" w:fill="auto"/>
                  <w:vAlign w:val="center"/>
                </w:tcPr>
                <w:p>
                  <w:pPr>
                    <w:jc w:val="center"/>
                    <w:rPr>
                      <w:rFonts w:cs="Times New Roman"/>
                      <w:szCs w:val="21"/>
                    </w:rPr>
                  </w:pPr>
                  <w:r>
                    <w:rPr>
                      <w:rFonts w:cs="Times New Roman"/>
                      <w:bCs/>
                      <w:szCs w:val="21"/>
                    </w:rPr>
                    <w:t>有机废气、颗粒物、氮氧化物、二氧化硫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09" w:type="pc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食堂油烟</w:t>
                  </w:r>
                </w:p>
              </w:tc>
              <w:tc>
                <w:tcPr>
                  <w:tcW w:w="3065" w:type="pc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食堂油烟经油烟净化器处理后外排</w:t>
                  </w:r>
                </w:p>
              </w:tc>
              <w:tc>
                <w:tcPr>
                  <w:tcW w:w="64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油烟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废水</w:t>
                  </w:r>
                </w:p>
              </w:tc>
              <w:tc>
                <w:tcPr>
                  <w:tcW w:w="609" w:type="pct"/>
                  <w:tcBorders>
                    <w:tl2br w:val="nil"/>
                    <w:tr2bl w:val="nil"/>
                  </w:tcBorders>
                  <w:shd w:val="clear" w:color="auto" w:fill="auto"/>
                  <w:vAlign w:val="center"/>
                </w:tcPr>
                <w:p>
                  <w:pPr>
                    <w:adjustRightInd w:val="0"/>
                    <w:snapToGrid w:val="0"/>
                    <w:ind w:left="-48" w:leftChars="-23" w:right="-36" w:rightChars="-17"/>
                    <w:jc w:val="center"/>
                    <w:rPr>
                      <w:rFonts w:cs="Times New Roman"/>
                      <w:snapToGrid w:val="0"/>
                      <w:kern w:val="0"/>
                      <w:szCs w:val="21"/>
                    </w:rPr>
                  </w:pPr>
                  <w:r>
                    <w:rPr>
                      <w:rFonts w:cs="Times New Roman"/>
                      <w:szCs w:val="21"/>
                    </w:rPr>
                    <w:t>生活污水</w:t>
                  </w:r>
                </w:p>
              </w:tc>
              <w:tc>
                <w:tcPr>
                  <w:tcW w:w="3065" w:type="pct"/>
                  <w:tcBorders>
                    <w:tl2br w:val="nil"/>
                    <w:tr2bl w:val="nil"/>
                  </w:tcBorders>
                  <w:shd w:val="clear" w:color="auto" w:fill="auto"/>
                  <w:vAlign w:val="center"/>
                </w:tcPr>
                <w:p>
                  <w:pPr>
                    <w:jc w:val="center"/>
                    <w:rPr>
                      <w:rFonts w:cs="Times New Roman"/>
                      <w:szCs w:val="21"/>
                    </w:rPr>
                  </w:pPr>
                  <w:r>
                    <w:rPr>
                      <w:rFonts w:cs="Times New Roman"/>
                      <w:szCs w:val="21"/>
                    </w:rPr>
                    <w:t>项目生活污水经化粪池处理后排入园区管网</w:t>
                  </w:r>
                </w:p>
              </w:tc>
              <w:tc>
                <w:tcPr>
                  <w:tcW w:w="649" w:type="pct"/>
                  <w:tcBorders>
                    <w:tl2br w:val="nil"/>
                    <w:tr2bl w:val="nil"/>
                  </w:tcBorders>
                  <w:shd w:val="clear" w:color="auto" w:fill="auto"/>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09" w:type="pct"/>
                  <w:tcBorders>
                    <w:tl2br w:val="nil"/>
                    <w:tr2bl w:val="nil"/>
                  </w:tcBorders>
                  <w:shd w:val="clear" w:color="auto" w:fill="auto"/>
                  <w:vAlign w:val="center"/>
                </w:tcPr>
                <w:p>
                  <w:pPr>
                    <w:adjustRightInd w:val="0"/>
                    <w:snapToGrid w:val="0"/>
                    <w:ind w:left="-48" w:leftChars="-23" w:right="-36" w:rightChars="-17"/>
                    <w:jc w:val="center"/>
                    <w:rPr>
                      <w:rFonts w:cs="Times New Roman"/>
                      <w:snapToGrid w:val="0"/>
                      <w:kern w:val="0"/>
                      <w:szCs w:val="21"/>
                    </w:rPr>
                  </w:pPr>
                  <w:r>
                    <w:rPr>
                      <w:rFonts w:cs="Times New Roman"/>
                      <w:snapToGrid w:val="0"/>
                      <w:kern w:val="0"/>
                      <w:szCs w:val="21"/>
                    </w:rPr>
                    <w:t>地面清洁废水</w:t>
                  </w:r>
                </w:p>
              </w:tc>
              <w:tc>
                <w:tcPr>
                  <w:tcW w:w="3065" w:type="pct"/>
                  <w:tcBorders>
                    <w:tl2br w:val="nil"/>
                    <w:tr2bl w:val="nil"/>
                  </w:tcBorders>
                  <w:shd w:val="clear" w:color="auto" w:fill="auto"/>
                  <w:vAlign w:val="center"/>
                </w:tcPr>
                <w:p>
                  <w:pPr>
                    <w:jc w:val="center"/>
                    <w:rPr>
                      <w:rFonts w:cs="Times New Roman"/>
                      <w:szCs w:val="21"/>
                    </w:rPr>
                  </w:pPr>
                  <w:r>
                    <w:rPr>
                      <w:rFonts w:cs="Times New Roman"/>
                      <w:szCs w:val="21"/>
                    </w:rPr>
                    <w:t>清洗废水经化粪池收集后，排入园区污水管网</w:t>
                  </w:r>
                </w:p>
              </w:tc>
              <w:tc>
                <w:tcPr>
                  <w:tcW w:w="649" w:type="pct"/>
                  <w:tcBorders>
                    <w:tl2br w:val="nil"/>
                    <w:tr2bl w:val="nil"/>
                  </w:tcBorders>
                  <w:shd w:val="clear" w:color="auto" w:fill="auto"/>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09" w:type="pct"/>
                  <w:tcBorders>
                    <w:tl2br w:val="nil"/>
                    <w:tr2bl w:val="nil"/>
                  </w:tcBorders>
                  <w:shd w:val="clear" w:color="auto" w:fill="auto"/>
                  <w:vAlign w:val="center"/>
                </w:tcPr>
                <w:p>
                  <w:pPr>
                    <w:adjustRightInd w:val="0"/>
                    <w:snapToGrid w:val="0"/>
                    <w:ind w:left="-48" w:leftChars="-23" w:right="-36" w:rightChars="-17"/>
                    <w:jc w:val="center"/>
                    <w:rPr>
                      <w:rFonts w:cs="Times New Roman"/>
                      <w:snapToGrid w:val="0"/>
                      <w:kern w:val="0"/>
                      <w:szCs w:val="21"/>
                    </w:rPr>
                  </w:pPr>
                  <w:r>
                    <w:rPr>
                      <w:rFonts w:cs="Times New Roman"/>
                      <w:snapToGrid w:val="0"/>
                      <w:kern w:val="0"/>
                      <w:szCs w:val="21"/>
                    </w:rPr>
                    <w:t>软水制备废水</w:t>
                  </w:r>
                </w:p>
              </w:tc>
              <w:tc>
                <w:tcPr>
                  <w:tcW w:w="3065" w:type="pct"/>
                  <w:tcBorders>
                    <w:tl2br w:val="nil"/>
                    <w:tr2bl w:val="nil"/>
                  </w:tcBorders>
                  <w:shd w:val="clear" w:color="auto" w:fill="auto"/>
                  <w:vAlign w:val="center"/>
                </w:tcPr>
                <w:p>
                  <w:pPr>
                    <w:jc w:val="center"/>
                    <w:rPr>
                      <w:rFonts w:cs="Times New Roman"/>
                      <w:szCs w:val="21"/>
                    </w:rPr>
                  </w:pPr>
                  <w:r>
                    <w:rPr>
                      <w:rFonts w:cs="Times New Roman"/>
                      <w:szCs w:val="21"/>
                    </w:rPr>
                    <w:t>作为清下水，排入雨水管网</w:t>
                  </w:r>
                </w:p>
              </w:tc>
              <w:tc>
                <w:tcPr>
                  <w:tcW w:w="649" w:type="pct"/>
                  <w:tcBorders>
                    <w:tl2br w:val="nil"/>
                    <w:tr2bl w:val="nil"/>
                  </w:tcBorders>
                  <w:shd w:val="clear" w:color="auto" w:fill="auto"/>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szCs w:val="21"/>
                    </w:rPr>
                    <w:t>固废</w:t>
                  </w:r>
                </w:p>
              </w:tc>
              <w:tc>
                <w:tcPr>
                  <w:tcW w:w="60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一般固废</w:t>
                  </w:r>
                </w:p>
              </w:tc>
              <w:tc>
                <w:tcPr>
                  <w:tcW w:w="3065"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生活垃圾经和废过滤棉经袋装收集后定期交由环卫部门统一清运；废丝、裁切边废料作为玻璃原料或工艺品填料外售；包装废物出售给废品收购站。餐厨垃圾混入生活垃圾一同处理。</w:t>
                  </w:r>
                </w:p>
              </w:tc>
              <w:tc>
                <w:tcPr>
                  <w:tcW w:w="64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continue"/>
                  <w:tcBorders>
                    <w:tl2br w:val="nil"/>
                    <w:tr2bl w:val="nil"/>
                  </w:tcBorders>
                  <w:shd w:val="clear" w:color="auto" w:fill="auto"/>
                  <w:vAlign w:val="center"/>
                </w:tcPr>
                <w:p>
                  <w:pPr>
                    <w:tabs>
                      <w:tab w:val="left" w:pos="993"/>
                      <w:tab w:val="left" w:pos="1134"/>
                    </w:tabs>
                    <w:jc w:val="center"/>
                    <w:rPr>
                      <w:rFonts w:cs="Times New Roman"/>
                      <w:szCs w:val="21"/>
                    </w:rPr>
                  </w:pPr>
                </w:p>
              </w:tc>
              <w:tc>
                <w:tcPr>
                  <w:tcW w:w="60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危废暂存间</w:t>
                  </w:r>
                </w:p>
              </w:tc>
              <w:tc>
                <w:tcPr>
                  <w:tcW w:w="3065"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lang w:bidi="ar"/>
                    </w:rPr>
                    <w:t>1间，位于生产车间东北角，建筑面积15m</w:t>
                  </w:r>
                  <w:r>
                    <w:rPr>
                      <w:rFonts w:cs="Times New Roman"/>
                      <w:szCs w:val="21"/>
                      <w:vertAlign w:val="superscript"/>
                      <w:lang w:bidi="ar"/>
                    </w:rPr>
                    <w:t>2</w:t>
                  </w:r>
                  <w:r>
                    <w:rPr>
                      <w:rFonts w:cs="Times New Roman"/>
                      <w:szCs w:val="21"/>
                      <w:lang w:bidi="ar"/>
                    </w:rPr>
                    <w:t>，用于危险废物暂存。</w:t>
                  </w:r>
                  <w:r>
                    <w:rPr>
                      <w:rFonts w:cs="Times New Roman"/>
                      <w:color w:val="000000" w:themeColor="text1"/>
                      <w:szCs w:val="21"/>
                      <w:highlight w:val="none"/>
                      <w14:textFill>
                        <w14:solidFill>
                          <w14:schemeClr w14:val="tx1"/>
                        </w14:solidFill>
                      </w14:textFill>
                    </w:rPr>
                    <w:t>废矿物油、废离子交换树脂、废活性炭交由</w:t>
                  </w:r>
                  <w:r>
                    <w:rPr>
                      <w:rFonts w:hint="eastAsia" w:cs="Times New Roman"/>
                      <w:color w:val="000000" w:themeColor="text1"/>
                      <w:szCs w:val="21"/>
                      <w:highlight w:val="none"/>
                      <w14:textFill>
                        <w14:solidFill>
                          <w14:schemeClr w14:val="tx1"/>
                        </w14:solidFill>
                      </w14:textFill>
                    </w:rPr>
                    <w:t>达州清新环境科技有限公司</w:t>
                  </w:r>
                  <w:r>
                    <w:rPr>
                      <w:rFonts w:cs="Times New Roman"/>
                      <w:color w:val="000000" w:themeColor="text1"/>
                      <w:szCs w:val="21"/>
                      <w:highlight w:val="none"/>
                      <w14:textFill>
                        <w14:solidFill>
                          <w14:schemeClr w14:val="tx1"/>
                        </w14:solidFill>
                      </w14:textFill>
                    </w:rPr>
                    <w:t>进行处理</w:t>
                  </w:r>
                  <w:r>
                    <w:rPr>
                      <w:rFonts w:hint="eastAsia" w:cs="Times New Roman"/>
                      <w:color w:val="000000" w:themeColor="text1"/>
                      <w:szCs w:val="21"/>
                      <w:highlight w:val="none"/>
                      <w14:textFill>
                        <w14:solidFill>
                          <w14:schemeClr w14:val="tx1"/>
                        </w14:solidFill>
                      </w14:textFill>
                    </w:rPr>
                    <w:t>，</w:t>
                  </w:r>
                  <w:r>
                    <w:rPr>
                      <w:rFonts w:cs="Times New Roman"/>
                      <w:color w:val="000000" w:themeColor="text1"/>
                      <w:szCs w:val="21"/>
                      <w:highlight w:val="none"/>
                      <w14:textFill>
                        <w14:solidFill>
                          <w14:schemeClr w14:val="tx1"/>
                        </w14:solidFill>
                      </w14:textFill>
                    </w:rPr>
                    <w:t>含湿染料废料交由有资质的单位进行处</w:t>
                  </w:r>
                  <w:r>
                    <w:rPr>
                      <w:rFonts w:cs="Times New Roman"/>
                      <w:szCs w:val="21"/>
                    </w:rPr>
                    <w:t>理。</w:t>
                  </w:r>
                </w:p>
              </w:tc>
              <w:tc>
                <w:tcPr>
                  <w:tcW w:w="649"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lang w:bidi="ar"/>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882" w:type="pct"/>
                  <w:gridSpan w:val="2"/>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噪声</w:t>
                  </w:r>
                </w:p>
              </w:tc>
              <w:tc>
                <w:tcPr>
                  <w:tcW w:w="3065"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rPr>
                    <w:t>选用低噪声设备，合理布局、采取减震措施，厂房隔声等</w:t>
                  </w:r>
                </w:p>
              </w:tc>
              <w:tc>
                <w:tcPr>
                  <w:tcW w:w="64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地下水防渗</w:t>
                  </w:r>
                </w:p>
              </w:tc>
              <w:tc>
                <w:tcPr>
                  <w:tcW w:w="60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重点防渗区</w:t>
                  </w:r>
                </w:p>
              </w:tc>
              <w:tc>
                <w:tcPr>
                  <w:tcW w:w="3065"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lang w:bidi="ar"/>
                    </w:rPr>
                    <w:t>危废暂存间、化粪池采取了防渗混凝土，铺设了高密度聚乙烯材料，采取的防渗措施可达到防渗层渗透系数≤10</w:t>
                  </w:r>
                  <w:r>
                    <w:rPr>
                      <w:rFonts w:cs="Times New Roman"/>
                      <w:szCs w:val="21"/>
                      <w:vertAlign w:val="superscript"/>
                      <w:lang w:bidi="ar"/>
                    </w:rPr>
                    <w:t>-7</w:t>
                  </w:r>
                  <w:r>
                    <w:rPr>
                      <w:rFonts w:cs="Times New Roman"/>
                      <w:szCs w:val="21"/>
                      <w:lang w:bidi="ar"/>
                    </w:rPr>
                    <w:t>cm/s要求。危废暂存间设置了围堰。</w:t>
                  </w:r>
                </w:p>
              </w:tc>
              <w:tc>
                <w:tcPr>
                  <w:tcW w:w="649"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lang w:bidi="ar"/>
                    </w:rPr>
                    <w:t>环境风险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02" w:type="pct"/>
                  <w:vMerge w:val="continue"/>
                  <w:tcBorders>
                    <w:tl2br w:val="nil"/>
                    <w:tr2bl w:val="nil"/>
                  </w:tcBorders>
                  <w:shd w:val="clear" w:color="auto" w:fill="auto"/>
                  <w:vAlign w:val="center"/>
                </w:tcPr>
                <w:p>
                  <w:pPr>
                    <w:jc w:val="center"/>
                    <w:rPr>
                      <w:rFonts w:cs="Times New Roman"/>
                      <w:szCs w:val="21"/>
                    </w:rPr>
                  </w:pPr>
                </w:p>
              </w:tc>
              <w:tc>
                <w:tcPr>
                  <w:tcW w:w="273"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0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一般防渗区</w:t>
                  </w:r>
                </w:p>
              </w:tc>
              <w:tc>
                <w:tcPr>
                  <w:tcW w:w="3065"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其他生产区域和办公区域</w:t>
                  </w:r>
                  <w:r>
                    <w:rPr>
                      <w:rFonts w:cs="Times New Roman"/>
                      <w:szCs w:val="21"/>
                      <w:lang w:bidi="ar"/>
                    </w:rPr>
                    <w:t>采用防渗混凝土防渗，满足一般防渗要求</w:t>
                  </w:r>
                </w:p>
              </w:tc>
              <w:tc>
                <w:tcPr>
                  <w:tcW w:w="649"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w:t>
                  </w:r>
                </w:p>
              </w:tc>
            </w:tr>
          </w:tbl>
          <w:p>
            <w:pPr>
              <w:spacing w:line="360" w:lineRule="auto"/>
              <w:ind w:firstLine="482" w:firstLineChars="200"/>
              <w:rPr>
                <w:rFonts w:cs="Times New Roman"/>
                <w:b/>
                <w:bCs/>
                <w:sz w:val="24"/>
                <w:szCs w:val="24"/>
              </w:rPr>
            </w:pPr>
            <w:r>
              <w:rPr>
                <w:rFonts w:cs="Times New Roman"/>
                <w:b/>
                <w:bCs/>
                <w:sz w:val="24"/>
                <w:szCs w:val="24"/>
              </w:rPr>
              <w:t>2、现有项目营运期工艺流程</w:t>
            </w:r>
          </w:p>
          <w:p>
            <w:pPr>
              <w:spacing w:line="360" w:lineRule="auto"/>
              <w:jc w:val="center"/>
              <w:rPr>
                <w:rFonts w:cs="Times New Roman"/>
                <w:sz w:val="24"/>
                <w:szCs w:val="24"/>
              </w:rPr>
            </w:pPr>
            <w:r>
              <w:rPr>
                <w:rFonts w:cs="Times New Roman"/>
              </w:rPr>
              <w:drawing>
                <wp:inline distT="0" distB="0" distL="114300" distR="114300">
                  <wp:extent cx="4756150" cy="4945380"/>
                  <wp:effectExtent l="9525" t="9525" r="15875" b="17145"/>
                  <wp:docPr id="3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pic:cNvPicPr>
                            <a:picLocks noChangeAspect="1"/>
                          </pic:cNvPicPr>
                        </pic:nvPicPr>
                        <pic:blipFill>
                          <a:blip r:embed="rId25"/>
                          <a:stretch>
                            <a:fillRect/>
                          </a:stretch>
                        </pic:blipFill>
                        <pic:spPr>
                          <a:xfrm>
                            <a:off x="0" y="0"/>
                            <a:ext cx="4756150" cy="4945380"/>
                          </a:xfrm>
                          <a:prstGeom prst="rect">
                            <a:avLst/>
                          </a:prstGeom>
                          <a:noFill/>
                          <a:ln>
                            <a:solidFill>
                              <a:schemeClr val="tx1"/>
                            </a:solidFill>
                          </a:ln>
                        </pic:spPr>
                      </pic:pic>
                    </a:graphicData>
                  </a:graphic>
                </wp:inline>
              </w:drawing>
            </w:r>
          </w:p>
          <w:p>
            <w:pPr>
              <w:spacing w:line="360" w:lineRule="auto"/>
              <w:jc w:val="center"/>
              <w:rPr>
                <w:rFonts w:cs="Times New Roman"/>
                <w:b/>
                <w:bCs/>
                <w:sz w:val="24"/>
                <w:szCs w:val="24"/>
              </w:rPr>
            </w:pPr>
            <w:r>
              <w:rPr>
                <w:rFonts w:cs="Times New Roman"/>
                <w:b/>
                <w:bCs/>
                <w:sz w:val="24"/>
                <w:szCs w:val="24"/>
              </w:rPr>
              <w:t>图2-6 生产工艺流程及产污环节</w:t>
            </w:r>
          </w:p>
          <w:p>
            <w:pPr>
              <w:spacing w:line="360" w:lineRule="auto"/>
              <w:ind w:firstLine="482" w:firstLineChars="200"/>
              <w:rPr>
                <w:rFonts w:cs="Times New Roman"/>
                <w:b/>
                <w:bCs/>
                <w:sz w:val="24"/>
                <w:szCs w:val="24"/>
              </w:rPr>
            </w:pPr>
            <w:r>
              <w:rPr>
                <w:rFonts w:cs="Times New Roman"/>
                <w:b/>
                <w:bCs/>
                <w:sz w:val="24"/>
                <w:szCs w:val="24"/>
              </w:rPr>
              <w:t>3、现有项目污染物产生及治理措施</w:t>
            </w:r>
          </w:p>
          <w:p>
            <w:pPr>
              <w:spacing w:line="360" w:lineRule="auto"/>
              <w:ind w:firstLine="482" w:firstLineChars="200"/>
              <w:rPr>
                <w:rFonts w:cs="Times New Roman"/>
                <w:b/>
                <w:bCs/>
                <w:sz w:val="24"/>
                <w:szCs w:val="24"/>
              </w:rPr>
            </w:pPr>
            <w:r>
              <w:rPr>
                <w:rFonts w:cs="Times New Roman"/>
                <w:b/>
                <w:bCs/>
                <w:sz w:val="24"/>
                <w:szCs w:val="24"/>
              </w:rPr>
              <w:t>（1）废气</w:t>
            </w:r>
          </w:p>
          <w:p>
            <w:pPr>
              <w:spacing w:line="360" w:lineRule="auto"/>
              <w:ind w:firstLine="480" w:firstLineChars="200"/>
              <w:rPr>
                <w:rFonts w:cs="Times New Roman"/>
                <w:sz w:val="24"/>
                <w:szCs w:val="24"/>
              </w:rPr>
            </w:pPr>
            <w:r>
              <w:rPr>
                <w:rFonts w:cs="Times New Roman"/>
                <w:sz w:val="24"/>
                <w:szCs w:val="24"/>
              </w:rPr>
              <w:t>项目产生的废气主要为施胶工序产生的VOCs、固化工序产生的VOCs、天然气燃烧废气、食堂油烟等。</w:t>
            </w:r>
          </w:p>
          <w:p>
            <w:pPr>
              <w:spacing w:line="360" w:lineRule="auto"/>
              <w:ind w:firstLine="482" w:firstLineChars="200"/>
              <w:rPr>
                <w:rFonts w:cs="Times New Roman"/>
                <w:b/>
                <w:bCs/>
                <w:sz w:val="24"/>
                <w:szCs w:val="24"/>
              </w:rPr>
            </w:pPr>
            <w:r>
              <w:rPr>
                <w:rFonts w:cs="Times New Roman"/>
                <w:b/>
                <w:bCs/>
                <w:sz w:val="24"/>
                <w:szCs w:val="24"/>
              </w:rPr>
              <w:t>①施胶工序产生的VOCs</w:t>
            </w:r>
          </w:p>
          <w:p>
            <w:pPr>
              <w:spacing w:line="360" w:lineRule="auto"/>
              <w:ind w:firstLine="482" w:firstLineChars="200"/>
              <w:rPr>
                <w:rFonts w:cs="Times New Roman"/>
                <w:b/>
                <w:bCs/>
                <w:sz w:val="24"/>
                <w:szCs w:val="24"/>
              </w:rPr>
            </w:pPr>
            <w:r>
              <w:rPr>
                <w:rFonts w:cs="Times New Roman"/>
                <w:b/>
                <w:bCs/>
                <w:sz w:val="24"/>
                <w:szCs w:val="24"/>
              </w:rPr>
              <w:t>1）产生情况</w:t>
            </w:r>
          </w:p>
          <w:p>
            <w:pPr>
              <w:spacing w:line="360" w:lineRule="auto"/>
              <w:ind w:firstLine="480" w:firstLineChars="200"/>
              <w:rPr>
                <w:rFonts w:cs="Times New Roman"/>
                <w:sz w:val="24"/>
                <w:szCs w:val="24"/>
              </w:rPr>
            </w:pPr>
            <w:r>
              <w:rPr>
                <w:rFonts w:cs="Times New Roman"/>
                <w:sz w:val="24"/>
                <w:szCs w:val="24"/>
              </w:rPr>
              <w:t>项目施胶工序中使用的粘结剂主要成分为脲醛</w:t>
            </w:r>
            <w:r>
              <w:rPr>
                <w:rFonts w:hint="eastAsia" w:cs="Times New Roman"/>
                <w:sz w:val="24"/>
                <w:szCs w:val="24"/>
                <w:lang w:val="en-US" w:eastAsia="zh-CN"/>
              </w:rPr>
              <w:t>树脂</w:t>
            </w:r>
            <w:r>
              <w:rPr>
                <w:rFonts w:cs="Times New Roman"/>
                <w:sz w:val="24"/>
                <w:szCs w:val="24"/>
              </w:rPr>
              <w:t>，施胶工序和固化工序均有有机废气挥发。（330d，24h）</w:t>
            </w:r>
          </w:p>
          <w:p>
            <w:pPr>
              <w:spacing w:line="360" w:lineRule="auto"/>
              <w:ind w:firstLine="482" w:firstLineChars="200"/>
              <w:rPr>
                <w:rFonts w:cs="Times New Roman"/>
                <w:sz w:val="24"/>
                <w:szCs w:val="24"/>
              </w:rPr>
            </w:pPr>
            <w:r>
              <w:rPr>
                <w:rFonts w:cs="Times New Roman"/>
                <w:b/>
                <w:bCs/>
                <w:sz w:val="24"/>
                <w:szCs w:val="24"/>
              </w:rPr>
              <w:t>2）污染防治措施</w:t>
            </w:r>
          </w:p>
          <w:p>
            <w:pPr>
              <w:spacing w:line="360" w:lineRule="auto"/>
              <w:ind w:firstLine="480" w:firstLineChars="200"/>
              <w:rPr>
                <w:rFonts w:cs="Times New Roman"/>
                <w:sz w:val="24"/>
                <w:szCs w:val="24"/>
              </w:rPr>
            </w:pPr>
            <w:r>
              <w:rPr>
                <w:rFonts w:cs="Times New Roman"/>
                <w:sz w:val="24"/>
                <w:szCs w:val="24"/>
              </w:rPr>
              <w:t>现有措施</w:t>
            </w:r>
          </w:p>
          <w:p>
            <w:pPr>
              <w:spacing w:line="360" w:lineRule="auto"/>
              <w:ind w:firstLine="480" w:firstLineChars="200"/>
              <w:rPr>
                <w:rFonts w:cs="Times New Roman"/>
                <w:sz w:val="24"/>
                <w:szCs w:val="24"/>
              </w:rPr>
            </w:pPr>
            <w:r>
              <w:rPr>
                <w:rFonts w:cs="Times New Roman"/>
                <w:sz w:val="24"/>
                <w:szCs w:val="24"/>
              </w:rPr>
              <w:t>项目在施胶工序施胶处分别设置了集气罩，将产生的VOC</w:t>
            </w:r>
            <w:r>
              <w:rPr>
                <w:rFonts w:cs="Times New Roman"/>
                <w:sz w:val="24"/>
                <w:szCs w:val="24"/>
                <w:vertAlign w:val="subscript"/>
              </w:rPr>
              <w:t>S</w:t>
            </w:r>
            <w:r>
              <w:rPr>
                <w:rFonts w:cs="Times New Roman"/>
                <w:sz w:val="24"/>
                <w:szCs w:val="24"/>
              </w:rPr>
              <w:t>引至2套活性炭装置吸附后经2根15m排气筒（DA001、DA002）排放。根据恒福（环）检字（2022）第1654号监测报告计算：VOC</w:t>
            </w:r>
            <w:r>
              <w:rPr>
                <w:rFonts w:cs="Times New Roman"/>
                <w:sz w:val="24"/>
                <w:szCs w:val="24"/>
                <w:vertAlign w:val="subscript"/>
              </w:rPr>
              <w:t>S</w:t>
            </w:r>
            <w:r>
              <w:rPr>
                <w:rFonts w:cs="Times New Roman"/>
                <w:sz w:val="24"/>
                <w:szCs w:val="24"/>
              </w:rPr>
              <w:t>排放量为0.0028t/a，排放速率为0.0004kg/h</w:t>
            </w:r>
            <w:r>
              <w:rPr>
                <w:rFonts w:hint="eastAsia" w:cs="Times New Roman"/>
                <w:sz w:val="24"/>
                <w:szCs w:val="24"/>
              </w:rPr>
              <w:t>；根据监测报告，</w:t>
            </w:r>
            <w:r>
              <w:rPr>
                <w:rFonts w:cs="Times New Roman"/>
                <w:sz w:val="24"/>
                <w:szCs w:val="24"/>
              </w:rPr>
              <w:t>VOC</w:t>
            </w:r>
            <w:r>
              <w:rPr>
                <w:rFonts w:cs="Times New Roman"/>
                <w:sz w:val="24"/>
                <w:szCs w:val="24"/>
                <w:vertAlign w:val="subscript"/>
              </w:rPr>
              <w:t>S</w:t>
            </w:r>
            <w:r>
              <w:rPr>
                <w:rFonts w:hint="eastAsia" w:cs="Times New Roman"/>
                <w:sz w:val="24"/>
                <w:szCs w:val="24"/>
              </w:rPr>
              <w:t>最大实测排放浓度为0.031mg/m</w:t>
            </w:r>
            <w:r>
              <w:rPr>
                <w:rFonts w:hint="eastAsia" w:cs="Times New Roman"/>
                <w:sz w:val="24"/>
                <w:szCs w:val="24"/>
                <w:vertAlign w:val="superscript"/>
              </w:rPr>
              <w:t>3</w:t>
            </w:r>
            <w:r>
              <w:rPr>
                <w:rFonts w:hint="eastAsia" w:cs="Times New Roman"/>
                <w:sz w:val="24"/>
                <w:szCs w:val="24"/>
              </w:rPr>
              <w:t>，满足</w:t>
            </w:r>
            <w:r>
              <w:rPr>
                <w:rFonts w:cs="Times New Roman"/>
                <w:sz w:val="24"/>
                <w:szCs w:val="24"/>
              </w:rPr>
              <w:t>《四川省固定污染源大气挥发性有机物排放标准》（DB51/2377-2017）</w:t>
            </w:r>
            <w:r>
              <w:rPr>
                <w:rFonts w:hint="eastAsia" w:cs="Times New Roman"/>
                <w:sz w:val="24"/>
                <w:szCs w:val="24"/>
              </w:rPr>
              <w:t>中相应要求</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整改措施：无</w:t>
            </w:r>
          </w:p>
          <w:p>
            <w:pPr>
              <w:spacing w:line="360" w:lineRule="auto"/>
              <w:ind w:firstLine="482" w:firstLineChars="200"/>
              <w:rPr>
                <w:rFonts w:cs="Times New Roman"/>
                <w:b/>
                <w:bCs/>
                <w:sz w:val="24"/>
                <w:szCs w:val="24"/>
              </w:rPr>
            </w:pPr>
            <w:r>
              <w:rPr>
                <w:rFonts w:cs="Times New Roman"/>
                <w:b/>
                <w:bCs/>
                <w:sz w:val="24"/>
                <w:szCs w:val="24"/>
              </w:rPr>
              <w:t>②固化工序产生的VOCs和天然气燃烧废气</w:t>
            </w:r>
          </w:p>
          <w:p>
            <w:pPr>
              <w:spacing w:line="360" w:lineRule="auto"/>
              <w:ind w:firstLine="482" w:firstLineChars="200"/>
              <w:rPr>
                <w:rFonts w:cs="Times New Roman"/>
                <w:b/>
                <w:bCs/>
                <w:sz w:val="24"/>
                <w:szCs w:val="24"/>
              </w:rPr>
            </w:pPr>
            <w:r>
              <w:rPr>
                <w:rFonts w:cs="Times New Roman"/>
                <w:b/>
                <w:bCs/>
                <w:sz w:val="24"/>
                <w:szCs w:val="24"/>
              </w:rPr>
              <w:t>1）产生情况</w:t>
            </w:r>
          </w:p>
          <w:p>
            <w:pPr>
              <w:spacing w:line="360" w:lineRule="auto"/>
              <w:ind w:firstLine="480" w:firstLineChars="200"/>
              <w:rPr>
                <w:rFonts w:cs="Times New Roman"/>
                <w:bCs/>
                <w:sz w:val="24"/>
                <w:szCs w:val="24"/>
              </w:rPr>
            </w:pPr>
            <w:r>
              <w:rPr>
                <w:rFonts w:cs="Times New Roman"/>
                <w:sz w:val="24"/>
                <w:szCs w:val="24"/>
              </w:rPr>
              <w:t>项目烘干过程产生VOC</w:t>
            </w:r>
            <w:r>
              <w:rPr>
                <w:rFonts w:cs="Times New Roman"/>
                <w:sz w:val="24"/>
                <w:szCs w:val="24"/>
                <w:vertAlign w:val="subscript"/>
              </w:rPr>
              <w:t>S</w:t>
            </w:r>
            <w:r>
              <w:rPr>
                <w:rFonts w:cs="Times New Roman"/>
                <w:sz w:val="24"/>
                <w:szCs w:val="24"/>
              </w:rPr>
              <w:t>，以及使用天然气作为燃料，天然气燃烧过程中会产生二氧化硫、氮氧化物和颗粒物等。（330d，24h）</w:t>
            </w:r>
          </w:p>
          <w:p>
            <w:pPr>
              <w:spacing w:line="360" w:lineRule="auto"/>
              <w:ind w:firstLine="482" w:firstLineChars="200"/>
              <w:rPr>
                <w:rFonts w:cs="Times New Roman"/>
                <w:sz w:val="24"/>
                <w:szCs w:val="24"/>
              </w:rPr>
            </w:pPr>
            <w:r>
              <w:rPr>
                <w:rFonts w:cs="Times New Roman"/>
                <w:b/>
                <w:bCs/>
                <w:sz w:val="24"/>
                <w:szCs w:val="24"/>
              </w:rPr>
              <w:t>2）污染防治措施</w:t>
            </w:r>
          </w:p>
          <w:p>
            <w:pPr>
              <w:spacing w:line="360" w:lineRule="auto"/>
              <w:ind w:firstLine="480" w:firstLineChars="200"/>
              <w:rPr>
                <w:rFonts w:cs="Times New Roman"/>
                <w:sz w:val="24"/>
                <w:szCs w:val="24"/>
              </w:rPr>
            </w:pPr>
            <w:r>
              <w:rPr>
                <w:rFonts w:cs="Times New Roman"/>
                <w:sz w:val="24"/>
                <w:szCs w:val="24"/>
              </w:rPr>
              <w:t>现有措施</w:t>
            </w:r>
          </w:p>
          <w:p>
            <w:pPr>
              <w:spacing w:line="360" w:lineRule="auto"/>
              <w:ind w:firstLine="480" w:firstLineChars="200"/>
              <w:rPr>
                <w:rFonts w:cs="Times New Roman"/>
                <w:sz w:val="24"/>
                <w:szCs w:val="24"/>
              </w:rPr>
            </w:pPr>
            <w:r>
              <w:rPr>
                <w:rFonts w:cs="Times New Roman"/>
                <w:sz w:val="24"/>
                <w:szCs w:val="24"/>
              </w:rPr>
              <w:t>烘干炉尾气经活性炭装置吸附后由15m排气筒（DA003）排放。根据恒福（环）检字（2022）第1654号监测报告：SO</w:t>
            </w:r>
            <w:r>
              <w:rPr>
                <w:rFonts w:cs="Times New Roman"/>
                <w:sz w:val="24"/>
                <w:szCs w:val="24"/>
                <w:vertAlign w:val="subscript"/>
              </w:rPr>
              <w:t>2</w:t>
            </w:r>
            <w:r>
              <w:rPr>
                <w:rFonts w:cs="Times New Roman"/>
                <w:sz w:val="24"/>
                <w:szCs w:val="24"/>
              </w:rPr>
              <w:t>排放量为0.0264t/a（0.0033kg/h），NOx排放量为0.2153t/a（0.0272kg/h），颗粒物排放量为0.0821t/a（0.0104kg/h），VOC</w:t>
            </w:r>
            <w:r>
              <w:rPr>
                <w:rFonts w:cs="Times New Roman"/>
                <w:sz w:val="24"/>
                <w:szCs w:val="24"/>
                <w:vertAlign w:val="subscript"/>
              </w:rPr>
              <w:t>S</w:t>
            </w:r>
            <w:r>
              <w:rPr>
                <w:rFonts w:cs="Times New Roman"/>
                <w:sz w:val="24"/>
                <w:szCs w:val="24"/>
              </w:rPr>
              <w:t>排放量为0.0007t/a，排放速率为0.0001kg/h。</w:t>
            </w:r>
            <w:r>
              <w:rPr>
                <w:rFonts w:hint="eastAsia" w:cs="Times New Roman"/>
                <w:sz w:val="24"/>
                <w:szCs w:val="24"/>
              </w:rPr>
              <w:t>根据监测报告，</w:t>
            </w:r>
            <w:r>
              <w:rPr>
                <w:rFonts w:cs="Times New Roman"/>
                <w:sz w:val="24"/>
                <w:szCs w:val="24"/>
              </w:rPr>
              <w:t>VOC</w:t>
            </w:r>
            <w:r>
              <w:rPr>
                <w:rFonts w:cs="Times New Roman"/>
                <w:sz w:val="24"/>
                <w:szCs w:val="24"/>
                <w:vertAlign w:val="subscript"/>
              </w:rPr>
              <w:t>S</w:t>
            </w:r>
            <w:r>
              <w:rPr>
                <w:rFonts w:hint="eastAsia" w:cs="Times New Roman"/>
                <w:sz w:val="24"/>
                <w:szCs w:val="24"/>
              </w:rPr>
              <w:t>最大实测排放浓度为0.029mg/m</w:t>
            </w:r>
            <w:r>
              <w:rPr>
                <w:rFonts w:hint="eastAsia" w:cs="Times New Roman"/>
                <w:sz w:val="24"/>
                <w:szCs w:val="24"/>
                <w:vertAlign w:val="superscript"/>
              </w:rPr>
              <w:t>3</w:t>
            </w:r>
            <w:r>
              <w:rPr>
                <w:rFonts w:hint="eastAsia" w:cs="Times New Roman"/>
                <w:sz w:val="24"/>
                <w:szCs w:val="24"/>
              </w:rPr>
              <w:t>，</w:t>
            </w:r>
            <w:r>
              <w:rPr>
                <w:rFonts w:cs="Times New Roman"/>
                <w:sz w:val="24"/>
                <w:szCs w:val="24"/>
              </w:rPr>
              <w:t>SO</w:t>
            </w:r>
            <w:r>
              <w:rPr>
                <w:rFonts w:cs="Times New Roman"/>
                <w:sz w:val="24"/>
                <w:szCs w:val="24"/>
                <w:vertAlign w:val="subscript"/>
              </w:rPr>
              <w:t>2</w:t>
            </w:r>
            <w:r>
              <w:rPr>
                <w:rFonts w:hint="eastAsia" w:cs="Times New Roman"/>
                <w:sz w:val="24"/>
                <w:szCs w:val="24"/>
              </w:rPr>
              <w:t>最大实测排放浓度为＜3mg/m</w:t>
            </w:r>
            <w:r>
              <w:rPr>
                <w:rFonts w:hint="eastAsia" w:cs="Times New Roman"/>
                <w:sz w:val="24"/>
                <w:szCs w:val="24"/>
                <w:vertAlign w:val="superscript"/>
              </w:rPr>
              <w:t>3</w:t>
            </w:r>
            <w:r>
              <w:rPr>
                <w:rFonts w:hint="eastAsia" w:cs="Times New Roman"/>
                <w:sz w:val="24"/>
                <w:szCs w:val="24"/>
              </w:rPr>
              <w:t>，</w:t>
            </w:r>
            <w:r>
              <w:rPr>
                <w:rFonts w:cs="Times New Roman"/>
                <w:sz w:val="24"/>
                <w:szCs w:val="24"/>
              </w:rPr>
              <w:t>NOx</w:t>
            </w:r>
            <w:r>
              <w:rPr>
                <w:rFonts w:hint="eastAsia" w:cs="Times New Roman"/>
                <w:sz w:val="24"/>
                <w:szCs w:val="24"/>
              </w:rPr>
              <w:t>最大实测排放浓度为16mg/m</w:t>
            </w:r>
            <w:r>
              <w:rPr>
                <w:rFonts w:hint="eastAsia" w:cs="Times New Roman"/>
                <w:sz w:val="24"/>
                <w:szCs w:val="24"/>
                <w:vertAlign w:val="superscript"/>
              </w:rPr>
              <w:t>3</w:t>
            </w:r>
            <w:r>
              <w:rPr>
                <w:rFonts w:hint="eastAsia" w:cs="Times New Roman"/>
                <w:sz w:val="24"/>
                <w:szCs w:val="24"/>
              </w:rPr>
              <w:t>，</w:t>
            </w:r>
            <w:r>
              <w:rPr>
                <w:rFonts w:cs="Times New Roman"/>
                <w:sz w:val="24"/>
                <w:szCs w:val="24"/>
              </w:rPr>
              <w:t>颗粒物</w:t>
            </w:r>
            <w:r>
              <w:rPr>
                <w:rFonts w:hint="eastAsia" w:cs="Times New Roman"/>
                <w:sz w:val="24"/>
                <w:szCs w:val="24"/>
              </w:rPr>
              <w:t>最大实测排放浓度为3.5mg/m</w:t>
            </w:r>
            <w:r>
              <w:rPr>
                <w:rFonts w:hint="eastAsia" w:cs="Times New Roman"/>
                <w:sz w:val="24"/>
                <w:szCs w:val="24"/>
                <w:vertAlign w:val="superscript"/>
              </w:rPr>
              <w:t>3</w:t>
            </w:r>
            <w:r>
              <w:rPr>
                <w:rFonts w:hint="eastAsia" w:cs="Times New Roman"/>
                <w:sz w:val="24"/>
                <w:szCs w:val="24"/>
              </w:rPr>
              <w:t>，满足</w:t>
            </w:r>
            <w:r>
              <w:rPr>
                <w:rFonts w:cs="Times New Roman"/>
                <w:sz w:val="24"/>
                <w:szCs w:val="24"/>
              </w:rPr>
              <w:t>《建材工业大气污染物排放标准》（DB37/2373-2018）</w:t>
            </w:r>
            <w:r>
              <w:rPr>
                <w:rFonts w:hint="eastAsia" w:cs="Times New Roman"/>
                <w:sz w:val="24"/>
                <w:szCs w:val="24"/>
              </w:rPr>
              <w:t>中相应要求</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整改措施</w:t>
            </w:r>
          </w:p>
          <w:p>
            <w:pPr>
              <w:spacing w:line="360" w:lineRule="auto"/>
              <w:ind w:firstLine="480" w:firstLineChars="200"/>
              <w:rPr>
                <w:rFonts w:cs="Times New Roman"/>
                <w:sz w:val="24"/>
                <w:szCs w:val="24"/>
              </w:rPr>
            </w:pPr>
            <w:r>
              <w:rPr>
                <w:rFonts w:cs="Times New Roman"/>
                <w:sz w:val="24"/>
                <w:szCs w:val="24"/>
              </w:rPr>
              <w:t>无</w:t>
            </w:r>
          </w:p>
          <w:p>
            <w:pPr>
              <w:spacing w:line="360" w:lineRule="auto"/>
              <w:ind w:firstLine="482" w:firstLineChars="200"/>
              <w:rPr>
                <w:rFonts w:cs="Times New Roman"/>
                <w:b/>
                <w:bCs/>
                <w:sz w:val="24"/>
                <w:szCs w:val="24"/>
              </w:rPr>
            </w:pPr>
            <w:r>
              <w:rPr>
                <w:rFonts w:cs="Times New Roman"/>
                <w:b/>
                <w:bCs/>
                <w:sz w:val="24"/>
                <w:szCs w:val="24"/>
              </w:rPr>
              <w:t>③食堂油烟</w:t>
            </w:r>
          </w:p>
          <w:p>
            <w:pPr>
              <w:spacing w:line="360" w:lineRule="auto"/>
              <w:ind w:firstLine="482" w:firstLineChars="200"/>
              <w:rPr>
                <w:rFonts w:cs="Times New Roman"/>
                <w:b/>
                <w:bCs/>
                <w:sz w:val="24"/>
                <w:szCs w:val="24"/>
              </w:rPr>
            </w:pPr>
            <w:r>
              <w:rPr>
                <w:rFonts w:cs="Times New Roman"/>
                <w:b/>
                <w:bCs/>
                <w:sz w:val="24"/>
                <w:szCs w:val="24"/>
              </w:rPr>
              <w:t>1）产生情况</w:t>
            </w:r>
          </w:p>
          <w:p>
            <w:pPr>
              <w:spacing w:line="360" w:lineRule="auto"/>
              <w:ind w:firstLine="480" w:firstLineChars="200"/>
              <w:rPr>
                <w:rFonts w:cs="Times New Roman"/>
                <w:sz w:val="24"/>
                <w:szCs w:val="24"/>
              </w:rPr>
            </w:pPr>
            <w:r>
              <w:rPr>
                <w:rFonts w:cs="Times New Roman"/>
                <w:bCs/>
                <w:sz w:val="24"/>
                <w:szCs w:val="24"/>
              </w:rPr>
              <w:t>项目提供员工食堂供工作人员就餐，项目食堂就餐人数为18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0.0153kg/d，0.0050t/a。（以330d</w:t>
            </w:r>
            <w:r>
              <w:rPr>
                <w:rFonts w:cs="Times New Roman"/>
                <w:sz w:val="24"/>
                <w:szCs w:val="24"/>
              </w:rPr>
              <w:t>，</w:t>
            </w:r>
            <w:r>
              <w:rPr>
                <w:rFonts w:cs="Times New Roman"/>
                <w:bCs/>
                <w:sz w:val="24"/>
                <w:szCs w:val="24"/>
              </w:rPr>
              <w:t>4h计）</w:t>
            </w:r>
          </w:p>
          <w:p>
            <w:pPr>
              <w:spacing w:line="360" w:lineRule="auto"/>
              <w:ind w:firstLine="482" w:firstLineChars="200"/>
              <w:rPr>
                <w:rFonts w:cs="Times New Roman"/>
                <w:sz w:val="24"/>
                <w:szCs w:val="24"/>
              </w:rPr>
            </w:pPr>
            <w:r>
              <w:rPr>
                <w:rFonts w:cs="Times New Roman"/>
                <w:b/>
                <w:bCs/>
                <w:sz w:val="24"/>
                <w:szCs w:val="24"/>
              </w:rPr>
              <w:t>2）污染防治措施</w:t>
            </w:r>
          </w:p>
          <w:p>
            <w:pPr>
              <w:spacing w:line="360" w:lineRule="auto"/>
              <w:ind w:firstLine="480" w:firstLineChars="200"/>
              <w:rPr>
                <w:rFonts w:cs="Times New Roman"/>
                <w:sz w:val="24"/>
                <w:szCs w:val="24"/>
              </w:rPr>
            </w:pPr>
            <w:r>
              <w:rPr>
                <w:rFonts w:cs="Times New Roman"/>
                <w:sz w:val="24"/>
                <w:szCs w:val="24"/>
              </w:rPr>
              <w:t>现有措施</w:t>
            </w:r>
          </w:p>
          <w:p>
            <w:pPr>
              <w:spacing w:line="360" w:lineRule="auto"/>
              <w:ind w:firstLine="480" w:firstLineChars="200"/>
              <w:rPr>
                <w:rFonts w:cs="Times New Roman"/>
                <w:sz w:val="24"/>
                <w:szCs w:val="24"/>
              </w:rPr>
            </w:pPr>
            <w:r>
              <w:rPr>
                <w:rFonts w:cs="Times New Roman"/>
                <w:bCs/>
                <w:sz w:val="24"/>
                <w:szCs w:val="24"/>
              </w:rPr>
              <w:t>食堂安装1台油烟净化器（风量为3000m</w:t>
            </w:r>
            <w:r>
              <w:rPr>
                <w:rFonts w:cs="Times New Roman"/>
                <w:bCs/>
                <w:sz w:val="24"/>
                <w:szCs w:val="24"/>
                <w:vertAlign w:val="superscript"/>
              </w:rPr>
              <w:t>3</w:t>
            </w:r>
            <w:r>
              <w:rPr>
                <w:rFonts w:cs="Times New Roman"/>
                <w:bCs/>
                <w:sz w:val="24"/>
                <w:szCs w:val="24"/>
              </w:rPr>
              <w:t>/h），食堂油烟经处理后通过油烟管道外排，处理效率按60%计。</w:t>
            </w:r>
          </w:p>
          <w:p>
            <w:pPr>
              <w:spacing w:line="360" w:lineRule="auto"/>
              <w:ind w:firstLine="480" w:firstLineChars="200"/>
              <w:rPr>
                <w:rFonts w:cs="Times New Roman"/>
                <w:b/>
                <w:bCs/>
                <w:sz w:val="24"/>
                <w:szCs w:val="24"/>
              </w:rPr>
            </w:pPr>
            <w:r>
              <w:rPr>
                <w:rFonts w:cs="Times New Roman"/>
                <w:sz w:val="24"/>
                <w:szCs w:val="24"/>
              </w:rPr>
              <w:t>食堂油烟经上述治理措施后，食堂油烟排放量为0.0020t/a，排放速率为0.0015kg/h，排放浓度为0.5mg/m</w:t>
            </w:r>
            <w:r>
              <w:rPr>
                <w:rFonts w:cs="Times New Roman"/>
                <w:sz w:val="24"/>
                <w:szCs w:val="24"/>
                <w:vertAlign w:val="superscript"/>
              </w:rPr>
              <w:t>3</w:t>
            </w:r>
            <w:r>
              <w:rPr>
                <w:rFonts w:cs="Times New Roman"/>
                <w:sz w:val="24"/>
                <w:szCs w:val="24"/>
              </w:rPr>
              <w:t>。因此，</w:t>
            </w:r>
            <w:r>
              <w:rPr>
                <w:rFonts w:cs="Times New Roman"/>
                <w:bCs/>
                <w:sz w:val="24"/>
                <w:szCs w:val="24"/>
              </w:rPr>
              <w:t>本项目</w:t>
            </w:r>
            <w:r>
              <w:rPr>
                <w:rFonts w:cs="Times New Roman"/>
                <w:sz w:val="24"/>
                <w:szCs w:val="24"/>
              </w:rPr>
              <w:t>食堂油烟经处理后排放浓度能满足《饮食业油烟排放标准（试行）》（GB18483-2001）中相关标准（2.0mg/m</w:t>
            </w:r>
            <w:r>
              <w:rPr>
                <w:rFonts w:cs="Times New Roman"/>
                <w:sz w:val="24"/>
                <w:szCs w:val="24"/>
                <w:vertAlign w:val="superscript"/>
              </w:rPr>
              <w:t>3</w:t>
            </w:r>
            <w:r>
              <w:rPr>
                <w:rFonts w:cs="Times New Roman"/>
                <w:sz w:val="24"/>
                <w:szCs w:val="24"/>
              </w:rPr>
              <w:t>），可以实现达标排放。</w:t>
            </w:r>
          </w:p>
          <w:p>
            <w:pPr>
              <w:spacing w:line="360" w:lineRule="auto"/>
              <w:ind w:firstLine="480" w:firstLineChars="200"/>
              <w:rPr>
                <w:rFonts w:cs="Times New Roman"/>
                <w:b/>
                <w:bCs/>
                <w:sz w:val="24"/>
                <w:szCs w:val="24"/>
              </w:rPr>
            </w:pPr>
            <w:r>
              <w:rPr>
                <w:rFonts w:cs="Times New Roman"/>
                <w:sz w:val="24"/>
                <w:szCs w:val="24"/>
              </w:rPr>
              <w:t>整改措施：无</w:t>
            </w:r>
          </w:p>
          <w:p>
            <w:pPr>
              <w:spacing w:line="360" w:lineRule="auto"/>
              <w:jc w:val="center"/>
              <w:rPr>
                <w:rFonts w:cs="Times New Roman"/>
                <w:b/>
                <w:bCs/>
                <w:sz w:val="24"/>
                <w:szCs w:val="24"/>
              </w:rPr>
            </w:pPr>
            <w:r>
              <w:rPr>
                <w:rFonts w:cs="Times New Roman"/>
                <w:b/>
                <w:bCs/>
                <w:sz w:val="24"/>
                <w:szCs w:val="24"/>
              </w:rPr>
              <w:t>表2-13  废气治理及排放</w:t>
            </w:r>
          </w:p>
          <w:tbl>
            <w:tblPr>
              <w:tblStyle w:val="2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467"/>
              <w:gridCol w:w="1433"/>
              <w:gridCol w:w="850"/>
              <w:gridCol w:w="1935"/>
              <w:gridCol w:w="2396"/>
              <w:gridCol w:w="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trPr>
              <w:tc>
                <w:tcPr>
                  <w:tcW w:w="840" w:type="pct"/>
                  <w:tcBorders>
                    <w:right w:val="single" w:color="000000" w:sz="4" w:space="0"/>
                  </w:tcBorders>
                  <w:vAlign w:val="center"/>
                </w:tcPr>
                <w:p>
                  <w:pPr>
                    <w:pStyle w:val="73"/>
                    <w:spacing w:line="240" w:lineRule="auto"/>
                    <w:rPr>
                      <w:rFonts w:cs="Times New Roman"/>
                      <w:b/>
                      <w:bCs/>
                      <w:sz w:val="21"/>
                      <w:szCs w:val="21"/>
                    </w:rPr>
                  </w:pPr>
                  <w:r>
                    <w:rPr>
                      <w:rFonts w:cs="Times New Roman"/>
                      <w:b/>
                      <w:bCs/>
                      <w:sz w:val="21"/>
                      <w:szCs w:val="21"/>
                    </w:rPr>
                    <w:t>来源</w:t>
                  </w:r>
                </w:p>
              </w:tc>
              <w:tc>
                <w:tcPr>
                  <w:tcW w:w="821" w:type="pct"/>
                  <w:tcBorders>
                    <w:left w:val="single" w:color="000000" w:sz="4" w:space="0"/>
                    <w:right w:val="single" w:color="000000" w:sz="4" w:space="0"/>
                  </w:tcBorders>
                  <w:vAlign w:val="center"/>
                </w:tcPr>
                <w:p>
                  <w:pPr>
                    <w:pStyle w:val="73"/>
                    <w:spacing w:line="240" w:lineRule="auto"/>
                    <w:rPr>
                      <w:rFonts w:cs="Times New Roman"/>
                      <w:b/>
                      <w:bCs/>
                      <w:sz w:val="21"/>
                      <w:szCs w:val="21"/>
                    </w:rPr>
                  </w:pPr>
                  <w:r>
                    <w:rPr>
                      <w:rFonts w:cs="Times New Roman"/>
                      <w:b/>
                      <w:bCs/>
                      <w:sz w:val="21"/>
                      <w:szCs w:val="21"/>
                    </w:rPr>
                    <w:t>污染物种类</w:t>
                  </w:r>
                </w:p>
              </w:tc>
              <w:tc>
                <w:tcPr>
                  <w:tcW w:w="487" w:type="pct"/>
                  <w:tcBorders>
                    <w:left w:val="single" w:color="000000" w:sz="4" w:space="0"/>
                  </w:tcBorders>
                  <w:vAlign w:val="center"/>
                </w:tcPr>
                <w:p>
                  <w:pPr>
                    <w:pStyle w:val="73"/>
                    <w:spacing w:line="240" w:lineRule="auto"/>
                    <w:rPr>
                      <w:rFonts w:cs="Times New Roman"/>
                      <w:b/>
                      <w:bCs/>
                      <w:sz w:val="21"/>
                      <w:szCs w:val="21"/>
                    </w:rPr>
                  </w:pPr>
                  <w:r>
                    <w:rPr>
                      <w:rFonts w:cs="Times New Roman"/>
                      <w:b/>
                      <w:bCs/>
                      <w:sz w:val="21"/>
                      <w:szCs w:val="21"/>
                    </w:rPr>
                    <w:t>排放方式</w:t>
                  </w:r>
                </w:p>
              </w:tc>
              <w:tc>
                <w:tcPr>
                  <w:tcW w:w="1108" w:type="pct"/>
                  <w:vAlign w:val="center"/>
                </w:tcPr>
                <w:p>
                  <w:pPr>
                    <w:pStyle w:val="73"/>
                    <w:spacing w:line="240" w:lineRule="auto"/>
                    <w:rPr>
                      <w:rFonts w:cs="Times New Roman"/>
                      <w:b/>
                      <w:bCs/>
                      <w:sz w:val="21"/>
                      <w:szCs w:val="21"/>
                    </w:rPr>
                  </w:pPr>
                  <w:r>
                    <w:rPr>
                      <w:rFonts w:cs="Times New Roman"/>
                      <w:b/>
                      <w:bCs/>
                      <w:sz w:val="21"/>
                      <w:szCs w:val="21"/>
                    </w:rPr>
                    <w:t>现有治理设施</w:t>
                  </w:r>
                </w:p>
              </w:tc>
              <w:tc>
                <w:tcPr>
                  <w:tcW w:w="1372" w:type="pct"/>
                  <w:vAlign w:val="center"/>
                </w:tcPr>
                <w:p>
                  <w:pPr>
                    <w:pStyle w:val="73"/>
                    <w:spacing w:line="240" w:lineRule="auto"/>
                    <w:rPr>
                      <w:rFonts w:cs="Times New Roman"/>
                      <w:b/>
                      <w:bCs/>
                      <w:sz w:val="21"/>
                      <w:szCs w:val="21"/>
                    </w:rPr>
                  </w:pPr>
                  <w:r>
                    <w:rPr>
                      <w:rFonts w:cs="Times New Roman"/>
                      <w:b/>
                      <w:bCs/>
                      <w:sz w:val="21"/>
                      <w:szCs w:val="21"/>
                    </w:rPr>
                    <w:t>整改措施</w:t>
                  </w:r>
                </w:p>
              </w:tc>
              <w:tc>
                <w:tcPr>
                  <w:tcW w:w="369" w:type="pct"/>
                  <w:vAlign w:val="center"/>
                </w:tcPr>
                <w:p>
                  <w:pPr>
                    <w:pStyle w:val="73"/>
                    <w:spacing w:line="240" w:lineRule="auto"/>
                    <w:rPr>
                      <w:rFonts w:cs="Times New Roman"/>
                      <w:b/>
                      <w:bCs/>
                      <w:sz w:val="21"/>
                      <w:szCs w:val="21"/>
                    </w:rPr>
                  </w:pPr>
                  <w:r>
                    <w:rPr>
                      <w:rFonts w:cs="Times New Roman"/>
                      <w:b/>
                      <w:bCs/>
                      <w:sz w:val="21"/>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40" w:type="pct"/>
                  <w:tcBorders>
                    <w:right w:val="single" w:color="000000" w:sz="4" w:space="0"/>
                  </w:tcBorders>
                  <w:vAlign w:val="center"/>
                </w:tcPr>
                <w:p>
                  <w:pPr>
                    <w:pStyle w:val="73"/>
                    <w:spacing w:line="240" w:lineRule="auto"/>
                    <w:rPr>
                      <w:rFonts w:cs="Times New Roman"/>
                      <w:sz w:val="21"/>
                      <w:szCs w:val="21"/>
                    </w:rPr>
                  </w:pPr>
                  <w:r>
                    <w:rPr>
                      <w:rFonts w:cs="Times New Roman"/>
                      <w:sz w:val="21"/>
                      <w:szCs w:val="21"/>
                    </w:rPr>
                    <w:t>施胶工序</w:t>
                  </w:r>
                </w:p>
              </w:tc>
              <w:tc>
                <w:tcPr>
                  <w:tcW w:w="821" w:type="pct"/>
                  <w:tcBorders>
                    <w:left w:val="single" w:color="000000" w:sz="4" w:space="0"/>
                    <w:right w:val="single" w:color="000000" w:sz="4" w:space="0"/>
                  </w:tcBorders>
                  <w:vAlign w:val="center"/>
                </w:tcPr>
                <w:p>
                  <w:pPr>
                    <w:jc w:val="center"/>
                    <w:rPr>
                      <w:rFonts w:cs="Times New Roman"/>
                      <w:szCs w:val="21"/>
                    </w:rPr>
                  </w:pPr>
                  <w:r>
                    <w:rPr>
                      <w:rFonts w:cs="Times New Roman"/>
                      <w:szCs w:val="21"/>
                    </w:rPr>
                    <w:t>VOCs</w:t>
                  </w:r>
                </w:p>
              </w:tc>
              <w:tc>
                <w:tcPr>
                  <w:tcW w:w="487" w:type="pct"/>
                  <w:tcBorders>
                    <w:left w:val="single" w:color="000000" w:sz="4" w:space="0"/>
                  </w:tcBorders>
                  <w:vAlign w:val="center"/>
                </w:tcPr>
                <w:p>
                  <w:pPr>
                    <w:jc w:val="center"/>
                    <w:rPr>
                      <w:rFonts w:cs="Times New Roman"/>
                      <w:szCs w:val="21"/>
                    </w:rPr>
                  </w:pPr>
                  <w:r>
                    <w:rPr>
                      <w:rFonts w:cs="Times New Roman"/>
                      <w:szCs w:val="21"/>
                    </w:rPr>
                    <w:t>有组织排放</w:t>
                  </w:r>
                </w:p>
              </w:tc>
              <w:tc>
                <w:tcPr>
                  <w:tcW w:w="1108" w:type="pct"/>
                  <w:vAlign w:val="center"/>
                </w:tcPr>
                <w:p>
                  <w:pPr>
                    <w:pStyle w:val="73"/>
                    <w:spacing w:line="240" w:lineRule="auto"/>
                    <w:rPr>
                      <w:rFonts w:cs="Times New Roman"/>
                      <w:sz w:val="21"/>
                      <w:szCs w:val="21"/>
                    </w:rPr>
                  </w:pPr>
                  <w:r>
                    <w:rPr>
                      <w:rFonts w:cs="Times New Roman"/>
                      <w:sz w:val="21"/>
                      <w:szCs w:val="21"/>
                    </w:rPr>
                    <w:t>活性炭装置吸附后经15m排气筒</w:t>
                  </w:r>
                </w:p>
              </w:tc>
              <w:tc>
                <w:tcPr>
                  <w:tcW w:w="1372" w:type="pct"/>
                  <w:vAlign w:val="center"/>
                </w:tcPr>
                <w:p>
                  <w:pPr>
                    <w:pStyle w:val="73"/>
                    <w:spacing w:line="240" w:lineRule="auto"/>
                    <w:rPr>
                      <w:rFonts w:cs="Times New Roman"/>
                      <w:sz w:val="21"/>
                      <w:szCs w:val="21"/>
                    </w:rPr>
                  </w:pPr>
                  <w:r>
                    <w:rPr>
                      <w:rFonts w:cs="Times New Roman"/>
                      <w:sz w:val="21"/>
                      <w:szCs w:val="21"/>
                    </w:rPr>
                    <w:t>无</w:t>
                  </w:r>
                </w:p>
              </w:tc>
              <w:tc>
                <w:tcPr>
                  <w:tcW w:w="369" w:type="pct"/>
                  <w:vAlign w:val="center"/>
                </w:tcPr>
                <w:p>
                  <w:pPr>
                    <w:pStyle w:val="73"/>
                    <w:spacing w:line="240" w:lineRule="auto"/>
                    <w:rPr>
                      <w:rFonts w:cs="Times New Roman"/>
                      <w:sz w:val="21"/>
                      <w:szCs w:val="21"/>
                    </w:rPr>
                  </w:pPr>
                  <w:r>
                    <w:rPr>
                      <w:rFonts w:cs="Times New Roman"/>
                      <w:sz w:val="21"/>
                      <w:szCs w:val="21"/>
                    </w:rPr>
                    <w:t>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40" w:type="pct"/>
                  <w:tcBorders>
                    <w:right w:val="single" w:color="000000" w:sz="4" w:space="0"/>
                  </w:tcBorders>
                  <w:vAlign w:val="center"/>
                </w:tcPr>
                <w:p>
                  <w:pPr>
                    <w:pStyle w:val="73"/>
                    <w:spacing w:line="240" w:lineRule="auto"/>
                    <w:rPr>
                      <w:rFonts w:cs="Times New Roman"/>
                      <w:sz w:val="21"/>
                      <w:szCs w:val="21"/>
                    </w:rPr>
                  </w:pPr>
                  <w:r>
                    <w:rPr>
                      <w:rFonts w:cs="Times New Roman"/>
                      <w:sz w:val="21"/>
                      <w:szCs w:val="21"/>
                    </w:rPr>
                    <w:t>固化工序、天然气燃烧</w:t>
                  </w:r>
                </w:p>
              </w:tc>
              <w:tc>
                <w:tcPr>
                  <w:tcW w:w="821" w:type="pct"/>
                  <w:tcBorders>
                    <w:left w:val="single" w:color="000000" w:sz="4" w:space="0"/>
                    <w:right w:val="single" w:color="000000" w:sz="4" w:space="0"/>
                  </w:tcBorders>
                  <w:vAlign w:val="center"/>
                </w:tcPr>
                <w:p>
                  <w:pPr>
                    <w:jc w:val="center"/>
                    <w:rPr>
                      <w:rFonts w:cs="Times New Roman"/>
                      <w:szCs w:val="21"/>
                    </w:rPr>
                  </w:pPr>
                  <w:r>
                    <w:rPr>
                      <w:rFonts w:cs="Times New Roman"/>
                      <w:szCs w:val="21"/>
                    </w:rPr>
                    <w:t>颗粒物、SO</w:t>
                  </w:r>
                  <w:r>
                    <w:rPr>
                      <w:rFonts w:cs="Times New Roman"/>
                      <w:szCs w:val="21"/>
                      <w:vertAlign w:val="subscript"/>
                    </w:rPr>
                    <w:t>2</w:t>
                  </w:r>
                  <w:r>
                    <w:rPr>
                      <w:rFonts w:cs="Times New Roman"/>
                      <w:szCs w:val="21"/>
                    </w:rPr>
                    <w:t>、NOx、VOCs</w:t>
                  </w:r>
                </w:p>
              </w:tc>
              <w:tc>
                <w:tcPr>
                  <w:tcW w:w="487" w:type="pct"/>
                  <w:tcBorders>
                    <w:left w:val="single" w:color="000000" w:sz="4" w:space="0"/>
                  </w:tcBorders>
                  <w:vAlign w:val="center"/>
                </w:tcPr>
                <w:p>
                  <w:pPr>
                    <w:jc w:val="center"/>
                    <w:rPr>
                      <w:rFonts w:cs="Times New Roman"/>
                      <w:szCs w:val="21"/>
                    </w:rPr>
                  </w:pPr>
                  <w:r>
                    <w:rPr>
                      <w:rFonts w:cs="Times New Roman"/>
                      <w:szCs w:val="21"/>
                    </w:rPr>
                    <w:t>无组织排放</w:t>
                  </w:r>
                </w:p>
              </w:tc>
              <w:tc>
                <w:tcPr>
                  <w:tcW w:w="1108" w:type="pct"/>
                  <w:vAlign w:val="center"/>
                </w:tcPr>
                <w:p>
                  <w:pPr>
                    <w:pStyle w:val="73"/>
                    <w:spacing w:line="240" w:lineRule="auto"/>
                    <w:rPr>
                      <w:rFonts w:cs="Times New Roman"/>
                      <w:sz w:val="21"/>
                      <w:szCs w:val="21"/>
                    </w:rPr>
                  </w:pPr>
                  <w:r>
                    <w:rPr>
                      <w:rFonts w:cs="Times New Roman"/>
                      <w:sz w:val="21"/>
                      <w:szCs w:val="21"/>
                    </w:rPr>
                    <w:t>活性炭装置吸附后经15m排气筒</w:t>
                  </w:r>
                </w:p>
              </w:tc>
              <w:tc>
                <w:tcPr>
                  <w:tcW w:w="1372" w:type="pct"/>
                  <w:vAlign w:val="center"/>
                </w:tcPr>
                <w:p>
                  <w:pPr>
                    <w:pStyle w:val="73"/>
                    <w:spacing w:line="240" w:lineRule="auto"/>
                    <w:rPr>
                      <w:rFonts w:cs="Times New Roman"/>
                      <w:sz w:val="21"/>
                      <w:szCs w:val="21"/>
                    </w:rPr>
                  </w:pPr>
                  <w:r>
                    <w:rPr>
                      <w:rFonts w:cs="Times New Roman"/>
                      <w:sz w:val="21"/>
                      <w:szCs w:val="21"/>
                    </w:rPr>
                    <w:t>无</w:t>
                  </w:r>
                </w:p>
              </w:tc>
              <w:tc>
                <w:tcPr>
                  <w:tcW w:w="369" w:type="pct"/>
                  <w:vAlign w:val="center"/>
                </w:tcPr>
                <w:p>
                  <w:pPr>
                    <w:pStyle w:val="73"/>
                    <w:spacing w:line="240" w:lineRule="auto"/>
                    <w:rPr>
                      <w:rFonts w:cs="Times New Roman"/>
                      <w:sz w:val="21"/>
                      <w:szCs w:val="21"/>
                    </w:rPr>
                  </w:pPr>
                  <w:r>
                    <w:rPr>
                      <w:rFonts w:cs="Times New Roman"/>
                      <w:sz w:val="21"/>
                      <w:szCs w:val="21"/>
                    </w:rPr>
                    <w:t>环境空气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840" w:type="pct"/>
                  <w:tcBorders>
                    <w:right w:val="single" w:color="000000" w:sz="4" w:space="0"/>
                  </w:tcBorders>
                  <w:vAlign w:val="center"/>
                </w:tcPr>
                <w:p>
                  <w:pPr>
                    <w:pStyle w:val="73"/>
                    <w:spacing w:line="240" w:lineRule="auto"/>
                    <w:rPr>
                      <w:rFonts w:cs="Times New Roman"/>
                      <w:sz w:val="21"/>
                      <w:szCs w:val="21"/>
                    </w:rPr>
                  </w:pPr>
                  <w:r>
                    <w:rPr>
                      <w:rFonts w:cs="Times New Roman"/>
                      <w:bCs/>
                      <w:sz w:val="21"/>
                      <w:szCs w:val="21"/>
                    </w:rPr>
                    <w:t>食堂油烟</w:t>
                  </w:r>
                </w:p>
              </w:tc>
              <w:tc>
                <w:tcPr>
                  <w:tcW w:w="821" w:type="pct"/>
                  <w:tcBorders>
                    <w:left w:val="single" w:color="000000" w:sz="4" w:space="0"/>
                    <w:right w:val="single" w:color="000000" w:sz="4" w:space="0"/>
                  </w:tcBorders>
                  <w:vAlign w:val="center"/>
                </w:tcPr>
                <w:p>
                  <w:pPr>
                    <w:pStyle w:val="73"/>
                    <w:spacing w:line="240" w:lineRule="auto"/>
                    <w:rPr>
                      <w:rFonts w:cs="Times New Roman"/>
                      <w:sz w:val="21"/>
                      <w:szCs w:val="21"/>
                    </w:rPr>
                  </w:pPr>
                  <w:r>
                    <w:rPr>
                      <w:rFonts w:cs="Times New Roman"/>
                      <w:bCs/>
                      <w:sz w:val="21"/>
                      <w:szCs w:val="21"/>
                    </w:rPr>
                    <w:t>油烟</w:t>
                  </w:r>
                </w:p>
              </w:tc>
              <w:tc>
                <w:tcPr>
                  <w:tcW w:w="487" w:type="pct"/>
                  <w:tcBorders>
                    <w:left w:val="single" w:color="000000" w:sz="4" w:space="0"/>
                  </w:tcBorders>
                  <w:vAlign w:val="center"/>
                </w:tcPr>
                <w:p>
                  <w:pPr>
                    <w:pStyle w:val="73"/>
                    <w:spacing w:line="240" w:lineRule="auto"/>
                    <w:rPr>
                      <w:rFonts w:cs="Times New Roman"/>
                      <w:sz w:val="21"/>
                      <w:szCs w:val="21"/>
                    </w:rPr>
                  </w:pPr>
                  <w:r>
                    <w:rPr>
                      <w:rFonts w:cs="Times New Roman"/>
                      <w:sz w:val="21"/>
                      <w:szCs w:val="21"/>
                    </w:rPr>
                    <w:t>无组织排放</w:t>
                  </w:r>
                </w:p>
              </w:tc>
              <w:tc>
                <w:tcPr>
                  <w:tcW w:w="1108" w:type="pct"/>
                  <w:vAlign w:val="center"/>
                </w:tcPr>
                <w:p>
                  <w:pPr>
                    <w:pStyle w:val="73"/>
                    <w:spacing w:line="240" w:lineRule="auto"/>
                    <w:rPr>
                      <w:rFonts w:cs="Times New Roman"/>
                      <w:sz w:val="21"/>
                      <w:szCs w:val="21"/>
                    </w:rPr>
                  </w:pPr>
                  <w:r>
                    <w:rPr>
                      <w:rFonts w:cs="Times New Roman"/>
                      <w:sz w:val="21"/>
                      <w:szCs w:val="21"/>
                    </w:rPr>
                    <w:t>油烟净化器处理后外排</w:t>
                  </w:r>
                </w:p>
              </w:tc>
              <w:tc>
                <w:tcPr>
                  <w:tcW w:w="1372" w:type="pct"/>
                  <w:vAlign w:val="center"/>
                </w:tcPr>
                <w:p>
                  <w:pPr>
                    <w:pStyle w:val="73"/>
                    <w:spacing w:line="240" w:lineRule="auto"/>
                    <w:rPr>
                      <w:rFonts w:cs="Times New Roman"/>
                      <w:sz w:val="21"/>
                      <w:szCs w:val="21"/>
                    </w:rPr>
                  </w:pPr>
                  <w:r>
                    <w:rPr>
                      <w:rFonts w:cs="Times New Roman"/>
                      <w:sz w:val="21"/>
                      <w:szCs w:val="21"/>
                    </w:rPr>
                    <w:t>无</w:t>
                  </w:r>
                </w:p>
              </w:tc>
              <w:tc>
                <w:tcPr>
                  <w:tcW w:w="369" w:type="pct"/>
                  <w:vAlign w:val="center"/>
                </w:tcPr>
                <w:p>
                  <w:pPr>
                    <w:pStyle w:val="73"/>
                    <w:spacing w:line="240" w:lineRule="auto"/>
                    <w:rPr>
                      <w:rFonts w:cs="Times New Roman"/>
                      <w:sz w:val="21"/>
                      <w:szCs w:val="21"/>
                    </w:rPr>
                  </w:pPr>
                  <w:r>
                    <w:rPr>
                      <w:rFonts w:cs="Times New Roman"/>
                      <w:sz w:val="21"/>
                      <w:szCs w:val="21"/>
                    </w:rPr>
                    <w:t>环境空气</w:t>
                  </w:r>
                </w:p>
              </w:tc>
            </w:tr>
          </w:tbl>
          <w:p>
            <w:pPr>
              <w:spacing w:line="360" w:lineRule="auto"/>
              <w:ind w:firstLine="482" w:firstLineChars="200"/>
              <w:rPr>
                <w:rFonts w:cs="Times New Roman"/>
                <w:sz w:val="24"/>
                <w:szCs w:val="24"/>
                <w:highlight w:val="yellow"/>
              </w:rPr>
            </w:pPr>
            <w:r>
              <w:rPr>
                <w:rFonts w:cs="Times New Roman"/>
                <w:b/>
                <w:bCs/>
                <w:sz w:val="24"/>
                <w:szCs w:val="24"/>
              </w:rPr>
              <w:t>现有项目废气治理设施如下图所示：</w:t>
            </w:r>
          </w:p>
          <w:tbl>
            <w:tblPr>
              <w:tblStyle w:val="26"/>
              <w:tblW w:w="4965"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319"/>
              <w:gridCol w:w="4340"/>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494" w:type="pct"/>
                  <w:tcBorders>
                    <w:tl2br w:val="nil"/>
                    <w:tr2bl w:val="nil"/>
                  </w:tcBorders>
                  <w:vAlign w:val="center"/>
                </w:tcPr>
                <w:p>
                  <w:pPr>
                    <w:snapToGrid w:val="0"/>
                    <w:jc w:val="center"/>
                    <w:rPr>
                      <w:rFonts w:cs="Times New Roman"/>
                      <w:szCs w:val="21"/>
                    </w:rPr>
                  </w:pPr>
                  <w:r>
                    <w:rPr>
                      <w:rFonts w:cs="Times New Roman"/>
                    </w:rPr>
                    <w:drawing>
                      <wp:inline distT="0" distB="0" distL="114300" distR="114300">
                        <wp:extent cx="2568575" cy="1885315"/>
                        <wp:effectExtent l="0" t="0" r="3175" b="63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6"/>
                                <a:stretch>
                                  <a:fillRect/>
                                </a:stretch>
                              </pic:blipFill>
                              <pic:spPr>
                                <a:xfrm>
                                  <a:off x="0" y="0"/>
                                  <a:ext cx="2568575" cy="1885315"/>
                                </a:xfrm>
                                <a:prstGeom prst="rect">
                                  <a:avLst/>
                                </a:prstGeom>
                                <a:noFill/>
                                <a:ln>
                                  <a:noFill/>
                                </a:ln>
                              </pic:spPr>
                            </pic:pic>
                          </a:graphicData>
                        </a:graphic>
                      </wp:inline>
                    </w:drawing>
                  </w:r>
                </w:p>
              </w:tc>
              <w:tc>
                <w:tcPr>
                  <w:tcW w:w="2505" w:type="pct"/>
                  <w:tcBorders>
                    <w:tl2br w:val="nil"/>
                    <w:tr2bl w:val="nil"/>
                  </w:tcBorders>
                  <w:vAlign w:val="center"/>
                </w:tcPr>
                <w:p>
                  <w:pPr>
                    <w:snapToGrid w:val="0"/>
                    <w:jc w:val="center"/>
                    <w:rPr>
                      <w:rFonts w:cs="Times New Roman"/>
                      <w:szCs w:val="21"/>
                    </w:rPr>
                  </w:pPr>
                  <w:r>
                    <w:rPr>
                      <w:rFonts w:cs="Times New Roman"/>
                      <w:szCs w:val="21"/>
                    </w:rPr>
                    <w:drawing>
                      <wp:inline distT="0" distB="0" distL="114300" distR="114300">
                        <wp:extent cx="2560320" cy="1920240"/>
                        <wp:effectExtent l="0" t="0" r="11430" b="3810"/>
                        <wp:docPr id="6" name="图片 6" descr="IMG_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4071"/>
                                <pic:cNvPicPr>
                                  <a:picLocks noChangeAspect="1"/>
                                </pic:cNvPicPr>
                              </pic:nvPicPr>
                              <pic:blipFill>
                                <a:blip r:embed="rId27"/>
                                <a:stretch>
                                  <a:fillRect/>
                                </a:stretch>
                              </pic:blipFill>
                              <pic:spPr>
                                <a:xfrm>
                                  <a:off x="0" y="0"/>
                                  <a:ext cx="2560320" cy="192024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494" w:type="pct"/>
                  <w:tcBorders>
                    <w:tl2br w:val="nil"/>
                    <w:tr2bl w:val="nil"/>
                  </w:tcBorders>
                  <w:vAlign w:val="center"/>
                </w:tcPr>
                <w:p>
                  <w:pPr>
                    <w:jc w:val="center"/>
                    <w:rPr>
                      <w:rFonts w:cs="Times New Roman"/>
                      <w:b/>
                      <w:bCs/>
                      <w:szCs w:val="21"/>
                    </w:rPr>
                  </w:pPr>
                  <w:r>
                    <w:rPr>
                      <w:rFonts w:cs="Times New Roman"/>
                      <w:b/>
                      <w:bCs/>
                      <w:szCs w:val="21"/>
                    </w:rPr>
                    <w:t>集气罩</w:t>
                  </w:r>
                </w:p>
              </w:tc>
              <w:tc>
                <w:tcPr>
                  <w:tcW w:w="2505" w:type="pct"/>
                  <w:tcBorders>
                    <w:tl2br w:val="nil"/>
                    <w:tr2bl w:val="nil"/>
                  </w:tcBorders>
                  <w:vAlign w:val="center"/>
                </w:tcPr>
                <w:p>
                  <w:pPr>
                    <w:jc w:val="center"/>
                    <w:rPr>
                      <w:rFonts w:cs="Times New Roman"/>
                      <w:b/>
                      <w:bCs/>
                      <w:szCs w:val="21"/>
                    </w:rPr>
                  </w:pPr>
                  <w:r>
                    <w:rPr>
                      <w:rFonts w:cs="Times New Roman"/>
                      <w:b/>
                      <w:bCs/>
                      <w:szCs w:val="21"/>
                    </w:rPr>
                    <w:t>烘干炉</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494" w:type="pct"/>
                  <w:tcBorders>
                    <w:tl2br w:val="nil"/>
                    <w:tr2bl w:val="nil"/>
                  </w:tcBorders>
                  <w:vAlign w:val="center"/>
                </w:tcPr>
                <w:p>
                  <w:pPr>
                    <w:snapToGrid w:val="0"/>
                    <w:jc w:val="center"/>
                    <w:rPr>
                      <w:rFonts w:cs="Times New Roman"/>
                      <w:b/>
                      <w:bCs/>
                      <w:szCs w:val="21"/>
                    </w:rPr>
                  </w:pPr>
                  <w:r>
                    <w:rPr>
                      <w:rFonts w:cs="Times New Roman"/>
                      <w:b/>
                      <w:bCs/>
                      <w:szCs w:val="21"/>
                    </w:rPr>
                    <w:drawing>
                      <wp:inline distT="0" distB="0" distL="114300" distR="114300">
                        <wp:extent cx="2395855" cy="1797050"/>
                        <wp:effectExtent l="0" t="0" r="12700" b="4445"/>
                        <wp:docPr id="4" name="图片 4" descr="IMG_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4088"/>
                                <pic:cNvPicPr>
                                  <a:picLocks noChangeAspect="1"/>
                                </pic:cNvPicPr>
                              </pic:nvPicPr>
                              <pic:blipFill>
                                <a:blip r:embed="rId28"/>
                                <a:stretch>
                                  <a:fillRect/>
                                </a:stretch>
                              </pic:blipFill>
                              <pic:spPr>
                                <a:xfrm rot="5400000">
                                  <a:off x="0" y="0"/>
                                  <a:ext cx="2395855" cy="1797050"/>
                                </a:xfrm>
                                <a:prstGeom prst="rect">
                                  <a:avLst/>
                                </a:prstGeom>
                              </pic:spPr>
                            </pic:pic>
                          </a:graphicData>
                        </a:graphic>
                      </wp:inline>
                    </w:drawing>
                  </w:r>
                </w:p>
              </w:tc>
              <w:tc>
                <w:tcPr>
                  <w:tcW w:w="2505" w:type="pct"/>
                  <w:tcBorders>
                    <w:tl2br w:val="nil"/>
                    <w:tr2bl w:val="nil"/>
                  </w:tcBorders>
                  <w:vAlign w:val="center"/>
                </w:tcPr>
                <w:p>
                  <w:pPr>
                    <w:snapToGrid w:val="0"/>
                    <w:jc w:val="center"/>
                    <w:rPr>
                      <w:rFonts w:cs="Times New Roman"/>
                      <w:b/>
                      <w:bCs/>
                      <w:szCs w:val="21"/>
                    </w:rPr>
                  </w:pPr>
                  <w:r>
                    <w:rPr>
                      <w:rFonts w:cs="Times New Roman"/>
                      <w:b/>
                      <w:bCs/>
                      <w:szCs w:val="21"/>
                    </w:rPr>
                    <w:drawing>
                      <wp:inline distT="0" distB="0" distL="114300" distR="114300">
                        <wp:extent cx="1843405" cy="2457450"/>
                        <wp:effectExtent l="0" t="0" r="4445" b="0"/>
                        <wp:docPr id="33" name="图片 33" descr="dd822fb7748908d2cae1b6ddb81fd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d822fb7748908d2cae1b6ddb81fd30"/>
                                <pic:cNvPicPr>
                                  <a:picLocks noChangeAspect="1"/>
                                </pic:cNvPicPr>
                              </pic:nvPicPr>
                              <pic:blipFill>
                                <a:blip r:embed="rId29"/>
                                <a:stretch>
                                  <a:fillRect/>
                                </a:stretch>
                              </pic:blipFill>
                              <pic:spPr>
                                <a:xfrm>
                                  <a:off x="0" y="0"/>
                                  <a:ext cx="1843405" cy="245745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494" w:type="pct"/>
                  <w:tcBorders>
                    <w:tl2br w:val="nil"/>
                    <w:tr2bl w:val="nil"/>
                  </w:tcBorders>
                  <w:vAlign w:val="center"/>
                </w:tcPr>
                <w:p>
                  <w:pPr>
                    <w:snapToGrid w:val="0"/>
                    <w:jc w:val="center"/>
                    <w:rPr>
                      <w:rFonts w:cs="Times New Roman"/>
                      <w:b/>
                      <w:bCs/>
                      <w:szCs w:val="21"/>
                    </w:rPr>
                  </w:pPr>
                  <w:r>
                    <w:rPr>
                      <w:rFonts w:cs="Times New Roman"/>
                      <w:b/>
                      <w:bCs/>
                      <w:szCs w:val="21"/>
                    </w:rPr>
                    <w:t>活性炭吸附装置</w:t>
                  </w:r>
                </w:p>
              </w:tc>
              <w:tc>
                <w:tcPr>
                  <w:tcW w:w="2505" w:type="pct"/>
                  <w:tcBorders>
                    <w:tl2br w:val="nil"/>
                    <w:tr2bl w:val="nil"/>
                  </w:tcBorders>
                  <w:vAlign w:val="center"/>
                </w:tcPr>
                <w:p>
                  <w:pPr>
                    <w:snapToGrid w:val="0"/>
                    <w:jc w:val="center"/>
                    <w:rPr>
                      <w:rFonts w:cs="Times New Roman"/>
                      <w:b/>
                      <w:bCs/>
                      <w:szCs w:val="21"/>
                    </w:rPr>
                  </w:pPr>
                  <w:r>
                    <w:rPr>
                      <w:rFonts w:cs="Times New Roman"/>
                      <w:b/>
                      <w:bCs/>
                      <w:szCs w:val="21"/>
                    </w:rPr>
                    <w:t>烘干炉活性炭吸附装置</w:t>
                  </w:r>
                </w:p>
              </w:tc>
            </w:tr>
          </w:tbl>
          <w:p>
            <w:pPr>
              <w:spacing w:line="360" w:lineRule="auto"/>
              <w:ind w:firstLine="480" w:firstLineChars="200"/>
              <w:rPr>
                <w:rFonts w:cs="Times New Roman"/>
                <w:sz w:val="24"/>
                <w:szCs w:val="24"/>
              </w:rPr>
            </w:pPr>
            <w:r>
              <w:rPr>
                <w:rFonts w:cs="Times New Roman"/>
                <w:sz w:val="24"/>
                <w:szCs w:val="24"/>
              </w:rPr>
              <w:t>本次环评引用达州恒福环境监测服务有限公司出具的《宣汉普光科睿新材料有限公司自行检测》（恒福（环）检字（2022）第1654号）来说明项目现有项目废气排放情况。</w:t>
            </w:r>
          </w:p>
          <w:p>
            <w:pPr>
              <w:spacing w:line="360" w:lineRule="auto"/>
              <w:ind w:firstLine="480" w:firstLineChars="200"/>
              <w:rPr>
                <w:rFonts w:cs="Times New Roman"/>
                <w:sz w:val="24"/>
                <w:szCs w:val="24"/>
              </w:rPr>
            </w:pPr>
            <w:r>
              <w:rPr>
                <w:rFonts w:cs="Times New Roman"/>
                <w:sz w:val="24"/>
                <w:szCs w:val="24"/>
              </w:rPr>
              <w:t>有组织废气监测结果及评价如下。</w:t>
            </w:r>
          </w:p>
          <w:p>
            <w:pPr>
              <w:spacing w:line="360" w:lineRule="auto"/>
              <w:jc w:val="center"/>
              <w:rPr>
                <w:rFonts w:cs="Times New Roman"/>
                <w:b w:val="0"/>
                <w:bCs w:val="0"/>
                <w:sz w:val="24"/>
                <w:szCs w:val="24"/>
              </w:rPr>
            </w:pPr>
            <w:r>
              <w:rPr>
                <w:rFonts w:cs="Times New Roman"/>
                <w:b/>
                <w:bCs/>
                <w:sz w:val="24"/>
                <w:szCs w:val="24"/>
              </w:rPr>
              <w:t>表2-14 有组织废气监测结果表1  单位：mg/m</w:t>
            </w:r>
            <w:r>
              <w:rPr>
                <w:rFonts w:cs="Times New Roman"/>
                <w:b/>
                <w:bCs/>
                <w:sz w:val="24"/>
                <w:szCs w:val="24"/>
                <w:vertAlign w:val="superscript"/>
              </w:rPr>
              <w:t>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237"/>
              <w:gridCol w:w="746"/>
              <w:gridCol w:w="1102"/>
              <w:gridCol w:w="853"/>
              <w:gridCol w:w="993"/>
              <w:gridCol w:w="993"/>
              <w:gridCol w:w="998"/>
              <w:gridCol w:w="960"/>
              <w:gridCol w:w="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708" w:type="pct"/>
                  <w:vMerge w:val="restart"/>
                  <w:tcBorders>
                    <w:tl2br w:val="nil"/>
                    <w:tr2bl w:val="nil"/>
                  </w:tcBorders>
                  <w:vAlign w:val="center"/>
                </w:tcPr>
                <w:p>
                  <w:pPr>
                    <w:jc w:val="center"/>
                    <w:rPr>
                      <w:rFonts w:cs="Times New Roman"/>
                      <w:b/>
                      <w:szCs w:val="21"/>
                    </w:rPr>
                  </w:pPr>
                  <w:r>
                    <w:rPr>
                      <w:rFonts w:cs="Times New Roman"/>
                      <w:b/>
                      <w:bCs/>
                      <w:szCs w:val="21"/>
                    </w:rPr>
                    <w:t>检</w:t>
                  </w:r>
                  <w:r>
                    <w:rPr>
                      <w:rFonts w:cs="Times New Roman"/>
                      <w:b/>
                      <w:szCs w:val="21"/>
                    </w:rPr>
                    <w:t>测点编号及位置</w:t>
                  </w:r>
                </w:p>
              </w:tc>
              <w:tc>
                <w:tcPr>
                  <w:tcW w:w="1058" w:type="pct"/>
                  <w:gridSpan w:val="2"/>
                  <w:vMerge w:val="restart"/>
                  <w:tcBorders>
                    <w:tl2br w:val="nil"/>
                    <w:tr2bl w:val="nil"/>
                  </w:tcBorders>
                  <w:vAlign w:val="center"/>
                </w:tcPr>
                <w:p>
                  <w:pPr>
                    <w:ind w:left="-25" w:leftChars="-12"/>
                    <w:jc w:val="center"/>
                    <w:rPr>
                      <w:rFonts w:cs="Times New Roman"/>
                      <w:b/>
                      <w:szCs w:val="21"/>
                    </w:rPr>
                  </w:pPr>
                  <w:r>
                    <w:rPr>
                      <w:rFonts w:cs="Times New Roman"/>
                      <w:b/>
                      <w:szCs w:val="21"/>
                    </w:rPr>
                    <w:t>检测因子</w:t>
                  </w:r>
                </w:p>
              </w:tc>
              <w:tc>
                <w:tcPr>
                  <w:tcW w:w="488" w:type="pct"/>
                  <w:vMerge w:val="restart"/>
                  <w:tcBorders>
                    <w:tl2br w:val="nil"/>
                    <w:tr2bl w:val="nil"/>
                  </w:tcBorders>
                  <w:vAlign w:val="center"/>
                </w:tcPr>
                <w:p>
                  <w:pPr>
                    <w:jc w:val="center"/>
                    <w:rPr>
                      <w:rFonts w:cs="Times New Roman"/>
                      <w:b/>
                      <w:szCs w:val="21"/>
                    </w:rPr>
                  </w:pPr>
                  <w:r>
                    <w:rPr>
                      <w:rFonts w:cs="Times New Roman"/>
                      <w:b/>
                      <w:szCs w:val="21"/>
                    </w:rPr>
                    <w:t>单位</w:t>
                  </w:r>
                </w:p>
              </w:tc>
              <w:tc>
                <w:tcPr>
                  <w:tcW w:w="1710" w:type="pct"/>
                  <w:gridSpan w:val="3"/>
                  <w:tcBorders>
                    <w:tl2br w:val="nil"/>
                    <w:tr2bl w:val="nil"/>
                  </w:tcBorders>
                  <w:vAlign w:val="center"/>
                </w:tcPr>
                <w:p>
                  <w:pPr>
                    <w:jc w:val="center"/>
                    <w:rPr>
                      <w:rFonts w:cs="Times New Roman"/>
                      <w:b/>
                      <w:kern w:val="0"/>
                      <w:szCs w:val="21"/>
                    </w:rPr>
                  </w:pPr>
                  <w:r>
                    <w:rPr>
                      <w:rFonts w:cs="Times New Roman"/>
                      <w:b/>
                      <w:kern w:val="0"/>
                      <w:szCs w:val="21"/>
                    </w:rPr>
                    <w:t>检测数据</w:t>
                  </w:r>
                </w:p>
              </w:tc>
              <w:tc>
                <w:tcPr>
                  <w:tcW w:w="550" w:type="pct"/>
                  <w:vMerge w:val="restart"/>
                  <w:tcBorders>
                    <w:tl2br w:val="nil"/>
                    <w:tr2bl w:val="nil"/>
                  </w:tcBorders>
                  <w:vAlign w:val="center"/>
                </w:tcPr>
                <w:p>
                  <w:pPr>
                    <w:jc w:val="center"/>
                    <w:rPr>
                      <w:rFonts w:cs="Times New Roman"/>
                      <w:b/>
                      <w:kern w:val="0"/>
                      <w:szCs w:val="21"/>
                    </w:rPr>
                  </w:pPr>
                  <w:r>
                    <w:rPr>
                      <w:rFonts w:cs="Times New Roman"/>
                      <w:b/>
                      <w:kern w:val="0"/>
                      <w:szCs w:val="21"/>
                    </w:rPr>
                    <w:t>检测</w:t>
                  </w:r>
                </w:p>
                <w:p>
                  <w:pPr>
                    <w:jc w:val="center"/>
                    <w:rPr>
                      <w:rFonts w:cs="Times New Roman"/>
                      <w:b/>
                      <w:kern w:val="0"/>
                      <w:szCs w:val="21"/>
                    </w:rPr>
                  </w:pPr>
                  <w:r>
                    <w:rPr>
                      <w:rFonts w:cs="Times New Roman"/>
                      <w:b/>
                      <w:kern w:val="0"/>
                      <w:szCs w:val="21"/>
                    </w:rPr>
                    <w:t>结果</w:t>
                  </w:r>
                </w:p>
              </w:tc>
              <w:tc>
                <w:tcPr>
                  <w:tcW w:w="484" w:type="pct"/>
                  <w:vMerge w:val="restart"/>
                  <w:tcBorders>
                    <w:tl2br w:val="nil"/>
                    <w:tr2bl w:val="nil"/>
                  </w:tcBorders>
                  <w:vAlign w:val="center"/>
                </w:tcPr>
                <w:p>
                  <w:pPr>
                    <w:jc w:val="center"/>
                    <w:rPr>
                      <w:rFonts w:cs="Times New Roman"/>
                      <w:b/>
                      <w:kern w:val="0"/>
                      <w:szCs w:val="21"/>
                    </w:rPr>
                  </w:pPr>
                  <w:r>
                    <w:rPr>
                      <w:rFonts w:cs="Times New Roman"/>
                      <w:b/>
                      <w:kern w:val="0"/>
                      <w:szCs w:val="21"/>
                    </w:rPr>
                    <w:t>排放</w:t>
                  </w:r>
                </w:p>
                <w:p>
                  <w:pPr>
                    <w:jc w:val="center"/>
                    <w:rPr>
                      <w:rFonts w:cs="Times New Roman"/>
                      <w:b/>
                      <w:kern w:val="0"/>
                      <w:szCs w:val="21"/>
                    </w:rPr>
                  </w:pPr>
                  <w:r>
                    <w:rPr>
                      <w:rFonts w:cs="Times New Roman"/>
                      <w:b/>
                      <w:kern w:val="0"/>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vMerge w:val="continue"/>
                  <w:tcBorders>
                    <w:tl2br w:val="nil"/>
                    <w:tr2bl w:val="nil"/>
                  </w:tcBorders>
                  <w:vAlign w:val="center"/>
                </w:tcPr>
                <w:p>
                  <w:pPr>
                    <w:jc w:val="center"/>
                    <w:rPr>
                      <w:rFonts w:cs="Times New Roman"/>
                      <w:szCs w:val="21"/>
                    </w:rPr>
                  </w:pPr>
                </w:p>
              </w:tc>
              <w:tc>
                <w:tcPr>
                  <w:tcW w:w="488" w:type="pct"/>
                  <w:vMerge w:val="continue"/>
                  <w:tcBorders>
                    <w:tl2br w:val="nil"/>
                    <w:tr2bl w:val="nil"/>
                  </w:tcBorders>
                  <w:vAlign w:val="center"/>
                </w:tcPr>
                <w:p>
                  <w:pPr>
                    <w:jc w:val="center"/>
                    <w:rPr>
                      <w:rFonts w:cs="Times New Roman"/>
                      <w:szCs w:val="21"/>
                    </w:rPr>
                  </w:pPr>
                </w:p>
              </w:tc>
              <w:tc>
                <w:tcPr>
                  <w:tcW w:w="569" w:type="pct"/>
                  <w:tcBorders>
                    <w:tl2br w:val="nil"/>
                    <w:tr2bl w:val="nil"/>
                  </w:tcBorders>
                  <w:vAlign w:val="center"/>
                </w:tcPr>
                <w:p>
                  <w:pPr>
                    <w:jc w:val="center"/>
                    <w:rPr>
                      <w:rFonts w:cs="Times New Roman"/>
                      <w:b/>
                      <w:szCs w:val="21"/>
                    </w:rPr>
                  </w:pPr>
                  <w:r>
                    <w:rPr>
                      <w:rFonts w:cs="Times New Roman"/>
                      <w:b/>
                      <w:szCs w:val="21"/>
                    </w:rPr>
                    <w:t>第一次</w:t>
                  </w:r>
                </w:p>
              </w:tc>
              <w:tc>
                <w:tcPr>
                  <w:tcW w:w="569" w:type="pct"/>
                  <w:tcBorders>
                    <w:tl2br w:val="nil"/>
                    <w:tr2bl w:val="nil"/>
                  </w:tcBorders>
                  <w:vAlign w:val="center"/>
                </w:tcPr>
                <w:p>
                  <w:pPr>
                    <w:jc w:val="center"/>
                    <w:rPr>
                      <w:rFonts w:cs="Times New Roman"/>
                      <w:b/>
                      <w:szCs w:val="21"/>
                    </w:rPr>
                  </w:pPr>
                  <w:r>
                    <w:rPr>
                      <w:rFonts w:cs="Times New Roman"/>
                      <w:b/>
                      <w:szCs w:val="21"/>
                    </w:rPr>
                    <w:t>第二次</w:t>
                  </w:r>
                </w:p>
              </w:tc>
              <w:tc>
                <w:tcPr>
                  <w:tcW w:w="572" w:type="pct"/>
                  <w:tcBorders>
                    <w:tl2br w:val="nil"/>
                    <w:tr2bl w:val="nil"/>
                  </w:tcBorders>
                  <w:vAlign w:val="center"/>
                </w:tcPr>
                <w:p>
                  <w:pPr>
                    <w:jc w:val="center"/>
                    <w:rPr>
                      <w:rFonts w:cs="Times New Roman"/>
                      <w:b/>
                      <w:spacing w:val="-20"/>
                      <w:szCs w:val="21"/>
                    </w:rPr>
                  </w:pPr>
                  <w:r>
                    <w:rPr>
                      <w:rFonts w:cs="Times New Roman"/>
                      <w:b/>
                      <w:szCs w:val="21"/>
                    </w:rPr>
                    <w:t>第三次</w:t>
                  </w:r>
                </w:p>
              </w:tc>
              <w:tc>
                <w:tcPr>
                  <w:tcW w:w="550" w:type="pct"/>
                  <w:vMerge w:val="continue"/>
                  <w:tcBorders>
                    <w:tl2br w:val="nil"/>
                    <w:tr2bl w:val="nil"/>
                  </w:tcBorders>
                  <w:vAlign w:val="center"/>
                </w:tcPr>
                <w:p>
                  <w:pPr>
                    <w:jc w:val="center"/>
                    <w:rPr>
                      <w:rFonts w:cs="Times New Roman"/>
                      <w:b/>
                      <w:spacing w:val="-20"/>
                      <w:szCs w:val="21"/>
                    </w:rPr>
                  </w:pPr>
                </w:p>
              </w:tc>
              <w:tc>
                <w:tcPr>
                  <w:tcW w:w="484" w:type="pct"/>
                  <w:vMerge w:val="continue"/>
                  <w:tcBorders>
                    <w:tl2br w:val="nil"/>
                    <w:tr2bl w:val="nil"/>
                  </w:tcBorders>
                  <w:vAlign w:val="center"/>
                </w:tcPr>
                <w:p>
                  <w:pPr>
                    <w:jc w:val="center"/>
                    <w:rPr>
                      <w:rFonts w:cs="Times New Roman"/>
                      <w:b/>
                      <w:spacing w:val="-2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restart"/>
                  <w:tcBorders>
                    <w:tl2br w:val="nil"/>
                    <w:tr2bl w:val="nil"/>
                  </w:tcBorders>
                  <w:vAlign w:val="center"/>
                </w:tcPr>
                <w:p>
                  <w:pPr>
                    <w:jc w:val="center"/>
                    <w:rPr>
                      <w:rFonts w:cs="Times New Roman"/>
                      <w:szCs w:val="21"/>
                    </w:rPr>
                  </w:pPr>
                  <w:r>
                    <w:rPr>
                      <w:rFonts w:cs="Times New Roman"/>
                      <w:szCs w:val="21"/>
                    </w:rPr>
                    <w:t>1#，DA001施胶废气排气筒</w:t>
                  </w:r>
                </w:p>
              </w:tc>
              <w:tc>
                <w:tcPr>
                  <w:tcW w:w="1058" w:type="pct"/>
                  <w:gridSpan w:val="2"/>
                  <w:tcBorders>
                    <w:tl2br w:val="nil"/>
                    <w:tr2bl w:val="nil"/>
                  </w:tcBorders>
                  <w:vAlign w:val="center"/>
                </w:tcPr>
                <w:p>
                  <w:pPr>
                    <w:jc w:val="center"/>
                    <w:rPr>
                      <w:rFonts w:cs="Times New Roman"/>
                      <w:szCs w:val="21"/>
                    </w:rPr>
                  </w:pPr>
                  <w:r>
                    <w:rPr>
                      <w:rFonts w:cs="Times New Roman"/>
                      <w:szCs w:val="21"/>
                    </w:rPr>
                    <w:t>流速</w:t>
                  </w:r>
                </w:p>
              </w:tc>
              <w:tc>
                <w:tcPr>
                  <w:tcW w:w="488" w:type="pct"/>
                  <w:tcBorders>
                    <w:tl2br w:val="nil"/>
                    <w:tr2bl w:val="nil"/>
                  </w:tcBorders>
                  <w:vAlign w:val="center"/>
                </w:tcPr>
                <w:p>
                  <w:pPr>
                    <w:jc w:val="center"/>
                    <w:rPr>
                      <w:rFonts w:cs="Times New Roman"/>
                      <w:szCs w:val="21"/>
                    </w:rPr>
                  </w:pPr>
                  <w:r>
                    <w:rPr>
                      <w:rFonts w:cs="Times New Roman"/>
                      <w:szCs w:val="21"/>
                    </w:rPr>
                    <w:t>m/s</w:t>
                  </w:r>
                </w:p>
              </w:tc>
              <w:tc>
                <w:tcPr>
                  <w:tcW w:w="569" w:type="pct"/>
                  <w:tcBorders>
                    <w:tl2br w:val="nil"/>
                    <w:tr2bl w:val="nil"/>
                  </w:tcBorders>
                  <w:vAlign w:val="center"/>
                </w:tcPr>
                <w:p>
                  <w:pPr>
                    <w:jc w:val="center"/>
                    <w:rPr>
                      <w:rFonts w:cs="Times New Roman"/>
                      <w:szCs w:val="21"/>
                    </w:rPr>
                  </w:pPr>
                  <w:r>
                    <w:rPr>
                      <w:rFonts w:cs="Times New Roman"/>
                      <w:szCs w:val="21"/>
                    </w:rPr>
                    <w:t>14.2</w:t>
                  </w:r>
                </w:p>
              </w:tc>
              <w:tc>
                <w:tcPr>
                  <w:tcW w:w="569" w:type="pct"/>
                  <w:tcBorders>
                    <w:tl2br w:val="nil"/>
                    <w:tr2bl w:val="nil"/>
                  </w:tcBorders>
                  <w:vAlign w:val="center"/>
                </w:tcPr>
                <w:p>
                  <w:pPr>
                    <w:jc w:val="center"/>
                    <w:rPr>
                      <w:rFonts w:cs="Times New Roman"/>
                      <w:szCs w:val="21"/>
                    </w:rPr>
                  </w:pPr>
                  <w:r>
                    <w:rPr>
                      <w:rFonts w:cs="Times New Roman"/>
                      <w:szCs w:val="21"/>
                    </w:rPr>
                    <w:t>14.6</w:t>
                  </w:r>
                </w:p>
              </w:tc>
              <w:tc>
                <w:tcPr>
                  <w:tcW w:w="572" w:type="pct"/>
                  <w:tcBorders>
                    <w:tl2br w:val="nil"/>
                    <w:tr2bl w:val="nil"/>
                  </w:tcBorders>
                  <w:vAlign w:val="center"/>
                </w:tcPr>
                <w:p>
                  <w:pPr>
                    <w:jc w:val="center"/>
                    <w:rPr>
                      <w:rFonts w:cs="Times New Roman"/>
                      <w:szCs w:val="21"/>
                    </w:rPr>
                  </w:pPr>
                  <w:r>
                    <w:rPr>
                      <w:rFonts w:cs="Times New Roman"/>
                      <w:szCs w:val="21"/>
                    </w:rPr>
                    <w:t>14.3</w:t>
                  </w:r>
                </w:p>
              </w:tc>
              <w:tc>
                <w:tcPr>
                  <w:tcW w:w="550" w:type="pct"/>
                  <w:tcBorders>
                    <w:tl2br w:val="nil"/>
                    <w:tr2bl w:val="nil"/>
                  </w:tcBorders>
                  <w:vAlign w:val="center"/>
                </w:tcPr>
                <w:p>
                  <w:pPr>
                    <w:jc w:val="center"/>
                    <w:rPr>
                      <w:rFonts w:cs="Times New Roman"/>
                      <w:szCs w:val="21"/>
                    </w:rPr>
                  </w:pPr>
                  <w:r>
                    <w:rPr>
                      <w:rFonts w:cs="Times New Roman"/>
                      <w:szCs w:val="21"/>
                    </w:rPr>
                    <w:t>14.4</w:t>
                  </w:r>
                </w:p>
              </w:tc>
              <w:tc>
                <w:tcPr>
                  <w:tcW w:w="484" w:type="pct"/>
                  <w:tcBorders>
                    <w:tl2br w:val="nil"/>
                    <w:tr2bl w:val="nil"/>
                  </w:tcBorders>
                  <w:vAlign w:val="center"/>
                </w:tcPr>
                <w:p>
                  <w:pPr>
                    <w:jc w:val="center"/>
                    <w:rPr>
                      <w:rFonts w:cs="Times New Roman"/>
                      <w:spacing w:val="-36"/>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烟温</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59.8</w:t>
                  </w:r>
                </w:p>
              </w:tc>
              <w:tc>
                <w:tcPr>
                  <w:tcW w:w="569" w:type="pct"/>
                  <w:tcBorders>
                    <w:tl2br w:val="nil"/>
                    <w:tr2bl w:val="nil"/>
                  </w:tcBorders>
                  <w:vAlign w:val="center"/>
                </w:tcPr>
                <w:p>
                  <w:pPr>
                    <w:jc w:val="center"/>
                    <w:rPr>
                      <w:rFonts w:cs="Times New Roman"/>
                      <w:szCs w:val="21"/>
                    </w:rPr>
                  </w:pPr>
                  <w:r>
                    <w:rPr>
                      <w:rFonts w:cs="Times New Roman"/>
                      <w:szCs w:val="21"/>
                    </w:rPr>
                    <w:t>57.2</w:t>
                  </w:r>
                </w:p>
              </w:tc>
              <w:tc>
                <w:tcPr>
                  <w:tcW w:w="572" w:type="pct"/>
                  <w:tcBorders>
                    <w:tl2br w:val="nil"/>
                    <w:tr2bl w:val="nil"/>
                  </w:tcBorders>
                  <w:vAlign w:val="center"/>
                </w:tcPr>
                <w:p>
                  <w:pPr>
                    <w:jc w:val="center"/>
                    <w:rPr>
                      <w:rFonts w:cs="Times New Roman"/>
                      <w:szCs w:val="21"/>
                    </w:rPr>
                  </w:pPr>
                  <w:r>
                    <w:rPr>
                      <w:rFonts w:cs="Times New Roman"/>
                      <w:szCs w:val="21"/>
                    </w:rPr>
                    <w:t>54.9</w:t>
                  </w:r>
                </w:p>
              </w:tc>
              <w:tc>
                <w:tcPr>
                  <w:tcW w:w="550" w:type="pct"/>
                  <w:tcBorders>
                    <w:tl2br w:val="nil"/>
                    <w:tr2bl w:val="nil"/>
                  </w:tcBorders>
                  <w:vAlign w:val="center"/>
                </w:tcPr>
                <w:p>
                  <w:pPr>
                    <w:jc w:val="center"/>
                    <w:rPr>
                      <w:rFonts w:cs="Times New Roman"/>
                      <w:szCs w:val="21"/>
                    </w:rPr>
                  </w:pPr>
                  <w:r>
                    <w:rPr>
                      <w:rFonts w:cs="Times New Roman"/>
                      <w:szCs w:val="21"/>
                    </w:rPr>
                    <w:t>57.3</w:t>
                  </w:r>
                </w:p>
              </w:tc>
              <w:tc>
                <w:tcPr>
                  <w:tcW w:w="484" w:type="pct"/>
                  <w:tcBorders>
                    <w:tl2br w:val="nil"/>
                    <w:tr2bl w:val="nil"/>
                  </w:tcBorders>
                  <w:vAlign w:val="center"/>
                </w:tcPr>
                <w:p>
                  <w:pPr>
                    <w:jc w:val="center"/>
                    <w:rPr>
                      <w:rFonts w:cs="Times New Roman"/>
                      <w:spacing w:val="-36"/>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含湿量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5.6</w:t>
                  </w:r>
                </w:p>
              </w:tc>
              <w:tc>
                <w:tcPr>
                  <w:tcW w:w="569" w:type="pct"/>
                  <w:tcBorders>
                    <w:tl2br w:val="nil"/>
                    <w:tr2bl w:val="nil"/>
                  </w:tcBorders>
                  <w:vAlign w:val="center"/>
                </w:tcPr>
                <w:p>
                  <w:pPr>
                    <w:jc w:val="center"/>
                    <w:rPr>
                      <w:rFonts w:cs="Times New Roman"/>
                      <w:szCs w:val="21"/>
                    </w:rPr>
                  </w:pPr>
                  <w:r>
                    <w:rPr>
                      <w:rFonts w:cs="Times New Roman"/>
                      <w:szCs w:val="21"/>
                    </w:rPr>
                    <w:t>5.6</w:t>
                  </w:r>
                </w:p>
              </w:tc>
              <w:tc>
                <w:tcPr>
                  <w:tcW w:w="572" w:type="pct"/>
                  <w:tcBorders>
                    <w:tl2br w:val="nil"/>
                    <w:tr2bl w:val="nil"/>
                  </w:tcBorders>
                  <w:vAlign w:val="center"/>
                </w:tcPr>
                <w:p>
                  <w:pPr>
                    <w:jc w:val="center"/>
                    <w:rPr>
                      <w:rFonts w:cs="Times New Roman"/>
                      <w:szCs w:val="21"/>
                    </w:rPr>
                  </w:pPr>
                  <w:r>
                    <w:rPr>
                      <w:rFonts w:cs="Times New Roman"/>
                      <w:szCs w:val="21"/>
                    </w:rPr>
                    <w:t>5.6</w:t>
                  </w:r>
                </w:p>
              </w:tc>
              <w:tc>
                <w:tcPr>
                  <w:tcW w:w="550" w:type="pct"/>
                  <w:tcBorders>
                    <w:tl2br w:val="nil"/>
                    <w:tr2bl w:val="nil"/>
                  </w:tcBorders>
                  <w:vAlign w:val="center"/>
                </w:tcPr>
                <w:p>
                  <w:pPr>
                    <w:jc w:val="center"/>
                    <w:rPr>
                      <w:rFonts w:cs="Times New Roman"/>
                      <w:szCs w:val="21"/>
                    </w:rPr>
                  </w:pPr>
                  <w:r>
                    <w:rPr>
                      <w:rFonts w:cs="Times New Roman"/>
                      <w:szCs w:val="21"/>
                    </w:rPr>
                    <w:t>5.6</w:t>
                  </w:r>
                </w:p>
              </w:tc>
              <w:tc>
                <w:tcPr>
                  <w:tcW w:w="484" w:type="pct"/>
                  <w:tcBorders>
                    <w:tl2br w:val="nil"/>
                    <w:tr2bl w:val="nil"/>
                  </w:tcBorders>
                  <w:vAlign w:val="center"/>
                </w:tcPr>
                <w:p>
                  <w:pPr>
                    <w:jc w:val="center"/>
                    <w:rPr>
                      <w:rFonts w:cs="Times New Roman"/>
                      <w:spacing w:val="-36"/>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氧含量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20.3</w:t>
                  </w:r>
                </w:p>
              </w:tc>
              <w:tc>
                <w:tcPr>
                  <w:tcW w:w="569" w:type="pct"/>
                  <w:tcBorders>
                    <w:tl2br w:val="nil"/>
                    <w:tr2bl w:val="nil"/>
                  </w:tcBorders>
                  <w:vAlign w:val="center"/>
                </w:tcPr>
                <w:p>
                  <w:pPr>
                    <w:jc w:val="center"/>
                    <w:rPr>
                      <w:rFonts w:cs="Times New Roman"/>
                      <w:szCs w:val="21"/>
                    </w:rPr>
                  </w:pPr>
                  <w:r>
                    <w:rPr>
                      <w:rFonts w:cs="Times New Roman"/>
                      <w:szCs w:val="21"/>
                    </w:rPr>
                    <w:t>20.3</w:t>
                  </w:r>
                </w:p>
              </w:tc>
              <w:tc>
                <w:tcPr>
                  <w:tcW w:w="572" w:type="pct"/>
                  <w:tcBorders>
                    <w:tl2br w:val="nil"/>
                    <w:tr2bl w:val="nil"/>
                  </w:tcBorders>
                  <w:vAlign w:val="center"/>
                </w:tcPr>
                <w:p>
                  <w:pPr>
                    <w:jc w:val="center"/>
                    <w:rPr>
                      <w:rFonts w:cs="Times New Roman"/>
                      <w:szCs w:val="21"/>
                    </w:rPr>
                  </w:pPr>
                  <w:r>
                    <w:rPr>
                      <w:rFonts w:cs="Times New Roman"/>
                      <w:szCs w:val="21"/>
                    </w:rPr>
                    <w:t>20.3</w:t>
                  </w:r>
                </w:p>
              </w:tc>
              <w:tc>
                <w:tcPr>
                  <w:tcW w:w="550" w:type="pct"/>
                  <w:tcBorders>
                    <w:tl2br w:val="nil"/>
                    <w:tr2bl w:val="nil"/>
                  </w:tcBorders>
                  <w:vAlign w:val="center"/>
                </w:tcPr>
                <w:p>
                  <w:pPr>
                    <w:jc w:val="center"/>
                    <w:rPr>
                      <w:rFonts w:cs="Times New Roman"/>
                      <w:szCs w:val="21"/>
                    </w:rPr>
                  </w:pPr>
                  <w:r>
                    <w:rPr>
                      <w:rFonts w:cs="Times New Roman"/>
                      <w:szCs w:val="21"/>
                    </w:rPr>
                    <w:t>20.3</w:t>
                  </w:r>
                </w:p>
              </w:tc>
              <w:tc>
                <w:tcPr>
                  <w:tcW w:w="484" w:type="pct"/>
                  <w:tcBorders>
                    <w:tl2br w:val="nil"/>
                    <w:tr2bl w:val="nil"/>
                  </w:tcBorders>
                  <w:vAlign w:val="center"/>
                </w:tcPr>
                <w:p>
                  <w:pPr>
                    <w:jc w:val="center"/>
                    <w:rPr>
                      <w:rFonts w:cs="Times New Roman"/>
                      <w:spacing w:val="-36"/>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标干烟气流量</w:t>
                  </w:r>
                </w:p>
              </w:tc>
              <w:tc>
                <w:tcPr>
                  <w:tcW w:w="488" w:type="pct"/>
                  <w:tcBorders>
                    <w:tl2br w:val="nil"/>
                    <w:tr2bl w:val="nil"/>
                  </w:tcBorders>
                  <w:vAlign w:val="center"/>
                </w:tcPr>
                <w:p>
                  <w:pPr>
                    <w:jc w:val="center"/>
                    <w:rPr>
                      <w:rFonts w:cs="Times New Roman"/>
                      <w:szCs w:val="21"/>
                    </w:rPr>
                  </w:pPr>
                  <w:r>
                    <w:rPr>
                      <w:rFonts w:cs="Times New Roman"/>
                      <w:szCs w:val="21"/>
                    </w:rPr>
                    <w:t>m</w:t>
                  </w:r>
                  <w:r>
                    <w:rPr>
                      <w:rFonts w:cs="Times New Roman"/>
                      <w:szCs w:val="21"/>
                      <w:vertAlign w:val="superscript"/>
                    </w:rPr>
                    <w:t>3</w:t>
                  </w:r>
                  <w:r>
                    <w:rPr>
                      <w:rFonts w:cs="Times New Roman"/>
                      <w:szCs w:val="21"/>
                    </w:rPr>
                    <w:t>/h</w:t>
                  </w:r>
                </w:p>
              </w:tc>
              <w:tc>
                <w:tcPr>
                  <w:tcW w:w="569" w:type="pct"/>
                  <w:tcBorders>
                    <w:tl2br w:val="nil"/>
                    <w:tr2bl w:val="nil"/>
                  </w:tcBorders>
                  <w:vAlign w:val="center"/>
                </w:tcPr>
                <w:p>
                  <w:pPr>
                    <w:jc w:val="center"/>
                    <w:rPr>
                      <w:rFonts w:cs="Times New Roman"/>
                      <w:szCs w:val="21"/>
                    </w:rPr>
                  </w:pPr>
                  <w:r>
                    <w:rPr>
                      <w:rFonts w:cs="Times New Roman"/>
                      <w:szCs w:val="21"/>
                    </w:rPr>
                    <w:t>7294</w:t>
                  </w:r>
                </w:p>
              </w:tc>
              <w:tc>
                <w:tcPr>
                  <w:tcW w:w="569" w:type="pct"/>
                  <w:tcBorders>
                    <w:tl2br w:val="nil"/>
                    <w:tr2bl w:val="nil"/>
                  </w:tcBorders>
                  <w:vAlign w:val="center"/>
                </w:tcPr>
                <w:p>
                  <w:pPr>
                    <w:jc w:val="center"/>
                    <w:rPr>
                      <w:rFonts w:cs="Times New Roman"/>
                      <w:szCs w:val="21"/>
                    </w:rPr>
                  </w:pPr>
                  <w:r>
                    <w:rPr>
                      <w:rFonts w:cs="Times New Roman"/>
                      <w:szCs w:val="21"/>
                    </w:rPr>
                    <w:t>7313</w:t>
                  </w:r>
                </w:p>
              </w:tc>
              <w:tc>
                <w:tcPr>
                  <w:tcW w:w="572" w:type="pct"/>
                  <w:tcBorders>
                    <w:tl2br w:val="nil"/>
                    <w:tr2bl w:val="nil"/>
                  </w:tcBorders>
                  <w:vAlign w:val="center"/>
                </w:tcPr>
                <w:p>
                  <w:pPr>
                    <w:jc w:val="center"/>
                    <w:rPr>
                      <w:rFonts w:cs="Times New Roman"/>
                      <w:szCs w:val="21"/>
                    </w:rPr>
                  </w:pPr>
                  <w:r>
                    <w:rPr>
                      <w:rFonts w:cs="Times New Roman"/>
                      <w:szCs w:val="21"/>
                    </w:rPr>
                    <w:t>7365</w:t>
                  </w:r>
                </w:p>
              </w:tc>
              <w:tc>
                <w:tcPr>
                  <w:tcW w:w="550" w:type="pct"/>
                  <w:tcBorders>
                    <w:tl2br w:val="nil"/>
                    <w:tr2bl w:val="nil"/>
                  </w:tcBorders>
                  <w:vAlign w:val="center"/>
                </w:tcPr>
                <w:p>
                  <w:pPr>
                    <w:jc w:val="center"/>
                    <w:rPr>
                      <w:rFonts w:cs="Times New Roman"/>
                      <w:szCs w:val="21"/>
                    </w:rPr>
                  </w:pPr>
                  <w:r>
                    <w:rPr>
                      <w:rFonts w:cs="Times New Roman"/>
                      <w:szCs w:val="21"/>
                    </w:rPr>
                    <w:t>7324</w:t>
                  </w:r>
                </w:p>
              </w:tc>
              <w:tc>
                <w:tcPr>
                  <w:tcW w:w="484" w:type="pct"/>
                  <w:tcBorders>
                    <w:tl2br w:val="nil"/>
                    <w:tr2bl w:val="nil"/>
                  </w:tcBorders>
                  <w:vAlign w:val="center"/>
                </w:tcPr>
                <w:p>
                  <w:pPr>
                    <w:jc w:val="center"/>
                    <w:rPr>
                      <w:rFonts w:cs="Times New Roman"/>
                      <w:spacing w:val="-36"/>
                      <w:szCs w:val="21"/>
                    </w:rPr>
                  </w:pPr>
                  <w:r>
                    <w:rPr>
                      <w:rFonts w:cs="Times New Roman"/>
                      <w:spacing w:val="-3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ind w:left="-97" w:leftChars="-46" w:right="-103" w:rightChars="-49"/>
                    <w:jc w:val="center"/>
                    <w:rPr>
                      <w:rFonts w:cs="Times New Roman"/>
                      <w:szCs w:val="21"/>
                    </w:rPr>
                  </w:pPr>
                </w:p>
              </w:tc>
              <w:tc>
                <w:tcPr>
                  <w:tcW w:w="427" w:type="pct"/>
                  <w:vMerge w:val="restart"/>
                  <w:tcBorders>
                    <w:tl2br w:val="nil"/>
                    <w:tr2bl w:val="nil"/>
                  </w:tcBorders>
                  <w:vAlign w:val="center"/>
                </w:tcPr>
                <w:p>
                  <w:pPr>
                    <w:jc w:val="center"/>
                    <w:rPr>
                      <w:rFonts w:cs="Times New Roman"/>
                      <w:szCs w:val="21"/>
                    </w:rPr>
                  </w:pPr>
                  <w:r>
                    <w:rPr>
                      <w:rFonts w:cs="Times New Roman"/>
                      <w:szCs w:val="21"/>
                    </w:rPr>
                    <w:t>挥发性有机物</w:t>
                  </w:r>
                </w:p>
              </w:tc>
              <w:tc>
                <w:tcPr>
                  <w:tcW w:w="630" w:type="pct"/>
                  <w:tcBorders>
                    <w:tl2br w:val="nil"/>
                    <w:tr2bl w:val="nil"/>
                  </w:tcBorders>
                  <w:vAlign w:val="center"/>
                </w:tcPr>
                <w:p>
                  <w:pPr>
                    <w:jc w:val="center"/>
                    <w:rPr>
                      <w:rFonts w:cs="Times New Roman"/>
                      <w:szCs w:val="21"/>
                    </w:rPr>
                  </w:pPr>
                  <w:r>
                    <w:rPr>
                      <w:rFonts w:cs="Times New Roman"/>
                      <w:szCs w:val="21"/>
                    </w:rPr>
                    <w:t>实测浓度</w:t>
                  </w:r>
                </w:p>
              </w:tc>
              <w:tc>
                <w:tcPr>
                  <w:tcW w:w="488" w:type="pct"/>
                  <w:tcBorders>
                    <w:tl2br w:val="nil"/>
                    <w:tr2bl w:val="nil"/>
                  </w:tcBorders>
                  <w:vAlign w:val="center"/>
                </w:tcPr>
                <w:p>
                  <w:pPr>
                    <w:jc w:val="center"/>
                    <w:rPr>
                      <w:rFonts w:cs="Times New Roman"/>
                      <w:szCs w:val="21"/>
                    </w:rPr>
                  </w:pPr>
                  <w:r>
                    <w:rPr>
                      <w:rFonts w:cs="Times New Roman"/>
                      <w:spacing w:val="-12"/>
                      <w:szCs w:val="21"/>
                    </w:rPr>
                    <w:t>mg/m</w:t>
                  </w:r>
                  <w:r>
                    <w:rPr>
                      <w:rFonts w:cs="Times New Roman"/>
                      <w:spacing w:val="-12"/>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0.030</w:t>
                  </w:r>
                </w:p>
              </w:tc>
              <w:tc>
                <w:tcPr>
                  <w:tcW w:w="569" w:type="pct"/>
                  <w:tcBorders>
                    <w:tl2br w:val="nil"/>
                    <w:tr2bl w:val="nil"/>
                  </w:tcBorders>
                  <w:vAlign w:val="center"/>
                </w:tcPr>
                <w:p>
                  <w:pPr>
                    <w:jc w:val="center"/>
                    <w:rPr>
                      <w:rFonts w:cs="Times New Roman"/>
                      <w:szCs w:val="21"/>
                    </w:rPr>
                  </w:pPr>
                  <w:r>
                    <w:rPr>
                      <w:rFonts w:cs="Times New Roman"/>
                      <w:szCs w:val="21"/>
                    </w:rPr>
                    <w:t>0.026</w:t>
                  </w:r>
                </w:p>
              </w:tc>
              <w:tc>
                <w:tcPr>
                  <w:tcW w:w="572" w:type="pct"/>
                  <w:tcBorders>
                    <w:tl2br w:val="nil"/>
                    <w:tr2bl w:val="nil"/>
                  </w:tcBorders>
                  <w:vAlign w:val="center"/>
                </w:tcPr>
                <w:p>
                  <w:pPr>
                    <w:jc w:val="center"/>
                    <w:rPr>
                      <w:rFonts w:cs="Times New Roman"/>
                      <w:szCs w:val="21"/>
                    </w:rPr>
                  </w:pPr>
                  <w:r>
                    <w:rPr>
                      <w:rFonts w:cs="Times New Roman"/>
                      <w:szCs w:val="21"/>
                    </w:rPr>
                    <w:t>0.026</w:t>
                  </w:r>
                </w:p>
              </w:tc>
              <w:tc>
                <w:tcPr>
                  <w:tcW w:w="550" w:type="pct"/>
                  <w:tcBorders>
                    <w:tl2br w:val="nil"/>
                    <w:tr2bl w:val="nil"/>
                  </w:tcBorders>
                  <w:vAlign w:val="center"/>
                </w:tcPr>
                <w:p>
                  <w:pPr>
                    <w:jc w:val="center"/>
                    <w:rPr>
                      <w:rFonts w:cs="Times New Roman"/>
                      <w:szCs w:val="21"/>
                    </w:rPr>
                  </w:pPr>
                  <w:r>
                    <w:rPr>
                      <w:rFonts w:cs="Times New Roman"/>
                      <w:szCs w:val="21"/>
                    </w:rPr>
                    <w:t>0.027</w:t>
                  </w:r>
                </w:p>
              </w:tc>
              <w:tc>
                <w:tcPr>
                  <w:tcW w:w="484" w:type="pct"/>
                  <w:tcBorders>
                    <w:tl2br w:val="nil"/>
                    <w:tr2bl w:val="nil"/>
                  </w:tcBorders>
                  <w:vAlign w:val="center"/>
                </w:tcPr>
                <w:p>
                  <w:pPr>
                    <w:jc w:val="center"/>
                    <w:rPr>
                      <w:rFonts w:cs="Times New Roman"/>
                      <w:szCs w:val="21"/>
                    </w:rPr>
                  </w:pPr>
                  <w:r>
                    <w:rPr>
                      <w:rFonts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continue"/>
                  <w:tcBorders>
                    <w:tl2br w:val="nil"/>
                    <w:tr2bl w:val="nil"/>
                  </w:tcBorders>
                  <w:vAlign w:val="center"/>
                </w:tcPr>
                <w:p>
                  <w:pPr>
                    <w:jc w:val="center"/>
                    <w:rPr>
                      <w:rFonts w:cs="Times New Roman"/>
                      <w:szCs w:val="21"/>
                    </w:rPr>
                  </w:pPr>
                </w:p>
              </w:tc>
              <w:tc>
                <w:tcPr>
                  <w:tcW w:w="630" w:type="pct"/>
                  <w:tcBorders>
                    <w:tl2br w:val="nil"/>
                    <w:tr2bl w:val="nil"/>
                  </w:tcBorders>
                  <w:vAlign w:val="center"/>
                </w:tcPr>
                <w:p>
                  <w:pPr>
                    <w:jc w:val="center"/>
                    <w:rPr>
                      <w:rFonts w:cs="Times New Roman"/>
                      <w:szCs w:val="21"/>
                    </w:rPr>
                  </w:pPr>
                  <w:r>
                    <w:rPr>
                      <w:rFonts w:cs="Times New Roman"/>
                      <w:szCs w:val="21"/>
                    </w:rPr>
                    <w:t>排放速率</w:t>
                  </w:r>
                </w:p>
              </w:tc>
              <w:tc>
                <w:tcPr>
                  <w:tcW w:w="488" w:type="pct"/>
                  <w:tcBorders>
                    <w:tl2br w:val="nil"/>
                    <w:tr2bl w:val="nil"/>
                  </w:tcBorders>
                  <w:vAlign w:val="center"/>
                </w:tcPr>
                <w:p>
                  <w:pPr>
                    <w:jc w:val="center"/>
                    <w:rPr>
                      <w:rFonts w:cs="Times New Roman"/>
                      <w:szCs w:val="21"/>
                    </w:rPr>
                  </w:pPr>
                  <w:r>
                    <w:rPr>
                      <w:rFonts w:cs="Times New Roman"/>
                      <w:szCs w:val="21"/>
                    </w:rPr>
                    <w:t>kg/h</w:t>
                  </w:r>
                </w:p>
              </w:tc>
              <w:tc>
                <w:tcPr>
                  <w:tcW w:w="569" w:type="pct"/>
                  <w:tcBorders>
                    <w:tl2br w:val="nil"/>
                    <w:tr2bl w:val="nil"/>
                  </w:tcBorders>
                  <w:vAlign w:val="center"/>
                </w:tcPr>
                <w:p>
                  <w:pPr>
                    <w:jc w:val="center"/>
                    <w:rPr>
                      <w:rFonts w:cs="Times New Roman"/>
                      <w:szCs w:val="21"/>
                    </w:rPr>
                  </w:pPr>
                  <w:r>
                    <w:rPr>
                      <w:rFonts w:cs="Times New Roman"/>
                      <w:szCs w:val="21"/>
                    </w:rPr>
                    <w:t>2.19×10</w:t>
                  </w:r>
                  <w:r>
                    <w:rPr>
                      <w:rFonts w:cs="Times New Roman"/>
                      <w:szCs w:val="21"/>
                      <w:vertAlign w:val="superscript"/>
                    </w:rPr>
                    <w:t>-4</w:t>
                  </w:r>
                </w:p>
              </w:tc>
              <w:tc>
                <w:tcPr>
                  <w:tcW w:w="569" w:type="pct"/>
                  <w:tcBorders>
                    <w:tl2br w:val="nil"/>
                    <w:tr2bl w:val="nil"/>
                  </w:tcBorders>
                  <w:vAlign w:val="center"/>
                </w:tcPr>
                <w:p>
                  <w:pPr>
                    <w:jc w:val="center"/>
                    <w:rPr>
                      <w:rFonts w:cs="Times New Roman"/>
                      <w:szCs w:val="21"/>
                    </w:rPr>
                  </w:pPr>
                  <w:r>
                    <w:rPr>
                      <w:rFonts w:cs="Times New Roman"/>
                      <w:szCs w:val="21"/>
                    </w:rPr>
                    <w:t>1.90×10</w:t>
                  </w:r>
                  <w:r>
                    <w:rPr>
                      <w:rFonts w:cs="Times New Roman"/>
                      <w:szCs w:val="21"/>
                      <w:vertAlign w:val="superscript"/>
                    </w:rPr>
                    <w:t>-4</w:t>
                  </w:r>
                </w:p>
              </w:tc>
              <w:tc>
                <w:tcPr>
                  <w:tcW w:w="572" w:type="pct"/>
                  <w:tcBorders>
                    <w:tl2br w:val="nil"/>
                    <w:tr2bl w:val="nil"/>
                  </w:tcBorders>
                  <w:vAlign w:val="center"/>
                </w:tcPr>
                <w:p>
                  <w:pPr>
                    <w:jc w:val="center"/>
                    <w:rPr>
                      <w:rFonts w:cs="Times New Roman"/>
                      <w:szCs w:val="21"/>
                    </w:rPr>
                  </w:pPr>
                  <w:r>
                    <w:rPr>
                      <w:rFonts w:cs="Times New Roman"/>
                      <w:szCs w:val="21"/>
                    </w:rPr>
                    <w:t>1.91×10</w:t>
                  </w:r>
                  <w:r>
                    <w:rPr>
                      <w:rFonts w:cs="Times New Roman"/>
                      <w:szCs w:val="21"/>
                      <w:vertAlign w:val="superscript"/>
                    </w:rPr>
                    <w:t>-4</w:t>
                  </w:r>
                </w:p>
              </w:tc>
              <w:tc>
                <w:tcPr>
                  <w:tcW w:w="550" w:type="pct"/>
                  <w:tcBorders>
                    <w:tl2br w:val="nil"/>
                    <w:tr2bl w:val="nil"/>
                  </w:tcBorders>
                  <w:vAlign w:val="center"/>
                </w:tcPr>
                <w:p>
                  <w:pPr>
                    <w:jc w:val="center"/>
                    <w:rPr>
                      <w:rFonts w:cs="Times New Roman"/>
                      <w:szCs w:val="21"/>
                    </w:rPr>
                  </w:pPr>
                  <w:r>
                    <w:rPr>
                      <w:rFonts w:cs="Times New Roman"/>
                      <w:szCs w:val="21"/>
                    </w:rPr>
                    <w:t>2.00×10</w:t>
                  </w:r>
                  <w:r>
                    <w:rPr>
                      <w:rFonts w:cs="Times New Roman"/>
                      <w:szCs w:val="21"/>
                      <w:vertAlign w:val="superscript"/>
                    </w:rPr>
                    <w:t>-4</w:t>
                  </w:r>
                </w:p>
              </w:tc>
              <w:tc>
                <w:tcPr>
                  <w:tcW w:w="484" w:type="pct"/>
                  <w:tcBorders>
                    <w:tl2br w:val="nil"/>
                    <w:tr2bl w:val="nil"/>
                  </w:tcBorders>
                  <w:vAlign w:val="center"/>
                </w:tcPr>
                <w:p>
                  <w:pPr>
                    <w:jc w:val="center"/>
                    <w:rPr>
                      <w:rFonts w:cs="Times New Roman"/>
                      <w:szCs w:val="21"/>
                    </w:rPr>
                  </w:pPr>
                  <w:r>
                    <w:rPr>
                      <w:rFonts w:cs="Times New Roman"/>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restart"/>
                  <w:tcBorders>
                    <w:tl2br w:val="nil"/>
                    <w:tr2bl w:val="nil"/>
                  </w:tcBorders>
                  <w:vAlign w:val="center"/>
                </w:tcPr>
                <w:p>
                  <w:pPr>
                    <w:jc w:val="center"/>
                    <w:rPr>
                      <w:rFonts w:cs="Times New Roman"/>
                      <w:szCs w:val="21"/>
                    </w:rPr>
                  </w:pPr>
                  <w:r>
                    <w:rPr>
                      <w:rFonts w:cs="Times New Roman"/>
                      <w:szCs w:val="21"/>
                    </w:rPr>
                    <w:t>2#，DA002施胶废气排气筒</w:t>
                  </w:r>
                </w:p>
              </w:tc>
              <w:tc>
                <w:tcPr>
                  <w:tcW w:w="1058" w:type="pct"/>
                  <w:gridSpan w:val="2"/>
                  <w:tcBorders>
                    <w:tl2br w:val="nil"/>
                    <w:tr2bl w:val="nil"/>
                  </w:tcBorders>
                  <w:vAlign w:val="center"/>
                </w:tcPr>
                <w:p>
                  <w:pPr>
                    <w:jc w:val="center"/>
                    <w:rPr>
                      <w:rFonts w:cs="Times New Roman"/>
                      <w:szCs w:val="21"/>
                    </w:rPr>
                  </w:pPr>
                  <w:r>
                    <w:rPr>
                      <w:rFonts w:cs="Times New Roman"/>
                      <w:szCs w:val="21"/>
                    </w:rPr>
                    <w:t>流速</w:t>
                  </w:r>
                </w:p>
              </w:tc>
              <w:tc>
                <w:tcPr>
                  <w:tcW w:w="488" w:type="pct"/>
                  <w:tcBorders>
                    <w:tl2br w:val="nil"/>
                    <w:tr2bl w:val="nil"/>
                  </w:tcBorders>
                  <w:vAlign w:val="center"/>
                </w:tcPr>
                <w:p>
                  <w:pPr>
                    <w:jc w:val="center"/>
                    <w:rPr>
                      <w:rFonts w:cs="Times New Roman"/>
                      <w:szCs w:val="21"/>
                    </w:rPr>
                  </w:pPr>
                  <w:r>
                    <w:rPr>
                      <w:rFonts w:cs="Times New Roman"/>
                      <w:szCs w:val="21"/>
                    </w:rPr>
                    <w:t>m/s</w:t>
                  </w:r>
                </w:p>
              </w:tc>
              <w:tc>
                <w:tcPr>
                  <w:tcW w:w="569" w:type="pct"/>
                  <w:tcBorders>
                    <w:tl2br w:val="nil"/>
                    <w:tr2bl w:val="nil"/>
                  </w:tcBorders>
                  <w:vAlign w:val="center"/>
                </w:tcPr>
                <w:p>
                  <w:pPr>
                    <w:jc w:val="center"/>
                    <w:rPr>
                      <w:rFonts w:cs="Times New Roman"/>
                      <w:szCs w:val="21"/>
                    </w:rPr>
                  </w:pPr>
                  <w:r>
                    <w:rPr>
                      <w:rFonts w:cs="Times New Roman"/>
                      <w:szCs w:val="21"/>
                    </w:rPr>
                    <w:t>13.2</w:t>
                  </w:r>
                </w:p>
              </w:tc>
              <w:tc>
                <w:tcPr>
                  <w:tcW w:w="569" w:type="pct"/>
                  <w:tcBorders>
                    <w:tl2br w:val="nil"/>
                    <w:tr2bl w:val="nil"/>
                  </w:tcBorders>
                  <w:vAlign w:val="center"/>
                </w:tcPr>
                <w:p>
                  <w:pPr>
                    <w:jc w:val="center"/>
                    <w:rPr>
                      <w:rFonts w:cs="Times New Roman"/>
                      <w:szCs w:val="21"/>
                    </w:rPr>
                  </w:pPr>
                  <w:r>
                    <w:rPr>
                      <w:rFonts w:cs="Times New Roman"/>
                      <w:szCs w:val="21"/>
                    </w:rPr>
                    <w:t>13.6</w:t>
                  </w:r>
                </w:p>
              </w:tc>
              <w:tc>
                <w:tcPr>
                  <w:tcW w:w="572" w:type="pct"/>
                  <w:tcBorders>
                    <w:tl2br w:val="nil"/>
                    <w:tr2bl w:val="nil"/>
                  </w:tcBorders>
                  <w:vAlign w:val="center"/>
                </w:tcPr>
                <w:p>
                  <w:pPr>
                    <w:jc w:val="center"/>
                    <w:rPr>
                      <w:rFonts w:cs="Times New Roman"/>
                      <w:szCs w:val="21"/>
                    </w:rPr>
                  </w:pPr>
                  <w:r>
                    <w:rPr>
                      <w:rFonts w:cs="Times New Roman"/>
                      <w:szCs w:val="21"/>
                    </w:rPr>
                    <w:t>13.8</w:t>
                  </w:r>
                </w:p>
              </w:tc>
              <w:tc>
                <w:tcPr>
                  <w:tcW w:w="550" w:type="pct"/>
                  <w:tcBorders>
                    <w:tl2br w:val="nil"/>
                    <w:tr2bl w:val="nil"/>
                  </w:tcBorders>
                  <w:vAlign w:val="center"/>
                </w:tcPr>
                <w:p>
                  <w:pPr>
                    <w:jc w:val="center"/>
                    <w:rPr>
                      <w:rFonts w:cs="Times New Roman"/>
                      <w:szCs w:val="21"/>
                    </w:rPr>
                  </w:pPr>
                  <w:r>
                    <w:rPr>
                      <w:rFonts w:cs="Times New Roman"/>
                      <w:szCs w:val="21"/>
                    </w:rPr>
                    <w:t>13.5</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烟温</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67.2</w:t>
                  </w:r>
                </w:p>
              </w:tc>
              <w:tc>
                <w:tcPr>
                  <w:tcW w:w="569" w:type="pct"/>
                  <w:tcBorders>
                    <w:tl2br w:val="nil"/>
                    <w:tr2bl w:val="nil"/>
                  </w:tcBorders>
                  <w:vAlign w:val="center"/>
                </w:tcPr>
                <w:p>
                  <w:pPr>
                    <w:jc w:val="center"/>
                    <w:rPr>
                      <w:rFonts w:cs="Times New Roman"/>
                      <w:szCs w:val="21"/>
                    </w:rPr>
                  </w:pPr>
                  <w:r>
                    <w:rPr>
                      <w:rFonts w:cs="Times New Roman"/>
                      <w:szCs w:val="21"/>
                    </w:rPr>
                    <w:t>66.3</w:t>
                  </w:r>
                </w:p>
              </w:tc>
              <w:tc>
                <w:tcPr>
                  <w:tcW w:w="572" w:type="pct"/>
                  <w:tcBorders>
                    <w:tl2br w:val="nil"/>
                    <w:tr2bl w:val="nil"/>
                  </w:tcBorders>
                  <w:vAlign w:val="center"/>
                </w:tcPr>
                <w:p>
                  <w:pPr>
                    <w:jc w:val="center"/>
                    <w:rPr>
                      <w:rFonts w:cs="Times New Roman"/>
                      <w:szCs w:val="21"/>
                    </w:rPr>
                  </w:pPr>
                  <w:r>
                    <w:rPr>
                      <w:rFonts w:cs="Times New Roman"/>
                      <w:szCs w:val="21"/>
                    </w:rPr>
                    <w:t>68.1</w:t>
                  </w:r>
                </w:p>
              </w:tc>
              <w:tc>
                <w:tcPr>
                  <w:tcW w:w="550" w:type="pct"/>
                  <w:tcBorders>
                    <w:tl2br w:val="nil"/>
                    <w:tr2bl w:val="nil"/>
                  </w:tcBorders>
                  <w:vAlign w:val="center"/>
                </w:tcPr>
                <w:p>
                  <w:pPr>
                    <w:jc w:val="center"/>
                    <w:rPr>
                      <w:rFonts w:cs="Times New Roman"/>
                      <w:szCs w:val="21"/>
                    </w:rPr>
                  </w:pPr>
                  <w:r>
                    <w:rPr>
                      <w:rFonts w:cs="Times New Roman"/>
                      <w:szCs w:val="21"/>
                    </w:rPr>
                    <w:t>67.2</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含湿量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6.2</w:t>
                  </w:r>
                </w:p>
              </w:tc>
              <w:tc>
                <w:tcPr>
                  <w:tcW w:w="569" w:type="pct"/>
                  <w:tcBorders>
                    <w:tl2br w:val="nil"/>
                    <w:tr2bl w:val="nil"/>
                  </w:tcBorders>
                  <w:vAlign w:val="center"/>
                </w:tcPr>
                <w:p>
                  <w:pPr>
                    <w:jc w:val="center"/>
                    <w:rPr>
                      <w:rFonts w:cs="Times New Roman"/>
                      <w:szCs w:val="21"/>
                    </w:rPr>
                  </w:pPr>
                  <w:r>
                    <w:rPr>
                      <w:rFonts w:cs="Times New Roman"/>
                      <w:szCs w:val="21"/>
                    </w:rPr>
                    <w:t>6.2</w:t>
                  </w:r>
                </w:p>
              </w:tc>
              <w:tc>
                <w:tcPr>
                  <w:tcW w:w="572" w:type="pct"/>
                  <w:tcBorders>
                    <w:tl2br w:val="nil"/>
                    <w:tr2bl w:val="nil"/>
                  </w:tcBorders>
                  <w:vAlign w:val="center"/>
                </w:tcPr>
                <w:p>
                  <w:pPr>
                    <w:jc w:val="center"/>
                    <w:rPr>
                      <w:rFonts w:cs="Times New Roman"/>
                      <w:szCs w:val="21"/>
                    </w:rPr>
                  </w:pPr>
                  <w:r>
                    <w:rPr>
                      <w:rFonts w:cs="Times New Roman"/>
                      <w:szCs w:val="21"/>
                    </w:rPr>
                    <w:t>6.2</w:t>
                  </w:r>
                </w:p>
              </w:tc>
              <w:tc>
                <w:tcPr>
                  <w:tcW w:w="550" w:type="pct"/>
                  <w:tcBorders>
                    <w:tl2br w:val="nil"/>
                    <w:tr2bl w:val="nil"/>
                  </w:tcBorders>
                  <w:vAlign w:val="center"/>
                </w:tcPr>
                <w:p>
                  <w:pPr>
                    <w:jc w:val="center"/>
                    <w:rPr>
                      <w:rFonts w:cs="Times New Roman"/>
                      <w:szCs w:val="21"/>
                    </w:rPr>
                  </w:pPr>
                  <w:r>
                    <w:rPr>
                      <w:rFonts w:cs="Times New Roman"/>
                      <w:szCs w:val="21"/>
                    </w:rPr>
                    <w:t>6.2</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氧含量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20.1</w:t>
                  </w:r>
                </w:p>
              </w:tc>
              <w:tc>
                <w:tcPr>
                  <w:tcW w:w="569" w:type="pct"/>
                  <w:tcBorders>
                    <w:tl2br w:val="nil"/>
                    <w:tr2bl w:val="nil"/>
                  </w:tcBorders>
                  <w:vAlign w:val="center"/>
                </w:tcPr>
                <w:p>
                  <w:pPr>
                    <w:jc w:val="center"/>
                    <w:rPr>
                      <w:rFonts w:cs="Times New Roman"/>
                      <w:szCs w:val="21"/>
                    </w:rPr>
                  </w:pPr>
                  <w:r>
                    <w:rPr>
                      <w:rFonts w:cs="Times New Roman"/>
                      <w:szCs w:val="21"/>
                    </w:rPr>
                    <w:t>20.1</w:t>
                  </w:r>
                </w:p>
              </w:tc>
              <w:tc>
                <w:tcPr>
                  <w:tcW w:w="572" w:type="pct"/>
                  <w:tcBorders>
                    <w:tl2br w:val="nil"/>
                    <w:tr2bl w:val="nil"/>
                  </w:tcBorders>
                  <w:vAlign w:val="center"/>
                </w:tcPr>
                <w:p>
                  <w:pPr>
                    <w:jc w:val="center"/>
                    <w:rPr>
                      <w:rFonts w:cs="Times New Roman"/>
                      <w:szCs w:val="21"/>
                    </w:rPr>
                  </w:pPr>
                  <w:r>
                    <w:rPr>
                      <w:rFonts w:cs="Times New Roman"/>
                      <w:szCs w:val="21"/>
                    </w:rPr>
                    <w:t>20.1</w:t>
                  </w:r>
                </w:p>
              </w:tc>
              <w:tc>
                <w:tcPr>
                  <w:tcW w:w="550" w:type="pct"/>
                  <w:tcBorders>
                    <w:tl2br w:val="nil"/>
                    <w:tr2bl w:val="nil"/>
                  </w:tcBorders>
                  <w:vAlign w:val="center"/>
                </w:tcPr>
                <w:p>
                  <w:pPr>
                    <w:jc w:val="center"/>
                    <w:rPr>
                      <w:rFonts w:cs="Times New Roman"/>
                      <w:szCs w:val="21"/>
                    </w:rPr>
                  </w:pPr>
                  <w:r>
                    <w:rPr>
                      <w:rFonts w:cs="Times New Roman"/>
                      <w:szCs w:val="21"/>
                    </w:rPr>
                    <w:t>20.1</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标干烟气流量</w:t>
                  </w:r>
                </w:p>
              </w:tc>
              <w:tc>
                <w:tcPr>
                  <w:tcW w:w="488" w:type="pct"/>
                  <w:tcBorders>
                    <w:tl2br w:val="nil"/>
                    <w:tr2bl w:val="nil"/>
                  </w:tcBorders>
                  <w:vAlign w:val="center"/>
                </w:tcPr>
                <w:p>
                  <w:pPr>
                    <w:jc w:val="center"/>
                    <w:rPr>
                      <w:rFonts w:cs="Times New Roman"/>
                      <w:szCs w:val="21"/>
                    </w:rPr>
                  </w:pPr>
                  <w:r>
                    <w:rPr>
                      <w:rFonts w:cs="Times New Roman"/>
                      <w:szCs w:val="21"/>
                    </w:rPr>
                    <w:t>m</w:t>
                  </w:r>
                  <w:r>
                    <w:rPr>
                      <w:rFonts w:cs="Times New Roman"/>
                      <w:szCs w:val="21"/>
                      <w:vertAlign w:val="superscript"/>
                    </w:rPr>
                    <w:t>3</w:t>
                  </w:r>
                  <w:r>
                    <w:rPr>
                      <w:rFonts w:cs="Times New Roman"/>
                      <w:szCs w:val="21"/>
                    </w:rPr>
                    <w:t>/h</w:t>
                  </w:r>
                </w:p>
              </w:tc>
              <w:tc>
                <w:tcPr>
                  <w:tcW w:w="569" w:type="pct"/>
                  <w:tcBorders>
                    <w:tl2br w:val="nil"/>
                    <w:tr2bl w:val="nil"/>
                  </w:tcBorders>
                  <w:vAlign w:val="center"/>
                </w:tcPr>
                <w:p>
                  <w:pPr>
                    <w:jc w:val="center"/>
                    <w:rPr>
                      <w:rFonts w:cs="Times New Roman"/>
                      <w:szCs w:val="21"/>
                    </w:rPr>
                  </w:pPr>
                  <w:r>
                    <w:rPr>
                      <w:rFonts w:cs="Times New Roman"/>
                      <w:szCs w:val="21"/>
                    </w:rPr>
                    <w:t>6579</w:t>
                  </w:r>
                </w:p>
              </w:tc>
              <w:tc>
                <w:tcPr>
                  <w:tcW w:w="569" w:type="pct"/>
                  <w:tcBorders>
                    <w:tl2br w:val="nil"/>
                    <w:tr2bl w:val="nil"/>
                  </w:tcBorders>
                  <w:vAlign w:val="center"/>
                </w:tcPr>
                <w:p>
                  <w:pPr>
                    <w:jc w:val="center"/>
                    <w:rPr>
                      <w:rFonts w:cs="Times New Roman"/>
                      <w:szCs w:val="21"/>
                    </w:rPr>
                  </w:pPr>
                  <w:r>
                    <w:rPr>
                      <w:rFonts w:cs="Times New Roman"/>
                      <w:szCs w:val="21"/>
                    </w:rPr>
                    <w:t>6717</w:t>
                  </w:r>
                </w:p>
              </w:tc>
              <w:tc>
                <w:tcPr>
                  <w:tcW w:w="572" w:type="pct"/>
                  <w:tcBorders>
                    <w:tl2br w:val="nil"/>
                    <w:tr2bl w:val="nil"/>
                  </w:tcBorders>
                  <w:vAlign w:val="center"/>
                </w:tcPr>
                <w:p>
                  <w:pPr>
                    <w:jc w:val="center"/>
                    <w:rPr>
                      <w:rFonts w:cs="Times New Roman"/>
                      <w:szCs w:val="21"/>
                    </w:rPr>
                  </w:pPr>
                  <w:r>
                    <w:rPr>
                      <w:rFonts w:cs="Times New Roman"/>
                      <w:szCs w:val="21"/>
                    </w:rPr>
                    <w:t>6815</w:t>
                  </w:r>
                </w:p>
              </w:tc>
              <w:tc>
                <w:tcPr>
                  <w:tcW w:w="550" w:type="pct"/>
                  <w:tcBorders>
                    <w:tl2br w:val="nil"/>
                    <w:tr2bl w:val="nil"/>
                  </w:tcBorders>
                  <w:vAlign w:val="center"/>
                </w:tcPr>
                <w:p>
                  <w:pPr>
                    <w:jc w:val="center"/>
                    <w:rPr>
                      <w:rFonts w:cs="Times New Roman"/>
                      <w:szCs w:val="21"/>
                    </w:rPr>
                  </w:pPr>
                  <w:r>
                    <w:rPr>
                      <w:rFonts w:cs="Times New Roman"/>
                      <w:szCs w:val="21"/>
                    </w:rPr>
                    <w:t>6704</w:t>
                  </w:r>
                </w:p>
              </w:tc>
              <w:tc>
                <w:tcPr>
                  <w:tcW w:w="484" w:type="pct"/>
                  <w:tcBorders>
                    <w:tl2br w:val="nil"/>
                    <w:tr2bl w:val="nil"/>
                  </w:tcBorders>
                  <w:vAlign w:val="center"/>
                </w:tcPr>
                <w:p>
                  <w:pPr>
                    <w:jc w:val="center"/>
                    <w:rPr>
                      <w:rFonts w:cs="Times New Roman"/>
                      <w:szCs w:val="21"/>
                    </w:rPr>
                  </w:pPr>
                  <w:r>
                    <w:rPr>
                      <w:rFonts w:cs="Times New Roman"/>
                      <w:spacing w:val="-3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restart"/>
                  <w:tcBorders>
                    <w:tl2br w:val="nil"/>
                    <w:tr2bl w:val="nil"/>
                  </w:tcBorders>
                  <w:vAlign w:val="center"/>
                </w:tcPr>
                <w:p>
                  <w:pPr>
                    <w:jc w:val="center"/>
                    <w:rPr>
                      <w:rFonts w:cs="Times New Roman"/>
                      <w:szCs w:val="21"/>
                    </w:rPr>
                  </w:pPr>
                  <w:r>
                    <w:rPr>
                      <w:rFonts w:cs="Times New Roman"/>
                      <w:szCs w:val="21"/>
                    </w:rPr>
                    <w:t>挥发性有机物</w:t>
                  </w:r>
                </w:p>
              </w:tc>
              <w:tc>
                <w:tcPr>
                  <w:tcW w:w="630" w:type="pct"/>
                  <w:tcBorders>
                    <w:tl2br w:val="nil"/>
                    <w:tr2bl w:val="nil"/>
                  </w:tcBorders>
                  <w:vAlign w:val="center"/>
                </w:tcPr>
                <w:p>
                  <w:pPr>
                    <w:jc w:val="center"/>
                    <w:rPr>
                      <w:rFonts w:cs="Times New Roman"/>
                      <w:szCs w:val="21"/>
                    </w:rPr>
                  </w:pPr>
                  <w:r>
                    <w:rPr>
                      <w:rFonts w:cs="Times New Roman"/>
                      <w:szCs w:val="21"/>
                    </w:rPr>
                    <w:t>实测浓度</w:t>
                  </w:r>
                </w:p>
              </w:tc>
              <w:tc>
                <w:tcPr>
                  <w:tcW w:w="488" w:type="pct"/>
                  <w:tcBorders>
                    <w:tl2br w:val="nil"/>
                    <w:tr2bl w:val="nil"/>
                  </w:tcBorders>
                  <w:vAlign w:val="center"/>
                </w:tcPr>
                <w:p>
                  <w:pPr>
                    <w:jc w:val="center"/>
                    <w:rPr>
                      <w:rFonts w:cs="Times New Roman"/>
                      <w:szCs w:val="21"/>
                    </w:rPr>
                  </w:pPr>
                  <w:r>
                    <w:rPr>
                      <w:rFonts w:cs="Times New Roman"/>
                      <w:spacing w:val="-12"/>
                      <w:szCs w:val="21"/>
                    </w:rPr>
                    <w:t>mg/m</w:t>
                  </w:r>
                  <w:r>
                    <w:rPr>
                      <w:rFonts w:cs="Times New Roman"/>
                      <w:spacing w:val="-12"/>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0.024</w:t>
                  </w:r>
                </w:p>
              </w:tc>
              <w:tc>
                <w:tcPr>
                  <w:tcW w:w="569" w:type="pct"/>
                  <w:tcBorders>
                    <w:tl2br w:val="nil"/>
                    <w:tr2bl w:val="nil"/>
                  </w:tcBorders>
                  <w:vAlign w:val="center"/>
                </w:tcPr>
                <w:p>
                  <w:pPr>
                    <w:jc w:val="center"/>
                    <w:rPr>
                      <w:rFonts w:cs="Times New Roman"/>
                      <w:szCs w:val="21"/>
                    </w:rPr>
                  </w:pPr>
                  <w:r>
                    <w:rPr>
                      <w:rFonts w:cs="Times New Roman"/>
                      <w:szCs w:val="21"/>
                    </w:rPr>
                    <w:t>0.031</w:t>
                  </w:r>
                </w:p>
              </w:tc>
              <w:tc>
                <w:tcPr>
                  <w:tcW w:w="572" w:type="pct"/>
                  <w:tcBorders>
                    <w:tl2br w:val="nil"/>
                    <w:tr2bl w:val="nil"/>
                  </w:tcBorders>
                  <w:vAlign w:val="center"/>
                </w:tcPr>
                <w:p>
                  <w:pPr>
                    <w:jc w:val="center"/>
                    <w:rPr>
                      <w:rFonts w:cs="Times New Roman"/>
                      <w:szCs w:val="21"/>
                    </w:rPr>
                  </w:pPr>
                  <w:r>
                    <w:rPr>
                      <w:rFonts w:cs="Times New Roman"/>
                      <w:szCs w:val="21"/>
                    </w:rPr>
                    <w:t>0.029</w:t>
                  </w:r>
                </w:p>
              </w:tc>
              <w:tc>
                <w:tcPr>
                  <w:tcW w:w="550" w:type="pct"/>
                  <w:tcBorders>
                    <w:tl2br w:val="nil"/>
                    <w:tr2bl w:val="nil"/>
                  </w:tcBorders>
                  <w:vAlign w:val="center"/>
                </w:tcPr>
                <w:p>
                  <w:pPr>
                    <w:jc w:val="center"/>
                    <w:rPr>
                      <w:rFonts w:cs="Times New Roman"/>
                      <w:szCs w:val="21"/>
                    </w:rPr>
                  </w:pPr>
                  <w:r>
                    <w:rPr>
                      <w:rFonts w:cs="Times New Roman"/>
                      <w:szCs w:val="21"/>
                    </w:rPr>
                    <w:t>0.028</w:t>
                  </w:r>
                </w:p>
              </w:tc>
              <w:tc>
                <w:tcPr>
                  <w:tcW w:w="484" w:type="pct"/>
                  <w:tcBorders>
                    <w:tl2br w:val="nil"/>
                    <w:tr2bl w:val="nil"/>
                  </w:tcBorders>
                  <w:vAlign w:val="center"/>
                </w:tcPr>
                <w:p>
                  <w:pPr>
                    <w:jc w:val="center"/>
                    <w:rPr>
                      <w:rFonts w:cs="Times New Roman"/>
                      <w:szCs w:val="21"/>
                    </w:rPr>
                  </w:pPr>
                  <w:r>
                    <w:rPr>
                      <w:rFonts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continue"/>
                  <w:tcBorders>
                    <w:tl2br w:val="nil"/>
                    <w:tr2bl w:val="nil"/>
                  </w:tcBorders>
                  <w:vAlign w:val="center"/>
                </w:tcPr>
                <w:p>
                  <w:pPr>
                    <w:jc w:val="center"/>
                    <w:rPr>
                      <w:rFonts w:cs="Times New Roman"/>
                      <w:szCs w:val="21"/>
                    </w:rPr>
                  </w:pPr>
                </w:p>
              </w:tc>
              <w:tc>
                <w:tcPr>
                  <w:tcW w:w="630" w:type="pct"/>
                  <w:tcBorders>
                    <w:tl2br w:val="nil"/>
                    <w:tr2bl w:val="nil"/>
                  </w:tcBorders>
                  <w:vAlign w:val="center"/>
                </w:tcPr>
                <w:p>
                  <w:pPr>
                    <w:jc w:val="center"/>
                    <w:rPr>
                      <w:rFonts w:cs="Times New Roman"/>
                      <w:szCs w:val="21"/>
                    </w:rPr>
                  </w:pPr>
                  <w:r>
                    <w:rPr>
                      <w:rFonts w:cs="Times New Roman"/>
                      <w:szCs w:val="21"/>
                    </w:rPr>
                    <w:t>排放速率</w:t>
                  </w:r>
                </w:p>
              </w:tc>
              <w:tc>
                <w:tcPr>
                  <w:tcW w:w="488" w:type="pct"/>
                  <w:tcBorders>
                    <w:tl2br w:val="nil"/>
                    <w:tr2bl w:val="nil"/>
                  </w:tcBorders>
                  <w:vAlign w:val="center"/>
                </w:tcPr>
                <w:p>
                  <w:pPr>
                    <w:jc w:val="center"/>
                    <w:rPr>
                      <w:rFonts w:cs="Times New Roman"/>
                      <w:szCs w:val="21"/>
                    </w:rPr>
                  </w:pPr>
                  <w:r>
                    <w:rPr>
                      <w:rFonts w:cs="Times New Roman"/>
                      <w:szCs w:val="21"/>
                    </w:rPr>
                    <w:t>kg/h</w:t>
                  </w:r>
                </w:p>
              </w:tc>
              <w:tc>
                <w:tcPr>
                  <w:tcW w:w="569" w:type="pct"/>
                  <w:tcBorders>
                    <w:tl2br w:val="nil"/>
                    <w:tr2bl w:val="nil"/>
                  </w:tcBorders>
                  <w:vAlign w:val="center"/>
                </w:tcPr>
                <w:p>
                  <w:pPr>
                    <w:jc w:val="center"/>
                    <w:rPr>
                      <w:rFonts w:cs="Times New Roman"/>
                      <w:szCs w:val="21"/>
                    </w:rPr>
                  </w:pPr>
                  <w:r>
                    <w:rPr>
                      <w:rFonts w:cs="Times New Roman"/>
                      <w:szCs w:val="21"/>
                    </w:rPr>
                    <w:t>1.58×10</w:t>
                  </w:r>
                  <w:r>
                    <w:rPr>
                      <w:rFonts w:cs="Times New Roman"/>
                      <w:szCs w:val="21"/>
                      <w:vertAlign w:val="superscript"/>
                    </w:rPr>
                    <w:t>-4</w:t>
                  </w:r>
                </w:p>
              </w:tc>
              <w:tc>
                <w:tcPr>
                  <w:tcW w:w="569" w:type="pct"/>
                  <w:tcBorders>
                    <w:tl2br w:val="nil"/>
                    <w:tr2bl w:val="nil"/>
                  </w:tcBorders>
                  <w:vAlign w:val="center"/>
                </w:tcPr>
                <w:p>
                  <w:pPr>
                    <w:jc w:val="center"/>
                    <w:rPr>
                      <w:rFonts w:cs="Times New Roman"/>
                      <w:szCs w:val="21"/>
                    </w:rPr>
                  </w:pPr>
                  <w:r>
                    <w:rPr>
                      <w:rFonts w:cs="Times New Roman"/>
                      <w:szCs w:val="21"/>
                    </w:rPr>
                    <w:t>2.08×10</w:t>
                  </w:r>
                  <w:r>
                    <w:rPr>
                      <w:rFonts w:cs="Times New Roman"/>
                      <w:szCs w:val="21"/>
                      <w:vertAlign w:val="superscript"/>
                    </w:rPr>
                    <w:t>-4</w:t>
                  </w:r>
                </w:p>
              </w:tc>
              <w:tc>
                <w:tcPr>
                  <w:tcW w:w="572" w:type="pct"/>
                  <w:tcBorders>
                    <w:tl2br w:val="nil"/>
                    <w:tr2bl w:val="nil"/>
                  </w:tcBorders>
                  <w:vAlign w:val="center"/>
                </w:tcPr>
                <w:p>
                  <w:pPr>
                    <w:jc w:val="center"/>
                    <w:rPr>
                      <w:rFonts w:cs="Times New Roman"/>
                      <w:szCs w:val="21"/>
                    </w:rPr>
                  </w:pPr>
                  <w:r>
                    <w:rPr>
                      <w:rFonts w:cs="Times New Roman"/>
                      <w:szCs w:val="21"/>
                    </w:rPr>
                    <w:t>1.98×10</w:t>
                  </w:r>
                  <w:r>
                    <w:rPr>
                      <w:rFonts w:cs="Times New Roman"/>
                      <w:szCs w:val="21"/>
                      <w:vertAlign w:val="superscript"/>
                    </w:rPr>
                    <w:t>-4</w:t>
                  </w:r>
                </w:p>
              </w:tc>
              <w:tc>
                <w:tcPr>
                  <w:tcW w:w="550" w:type="pct"/>
                  <w:tcBorders>
                    <w:tl2br w:val="nil"/>
                    <w:tr2bl w:val="nil"/>
                  </w:tcBorders>
                  <w:vAlign w:val="center"/>
                </w:tcPr>
                <w:p>
                  <w:pPr>
                    <w:jc w:val="center"/>
                    <w:rPr>
                      <w:rFonts w:cs="Times New Roman"/>
                      <w:szCs w:val="21"/>
                    </w:rPr>
                  </w:pPr>
                  <w:r>
                    <w:rPr>
                      <w:rFonts w:cs="Times New Roman"/>
                      <w:szCs w:val="21"/>
                    </w:rPr>
                    <w:t>1.88×10</w:t>
                  </w:r>
                  <w:r>
                    <w:rPr>
                      <w:rFonts w:cs="Times New Roman"/>
                      <w:szCs w:val="21"/>
                      <w:vertAlign w:val="superscript"/>
                    </w:rPr>
                    <w:t>-4</w:t>
                  </w:r>
                </w:p>
              </w:tc>
              <w:tc>
                <w:tcPr>
                  <w:tcW w:w="484" w:type="pct"/>
                  <w:tcBorders>
                    <w:tl2br w:val="nil"/>
                    <w:tr2bl w:val="nil"/>
                  </w:tcBorders>
                  <w:vAlign w:val="center"/>
                </w:tcPr>
                <w:p>
                  <w:pPr>
                    <w:jc w:val="center"/>
                    <w:rPr>
                      <w:rFonts w:cs="Times New Roman"/>
                      <w:szCs w:val="21"/>
                    </w:rPr>
                  </w:pPr>
                  <w:r>
                    <w:rPr>
                      <w:rFonts w:cs="Times New Roman"/>
                      <w:szCs w:val="21"/>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restart"/>
                  <w:tcBorders>
                    <w:tl2br w:val="nil"/>
                    <w:tr2bl w:val="nil"/>
                  </w:tcBorders>
                  <w:vAlign w:val="center"/>
                </w:tcPr>
                <w:p>
                  <w:pPr>
                    <w:jc w:val="center"/>
                    <w:rPr>
                      <w:rFonts w:cs="Times New Roman"/>
                      <w:szCs w:val="21"/>
                    </w:rPr>
                  </w:pPr>
                  <w:r>
                    <w:rPr>
                      <w:rFonts w:cs="Times New Roman"/>
                      <w:szCs w:val="21"/>
                    </w:rPr>
                    <w:t>3#，DA003烘干炉有机废气排气筒</w:t>
                  </w:r>
                </w:p>
              </w:tc>
              <w:tc>
                <w:tcPr>
                  <w:tcW w:w="1058" w:type="pct"/>
                  <w:gridSpan w:val="2"/>
                  <w:tcBorders>
                    <w:tl2br w:val="nil"/>
                    <w:tr2bl w:val="nil"/>
                  </w:tcBorders>
                  <w:vAlign w:val="center"/>
                </w:tcPr>
                <w:p>
                  <w:pPr>
                    <w:jc w:val="center"/>
                    <w:rPr>
                      <w:rFonts w:cs="Times New Roman"/>
                      <w:szCs w:val="21"/>
                    </w:rPr>
                  </w:pPr>
                  <w:r>
                    <w:rPr>
                      <w:rFonts w:cs="Times New Roman"/>
                      <w:szCs w:val="21"/>
                    </w:rPr>
                    <w:t>流速</w:t>
                  </w:r>
                </w:p>
              </w:tc>
              <w:tc>
                <w:tcPr>
                  <w:tcW w:w="488" w:type="pct"/>
                  <w:tcBorders>
                    <w:tl2br w:val="nil"/>
                    <w:tr2bl w:val="nil"/>
                  </w:tcBorders>
                  <w:vAlign w:val="center"/>
                </w:tcPr>
                <w:p>
                  <w:pPr>
                    <w:jc w:val="center"/>
                    <w:rPr>
                      <w:rFonts w:cs="Times New Roman"/>
                      <w:szCs w:val="21"/>
                    </w:rPr>
                  </w:pPr>
                  <w:r>
                    <w:rPr>
                      <w:rFonts w:cs="Times New Roman"/>
                      <w:szCs w:val="21"/>
                    </w:rPr>
                    <w:t>m/s</w:t>
                  </w:r>
                </w:p>
              </w:tc>
              <w:tc>
                <w:tcPr>
                  <w:tcW w:w="569" w:type="pct"/>
                  <w:tcBorders>
                    <w:tl2br w:val="nil"/>
                    <w:tr2bl w:val="nil"/>
                  </w:tcBorders>
                  <w:vAlign w:val="center"/>
                </w:tcPr>
                <w:p>
                  <w:pPr>
                    <w:jc w:val="center"/>
                    <w:rPr>
                      <w:rFonts w:cs="Times New Roman"/>
                      <w:szCs w:val="21"/>
                    </w:rPr>
                  </w:pPr>
                  <w:r>
                    <w:rPr>
                      <w:rFonts w:cs="Times New Roman"/>
                      <w:szCs w:val="21"/>
                    </w:rPr>
                    <w:t>3.5</w:t>
                  </w:r>
                </w:p>
              </w:tc>
              <w:tc>
                <w:tcPr>
                  <w:tcW w:w="569" w:type="pct"/>
                  <w:tcBorders>
                    <w:tl2br w:val="nil"/>
                    <w:tr2bl w:val="nil"/>
                  </w:tcBorders>
                  <w:vAlign w:val="center"/>
                </w:tcPr>
                <w:p>
                  <w:pPr>
                    <w:jc w:val="center"/>
                    <w:rPr>
                      <w:rFonts w:cs="Times New Roman"/>
                      <w:szCs w:val="21"/>
                    </w:rPr>
                  </w:pPr>
                  <w:r>
                    <w:rPr>
                      <w:rFonts w:cs="Times New Roman"/>
                      <w:szCs w:val="21"/>
                    </w:rPr>
                    <w:t>3.7</w:t>
                  </w:r>
                </w:p>
              </w:tc>
              <w:tc>
                <w:tcPr>
                  <w:tcW w:w="572" w:type="pct"/>
                  <w:tcBorders>
                    <w:tl2br w:val="nil"/>
                    <w:tr2bl w:val="nil"/>
                  </w:tcBorders>
                  <w:vAlign w:val="center"/>
                </w:tcPr>
                <w:p>
                  <w:pPr>
                    <w:jc w:val="center"/>
                    <w:rPr>
                      <w:rFonts w:cs="Times New Roman"/>
                      <w:szCs w:val="21"/>
                    </w:rPr>
                  </w:pPr>
                  <w:r>
                    <w:rPr>
                      <w:rFonts w:cs="Times New Roman"/>
                      <w:szCs w:val="21"/>
                    </w:rPr>
                    <w:t>3.9</w:t>
                  </w:r>
                </w:p>
              </w:tc>
              <w:tc>
                <w:tcPr>
                  <w:tcW w:w="550" w:type="pct"/>
                  <w:tcBorders>
                    <w:tl2br w:val="nil"/>
                    <w:tr2bl w:val="nil"/>
                  </w:tcBorders>
                  <w:vAlign w:val="center"/>
                </w:tcPr>
                <w:p>
                  <w:pPr>
                    <w:jc w:val="center"/>
                    <w:rPr>
                      <w:rFonts w:cs="Times New Roman"/>
                      <w:szCs w:val="21"/>
                    </w:rPr>
                  </w:pPr>
                  <w:r>
                    <w:rPr>
                      <w:rFonts w:cs="Times New Roman"/>
                      <w:szCs w:val="21"/>
                    </w:rPr>
                    <w:t>3.7</w:t>
                  </w:r>
                </w:p>
              </w:tc>
              <w:tc>
                <w:tcPr>
                  <w:tcW w:w="484" w:type="pct"/>
                  <w:tcBorders>
                    <w:tl2br w:val="nil"/>
                    <w:tr2bl w:val="nil"/>
                  </w:tcBorders>
                  <w:vAlign w:val="center"/>
                </w:tcPr>
                <w:p>
                  <w:pPr>
                    <w:jc w:val="center"/>
                    <w:rPr>
                      <w:rFonts w:cs="Times New Roman"/>
                      <w:spacing w:val="-36"/>
                      <w:szCs w:val="21"/>
                    </w:rPr>
                  </w:pPr>
                  <w:r>
                    <w:rPr>
                      <w:rFonts w:cs="Times New Roman"/>
                      <w:spacing w:val="-3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烟温</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75.6</w:t>
                  </w:r>
                </w:p>
              </w:tc>
              <w:tc>
                <w:tcPr>
                  <w:tcW w:w="569" w:type="pct"/>
                  <w:tcBorders>
                    <w:tl2br w:val="nil"/>
                    <w:tr2bl w:val="nil"/>
                  </w:tcBorders>
                  <w:vAlign w:val="center"/>
                </w:tcPr>
                <w:p>
                  <w:pPr>
                    <w:jc w:val="center"/>
                    <w:rPr>
                      <w:rFonts w:cs="Times New Roman"/>
                      <w:szCs w:val="21"/>
                    </w:rPr>
                  </w:pPr>
                  <w:r>
                    <w:rPr>
                      <w:rFonts w:cs="Times New Roman"/>
                      <w:szCs w:val="21"/>
                    </w:rPr>
                    <w:t>76.1</w:t>
                  </w:r>
                </w:p>
              </w:tc>
              <w:tc>
                <w:tcPr>
                  <w:tcW w:w="572" w:type="pct"/>
                  <w:tcBorders>
                    <w:tl2br w:val="nil"/>
                    <w:tr2bl w:val="nil"/>
                  </w:tcBorders>
                  <w:vAlign w:val="center"/>
                </w:tcPr>
                <w:p>
                  <w:pPr>
                    <w:jc w:val="center"/>
                    <w:rPr>
                      <w:rFonts w:cs="Times New Roman"/>
                      <w:szCs w:val="21"/>
                    </w:rPr>
                  </w:pPr>
                  <w:r>
                    <w:rPr>
                      <w:rFonts w:cs="Times New Roman"/>
                      <w:szCs w:val="21"/>
                    </w:rPr>
                    <w:t>76.1</w:t>
                  </w:r>
                </w:p>
              </w:tc>
              <w:tc>
                <w:tcPr>
                  <w:tcW w:w="550" w:type="pct"/>
                  <w:tcBorders>
                    <w:tl2br w:val="nil"/>
                    <w:tr2bl w:val="nil"/>
                  </w:tcBorders>
                  <w:vAlign w:val="center"/>
                </w:tcPr>
                <w:p>
                  <w:pPr>
                    <w:jc w:val="center"/>
                    <w:rPr>
                      <w:rFonts w:cs="Times New Roman"/>
                      <w:szCs w:val="21"/>
                    </w:rPr>
                  </w:pPr>
                  <w:r>
                    <w:rPr>
                      <w:rFonts w:cs="Times New Roman"/>
                      <w:szCs w:val="21"/>
                    </w:rPr>
                    <w:t>75.9</w:t>
                  </w:r>
                </w:p>
              </w:tc>
              <w:tc>
                <w:tcPr>
                  <w:tcW w:w="484" w:type="pct"/>
                  <w:tcBorders>
                    <w:tl2br w:val="nil"/>
                    <w:tr2bl w:val="nil"/>
                  </w:tcBorders>
                  <w:vAlign w:val="center"/>
                </w:tcPr>
                <w:p>
                  <w:pPr>
                    <w:jc w:val="center"/>
                    <w:rPr>
                      <w:rFonts w:cs="Times New Roman"/>
                      <w:spacing w:val="-36"/>
                      <w:szCs w:val="21"/>
                    </w:rPr>
                  </w:pPr>
                  <w:r>
                    <w:rPr>
                      <w:rFonts w:cs="Times New Roman"/>
                      <w:spacing w:val="-3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含湿量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5.4</w:t>
                  </w:r>
                </w:p>
              </w:tc>
              <w:tc>
                <w:tcPr>
                  <w:tcW w:w="569" w:type="pct"/>
                  <w:tcBorders>
                    <w:tl2br w:val="nil"/>
                    <w:tr2bl w:val="nil"/>
                  </w:tcBorders>
                  <w:vAlign w:val="center"/>
                </w:tcPr>
                <w:p>
                  <w:pPr>
                    <w:jc w:val="center"/>
                    <w:rPr>
                      <w:rFonts w:cs="Times New Roman"/>
                      <w:szCs w:val="21"/>
                    </w:rPr>
                  </w:pPr>
                  <w:r>
                    <w:rPr>
                      <w:rFonts w:cs="Times New Roman"/>
                      <w:szCs w:val="21"/>
                    </w:rPr>
                    <w:t>6.1</w:t>
                  </w:r>
                </w:p>
              </w:tc>
              <w:tc>
                <w:tcPr>
                  <w:tcW w:w="572" w:type="pct"/>
                  <w:tcBorders>
                    <w:tl2br w:val="nil"/>
                    <w:tr2bl w:val="nil"/>
                  </w:tcBorders>
                  <w:vAlign w:val="center"/>
                </w:tcPr>
                <w:p>
                  <w:pPr>
                    <w:jc w:val="center"/>
                    <w:rPr>
                      <w:rFonts w:cs="Times New Roman"/>
                      <w:szCs w:val="21"/>
                    </w:rPr>
                  </w:pPr>
                  <w:r>
                    <w:rPr>
                      <w:rFonts w:cs="Times New Roman"/>
                      <w:szCs w:val="21"/>
                    </w:rPr>
                    <w:t>5.8</w:t>
                  </w:r>
                </w:p>
              </w:tc>
              <w:tc>
                <w:tcPr>
                  <w:tcW w:w="550" w:type="pct"/>
                  <w:tcBorders>
                    <w:tl2br w:val="nil"/>
                    <w:tr2bl w:val="nil"/>
                  </w:tcBorders>
                  <w:vAlign w:val="center"/>
                </w:tcPr>
                <w:p>
                  <w:pPr>
                    <w:jc w:val="center"/>
                    <w:rPr>
                      <w:rFonts w:cs="Times New Roman"/>
                      <w:szCs w:val="21"/>
                    </w:rPr>
                  </w:pPr>
                  <w:r>
                    <w:rPr>
                      <w:rFonts w:cs="Times New Roman"/>
                      <w:szCs w:val="21"/>
                    </w:rPr>
                    <w:t>5.8</w:t>
                  </w:r>
                </w:p>
              </w:tc>
              <w:tc>
                <w:tcPr>
                  <w:tcW w:w="484" w:type="pct"/>
                  <w:tcBorders>
                    <w:tl2br w:val="nil"/>
                    <w:tr2bl w:val="nil"/>
                  </w:tcBorders>
                  <w:vAlign w:val="center"/>
                </w:tcPr>
                <w:p>
                  <w:pPr>
                    <w:jc w:val="center"/>
                    <w:rPr>
                      <w:rFonts w:cs="Times New Roman"/>
                      <w:spacing w:val="-36"/>
                      <w:szCs w:val="21"/>
                    </w:rPr>
                  </w:pPr>
                  <w:r>
                    <w:rPr>
                      <w:rFonts w:cs="Times New Roman"/>
                      <w:spacing w:val="-3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氧含量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20.2</w:t>
                  </w:r>
                </w:p>
              </w:tc>
              <w:tc>
                <w:tcPr>
                  <w:tcW w:w="569" w:type="pct"/>
                  <w:tcBorders>
                    <w:tl2br w:val="nil"/>
                    <w:tr2bl w:val="nil"/>
                  </w:tcBorders>
                  <w:vAlign w:val="center"/>
                </w:tcPr>
                <w:p>
                  <w:pPr>
                    <w:jc w:val="center"/>
                    <w:rPr>
                      <w:rFonts w:cs="Times New Roman"/>
                      <w:szCs w:val="21"/>
                    </w:rPr>
                  </w:pPr>
                  <w:r>
                    <w:rPr>
                      <w:rFonts w:cs="Times New Roman"/>
                      <w:szCs w:val="21"/>
                    </w:rPr>
                    <w:t>20.5</w:t>
                  </w:r>
                </w:p>
              </w:tc>
              <w:tc>
                <w:tcPr>
                  <w:tcW w:w="572" w:type="pct"/>
                  <w:tcBorders>
                    <w:tl2br w:val="nil"/>
                    <w:tr2bl w:val="nil"/>
                  </w:tcBorders>
                  <w:vAlign w:val="center"/>
                </w:tcPr>
                <w:p>
                  <w:pPr>
                    <w:jc w:val="center"/>
                    <w:rPr>
                      <w:rFonts w:cs="Times New Roman"/>
                      <w:szCs w:val="21"/>
                    </w:rPr>
                  </w:pPr>
                  <w:r>
                    <w:rPr>
                      <w:rFonts w:cs="Times New Roman"/>
                      <w:szCs w:val="21"/>
                    </w:rPr>
                    <w:t>20.4</w:t>
                  </w:r>
                </w:p>
              </w:tc>
              <w:tc>
                <w:tcPr>
                  <w:tcW w:w="550" w:type="pct"/>
                  <w:tcBorders>
                    <w:tl2br w:val="nil"/>
                    <w:tr2bl w:val="nil"/>
                  </w:tcBorders>
                  <w:vAlign w:val="center"/>
                </w:tcPr>
                <w:p>
                  <w:pPr>
                    <w:jc w:val="center"/>
                    <w:rPr>
                      <w:rFonts w:cs="Times New Roman"/>
                      <w:szCs w:val="21"/>
                    </w:rPr>
                  </w:pPr>
                  <w:r>
                    <w:rPr>
                      <w:rFonts w:cs="Times New Roman"/>
                      <w:szCs w:val="21"/>
                    </w:rPr>
                    <w:t>20.4</w:t>
                  </w:r>
                </w:p>
              </w:tc>
              <w:tc>
                <w:tcPr>
                  <w:tcW w:w="484" w:type="pct"/>
                  <w:tcBorders>
                    <w:tl2br w:val="nil"/>
                    <w:tr2bl w:val="nil"/>
                  </w:tcBorders>
                  <w:vAlign w:val="center"/>
                </w:tcPr>
                <w:p>
                  <w:pPr>
                    <w:jc w:val="center"/>
                    <w:rPr>
                      <w:rFonts w:cs="Times New Roman"/>
                      <w:spacing w:val="-36"/>
                      <w:szCs w:val="21"/>
                    </w:rPr>
                  </w:pPr>
                  <w:r>
                    <w:rPr>
                      <w:rFonts w:cs="Times New Roman"/>
                      <w:spacing w:val="-3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标干烟气流量</w:t>
                  </w:r>
                </w:p>
              </w:tc>
              <w:tc>
                <w:tcPr>
                  <w:tcW w:w="488" w:type="pct"/>
                  <w:tcBorders>
                    <w:tl2br w:val="nil"/>
                    <w:tr2bl w:val="nil"/>
                  </w:tcBorders>
                  <w:vAlign w:val="center"/>
                </w:tcPr>
                <w:p>
                  <w:pPr>
                    <w:jc w:val="center"/>
                    <w:rPr>
                      <w:rFonts w:cs="Times New Roman"/>
                      <w:szCs w:val="21"/>
                    </w:rPr>
                  </w:pPr>
                  <w:r>
                    <w:rPr>
                      <w:rFonts w:cs="Times New Roman"/>
                      <w:szCs w:val="21"/>
                    </w:rPr>
                    <w:t>m</w:t>
                  </w:r>
                  <w:r>
                    <w:rPr>
                      <w:rFonts w:cs="Times New Roman"/>
                      <w:szCs w:val="21"/>
                      <w:vertAlign w:val="superscript"/>
                    </w:rPr>
                    <w:t>3</w:t>
                  </w:r>
                  <w:r>
                    <w:rPr>
                      <w:rFonts w:cs="Times New Roman"/>
                      <w:szCs w:val="21"/>
                    </w:rPr>
                    <w:t>/h</w:t>
                  </w:r>
                </w:p>
              </w:tc>
              <w:tc>
                <w:tcPr>
                  <w:tcW w:w="569" w:type="pct"/>
                  <w:tcBorders>
                    <w:tl2br w:val="nil"/>
                    <w:tr2bl w:val="nil"/>
                  </w:tcBorders>
                  <w:vAlign w:val="center"/>
                </w:tcPr>
                <w:p>
                  <w:pPr>
                    <w:jc w:val="center"/>
                    <w:rPr>
                      <w:rFonts w:cs="Times New Roman"/>
                      <w:szCs w:val="21"/>
                    </w:rPr>
                  </w:pPr>
                  <w:r>
                    <w:rPr>
                      <w:rFonts w:cs="Times New Roman"/>
                      <w:szCs w:val="21"/>
                    </w:rPr>
                    <w:t>2192</w:t>
                  </w:r>
                </w:p>
              </w:tc>
              <w:tc>
                <w:tcPr>
                  <w:tcW w:w="569" w:type="pct"/>
                  <w:tcBorders>
                    <w:tl2br w:val="nil"/>
                    <w:tr2bl w:val="nil"/>
                  </w:tcBorders>
                  <w:vAlign w:val="center"/>
                </w:tcPr>
                <w:p>
                  <w:pPr>
                    <w:jc w:val="center"/>
                    <w:rPr>
                      <w:rFonts w:cs="Times New Roman"/>
                      <w:szCs w:val="21"/>
                    </w:rPr>
                  </w:pPr>
                  <w:r>
                    <w:rPr>
                      <w:rFonts w:cs="Times New Roman"/>
                      <w:szCs w:val="21"/>
                    </w:rPr>
                    <w:t>2305</w:t>
                  </w:r>
                </w:p>
              </w:tc>
              <w:tc>
                <w:tcPr>
                  <w:tcW w:w="572" w:type="pct"/>
                  <w:tcBorders>
                    <w:tl2br w:val="nil"/>
                    <w:tr2bl w:val="nil"/>
                  </w:tcBorders>
                  <w:vAlign w:val="center"/>
                </w:tcPr>
                <w:p>
                  <w:pPr>
                    <w:jc w:val="center"/>
                    <w:rPr>
                      <w:rFonts w:cs="Times New Roman"/>
                      <w:szCs w:val="21"/>
                    </w:rPr>
                  </w:pPr>
                  <w:r>
                    <w:rPr>
                      <w:rFonts w:cs="Times New Roman"/>
                      <w:szCs w:val="21"/>
                    </w:rPr>
                    <w:t>2438</w:t>
                  </w:r>
                </w:p>
              </w:tc>
              <w:tc>
                <w:tcPr>
                  <w:tcW w:w="550" w:type="pct"/>
                  <w:tcBorders>
                    <w:tl2br w:val="nil"/>
                    <w:tr2bl w:val="nil"/>
                  </w:tcBorders>
                  <w:vAlign w:val="center"/>
                </w:tcPr>
                <w:p>
                  <w:pPr>
                    <w:jc w:val="center"/>
                    <w:rPr>
                      <w:rFonts w:cs="Times New Roman"/>
                      <w:szCs w:val="21"/>
                    </w:rPr>
                  </w:pPr>
                  <w:r>
                    <w:rPr>
                      <w:rFonts w:cs="Times New Roman"/>
                      <w:szCs w:val="21"/>
                    </w:rPr>
                    <w:t>2312</w:t>
                  </w:r>
                </w:p>
              </w:tc>
              <w:tc>
                <w:tcPr>
                  <w:tcW w:w="484" w:type="pct"/>
                  <w:tcBorders>
                    <w:tl2br w:val="nil"/>
                    <w:tr2bl w:val="nil"/>
                  </w:tcBorders>
                  <w:vAlign w:val="center"/>
                </w:tcPr>
                <w:p>
                  <w:pPr>
                    <w:jc w:val="center"/>
                    <w:rPr>
                      <w:rFonts w:cs="Times New Roman"/>
                      <w:spacing w:val="-36"/>
                      <w:szCs w:val="21"/>
                    </w:rPr>
                  </w:pPr>
                  <w:r>
                    <w:rPr>
                      <w:rFonts w:cs="Times New Roman"/>
                      <w:spacing w:val="-36"/>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ind w:left="-97" w:leftChars="-46" w:right="-103" w:rightChars="-49"/>
                    <w:jc w:val="center"/>
                    <w:rPr>
                      <w:rFonts w:cs="Times New Roman"/>
                      <w:szCs w:val="21"/>
                    </w:rPr>
                  </w:pPr>
                </w:p>
              </w:tc>
              <w:tc>
                <w:tcPr>
                  <w:tcW w:w="427" w:type="pct"/>
                  <w:vMerge w:val="restart"/>
                  <w:tcBorders>
                    <w:tl2br w:val="nil"/>
                    <w:tr2bl w:val="nil"/>
                  </w:tcBorders>
                  <w:vAlign w:val="center"/>
                </w:tcPr>
                <w:p>
                  <w:pPr>
                    <w:jc w:val="center"/>
                    <w:rPr>
                      <w:rFonts w:cs="Times New Roman"/>
                      <w:szCs w:val="21"/>
                    </w:rPr>
                  </w:pPr>
                  <w:r>
                    <w:rPr>
                      <w:rFonts w:cs="Times New Roman"/>
                      <w:szCs w:val="21"/>
                    </w:rPr>
                    <w:t>二氧</w:t>
                  </w:r>
                </w:p>
                <w:p>
                  <w:pPr>
                    <w:jc w:val="center"/>
                    <w:rPr>
                      <w:rFonts w:cs="Times New Roman"/>
                      <w:szCs w:val="21"/>
                    </w:rPr>
                  </w:pPr>
                  <w:r>
                    <w:rPr>
                      <w:rFonts w:cs="Times New Roman"/>
                      <w:szCs w:val="21"/>
                    </w:rPr>
                    <w:t>化硫</w:t>
                  </w:r>
                </w:p>
              </w:tc>
              <w:tc>
                <w:tcPr>
                  <w:tcW w:w="630" w:type="pct"/>
                  <w:tcBorders>
                    <w:tl2br w:val="nil"/>
                    <w:tr2bl w:val="nil"/>
                  </w:tcBorders>
                  <w:vAlign w:val="center"/>
                </w:tcPr>
                <w:p>
                  <w:pPr>
                    <w:jc w:val="center"/>
                    <w:rPr>
                      <w:rFonts w:cs="Times New Roman"/>
                      <w:szCs w:val="21"/>
                    </w:rPr>
                  </w:pPr>
                  <w:r>
                    <w:rPr>
                      <w:rFonts w:cs="Times New Roman"/>
                      <w:szCs w:val="21"/>
                    </w:rPr>
                    <w:t>实测浓度</w:t>
                  </w:r>
                </w:p>
              </w:tc>
              <w:tc>
                <w:tcPr>
                  <w:tcW w:w="488" w:type="pct"/>
                  <w:tcBorders>
                    <w:tl2br w:val="nil"/>
                    <w:tr2bl w:val="nil"/>
                  </w:tcBorders>
                  <w:vAlign w:val="center"/>
                </w:tcPr>
                <w:p>
                  <w:pPr>
                    <w:jc w:val="center"/>
                    <w:rPr>
                      <w:rFonts w:cs="Times New Roman"/>
                      <w:szCs w:val="21"/>
                    </w:rPr>
                  </w:pPr>
                  <w:r>
                    <w:rPr>
                      <w:rFonts w:cs="Times New Roman"/>
                      <w:spacing w:val="-12"/>
                      <w:szCs w:val="21"/>
                    </w:rPr>
                    <w:t>mg/m</w:t>
                  </w:r>
                  <w:r>
                    <w:rPr>
                      <w:rFonts w:cs="Times New Roman"/>
                      <w:spacing w:val="-12"/>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＜3</w:t>
                  </w:r>
                </w:p>
              </w:tc>
              <w:tc>
                <w:tcPr>
                  <w:tcW w:w="569" w:type="pct"/>
                  <w:tcBorders>
                    <w:tl2br w:val="nil"/>
                    <w:tr2bl w:val="nil"/>
                  </w:tcBorders>
                  <w:vAlign w:val="center"/>
                </w:tcPr>
                <w:p>
                  <w:pPr>
                    <w:jc w:val="center"/>
                    <w:rPr>
                      <w:rFonts w:cs="Times New Roman"/>
                      <w:szCs w:val="21"/>
                    </w:rPr>
                  </w:pPr>
                  <w:r>
                    <w:rPr>
                      <w:rFonts w:cs="Times New Roman"/>
                      <w:szCs w:val="21"/>
                    </w:rPr>
                    <w:t>＜3</w:t>
                  </w:r>
                </w:p>
              </w:tc>
              <w:tc>
                <w:tcPr>
                  <w:tcW w:w="572" w:type="pct"/>
                  <w:tcBorders>
                    <w:tl2br w:val="nil"/>
                    <w:tr2bl w:val="nil"/>
                  </w:tcBorders>
                  <w:vAlign w:val="center"/>
                </w:tcPr>
                <w:p>
                  <w:pPr>
                    <w:jc w:val="center"/>
                    <w:rPr>
                      <w:rFonts w:cs="Times New Roman"/>
                      <w:szCs w:val="21"/>
                    </w:rPr>
                  </w:pPr>
                  <w:r>
                    <w:rPr>
                      <w:rFonts w:cs="Times New Roman"/>
                      <w:szCs w:val="21"/>
                    </w:rPr>
                    <w:t>＜3</w:t>
                  </w:r>
                </w:p>
              </w:tc>
              <w:tc>
                <w:tcPr>
                  <w:tcW w:w="550" w:type="pct"/>
                  <w:tcBorders>
                    <w:tl2br w:val="nil"/>
                    <w:tr2bl w:val="nil"/>
                  </w:tcBorders>
                  <w:vAlign w:val="center"/>
                </w:tcPr>
                <w:p>
                  <w:pPr>
                    <w:jc w:val="center"/>
                    <w:rPr>
                      <w:rFonts w:cs="Times New Roman"/>
                      <w:szCs w:val="21"/>
                    </w:rPr>
                  </w:pPr>
                  <w:r>
                    <w:rPr>
                      <w:rFonts w:cs="Times New Roman"/>
                      <w:szCs w:val="21"/>
                    </w:rPr>
                    <w:t>＜3</w:t>
                  </w:r>
                </w:p>
              </w:tc>
              <w:tc>
                <w:tcPr>
                  <w:tcW w:w="484" w:type="pct"/>
                  <w:tcBorders>
                    <w:tl2br w:val="nil"/>
                    <w:tr2bl w:val="nil"/>
                  </w:tcBorders>
                  <w:vAlign w:val="center"/>
                </w:tcPr>
                <w:p>
                  <w:pPr>
                    <w:jc w:val="center"/>
                    <w:rPr>
                      <w:rFonts w:cs="Times New Roman"/>
                      <w:szCs w:val="21"/>
                    </w:rPr>
                  </w:pPr>
                  <w:r>
                    <w:rPr>
                      <w:rFonts w:cs="Times New Roman"/>
                      <w:szCs w:val="21"/>
                    </w:rPr>
                    <w:t>550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continue"/>
                  <w:tcBorders>
                    <w:tl2br w:val="nil"/>
                    <w:tr2bl w:val="nil"/>
                  </w:tcBorders>
                  <w:vAlign w:val="center"/>
                </w:tcPr>
                <w:p>
                  <w:pPr>
                    <w:jc w:val="center"/>
                    <w:rPr>
                      <w:rFonts w:cs="Times New Roman"/>
                      <w:szCs w:val="21"/>
                    </w:rPr>
                  </w:pPr>
                </w:p>
              </w:tc>
              <w:tc>
                <w:tcPr>
                  <w:tcW w:w="630" w:type="pct"/>
                  <w:tcBorders>
                    <w:tl2br w:val="nil"/>
                    <w:tr2bl w:val="nil"/>
                  </w:tcBorders>
                  <w:vAlign w:val="center"/>
                </w:tcPr>
                <w:p>
                  <w:pPr>
                    <w:jc w:val="center"/>
                    <w:rPr>
                      <w:rFonts w:cs="Times New Roman"/>
                      <w:szCs w:val="21"/>
                    </w:rPr>
                  </w:pPr>
                  <w:r>
                    <w:rPr>
                      <w:rFonts w:cs="Times New Roman"/>
                      <w:szCs w:val="21"/>
                    </w:rPr>
                    <w:t>排放速率</w:t>
                  </w:r>
                </w:p>
              </w:tc>
              <w:tc>
                <w:tcPr>
                  <w:tcW w:w="488" w:type="pct"/>
                  <w:tcBorders>
                    <w:tl2br w:val="nil"/>
                    <w:tr2bl w:val="nil"/>
                  </w:tcBorders>
                  <w:vAlign w:val="center"/>
                </w:tcPr>
                <w:p>
                  <w:pPr>
                    <w:jc w:val="center"/>
                    <w:rPr>
                      <w:rFonts w:cs="Times New Roman"/>
                      <w:szCs w:val="21"/>
                    </w:rPr>
                  </w:pPr>
                  <w:r>
                    <w:rPr>
                      <w:rFonts w:cs="Times New Roman"/>
                      <w:szCs w:val="21"/>
                    </w:rPr>
                    <w:t>kg/h</w:t>
                  </w:r>
                </w:p>
              </w:tc>
              <w:tc>
                <w:tcPr>
                  <w:tcW w:w="569" w:type="pct"/>
                  <w:tcBorders>
                    <w:tl2br w:val="nil"/>
                    <w:tr2bl w:val="nil"/>
                  </w:tcBorders>
                  <w:vAlign w:val="center"/>
                </w:tcPr>
                <w:p>
                  <w:pPr>
                    <w:jc w:val="center"/>
                    <w:rPr>
                      <w:rFonts w:cs="Times New Roman"/>
                      <w:szCs w:val="21"/>
                    </w:rPr>
                  </w:pPr>
                  <w:r>
                    <w:rPr>
                      <w:rFonts w:cs="Times New Roman"/>
                      <w:szCs w:val="21"/>
                    </w:rPr>
                    <w:t>＜3.29×10</w:t>
                  </w:r>
                  <w:r>
                    <w:rPr>
                      <w:rFonts w:cs="Times New Roman"/>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＜3.46×10</w:t>
                  </w:r>
                  <w:r>
                    <w:rPr>
                      <w:rFonts w:cs="Times New Roman"/>
                      <w:szCs w:val="21"/>
                      <w:vertAlign w:val="superscript"/>
                    </w:rPr>
                    <w:t>-3</w:t>
                  </w:r>
                </w:p>
              </w:tc>
              <w:tc>
                <w:tcPr>
                  <w:tcW w:w="572" w:type="pct"/>
                  <w:tcBorders>
                    <w:tl2br w:val="nil"/>
                    <w:tr2bl w:val="nil"/>
                  </w:tcBorders>
                  <w:vAlign w:val="center"/>
                </w:tcPr>
                <w:p>
                  <w:pPr>
                    <w:jc w:val="center"/>
                    <w:rPr>
                      <w:rFonts w:cs="Times New Roman"/>
                      <w:szCs w:val="21"/>
                    </w:rPr>
                  </w:pPr>
                  <w:r>
                    <w:rPr>
                      <w:rFonts w:cs="Times New Roman"/>
                      <w:szCs w:val="21"/>
                    </w:rPr>
                    <w:t>＜3.66×10</w:t>
                  </w:r>
                  <w:r>
                    <w:rPr>
                      <w:rFonts w:cs="Times New Roman"/>
                      <w:szCs w:val="21"/>
                      <w:vertAlign w:val="superscript"/>
                    </w:rPr>
                    <w:t>-3</w:t>
                  </w:r>
                </w:p>
              </w:tc>
              <w:tc>
                <w:tcPr>
                  <w:tcW w:w="550" w:type="pct"/>
                  <w:tcBorders>
                    <w:tl2br w:val="nil"/>
                    <w:tr2bl w:val="nil"/>
                  </w:tcBorders>
                  <w:vAlign w:val="center"/>
                </w:tcPr>
                <w:p>
                  <w:pPr>
                    <w:jc w:val="center"/>
                    <w:rPr>
                      <w:rFonts w:cs="Times New Roman"/>
                      <w:szCs w:val="21"/>
                    </w:rPr>
                  </w:pPr>
                  <w:r>
                    <w:rPr>
                      <w:rFonts w:cs="Times New Roman"/>
                      <w:szCs w:val="21"/>
                    </w:rPr>
                    <w:t>＜3.67×10</w:t>
                  </w:r>
                  <w:r>
                    <w:rPr>
                      <w:rFonts w:cs="Times New Roman"/>
                      <w:szCs w:val="21"/>
                      <w:vertAlign w:val="superscript"/>
                    </w:rPr>
                    <w:t>-3</w:t>
                  </w:r>
                </w:p>
              </w:tc>
              <w:tc>
                <w:tcPr>
                  <w:tcW w:w="484" w:type="pct"/>
                  <w:tcBorders>
                    <w:tl2br w:val="nil"/>
                    <w:tr2bl w:val="nil"/>
                  </w:tcBorders>
                  <w:vAlign w:val="center"/>
                </w:tcPr>
                <w:p>
                  <w:pPr>
                    <w:jc w:val="center"/>
                    <w:rPr>
                      <w:rFonts w:cs="Times New Roman"/>
                      <w:szCs w:val="21"/>
                    </w:rPr>
                  </w:pPr>
                  <w:r>
                    <w:rPr>
                      <w:rFonts w:cs="Times New Roman"/>
                      <w:szCs w:val="21"/>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restart"/>
                  <w:tcBorders>
                    <w:tl2br w:val="nil"/>
                    <w:tr2bl w:val="nil"/>
                  </w:tcBorders>
                  <w:vAlign w:val="center"/>
                </w:tcPr>
                <w:p>
                  <w:pPr>
                    <w:jc w:val="center"/>
                    <w:rPr>
                      <w:rFonts w:cs="Times New Roman"/>
                      <w:szCs w:val="21"/>
                    </w:rPr>
                  </w:pPr>
                  <w:r>
                    <w:rPr>
                      <w:rFonts w:cs="Times New Roman"/>
                      <w:szCs w:val="21"/>
                    </w:rPr>
                    <w:t>氮氧</w:t>
                  </w:r>
                </w:p>
                <w:p>
                  <w:pPr>
                    <w:jc w:val="center"/>
                    <w:rPr>
                      <w:rFonts w:cs="Times New Roman"/>
                      <w:szCs w:val="21"/>
                    </w:rPr>
                  </w:pPr>
                  <w:r>
                    <w:rPr>
                      <w:rFonts w:cs="Times New Roman"/>
                      <w:szCs w:val="21"/>
                    </w:rPr>
                    <w:t>化物</w:t>
                  </w:r>
                </w:p>
              </w:tc>
              <w:tc>
                <w:tcPr>
                  <w:tcW w:w="630" w:type="pct"/>
                  <w:tcBorders>
                    <w:tl2br w:val="nil"/>
                    <w:tr2bl w:val="nil"/>
                  </w:tcBorders>
                  <w:vAlign w:val="center"/>
                </w:tcPr>
                <w:p>
                  <w:pPr>
                    <w:jc w:val="center"/>
                    <w:rPr>
                      <w:rFonts w:cs="Times New Roman"/>
                      <w:szCs w:val="21"/>
                    </w:rPr>
                  </w:pPr>
                  <w:r>
                    <w:rPr>
                      <w:rFonts w:cs="Times New Roman"/>
                      <w:szCs w:val="21"/>
                    </w:rPr>
                    <w:t>实测浓度</w:t>
                  </w:r>
                </w:p>
              </w:tc>
              <w:tc>
                <w:tcPr>
                  <w:tcW w:w="488" w:type="pct"/>
                  <w:tcBorders>
                    <w:tl2br w:val="nil"/>
                    <w:tr2bl w:val="nil"/>
                  </w:tcBorders>
                  <w:vAlign w:val="center"/>
                </w:tcPr>
                <w:p>
                  <w:pPr>
                    <w:jc w:val="center"/>
                    <w:rPr>
                      <w:rFonts w:cs="Times New Roman"/>
                      <w:szCs w:val="21"/>
                    </w:rPr>
                  </w:pPr>
                  <w:r>
                    <w:rPr>
                      <w:rFonts w:cs="Times New Roman"/>
                      <w:spacing w:val="-12"/>
                      <w:szCs w:val="21"/>
                    </w:rPr>
                    <w:t>mg/m</w:t>
                  </w:r>
                  <w:r>
                    <w:rPr>
                      <w:rFonts w:cs="Times New Roman"/>
                      <w:spacing w:val="-12"/>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16</w:t>
                  </w:r>
                </w:p>
              </w:tc>
              <w:tc>
                <w:tcPr>
                  <w:tcW w:w="569" w:type="pct"/>
                  <w:tcBorders>
                    <w:tl2br w:val="nil"/>
                    <w:tr2bl w:val="nil"/>
                  </w:tcBorders>
                  <w:vAlign w:val="center"/>
                </w:tcPr>
                <w:p>
                  <w:pPr>
                    <w:jc w:val="center"/>
                    <w:rPr>
                      <w:rFonts w:cs="Times New Roman"/>
                      <w:szCs w:val="21"/>
                    </w:rPr>
                  </w:pPr>
                  <w:r>
                    <w:rPr>
                      <w:rFonts w:cs="Times New Roman"/>
                      <w:szCs w:val="21"/>
                    </w:rPr>
                    <w:t>10</w:t>
                  </w:r>
                </w:p>
              </w:tc>
              <w:tc>
                <w:tcPr>
                  <w:tcW w:w="572" w:type="pct"/>
                  <w:tcBorders>
                    <w:tl2br w:val="nil"/>
                    <w:tr2bl w:val="nil"/>
                  </w:tcBorders>
                  <w:vAlign w:val="center"/>
                </w:tcPr>
                <w:p>
                  <w:pPr>
                    <w:jc w:val="center"/>
                    <w:rPr>
                      <w:rFonts w:cs="Times New Roman"/>
                      <w:szCs w:val="21"/>
                    </w:rPr>
                  </w:pPr>
                  <w:r>
                    <w:rPr>
                      <w:rFonts w:cs="Times New Roman"/>
                      <w:szCs w:val="21"/>
                    </w:rPr>
                    <w:t>13</w:t>
                  </w:r>
                </w:p>
              </w:tc>
              <w:tc>
                <w:tcPr>
                  <w:tcW w:w="550" w:type="pct"/>
                  <w:tcBorders>
                    <w:tl2br w:val="nil"/>
                    <w:tr2bl w:val="nil"/>
                  </w:tcBorders>
                  <w:vAlign w:val="center"/>
                </w:tcPr>
                <w:p>
                  <w:pPr>
                    <w:jc w:val="center"/>
                    <w:rPr>
                      <w:rFonts w:cs="Times New Roman"/>
                      <w:szCs w:val="21"/>
                    </w:rPr>
                  </w:pPr>
                  <w:r>
                    <w:rPr>
                      <w:rFonts w:cs="Times New Roman"/>
                      <w:szCs w:val="21"/>
                    </w:rPr>
                    <w:t>13</w:t>
                  </w:r>
                </w:p>
              </w:tc>
              <w:tc>
                <w:tcPr>
                  <w:tcW w:w="484" w:type="pct"/>
                  <w:tcBorders>
                    <w:tl2br w:val="nil"/>
                    <w:tr2bl w:val="nil"/>
                  </w:tcBorders>
                  <w:vAlign w:val="center"/>
                </w:tcPr>
                <w:p>
                  <w:pPr>
                    <w:jc w:val="center"/>
                    <w:rPr>
                      <w:rFonts w:cs="Times New Roman"/>
                      <w:szCs w:val="21"/>
                    </w:rPr>
                  </w:pPr>
                  <w:r>
                    <w:rPr>
                      <w:rFonts w:cs="Times New Roman"/>
                      <w:szCs w:val="21"/>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continue"/>
                  <w:tcBorders>
                    <w:tl2br w:val="nil"/>
                    <w:tr2bl w:val="nil"/>
                  </w:tcBorders>
                  <w:vAlign w:val="center"/>
                </w:tcPr>
                <w:p>
                  <w:pPr>
                    <w:jc w:val="center"/>
                    <w:rPr>
                      <w:rFonts w:cs="Times New Roman"/>
                      <w:szCs w:val="21"/>
                    </w:rPr>
                  </w:pPr>
                </w:p>
              </w:tc>
              <w:tc>
                <w:tcPr>
                  <w:tcW w:w="630" w:type="pct"/>
                  <w:tcBorders>
                    <w:tl2br w:val="nil"/>
                    <w:tr2bl w:val="nil"/>
                  </w:tcBorders>
                  <w:vAlign w:val="center"/>
                </w:tcPr>
                <w:p>
                  <w:pPr>
                    <w:jc w:val="center"/>
                    <w:rPr>
                      <w:rFonts w:cs="Times New Roman"/>
                      <w:szCs w:val="21"/>
                    </w:rPr>
                  </w:pPr>
                  <w:r>
                    <w:rPr>
                      <w:rFonts w:cs="Times New Roman"/>
                      <w:szCs w:val="21"/>
                    </w:rPr>
                    <w:t>排放速率</w:t>
                  </w:r>
                </w:p>
              </w:tc>
              <w:tc>
                <w:tcPr>
                  <w:tcW w:w="488" w:type="pct"/>
                  <w:tcBorders>
                    <w:tl2br w:val="nil"/>
                    <w:tr2bl w:val="nil"/>
                  </w:tcBorders>
                  <w:vAlign w:val="center"/>
                </w:tcPr>
                <w:p>
                  <w:pPr>
                    <w:jc w:val="center"/>
                    <w:rPr>
                      <w:rFonts w:cs="Times New Roman"/>
                      <w:szCs w:val="21"/>
                    </w:rPr>
                  </w:pPr>
                  <w:r>
                    <w:rPr>
                      <w:rFonts w:cs="Times New Roman"/>
                      <w:szCs w:val="21"/>
                    </w:rPr>
                    <w:t>kg/h</w:t>
                  </w:r>
                </w:p>
              </w:tc>
              <w:tc>
                <w:tcPr>
                  <w:tcW w:w="569" w:type="pct"/>
                  <w:tcBorders>
                    <w:tl2br w:val="nil"/>
                    <w:tr2bl w:val="nil"/>
                  </w:tcBorders>
                  <w:vAlign w:val="center"/>
                </w:tcPr>
                <w:p>
                  <w:pPr>
                    <w:jc w:val="center"/>
                    <w:rPr>
                      <w:rFonts w:cs="Times New Roman"/>
                      <w:szCs w:val="21"/>
                    </w:rPr>
                  </w:pPr>
                  <w:r>
                    <w:rPr>
                      <w:rFonts w:cs="Times New Roman"/>
                      <w:szCs w:val="21"/>
                    </w:rPr>
                    <w:t>3.51×10</w:t>
                  </w:r>
                  <w:r>
                    <w:rPr>
                      <w:rFonts w:cs="Times New Roman"/>
                      <w:szCs w:val="21"/>
                      <w:vertAlign w:val="superscript"/>
                    </w:rPr>
                    <w:t>-2</w:t>
                  </w:r>
                </w:p>
              </w:tc>
              <w:tc>
                <w:tcPr>
                  <w:tcW w:w="569" w:type="pct"/>
                  <w:tcBorders>
                    <w:tl2br w:val="nil"/>
                    <w:tr2bl w:val="nil"/>
                  </w:tcBorders>
                  <w:vAlign w:val="center"/>
                </w:tcPr>
                <w:p>
                  <w:pPr>
                    <w:jc w:val="center"/>
                    <w:rPr>
                      <w:rFonts w:cs="Times New Roman"/>
                      <w:szCs w:val="21"/>
                    </w:rPr>
                  </w:pPr>
                  <w:r>
                    <w:rPr>
                      <w:rFonts w:cs="Times New Roman"/>
                      <w:szCs w:val="21"/>
                    </w:rPr>
                    <w:t>2.30×10</w:t>
                  </w:r>
                  <w:r>
                    <w:rPr>
                      <w:rFonts w:cs="Times New Roman"/>
                      <w:szCs w:val="21"/>
                      <w:vertAlign w:val="superscript"/>
                    </w:rPr>
                    <w:t>-2</w:t>
                  </w:r>
                </w:p>
              </w:tc>
              <w:tc>
                <w:tcPr>
                  <w:tcW w:w="572" w:type="pct"/>
                  <w:tcBorders>
                    <w:tl2br w:val="nil"/>
                    <w:tr2bl w:val="nil"/>
                  </w:tcBorders>
                  <w:vAlign w:val="center"/>
                </w:tcPr>
                <w:p>
                  <w:pPr>
                    <w:jc w:val="center"/>
                    <w:rPr>
                      <w:rFonts w:cs="Times New Roman"/>
                      <w:szCs w:val="21"/>
                    </w:rPr>
                  </w:pPr>
                  <w:r>
                    <w:rPr>
                      <w:rFonts w:cs="Times New Roman"/>
                      <w:szCs w:val="21"/>
                    </w:rPr>
                    <w:t>3.17×10</w:t>
                  </w:r>
                  <w:r>
                    <w:rPr>
                      <w:rFonts w:cs="Times New Roman"/>
                      <w:szCs w:val="21"/>
                      <w:vertAlign w:val="superscript"/>
                    </w:rPr>
                    <w:t>-2</w:t>
                  </w:r>
                </w:p>
              </w:tc>
              <w:tc>
                <w:tcPr>
                  <w:tcW w:w="550" w:type="pct"/>
                  <w:tcBorders>
                    <w:tl2br w:val="nil"/>
                    <w:tr2bl w:val="nil"/>
                  </w:tcBorders>
                  <w:vAlign w:val="center"/>
                </w:tcPr>
                <w:p>
                  <w:pPr>
                    <w:jc w:val="center"/>
                    <w:rPr>
                      <w:rFonts w:cs="Times New Roman"/>
                      <w:szCs w:val="21"/>
                    </w:rPr>
                  </w:pPr>
                  <w:r>
                    <w:rPr>
                      <w:rFonts w:cs="Times New Roman"/>
                      <w:szCs w:val="21"/>
                    </w:rPr>
                    <w:t>2.99×10</w:t>
                  </w:r>
                  <w:r>
                    <w:rPr>
                      <w:rFonts w:cs="Times New Roman"/>
                      <w:szCs w:val="21"/>
                      <w:vertAlign w:val="superscript"/>
                    </w:rPr>
                    <w:t>-2</w:t>
                  </w:r>
                </w:p>
              </w:tc>
              <w:tc>
                <w:tcPr>
                  <w:tcW w:w="484" w:type="pct"/>
                  <w:tcBorders>
                    <w:tl2br w:val="nil"/>
                    <w:tr2bl w:val="nil"/>
                  </w:tcBorders>
                  <w:vAlign w:val="center"/>
                </w:tcPr>
                <w:p>
                  <w:pPr>
                    <w:jc w:val="center"/>
                    <w:rPr>
                      <w:rFonts w:cs="Times New Roman"/>
                      <w:szCs w:val="21"/>
                    </w:rPr>
                  </w:pPr>
                  <w:r>
                    <w:rPr>
                      <w:rFonts w:cs="Times New Roman"/>
                      <w:szCs w:val="21"/>
                    </w:rPr>
                    <w:t>0.77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流速</w:t>
                  </w:r>
                </w:p>
              </w:tc>
              <w:tc>
                <w:tcPr>
                  <w:tcW w:w="488" w:type="pct"/>
                  <w:tcBorders>
                    <w:tl2br w:val="nil"/>
                    <w:tr2bl w:val="nil"/>
                  </w:tcBorders>
                  <w:vAlign w:val="center"/>
                </w:tcPr>
                <w:p>
                  <w:pPr>
                    <w:jc w:val="center"/>
                    <w:rPr>
                      <w:rFonts w:cs="Times New Roman"/>
                      <w:szCs w:val="21"/>
                    </w:rPr>
                  </w:pPr>
                  <w:r>
                    <w:rPr>
                      <w:rFonts w:cs="Times New Roman"/>
                      <w:szCs w:val="21"/>
                    </w:rPr>
                    <w:t>m/s</w:t>
                  </w:r>
                </w:p>
              </w:tc>
              <w:tc>
                <w:tcPr>
                  <w:tcW w:w="569" w:type="pct"/>
                  <w:tcBorders>
                    <w:tl2br w:val="nil"/>
                    <w:tr2bl w:val="nil"/>
                  </w:tcBorders>
                  <w:vAlign w:val="center"/>
                </w:tcPr>
                <w:p>
                  <w:pPr>
                    <w:jc w:val="center"/>
                    <w:rPr>
                      <w:rFonts w:cs="Times New Roman"/>
                      <w:szCs w:val="21"/>
                    </w:rPr>
                  </w:pPr>
                  <w:r>
                    <w:rPr>
                      <w:rFonts w:cs="Times New Roman"/>
                      <w:szCs w:val="21"/>
                    </w:rPr>
                    <w:t>4.7</w:t>
                  </w:r>
                </w:p>
              </w:tc>
              <w:tc>
                <w:tcPr>
                  <w:tcW w:w="569" w:type="pct"/>
                  <w:tcBorders>
                    <w:tl2br w:val="nil"/>
                    <w:tr2bl w:val="nil"/>
                  </w:tcBorders>
                  <w:vAlign w:val="center"/>
                </w:tcPr>
                <w:p>
                  <w:pPr>
                    <w:jc w:val="center"/>
                    <w:rPr>
                      <w:rFonts w:cs="Times New Roman"/>
                      <w:szCs w:val="21"/>
                    </w:rPr>
                  </w:pPr>
                  <w:r>
                    <w:rPr>
                      <w:rFonts w:cs="Times New Roman"/>
                      <w:szCs w:val="21"/>
                    </w:rPr>
                    <w:t>5.7</w:t>
                  </w:r>
                </w:p>
              </w:tc>
              <w:tc>
                <w:tcPr>
                  <w:tcW w:w="572" w:type="pct"/>
                  <w:tcBorders>
                    <w:tl2br w:val="nil"/>
                    <w:tr2bl w:val="nil"/>
                  </w:tcBorders>
                  <w:vAlign w:val="center"/>
                </w:tcPr>
                <w:p>
                  <w:pPr>
                    <w:jc w:val="center"/>
                    <w:rPr>
                      <w:rFonts w:cs="Times New Roman"/>
                      <w:szCs w:val="21"/>
                    </w:rPr>
                  </w:pPr>
                  <w:r>
                    <w:rPr>
                      <w:rFonts w:cs="Times New Roman"/>
                      <w:szCs w:val="21"/>
                    </w:rPr>
                    <w:t>6.2</w:t>
                  </w:r>
                </w:p>
              </w:tc>
              <w:tc>
                <w:tcPr>
                  <w:tcW w:w="550" w:type="pct"/>
                  <w:tcBorders>
                    <w:tl2br w:val="nil"/>
                    <w:tr2bl w:val="nil"/>
                  </w:tcBorders>
                  <w:vAlign w:val="center"/>
                </w:tcPr>
                <w:p>
                  <w:pPr>
                    <w:jc w:val="center"/>
                    <w:rPr>
                      <w:rFonts w:cs="Times New Roman"/>
                      <w:szCs w:val="21"/>
                    </w:rPr>
                  </w:pPr>
                  <w:r>
                    <w:rPr>
                      <w:rFonts w:cs="Times New Roman"/>
                      <w:szCs w:val="21"/>
                    </w:rPr>
                    <w:t>5.5</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烟温</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76.7</w:t>
                  </w:r>
                </w:p>
              </w:tc>
              <w:tc>
                <w:tcPr>
                  <w:tcW w:w="569" w:type="pct"/>
                  <w:tcBorders>
                    <w:tl2br w:val="nil"/>
                    <w:tr2bl w:val="nil"/>
                  </w:tcBorders>
                  <w:vAlign w:val="center"/>
                </w:tcPr>
                <w:p>
                  <w:pPr>
                    <w:jc w:val="center"/>
                    <w:rPr>
                      <w:rFonts w:cs="Times New Roman"/>
                      <w:szCs w:val="21"/>
                    </w:rPr>
                  </w:pPr>
                  <w:r>
                    <w:rPr>
                      <w:rFonts w:cs="Times New Roman"/>
                      <w:szCs w:val="21"/>
                    </w:rPr>
                    <w:t>78</w:t>
                  </w:r>
                </w:p>
              </w:tc>
              <w:tc>
                <w:tcPr>
                  <w:tcW w:w="572" w:type="pct"/>
                  <w:tcBorders>
                    <w:tl2br w:val="nil"/>
                    <w:tr2bl w:val="nil"/>
                  </w:tcBorders>
                  <w:vAlign w:val="center"/>
                </w:tcPr>
                <w:p>
                  <w:pPr>
                    <w:jc w:val="center"/>
                    <w:rPr>
                      <w:rFonts w:cs="Times New Roman"/>
                      <w:szCs w:val="21"/>
                    </w:rPr>
                  </w:pPr>
                  <w:r>
                    <w:rPr>
                      <w:rFonts w:cs="Times New Roman"/>
                      <w:szCs w:val="21"/>
                    </w:rPr>
                    <w:t>76.5</w:t>
                  </w:r>
                </w:p>
              </w:tc>
              <w:tc>
                <w:tcPr>
                  <w:tcW w:w="550" w:type="pct"/>
                  <w:tcBorders>
                    <w:tl2br w:val="nil"/>
                    <w:tr2bl w:val="nil"/>
                  </w:tcBorders>
                  <w:vAlign w:val="center"/>
                </w:tcPr>
                <w:p>
                  <w:pPr>
                    <w:jc w:val="center"/>
                    <w:rPr>
                      <w:rFonts w:cs="Times New Roman"/>
                      <w:szCs w:val="21"/>
                    </w:rPr>
                  </w:pPr>
                  <w:r>
                    <w:rPr>
                      <w:rFonts w:cs="Times New Roman"/>
                      <w:szCs w:val="21"/>
                    </w:rPr>
                    <w:t>77.1</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含湿量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5.8</w:t>
                  </w:r>
                </w:p>
              </w:tc>
              <w:tc>
                <w:tcPr>
                  <w:tcW w:w="569" w:type="pct"/>
                  <w:tcBorders>
                    <w:tl2br w:val="nil"/>
                    <w:tr2bl w:val="nil"/>
                  </w:tcBorders>
                  <w:vAlign w:val="center"/>
                </w:tcPr>
                <w:p>
                  <w:pPr>
                    <w:jc w:val="center"/>
                    <w:rPr>
                      <w:rFonts w:cs="Times New Roman"/>
                      <w:szCs w:val="21"/>
                    </w:rPr>
                  </w:pPr>
                  <w:r>
                    <w:rPr>
                      <w:rFonts w:cs="Times New Roman"/>
                      <w:szCs w:val="21"/>
                    </w:rPr>
                    <w:t>5.7</w:t>
                  </w:r>
                </w:p>
              </w:tc>
              <w:tc>
                <w:tcPr>
                  <w:tcW w:w="572" w:type="pct"/>
                  <w:tcBorders>
                    <w:tl2br w:val="nil"/>
                    <w:tr2bl w:val="nil"/>
                  </w:tcBorders>
                  <w:vAlign w:val="center"/>
                </w:tcPr>
                <w:p>
                  <w:pPr>
                    <w:jc w:val="center"/>
                    <w:rPr>
                      <w:rFonts w:cs="Times New Roman"/>
                      <w:szCs w:val="21"/>
                    </w:rPr>
                  </w:pPr>
                  <w:r>
                    <w:rPr>
                      <w:rFonts w:cs="Times New Roman"/>
                      <w:szCs w:val="21"/>
                    </w:rPr>
                    <w:t>5.7</w:t>
                  </w:r>
                </w:p>
              </w:tc>
              <w:tc>
                <w:tcPr>
                  <w:tcW w:w="550" w:type="pct"/>
                  <w:tcBorders>
                    <w:tl2br w:val="nil"/>
                    <w:tr2bl w:val="nil"/>
                  </w:tcBorders>
                  <w:vAlign w:val="center"/>
                </w:tcPr>
                <w:p>
                  <w:pPr>
                    <w:jc w:val="center"/>
                    <w:rPr>
                      <w:rFonts w:cs="Times New Roman"/>
                      <w:szCs w:val="21"/>
                    </w:rPr>
                  </w:pPr>
                  <w:r>
                    <w:rPr>
                      <w:rFonts w:cs="Times New Roman"/>
                      <w:szCs w:val="21"/>
                    </w:rPr>
                    <w:t>5.7</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氧含量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20.4</w:t>
                  </w:r>
                </w:p>
              </w:tc>
              <w:tc>
                <w:tcPr>
                  <w:tcW w:w="569" w:type="pct"/>
                  <w:tcBorders>
                    <w:tl2br w:val="nil"/>
                    <w:tr2bl w:val="nil"/>
                  </w:tcBorders>
                  <w:vAlign w:val="center"/>
                </w:tcPr>
                <w:p>
                  <w:pPr>
                    <w:jc w:val="center"/>
                    <w:rPr>
                      <w:rFonts w:cs="Times New Roman"/>
                      <w:szCs w:val="21"/>
                    </w:rPr>
                  </w:pPr>
                  <w:r>
                    <w:rPr>
                      <w:rFonts w:cs="Times New Roman"/>
                      <w:szCs w:val="21"/>
                    </w:rPr>
                    <w:t>20.4</w:t>
                  </w:r>
                </w:p>
              </w:tc>
              <w:tc>
                <w:tcPr>
                  <w:tcW w:w="572" w:type="pct"/>
                  <w:tcBorders>
                    <w:tl2br w:val="nil"/>
                    <w:tr2bl w:val="nil"/>
                  </w:tcBorders>
                  <w:vAlign w:val="center"/>
                </w:tcPr>
                <w:p>
                  <w:pPr>
                    <w:jc w:val="center"/>
                    <w:rPr>
                      <w:rFonts w:cs="Times New Roman"/>
                      <w:szCs w:val="21"/>
                    </w:rPr>
                  </w:pPr>
                  <w:r>
                    <w:rPr>
                      <w:rFonts w:cs="Times New Roman"/>
                      <w:szCs w:val="21"/>
                    </w:rPr>
                    <w:t>20.4</w:t>
                  </w:r>
                </w:p>
              </w:tc>
              <w:tc>
                <w:tcPr>
                  <w:tcW w:w="550" w:type="pct"/>
                  <w:tcBorders>
                    <w:tl2br w:val="nil"/>
                    <w:tr2bl w:val="nil"/>
                  </w:tcBorders>
                  <w:vAlign w:val="center"/>
                </w:tcPr>
                <w:p>
                  <w:pPr>
                    <w:jc w:val="center"/>
                    <w:rPr>
                      <w:rFonts w:cs="Times New Roman"/>
                      <w:szCs w:val="21"/>
                    </w:rPr>
                  </w:pPr>
                  <w:r>
                    <w:rPr>
                      <w:rFonts w:cs="Times New Roman"/>
                      <w:szCs w:val="21"/>
                    </w:rPr>
                    <w:t>20.4</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标干烟气流量</w:t>
                  </w:r>
                </w:p>
              </w:tc>
              <w:tc>
                <w:tcPr>
                  <w:tcW w:w="488" w:type="pct"/>
                  <w:tcBorders>
                    <w:tl2br w:val="nil"/>
                    <w:tr2bl w:val="nil"/>
                  </w:tcBorders>
                  <w:vAlign w:val="center"/>
                </w:tcPr>
                <w:p>
                  <w:pPr>
                    <w:jc w:val="center"/>
                    <w:rPr>
                      <w:rFonts w:cs="Times New Roman"/>
                      <w:szCs w:val="21"/>
                    </w:rPr>
                  </w:pPr>
                  <w:r>
                    <w:rPr>
                      <w:rFonts w:cs="Times New Roman"/>
                      <w:szCs w:val="21"/>
                    </w:rPr>
                    <w:t>m</w:t>
                  </w:r>
                  <w:r>
                    <w:rPr>
                      <w:rFonts w:cs="Times New Roman"/>
                      <w:szCs w:val="21"/>
                      <w:vertAlign w:val="superscript"/>
                    </w:rPr>
                    <w:t>3</w:t>
                  </w:r>
                  <w:r>
                    <w:rPr>
                      <w:rFonts w:cs="Times New Roman"/>
                      <w:szCs w:val="21"/>
                    </w:rPr>
                    <w:t>/h</w:t>
                  </w:r>
                </w:p>
              </w:tc>
              <w:tc>
                <w:tcPr>
                  <w:tcW w:w="569" w:type="pct"/>
                  <w:tcBorders>
                    <w:tl2br w:val="nil"/>
                    <w:tr2bl w:val="nil"/>
                  </w:tcBorders>
                  <w:vAlign w:val="center"/>
                </w:tcPr>
                <w:p>
                  <w:pPr>
                    <w:jc w:val="center"/>
                    <w:rPr>
                      <w:rFonts w:cs="Times New Roman"/>
                      <w:szCs w:val="21"/>
                    </w:rPr>
                  </w:pPr>
                  <w:r>
                    <w:rPr>
                      <w:rFonts w:cs="Times New Roman"/>
                      <w:szCs w:val="21"/>
                    </w:rPr>
                    <w:t>3907</w:t>
                  </w:r>
                </w:p>
              </w:tc>
              <w:tc>
                <w:tcPr>
                  <w:tcW w:w="569" w:type="pct"/>
                  <w:tcBorders>
                    <w:tl2br w:val="nil"/>
                    <w:tr2bl w:val="nil"/>
                  </w:tcBorders>
                  <w:vAlign w:val="center"/>
                </w:tcPr>
                <w:p>
                  <w:pPr>
                    <w:jc w:val="center"/>
                    <w:rPr>
                      <w:rFonts w:cs="Times New Roman"/>
                      <w:szCs w:val="21"/>
                    </w:rPr>
                  </w:pPr>
                  <w:r>
                    <w:rPr>
                      <w:rFonts w:cs="Times New Roman"/>
                      <w:szCs w:val="21"/>
                    </w:rPr>
                    <w:t>3494</w:t>
                  </w:r>
                </w:p>
              </w:tc>
              <w:tc>
                <w:tcPr>
                  <w:tcW w:w="572" w:type="pct"/>
                  <w:tcBorders>
                    <w:tl2br w:val="nil"/>
                    <w:tr2bl w:val="nil"/>
                  </w:tcBorders>
                  <w:vAlign w:val="center"/>
                </w:tcPr>
                <w:p>
                  <w:pPr>
                    <w:jc w:val="center"/>
                    <w:rPr>
                      <w:rFonts w:cs="Times New Roman"/>
                      <w:szCs w:val="21"/>
                    </w:rPr>
                  </w:pPr>
                  <w:r>
                    <w:rPr>
                      <w:rFonts w:cs="Times New Roman"/>
                      <w:szCs w:val="21"/>
                    </w:rPr>
                    <w:t>3838</w:t>
                  </w:r>
                </w:p>
              </w:tc>
              <w:tc>
                <w:tcPr>
                  <w:tcW w:w="550" w:type="pct"/>
                  <w:tcBorders>
                    <w:tl2br w:val="nil"/>
                    <w:tr2bl w:val="nil"/>
                  </w:tcBorders>
                  <w:vAlign w:val="center"/>
                </w:tcPr>
                <w:p>
                  <w:pPr>
                    <w:jc w:val="center"/>
                    <w:rPr>
                      <w:rFonts w:cs="Times New Roman"/>
                      <w:szCs w:val="21"/>
                    </w:rPr>
                  </w:pPr>
                  <w:r>
                    <w:rPr>
                      <w:rFonts w:cs="Times New Roman"/>
                      <w:szCs w:val="21"/>
                    </w:rPr>
                    <w:t>3413</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ind w:left="-97" w:leftChars="-46" w:right="-103" w:rightChars="-49"/>
                    <w:jc w:val="center"/>
                    <w:rPr>
                      <w:rFonts w:cs="Times New Roman"/>
                      <w:szCs w:val="21"/>
                    </w:rPr>
                  </w:pPr>
                </w:p>
              </w:tc>
              <w:tc>
                <w:tcPr>
                  <w:tcW w:w="427" w:type="pct"/>
                  <w:vMerge w:val="restart"/>
                  <w:tcBorders>
                    <w:tl2br w:val="nil"/>
                    <w:tr2bl w:val="nil"/>
                  </w:tcBorders>
                  <w:vAlign w:val="center"/>
                </w:tcPr>
                <w:p>
                  <w:pPr>
                    <w:jc w:val="center"/>
                    <w:rPr>
                      <w:rFonts w:cs="Times New Roman"/>
                      <w:szCs w:val="21"/>
                    </w:rPr>
                  </w:pPr>
                  <w:r>
                    <w:rPr>
                      <w:rFonts w:cs="Times New Roman"/>
                      <w:szCs w:val="21"/>
                    </w:rPr>
                    <w:t>颗</w:t>
                  </w:r>
                </w:p>
                <w:p>
                  <w:pPr>
                    <w:jc w:val="center"/>
                    <w:rPr>
                      <w:rFonts w:cs="Times New Roman"/>
                      <w:szCs w:val="21"/>
                    </w:rPr>
                  </w:pPr>
                  <w:r>
                    <w:rPr>
                      <w:rFonts w:cs="Times New Roman"/>
                      <w:szCs w:val="21"/>
                    </w:rPr>
                    <w:t>粒</w:t>
                  </w:r>
                </w:p>
                <w:p>
                  <w:pPr>
                    <w:jc w:val="center"/>
                    <w:rPr>
                      <w:rFonts w:cs="Times New Roman"/>
                      <w:szCs w:val="21"/>
                    </w:rPr>
                  </w:pPr>
                  <w:r>
                    <w:rPr>
                      <w:rFonts w:cs="Times New Roman"/>
                      <w:szCs w:val="21"/>
                    </w:rPr>
                    <w:t>物</w:t>
                  </w:r>
                </w:p>
              </w:tc>
              <w:tc>
                <w:tcPr>
                  <w:tcW w:w="630" w:type="pct"/>
                  <w:tcBorders>
                    <w:tl2br w:val="nil"/>
                    <w:tr2bl w:val="nil"/>
                  </w:tcBorders>
                  <w:vAlign w:val="center"/>
                </w:tcPr>
                <w:p>
                  <w:pPr>
                    <w:jc w:val="center"/>
                    <w:rPr>
                      <w:rFonts w:cs="Times New Roman"/>
                      <w:szCs w:val="21"/>
                    </w:rPr>
                  </w:pPr>
                  <w:r>
                    <w:rPr>
                      <w:rFonts w:cs="Times New Roman"/>
                      <w:szCs w:val="21"/>
                    </w:rPr>
                    <w:t>实测浓度</w:t>
                  </w:r>
                </w:p>
              </w:tc>
              <w:tc>
                <w:tcPr>
                  <w:tcW w:w="488" w:type="pct"/>
                  <w:tcBorders>
                    <w:tl2br w:val="nil"/>
                    <w:tr2bl w:val="nil"/>
                  </w:tcBorders>
                  <w:vAlign w:val="center"/>
                </w:tcPr>
                <w:p>
                  <w:pPr>
                    <w:jc w:val="center"/>
                    <w:rPr>
                      <w:rFonts w:cs="Times New Roman"/>
                      <w:spacing w:val="-12"/>
                      <w:szCs w:val="21"/>
                    </w:rPr>
                  </w:pPr>
                  <w:r>
                    <w:rPr>
                      <w:rFonts w:cs="Times New Roman"/>
                      <w:spacing w:val="-12"/>
                      <w:szCs w:val="21"/>
                    </w:rPr>
                    <w:t>mg/m</w:t>
                  </w:r>
                  <w:r>
                    <w:rPr>
                      <w:rFonts w:cs="Times New Roman"/>
                      <w:spacing w:val="-12"/>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3.2</w:t>
                  </w:r>
                </w:p>
              </w:tc>
              <w:tc>
                <w:tcPr>
                  <w:tcW w:w="569" w:type="pct"/>
                  <w:tcBorders>
                    <w:tl2br w:val="nil"/>
                    <w:tr2bl w:val="nil"/>
                  </w:tcBorders>
                  <w:vAlign w:val="center"/>
                </w:tcPr>
                <w:p>
                  <w:pPr>
                    <w:jc w:val="center"/>
                    <w:rPr>
                      <w:rFonts w:cs="Times New Roman"/>
                      <w:szCs w:val="21"/>
                    </w:rPr>
                  </w:pPr>
                  <w:r>
                    <w:rPr>
                      <w:rFonts w:cs="Times New Roman"/>
                      <w:szCs w:val="21"/>
                    </w:rPr>
                    <w:t>3.5</w:t>
                  </w:r>
                </w:p>
              </w:tc>
              <w:tc>
                <w:tcPr>
                  <w:tcW w:w="572" w:type="pct"/>
                  <w:tcBorders>
                    <w:tl2br w:val="nil"/>
                    <w:tr2bl w:val="nil"/>
                  </w:tcBorders>
                  <w:vAlign w:val="center"/>
                </w:tcPr>
                <w:p>
                  <w:pPr>
                    <w:jc w:val="center"/>
                    <w:rPr>
                      <w:rFonts w:cs="Times New Roman"/>
                      <w:szCs w:val="21"/>
                    </w:rPr>
                  </w:pPr>
                  <w:r>
                    <w:rPr>
                      <w:rFonts w:cs="Times New Roman"/>
                      <w:szCs w:val="21"/>
                    </w:rPr>
                    <w:t>3.3</w:t>
                  </w:r>
                </w:p>
              </w:tc>
              <w:tc>
                <w:tcPr>
                  <w:tcW w:w="550" w:type="pct"/>
                  <w:tcBorders>
                    <w:tl2br w:val="nil"/>
                    <w:tr2bl w:val="nil"/>
                  </w:tcBorders>
                  <w:vAlign w:val="center"/>
                </w:tcPr>
                <w:p>
                  <w:pPr>
                    <w:jc w:val="center"/>
                    <w:rPr>
                      <w:rFonts w:cs="Times New Roman"/>
                      <w:szCs w:val="21"/>
                    </w:rPr>
                  </w:pPr>
                  <w:r>
                    <w:rPr>
                      <w:rFonts w:cs="Times New Roman"/>
                      <w:szCs w:val="21"/>
                    </w:rPr>
                    <w:t>3.3</w:t>
                  </w:r>
                </w:p>
              </w:tc>
              <w:tc>
                <w:tcPr>
                  <w:tcW w:w="484" w:type="pct"/>
                  <w:tcBorders>
                    <w:tl2br w:val="nil"/>
                    <w:tr2bl w:val="nil"/>
                  </w:tcBorders>
                  <w:vAlign w:val="center"/>
                </w:tcPr>
                <w:p>
                  <w:pPr>
                    <w:jc w:val="center"/>
                    <w:rPr>
                      <w:rFonts w:cs="Times New Roman"/>
                      <w:szCs w:val="21"/>
                    </w:rPr>
                  </w:pPr>
                  <w:r>
                    <w:rPr>
                      <w:rFonts w:cs="Times New Roman"/>
                      <w:szCs w:val="21"/>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continue"/>
                  <w:tcBorders>
                    <w:tl2br w:val="nil"/>
                    <w:tr2bl w:val="nil"/>
                  </w:tcBorders>
                  <w:vAlign w:val="center"/>
                </w:tcPr>
                <w:p>
                  <w:pPr>
                    <w:jc w:val="center"/>
                    <w:rPr>
                      <w:rFonts w:cs="Times New Roman"/>
                      <w:szCs w:val="21"/>
                    </w:rPr>
                  </w:pPr>
                </w:p>
              </w:tc>
              <w:tc>
                <w:tcPr>
                  <w:tcW w:w="630" w:type="pct"/>
                  <w:tcBorders>
                    <w:tl2br w:val="nil"/>
                    <w:tr2bl w:val="nil"/>
                  </w:tcBorders>
                  <w:vAlign w:val="center"/>
                </w:tcPr>
                <w:p>
                  <w:pPr>
                    <w:jc w:val="center"/>
                    <w:rPr>
                      <w:rFonts w:cs="Times New Roman"/>
                      <w:szCs w:val="21"/>
                    </w:rPr>
                  </w:pPr>
                  <w:r>
                    <w:rPr>
                      <w:rFonts w:cs="Times New Roman"/>
                      <w:szCs w:val="21"/>
                    </w:rPr>
                    <w:t>排放速率</w:t>
                  </w:r>
                </w:p>
              </w:tc>
              <w:tc>
                <w:tcPr>
                  <w:tcW w:w="488" w:type="pct"/>
                  <w:tcBorders>
                    <w:tl2br w:val="nil"/>
                    <w:tr2bl w:val="nil"/>
                  </w:tcBorders>
                  <w:vAlign w:val="center"/>
                </w:tcPr>
                <w:p>
                  <w:pPr>
                    <w:jc w:val="center"/>
                    <w:rPr>
                      <w:rFonts w:cs="Times New Roman"/>
                      <w:szCs w:val="21"/>
                    </w:rPr>
                  </w:pPr>
                  <w:r>
                    <w:rPr>
                      <w:rFonts w:cs="Times New Roman"/>
                      <w:szCs w:val="21"/>
                    </w:rPr>
                    <w:t>kg/h</w:t>
                  </w:r>
                </w:p>
              </w:tc>
              <w:tc>
                <w:tcPr>
                  <w:tcW w:w="569" w:type="pct"/>
                  <w:tcBorders>
                    <w:tl2br w:val="nil"/>
                    <w:tr2bl w:val="nil"/>
                  </w:tcBorders>
                  <w:vAlign w:val="center"/>
                </w:tcPr>
                <w:p>
                  <w:pPr>
                    <w:jc w:val="center"/>
                    <w:rPr>
                      <w:rFonts w:cs="Times New Roman"/>
                      <w:szCs w:val="21"/>
                    </w:rPr>
                  </w:pPr>
                  <w:r>
                    <w:rPr>
                      <w:rFonts w:cs="Times New Roman"/>
                      <w:szCs w:val="21"/>
                    </w:rPr>
                    <w:t>9.30×10</w:t>
                  </w:r>
                  <w:r>
                    <w:rPr>
                      <w:rFonts w:cs="Times New Roman"/>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1.22×10</w:t>
                  </w:r>
                  <w:r>
                    <w:rPr>
                      <w:rFonts w:cs="Times New Roman"/>
                      <w:szCs w:val="21"/>
                      <w:vertAlign w:val="superscript"/>
                    </w:rPr>
                    <w:t>-3</w:t>
                  </w:r>
                </w:p>
              </w:tc>
              <w:tc>
                <w:tcPr>
                  <w:tcW w:w="572" w:type="pct"/>
                  <w:tcBorders>
                    <w:tl2br w:val="nil"/>
                    <w:tr2bl w:val="nil"/>
                  </w:tcBorders>
                  <w:vAlign w:val="center"/>
                </w:tcPr>
                <w:p>
                  <w:pPr>
                    <w:jc w:val="center"/>
                    <w:rPr>
                      <w:rFonts w:cs="Times New Roman"/>
                      <w:szCs w:val="21"/>
                    </w:rPr>
                  </w:pPr>
                  <w:r>
                    <w:rPr>
                      <w:rFonts w:cs="Times New Roman"/>
                      <w:szCs w:val="21"/>
                    </w:rPr>
                    <w:t>1.27×10</w:t>
                  </w:r>
                  <w:r>
                    <w:rPr>
                      <w:rFonts w:cs="Times New Roman"/>
                      <w:szCs w:val="21"/>
                      <w:vertAlign w:val="superscript"/>
                    </w:rPr>
                    <w:t>-3</w:t>
                  </w:r>
                </w:p>
              </w:tc>
              <w:tc>
                <w:tcPr>
                  <w:tcW w:w="550" w:type="pct"/>
                  <w:tcBorders>
                    <w:tl2br w:val="nil"/>
                    <w:tr2bl w:val="nil"/>
                  </w:tcBorders>
                  <w:vAlign w:val="center"/>
                </w:tcPr>
                <w:p>
                  <w:pPr>
                    <w:ind w:left="-105" w:leftChars="-50" w:right="-105" w:rightChars="-50"/>
                    <w:jc w:val="center"/>
                    <w:rPr>
                      <w:rFonts w:cs="Times New Roman"/>
                      <w:szCs w:val="21"/>
                    </w:rPr>
                  </w:pPr>
                  <w:r>
                    <w:rPr>
                      <w:rFonts w:cs="Times New Roman"/>
                      <w:szCs w:val="21"/>
                    </w:rPr>
                    <w:t>1.14×10</w:t>
                  </w:r>
                  <w:r>
                    <w:rPr>
                      <w:rFonts w:cs="Times New Roman"/>
                      <w:szCs w:val="21"/>
                      <w:vertAlign w:val="superscript"/>
                    </w:rPr>
                    <w:t>-3</w:t>
                  </w:r>
                </w:p>
              </w:tc>
              <w:tc>
                <w:tcPr>
                  <w:tcW w:w="484" w:type="pct"/>
                  <w:tcBorders>
                    <w:tl2br w:val="nil"/>
                    <w:tr2bl w:val="nil"/>
                  </w:tcBorders>
                  <w:vAlign w:val="center"/>
                </w:tcPr>
                <w:p>
                  <w:pPr>
                    <w:jc w:val="center"/>
                    <w:rPr>
                      <w:rFonts w:cs="Times New Roman"/>
                      <w:szCs w:val="21"/>
                    </w:rPr>
                  </w:pPr>
                  <w:r>
                    <w:rPr>
                      <w:rFonts w:cs="Times New Roman"/>
                      <w:szCs w:val="21"/>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流速</w:t>
                  </w:r>
                </w:p>
              </w:tc>
              <w:tc>
                <w:tcPr>
                  <w:tcW w:w="488" w:type="pct"/>
                  <w:tcBorders>
                    <w:tl2br w:val="nil"/>
                    <w:tr2bl w:val="nil"/>
                  </w:tcBorders>
                  <w:vAlign w:val="center"/>
                </w:tcPr>
                <w:p>
                  <w:pPr>
                    <w:jc w:val="center"/>
                    <w:rPr>
                      <w:rFonts w:cs="Times New Roman"/>
                      <w:szCs w:val="21"/>
                    </w:rPr>
                  </w:pPr>
                  <w:r>
                    <w:rPr>
                      <w:rFonts w:cs="Times New Roman"/>
                      <w:szCs w:val="21"/>
                    </w:rPr>
                    <w:t>m/s</w:t>
                  </w:r>
                </w:p>
              </w:tc>
              <w:tc>
                <w:tcPr>
                  <w:tcW w:w="569" w:type="pct"/>
                  <w:tcBorders>
                    <w:tl2br w:val="nil"/>
                    <w:tr2bl w:val="nil"/>
                  </w:tcBorders>
                  <w:vAlign w:val="center"/>
                </w:tcPr>
                <w:p>
                  <w:pPr>
                    <w:jc w:val="center"/>
                    <w:rPr>
                      <w:rFonts w:cs="Times New Roman"/>
                      <w:szCs w:val="21"/>
                    </w:rPr>
                  </w:pPr>
                  <w:r>
                    <w:rPr>
                      <w:rFonts w:cs="Times New Roman"/>
                      <w:szCs w:val="21"/>
                    </w:rPr>
                    <w:t>4.7</w:t>
                  </w:r>
                </w:p>
              </w:tc>
              <w:tc>
                <w:tcPr>
                  <w:tcW w:w="569" w:type="pct"/>
                  <w:tcBorders>
                    <w:tl2br w:val="nil"/>
                    <w:tr2bl w:val="nil"/>
                  </w:tcBorders>
                  <w:vAlign w:val="center"/>
                </w:tcPr>
                <w:p>
                  <w:pPr>
                    <w:jc w:val="center"/>
                    <w:rPr>
                      <w:rFonts w:cs="Times New Roman"/>
                      <w:szCs w:val="21"/>
                    </w:rPr>
                  </w:pPr>
                  <w:r>
                    <w:rPr>
                      <w:rFonts w:cs="Times New Roman"/>
                      <w:szCs w:val="21"/>
                    </w:rPr>
                    <w:t>5.7</w:t>
                  </w:r>
                </w:p>
              </w:tc>
              <w:tc>
                <w:tcPr>
                  <w:tcW w:w="572" w:type="pct"/>
                  <w:tcBorders>
                    <w:tl2br w:val="nil"/>
                    <w:tr2bl w:val="nil"/>
                  </w:tcBorders>
                  <w:vAlign w:val="center"/>
                </w:tcPr>
                <w:p>
                  <w:pPr>
                    <w:jc w:val="center"/>
                    <w:rPr>
                      <w:rFonts w:cs="Times New Roman"/>
                      <w:szCs w:val="21"/>
                    </w:rPr>
                  </w:pPr>
                  <w:r>
                    <w:rPr>
                      <w:rFonts w:cs="Times New Roman"/>
                      <w:szCs w:val="21"/>
                    </w:rPr>
                    <w:t>6.2</w:t>
                  </w:r>
                </w:p>
              </w:tc>
              <w:tc>
                <w:tcPr>
                  <w:tcW w:w="550" w:type="pct"/>
                  <w:tcBorders>
                    <w:tl2br w:val="nil"/>
                    <w:tr2bl w:val="nil"/>
                  </w:tcBorders>
                  <w:vAlign w:val="center"/>
                </w:tcPr>
                <w:p>
                  <w:pPr>
                    <w:ind w:left="-105" w:leftChars="-50" w:right="-105" w:rightChars="-50"/>
                    <w:jc w:val="center"/>
                    <w:rPr>
                      <w:rFonts w:cs="Times New Roman"/>
                      <w:szCs w:val="21"/>
                    </w:rPr>
                  </w:pPr>
                  <w:r>
                    <w:rPr>
                      <w:rFonts w:cs="Times New Roman"/>
                      <w:szCs w:val="21"/>
                    </w:rPr>
                    <w:t>5.5</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烟温</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76.7</w:t>
                  </w:r>
                </w:p>
              </w:tc>
              <w:tc>
                <w:tcPr>
                  <w:tcW w:w="569" w:type="pct"/>
                  <w:tcBorders>
                    <w:tl2br w:val="nil"/>
                    <w:tr2bl w:val="nil"/>
                  </w:tcBorders>
                  <w:vAlign w:val="center"/>
                </w:tcPr>
                <w:p>
                  <w:pPr>
                    <w:jc w:val="center"/>
                    <w:rPr>
                      <w:rFonts w:cs="Times New Roman"/>
                      <w:szCs w:val="21"/>
                    </w:rPr>
                  </w:pPr>
                  <w:r>
                    <w:rPr>
                      <w:rFonts w:cs="Times New Roman"/>
                      <w:szCs w:val="21"/>
                    </w:rPr>
                    <w:t>78</w:t>
                  </w:r>
                </w:p>
              </w:tc>
              <w:tc>
                <w:tcPr>
                  <w:tcW w:w="572" w:type="pct"/>
                  <w:tcBorders>
                    <w:tl2br w:val="nil"/>
                    <w:tr2bl w:val="nil"/>
                  </w:tcBorders>
                  <w:vAlign w:val="center"/>
                </w:tcPr>
                <w:p>
                  <w:pPr>
                    <w:jc w:val="center"/>
                    <w:rPr>
                      <w:rFonts w:cs="Times New Roman"/>
                      <w:szCs w:val="21"/>
                    </w:rPr>
                  </w:pPr>
                  <w:r>
                    <w:rPr>
                      <w:rFonts w:cs="Times New Roman"/>
                      <w:szCs w:val="21"/>
                    </w:rPr>
                    <w:t>76</w:t>
                  </w:r>
                </w:p>
              </w:tc>
              <w:tc>
                <w:tcPr>
                  <w:tcW w:w="550" w:type="pct"/>
                  <w:tcBorders>
                    <w:tl2br w:val="nil"/>
                    <w:tr2bl w:val="nil"/>
                  </w:tcBorders>
                  <w:vAlign w:val="center"/>
                </w:tcPr>
                <w:p>
                  <w:pPr>
                    <w:jc w:val="center"/>
                    <w:rPr>
                      <w:rFonts w:cs="Times New Roman"/>
                      <w:szCs w:val="21"/>
                    </w:rPr>
                  </w:pPr>
                  <w:r>
                    <w:rPr>
                      <w:rFonts w:cs="Times New Roman"/>
                      <w:szCs w:val="21"/>
                    </w:rPr>
                    <w:t>76.9</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含湿量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5.8</w:t>
                  </w:r>
                </w:p>
              </w:tc>
              <w:tc>
                <w:tcPr>
                  <w:tcW w:w="569" w:type="pct"/>
                  <w:tcBorders>
                    <w:tl2br w:val="nil"/>
                    <w:tr2bl w:val="nil"/>
                  </w:tcBorders>
                  <w:vAlign w:val="center"/>
                </w:tcPr>
                <w:p>
                  <w:pPr>
                    <w:jc w:val="center"/>
                    <w:rPr>
                      <w:rFonts w:cs="Times New Roman"/>
                      <w:szCs w:val="21"/>
                    </w:rPr>
                  </w:pPr>
                  <w:r>
                    <w:rPr>
                      <w:rFonts w:cs="Times New Roman"/>
                      <w:szCs w:val="21"/>
                    </w:rPr>
                    <w:t>5.7</w:t>
                  </w:r>
                </w:p>
              </w:tc>
              <w:tc>
                <w:tcPr>
                  <w:tcW w:w="572" w:type="pct"/>
                  <w:tcBorders>
                    <w:tl2br w:val="nil"/>
                    <w:tr2bl w:val="nil"/>
                  </w:tcBorders>
                  <w:vAlign w:val="center"/>
                </w:tcPr>
                <w:p>
                  <w:pPr>
                    <w:jc w:val="center"/>
                    <w:rPr>
                      <w:rFonts w:cs="Times New Roman"/>
                      <w:szCs w:val="21"/>
                    </w:rPr>
                  </w:pPr>
                  <w:r>
                    <w:rPr>
                      <w:rFonts w:cs="Times New Roman"/>
                      <w:szCs w:val="21"/>
                    </w:rPr>
                    <w:t>5.7</w:t>
                  </w:r>
                </w:p>
              </w:tc>
              <w:tc>
                <w:tcPr>
                  <w:tcW w:w="550" w:type="pct"/>
                  <w:tcBorders>
                    <w:tl2br w:val="nil"/>
                    <w:tr2bl w:val="nil"/>
                  </w:tcBorders>
                  <w:vAlign w:val="center"/>
                </w:tcPr>
                <w:p>
                  <w:pPr>
                    <w:jc w:val="center"/>
                    <w:rPr>
                      <w:rFonts w:cs="Times New Roman"/>
                      <w:szCs w:val="21"/>
                    </w:rPr>
                  </w:pPr>
                  <w:r>
                    <w:rPr>
                      <w:rFonts w:cs="Times New Roman"/>
                      <w:szCs w:val="21"/>
                    </w:rPr>
                    <w:t>5.7</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氧含量</w:t>
                  </w:r>
                </w:p>
              </w:tc>
              <w:tc>
                <w:tcPr>
                  <w:tcW w:w="488" w:type="pct"/>
                  <w:tcBorders>
                    <w:tl2br w:val="nil"/>
                    <w:tr2bl w:val="nil"/>
                  </w:tcBorders>
                  <w:vAlign w:val="center"/>
                </w:tcPr>
                <w:p>
                  <w:pPr>
                    <w:jc w:val="center"/>
                    <w:rPr>
                      <w:rFonts w:cs="Times New Roman"/>
                      <w:szCs w:val="21"/>
                    </w:rPr>
                  </w:pPr>
                  <w:r>
                    <w:rPr>
                      <w:rFonts w:cs="Times New Roman"/>
                      <w:szCs w:val="21"/>
                    </w:rPr>
                    <w:t>%</w:t>
                  </w:r>
                </w:p>
              </w:tc>
              <w:tc>
                <w:tcPr>
                  <w:tcW w:w="569" w:type="pct"/>
                  <w:tcBorders>
                    <w:tl2br w:val="nil"/>
                    <w:tr2bl w:val="nil"/>
                  </w:tcBorders>
                  <w:vAlign w:val="center"/>
                </w:tcPr>
                <w:p>
                  <w:pPr>
                    <w:jc w:val="center"/>
                    <w:rPr>
                      <w:rFonts w:cs="Times New Roman"/>
                      <w:szCs w:val="21"/>
                    </w:rPr>
                  </w:pPr>
                  <w:r>
                    <w:rPr>
                      <w:rFonts w:cs="Times New Roman"/>
                      <w:szCs w:val="21"/>
                    </w:rPr>
                    <w:t>20.4</w:t>
                  </w:r>
                </w:p>
              </w:tc>
              <w:tc>
                <w:tcPr>
                  <w:tcW w:w="569" w:type="pct"/>
                  <w:tcBorders>
                    <w:tl2br w:val="nil"/>
                    <w:tr2bl w:val="nil"/>
                  </w:tcBorders>
                  <w:vAlign w:val="center"/>
                </w:tcPr>
                <w:p>
                  <w:pPr>
                    <w:jc w:val="center"/>
                    <w:rPr>
                      <w:rFonts w:cs="Times New Roman"/>
                      <w:szCs w:val="21"/>
                    </w:rPr>
                  </w:pPr>
                  <w:r>
                    <w:rPr>
                      <w:rFonts w:cs="Times New Roman"/>
                      <w:szCs w:val="21"/>
                    </w:rPr>
                    <w:t>20.4</w:t>
                  </w:r>
                </w:p>
              </w:tc>
              <w:tc>
                <w:tcPr>
                  <w:tcW w:w="572" w:type="pct"/>
                  <w:tcBorders>
                    <w:tl2br w:val="nil"/>
                    <w:tr2bl w:val="nil"/>
                  </w:tcBorders>
                  <w:vAlign w:val="center"/>
                </w:tcPr>
                <w:p>
                  <w:pPr>
                    <w:jc w:val="center"/>
                    <w:rPr>
                      <w:rFonts w:cs="Times New Roman"/>
                      <w:szCs w:val="21"/>
                    </w:rPr>
                  </w:pPr>
                  <w:r>
                    <w:rPr>
                      <w:rFonts w:cs="Times New Roman"/>
                      <w:szCs w:val="21"/>
                    </w:rPr>
                    <w:t>20.4</w:t>
                  </w:r>
                </w:p>
              </w:tc>
              <w:tc>
                <w:tcPr>
                  <w:tcW w:w="550" w:type="pct"/>
                  <w:tcBorders>
                    <w:tl2br w:val="nil"/>
                    <w:tr2bl w:val="nil"/>
                  </w:tcBorders>
                  <w:vAlign w:val="center"/>
                </w:tcPr>
                <w:p>
                  <w:pPr>
                    <w:jc w:val="center"/>
                    <w:rPr>
                      <w:rFonts w:cs="Times New Roman"/>
                      <w:szCs w:val="21"/>
                    </w:rPr>
                  </w:pPr>
                  <w:r>
                    <w:rPr>
                      <w:rFonts w:cs="Times New Roman"/>
                      <w:szCs w:val="21"/>
                    </w:rPr>
                    <w:t>20.4</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1058" w:type="pct"/>
                  <w:gridSpan w:val="2"/>
                  <w:tcBorders>
                    <w:tl2br w:val="nil"/>
                    <w:tr2bl w:val="nil"/>
                  </w:tcBorders>
                  <w:vAlign w:val="center"/>
                </w:tcPr>
                <w:p>
                  <w:pPr>
                    <w:jc w:val="center"/>
                    <w:rPr>
                      <w:rFonts w:cs="Times New Roman"/>
                      <w:szCs w:val="21"/>
                    </w:rPr>
                  </w:pPr>
                  <w:r>
                    <w:rPr>
                      <w:rFonts w:cs="Times New Roman"/>
                      <w:szCs w:val="21"/>
                    </w:rPr>
                    <w:t>标干烟气流量</w:t>
                  </w:r>
                </w:p>
              </w:tc>
              <w:tc>
                <w:tcPr>
                  <w:tcW w:w="488" w:type="pct"/>
                  <w:tcBorders>
                    <w:tl2br w:val="nil"/>
                    <w:tr2bl w:val="nil"/>
                  </w:tcBorders>
                  <w:vAlign w:val="center"/>
                </w:tcPr>
                <w:p>
                  <w:pPr>
                    <w:jc w:val="center"/>
                    <w:rPr>
                      <w:rFonts w:cs="Times New Roman"/>
                      <w:szCs w:val="21"/>
                    </w:rPr>
                  </w:pPr>
                  <w:r>
                    <w:rPr>
                      <w:rFonts w:cs="Times New Roman"/>
                      <w:szCs w:val="21"/>
                    </w:rPr>
                    <w:t>m</w:t>
                  </w:r>
                  <w:r>
                    <w:rPr>
                      <w:rFonts w:cs="Times New Roman"/>
                      <w:szCs w:val="21"/>
                      <w:vertAlign w:val="superscript"/>
                    </w:rPr>
                    <w:t>3</w:t>
                  </w:r>
                  <w:r>
                    <w:rPr>
                      <w:rFonts w:cs="Times New Roman"/>
                      <w:szCs w:val="21"/>
                    </w:rPr>
                    <w:t>/h</w:t>
                  </w:r>
                </w:p>
              </w:tc>
              <w:tc>
                <w:tcPr>
                  <w:tcW w:w="569" w:type="pct"/>
                  <w:tcBorders>
                    <w:tl2br w:val="nil"/>
                    <w:tr2bl w:val="nil"/>
                  </w:tcBorders>
                  <w:vAlign w:val="center"/>
                </w:tcPr>
                <w:p>
                  <w:pPr>
                    <w:jc w:val="center"/>
                    <w:rPr>
                      <w:rFonts w:cs="Times New Roman"/>
                      <w:szCs w:val="21"/>
                    </w:rPr>
                  </w:pPr>
                  <w:r>
                    <w:rPr>
                      <w:rFonts w:cs="Times New Roman"/>
                      <w:szCs w:val="21"/>
                    </w:rPr>
                    <w:t>2907</w:t>
                  </w:r>
                </w:p>
              </w:tc>
              <w:tc>
                <w:tcPr>
                  <w:tcW w:w="569" w:type="pct"/>
                  <w:tcBorders>
                    <w:tl2br w:val="nil"/>
                    <w:tr2bl w:val="nil"/>
                  </w:tcBorders>
                  <w:vAlign w:val="center"/>
                </w:tcPr>
                <w:p>
                  <w:pPr>
                    <w:jc w:val="center"/>
                    <w:rPr>
                      <w:rFonts w:cs="Times New Roman"/>
                      <w:szCs w:val="21"/>
                    </w:rPr>
                  </w:pPr>
                  <w:r>
                    <w:rPr>
                      <w:rFonts w:cs="Times New Roman"/>
                      <w:szCs w:val="21"/>
                    </w:rPr>
                    <w:t>3494</w:t>
                  </w:r>
                </w:p>
              </w:tc>
              <w:tc>
                <w:tcPr>
                  <w:tcW w:w="572" w:type="pct"/>
                  <w:tcBorders>
                    <w:tl2br w:val="nil"/>
                    <w:tr2bl w:val="nil"/>
                  </w:tcBorders>
                  <w:vAlign w:val="center"/>
                </w:tcPr>
                <w:p>
                  <w:pPr>
                    <w:jc w:val="center"/>
                    <w:rPr>
                      <w:rFonts w:cs="Times New Roman"/>
                      <w:szCs w:val="21"/>
                    </w:rPr>
                  </w:pPr>
                  <w:r>
                    <w:rPr>
                      <w:rFonts w:cs="Times New Roman"/>
                      <w:szCs w:val="21"/>
                    </w:rPr>
                    <w:t>3851</w:t>
                  </w:r>
                </w:p>
              </w:tc>
              <w:tc>
                <w:tcPr>
                  <w:tcW w:w="550" w:type="pct"/>
                  <w:tcBorders>
                    <w:tl2br w:val="nil"/>
                    <w:tr2bl w:val="nil"/>
                  </w:tcBorders>
                  <w:vAlign w:val="center"/>
                </w:tcPr>
                <w:p>
                  <w:pPr>
                    <w:jc w:val="center"/>
                    <w:rPr>
                      <w:rFonts w:cs="Times New Roman"/>
                      <w:szCs w:val="21"/>
                    </w:rPr>
                  </w:pPr>
                  <w:r>
                    <w:rPr>
                      <w:rFonts w:cs="Times New Roman"/>
                      <w:szCs w:val="21"/>
                    </w:rPr>
                    <w:t>3417</w:t>
                  </w:r>
                </w:p>
              </w:tc>
              <w:tc>
                <w:tcPr>
                  <w:tcW w:w="48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restart"/>
                  <w:tcBorders>
                    <w:tl2br w:val="nil"/>
                    <w:tr2bl w:val="nil"/>
                  </w:tcBorders>
                  <w:vAlign w:val="center"/>
                </w:tcPr>
                <w:p>
                  <w:pPr>
                    <w:jc w:val="center"/>
                    <w:rPr>
                      <w:rFonts w:cs="Times New Roman"/>
                      <w:szCs w:val="21"/>
                    </w:rPr>
                  </w:pPr>
                  <w:r>
                    <w:rPr>
                      <w:rFonts w:cs="Times New Roman"/>
                      <w:szCs w:val="21"/>
                    </w:rPr>
                    <w:t>挥发性有机物</w:t>
                  </w:r>
                </w:p>
              </w:tc>
              <w:tc>
                <w:tcPr>
                  <w:tcW w:w="630" w:type="pct"/>
                  <w:tcBorders>
                    <w:tl2br w:val="nil"/>
                    <w:tr2bl w:val="nil"/>
                  </w:tcBorders>
                  <w:vAlign w:val="center"/>
                </w:tcPr>
                <w:p>
                  <w:pPr>
                    <w:jc w:val="center"/>
                    <w:rPr>
                      <w:rFonts w:cs="Times New Roman"/>
                      <w:szCs w:val="21"/>
                    </w:rPr>
                  </w:pPr>
                  <w:r>
                    <w:rPr>
                      <w:rFonts w:cs="Times New Roman"/>
                      <w:szCs w:val="21"/>
                    </w:rPr>
                    <w:t>实测浓度</w:t>
                  </w:r>
                </w:p>
              </w:tc>
              <w:tc>
                <w:tcPr>
                  <w:tcW w:w="488" w:type="pct"/>
                  <w:tcBorders>
                    <w:tl2br w:val="nil"/>
                    <w:tr2bl w:val="nil"/>
                  </w:tcBorders>
                  <w:vAlign w:val="center"/>
                </w:tcPr>
                <w:p>
                  <w:pPr>
                    <w:jc w:val="center"/>
                    <w:rPr>
                      <w:rFonts w:cs="Times New Roman"/>
                      <w:szCs w:val="21"/>
                    </w:rPr>
                  </w:pPr>
                  <w:r>
                    <w:rPr>
                      <w:rFonts w:cs="Times New Roman"/>
                      <w:spacing w:val="-12"/>
                      <w:szCs w:val="21"/>
                    </w:rPr>
                    <w:t>mg/m</w:t>
                  </w:r>
                  <w:r>
                    <w:rPr>
                      <w:rFonts w:cs="Times New Roman"/>
                      <w:spacing w:val="-12"/>
                      <w:szCs w:val="21"/>
                      <w:vertAlign w:val="superscript"/>
                    </w:rPr>
                    <w:t>3</w:t>
                  </w:r>
                </w:p>
              </w:tc>
              <w:tc>
                <w:tcPr>
                  <w:tcW w:w="569" w:type="pct"/>
                  <w:tcBorders>
                    <w:tl2br w:val="nil"/>
                    <w:tr2bl w:val="nil"/>
                  </w:tcBorders>
                  <w:vAlign w:val="center"/>
                </w:tcPr>
                <w:p>
                  <w:pPr>
                    <w:jc w:val="center"/>
                    <w:rPr>
                      <w:rFonts w:cs="Times New Roman"/>
                      <w:szCs w:val="21"/>
                    </w:rPr>
                  </w:pPr>
                  <w:r>
                    <w:rPr>
                      <w:rFonts w:cs="Times New Roman"/>
                      <w:szCs w:val="21"/>
                    </w:rPr>
                    <w:t>0..027</w:t>
                  </w:r>
                </w:p>
              </w:tc>
              <w:tc>
                <w:tcPr>
                  <w:tcW w:w="569" w:type="pct"/>
                  <w:tcBorders>
                    <w:tl2br w:val="nil"/>
                    <w:tr2bl w:val="nil"/>
                  </w:tcBorders>
                  <w:vAlign w:val="center"/>
                </w:tcPr>
                <w:p>
                  <w:pPr>
                    <w:jc w:val="center"/>
                    <w:rPr>
                      <w:rFonts w:cs="Times New Roman"/>
                      <w:szCs w:val="21"/>
                    </w:rPr>
                  </w:pPr>
                  <w:r>
                    <w:rPr>
                      <w:rFonts w:cs="Times New Roman"/>
                      <w:szCs w:val="21"/>
                    </w:rPr>
                    <w:t>0.029</w:t>
                  </w:r>
                </w:p>
              </w:tc>
              <w:tc>
                <w:tcPr>
                  <w:tcW w:w="572" w:type="pct"/>
                  <w:tcBorders>
                    <w:tl2br w:val="nil"/>
                    <w:tr2bl w:val="nil"/>
                  </w:tcBorders>
                  <w:vAlign w:val="center"/>
                </w:tcPr>
                <w:p>
                  <w:pPr>
                    <w:jc w:val="center"/>
                    <w:rPr>
                      <w:rFonts w:cs="Times New Roman"/>
                      <w:szCs w:val="21"/>
                    </w:rPr>
                  </w:pPr>
                  <w:r>
                    <w:rPr>
                      <w:rFonts w:cs="Times New Roman"/>
                      <w:szCs w:val="21"/>
                    </w:rPr>
                    <w:t>0.025</w:t>
                  </w:r>
                </w:p>
              </w:tc>
              <w:tc>
                <w:tcPr>
                  <w:tcW w:w="550" w:type="pct"/>
                  <w:tcBorders>
                    <w:tl2br w:val="nil"/>
                    <w:tr2bl w:val="nil"/>
                  </w:tcBorders>
                  <w:vAlign w:val="center"/>
                </w:tcPr>
                <w:p>
                  <w:pPr>
                    <w:jc w:val="center"/>
                    <w:rPr>
                      <w:rFonts w:cs="Times New Roman"/>
                      <w:szCs w:val="21"/>
                    </w:rPr>
                  </w:pPr>
                  <w:r>
                    <w:rPr>
                      <w:rFonts w:cs="Times New Roman"/>
                      <w:szCs w:val="21"/>
                    </w:rPr>
                    <w:t>0.027</w:t>
                  </w:r>
                </w:p>
              </w:tc>
              <w:tc>
                <w:tcPr>
                  <w:tcW w:w="484" w:type="pct"/>
                  <w:tcBorders>
                    <w:tl2br w:val="nil"/>
                    <w:tr2bl w:val="nil"/>
                  </w:tcBorders>
                  <w:vAlign w:val="center"/>
                </w:tcPr>
                <w:p>
                  <w:pPr>
                    <w:jc w:val="center"/>
                    <w:rPr>
                      <w:rFonts w:cs="Times New Roman"/>
                      <w:szCs w:val="21"/>
                    </w:rPr>
                  </w:pPr>
                  <w:r>
                    <w:rPr>
                      <w:rFonts w:cs="Times New Roman"/>
                      <w:szCs w:val="21"/>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8" w:type="pct"/>
                  <w:vMerge w:val="continue"/>
                  <w:tcBorders>
                    <w:tl2br w:val="nil"/>
                    <w:tr2bl w:val="nil"/>
                  </w:tcBorders>
                  <w:vAlign w:val="center"/>
                </w:tcPr>
                <w:p>
                  <w:pPr>
                    <w:jc w:val="center"/>
                    <w:rPr>
                      <w:rFonts w:cs="Times New Roman"/>
                      <w:szCs w:val="21"/>
                    </w:rPr>
                  </w:pPr>
                </w:p>
              </w:tc>
              <w:tc>
                <w:tcPr>
                  <w:tcW w:w="427" w:type="pct"/>
                  <w:vMerge w:val="continue"/>
                  <w:tcBorders>
                    <w:tl2br w:val="nil"/>
                    <w:tr2bl w:val="nil"/>
                  </w:tcBorders>
                  <w:vAlign w:val="center"/>
                </w:tcPr>
                <w:p>
                  <w:pPr>
                    <w:jc w:val="center"/>
                    <w:rPr>
                      <w:rFonts w:cs="Times New Roman"/>
                      <w:szCs w:val="21"/>
                    </w:rPr>
                  </w:pPr>
                </w:p>
              </w:tc>
              <w:tc>
                <w:tcPr>
                  <w:tcW w:w="630" w:type="pct"/>
                  <w:tcBorders>
                    <w:tl2br w:val="nil"/>
                    <w:tr2bl w:val="nil"/>
                  </w:tcBorders>
                  <w:vAlign w:val="center"/>
                </w:tcPr>
                <w:p>
                  <w:pPr>
                    <w:jc w:val="center"/>
                    <w:rPr>
                      <w:rFonts w:cs="Times New Roman"/>
                      <w:szCs w:val="21"/>
                    </w:rPr>
                  </w:pPr>
                  <w:r>
                    <w:rPr>
                      <w:rFonts w:cs="Times New Roman"/>
                      <w:szCs w:val="21"/>
                    </w:rPr>
                    <w:t>排放速率</w:t>
                  </w:r>
                </w:p>
              </w:tc>
              <w:tc>
                <w:tcPr>
                  <w:tcW w:w="488" w:type="pct"/>
                  <w:tcBorders>
                    <w:tl2br w:val="nil"/>
                    <w:tr2bl w:val="nil"/>
                  </w:tcBorders>
                  <w:vAlign w:val="center"/>
                </w:tcPr>
                <w:p>
                  <w:pPr>
                    <w:jc w:val="center"/>
                    <w:rPr>
                      <w:rFonts w:cs="Times New Roman"/>
                      <w:szCs w:val="21"/>
                    </w:rPr>
                  </w:pPr>
                  <w:r>
                    <w:rPr>
                      <w:rFonts w:cs="Times New Roman"/>
                      <w:szCs w:val="21"/>
                    </w:rPr>
                    <w:t>kg/h</w:t>
                  </w:r>
                </w:p>
              </w:tc>
              <w:tc>
                <w:tcPr>
                  <w:tcW w:w="569" w:type="pct"/>
                  <w:tcBorders>
                    <w:tl2br w:val="nil"/>
                    <w:tr2bl w:val="nil"/>
                  </w:tcBorders>
                  <w:vAlign w:val="center"/>
                </w:tcPr>
                <w:p>
                  <w:pPr>
                    <w:ind w:left="-21" w:leftChars="-10" w:right="-21" w:rightChars="-10"/>
                    <w:jc w:val="center"/>
                    <w:rPr>
                      <w:rFonts w:cs="Times New Roman"/>
                      <w:szCs w:val="21"/>
                    </w:rPr>
                  </w:pPr>
                  <w:r>
                    <w:rPr>
                      <w:rFonts w:cs="Times New Roman"/>
                      <w:szCs w:val="21"/>
                    </w:rPr>
                    <w:t>7.85×10-</w:t>
                  </w:r>
                  <w:r>
                    <w:rPr>
                      <w:rFonts w:cs="Times New Roman"/>
                      <w:szCs w:val="21"/>
                      <w:vertAlign w:val="superscript"/>
                    </w:rPr>
                    <w:t>5</w:t>
                  </w:r>
                </w:p>
              </w:tc>
              <w:tc>
                <w:tcPr>
                  <w:tcW w:w="569" w:type="pct"/>
                  <w:tcBorders>
                    <w:tl2br w:val="nil"/>
                    <w:tr2bl w:val="nil"/>
                  </w:tcBorders>
                  <w:vAlign w:val="center"/>
                </w:tcPr>
                <w:p>
                  <w:pPr>
                    <w:ind w:left="-21" w:leftChars="-10" w:right="-21" w:rightChars="-10"/>
                    <w:jc w:val="center"/>
                    <w:rPr>
                      <w:rFonts w:cs="Times New Roman"/>
                      <w:szCs w:val="21"/>
                    </w:rPr>
                  </w:pPr>
                  <w:r>
                    <w:rPr>
                      <w:rFonts w:cs="Times New Roman"/>
                      <w:szCs w:val="21"/>
                    </w:rPr>
                    <w:t>1.01×10-</w:t>
                  </w:r>
                  <w:r>
                    <w:rPr>
                      <w:rFonts w:cs="Times New Roman"/>
                      <w:szCs w:val="21"/>
                      <w:vertAlign w:val="superscript"/>
                    </w:rPr>
                    <w:t>5</w:t>
                  </w:r>
                </w:p>
              </w:tc>
              <w:tc>
                <w:tcPr>
                  <w:tcW w:w="572" w:type="pct"/>
                  <w:tcBorders>
                    <w:tl2br w:val="nil"/>
                    <w:tr2bl w:val="nil"/>
                  </w:tcBorders>
                  <w:vAlign w:val="center"/>
                </w:tcPr>
                <w:p>
                  <w:pPr>
                    <w:ind w:left="-21" w:leftChars="-10" w:right="-21" w:rightChars="-10"/>
                    <w:jc w:val="center"/>
                    <w:rPr>
                      <w:rFonts w:cs="Times New Roman"/>
                      <w:szCs w:val="21"/>
                    </w:rPr>
                  </w:pPr>
                  <w:r>
                    <w:rPr>
                      <w:rFonts w:cs="Times New Roman"/>
                      <w:szCs w:val="21"/>
                    </w:rPr>
                    <w:t>9.63×10</w:t>
                  </w:r>
                  <w:r>
                    <w:rPr>
                      <w:rFonts w:cs="Times New Roman"/>
                      <w:szCs w:val="21"/>
                      <w:vertAlign w:val="superscript"/>
                    </w:rPr>
                    <w:t>-5</w:t>
                  </w:r>
                </w:p>
              </w:tc>
              <w:tc>
                <w:tcPr>
                  <w:tcW w:w="550" w:type="pct"/>
                  <w:tcBorders>
                    <w:tl2br w:val="nil"/>
                    <w:tr2bl w:val="nil"/>
                  </w:tcBorders>
                  <w:vAlign w:val="center"/>
                </w:tcPr>
                <w:p>
                  <w:pPr>
                    <w:ind w:left="-105" w:leftChars="-50" w:right="-105" w:rightChars="-50"/>
                    <w:jc w:val="center"/>
                    <w:rPr>
                      <w:rFonts w:cs="Times New Roman"/>
                      <w:szCs w:val="21"/>
                    </w:rPr>
                  </w:pPr>
                  <w:r>
                    <w:rPr>
                      <w:rFonts w:cs="Times New Roman"/>
                      <w:szCs w:val="21"/>
                    </w:rPr>
                    <w:t>9.20×10</w:t>
                  </w:r>
                  <w:r>
                    <w:rPr>
                      <w:rFonts w:cs="Times New Roman"/>
                      <w:szCs w:val="21"/>
                      <w:vertAlign w:val="superscript"/>
                    </w:rPr>
                    <w:t>-5</w:t>
                  </w:r>
                </w:p>
              </w:tc>
              <w:tc>
                <w:tcPr>
                  <w:tcW w:w="484" w:type="pct"/>
                  <w:tcBorders>
                    <w:tl2br w:val="nil"/>
                    <w:tr2bl w:val="nil"/>
                  </w:tcBorders>
                  <w:vAlign w:val="center"/>
                </w:tcPr>
                <w:p>
                  <w:pPr>
                    <w:jc w:val="center"/>
                    <w:rPr>
                      <w:rFonts w:cs="Times New Roman"/>
                      <w:szCs w:val="21"/>
                    </w:rPr>
                  </w:pPr>
                  <w:r>
                    <w:rPr>
                      <w:rFonts w:cs="Times New Roman"/>
                      <w:szCs w:val="21"/>
                    </w:rPr>
                    <w:t>3.4</w:t>
                  </w:r>
                </w:p>
              </w:tc>
            </w:tr>
          </w:tbl>
          <w:p>
            <w:pPr>
              <w:spacing w:line="360" w:lineRule="auto"/>
              <w:ind w:firstLine="480" w:firstLineChars="200"/>
              <w:rPr>
                <w:rFonts w:cs="Times New Roman"/>
                <w:sz w:val="24"/>
                <w:szCs w:val="24"/>
              </w:rPr>
            </w:pPr>
            <w:r>
              <w:rPr>
                <w:rFonts w:cs="Times New Roman"/>
                <w:sz w:val="24"/>
                <w:szCs w:val="24"/>
              </w:rPr>
              <w:t>无组织废气监测结果如下：</w:t>
            </w:r>
          </w:p>
          <w:p>
            <w:pPr>
              <w:spacing w:line="360" w:lineRule="auto"/>
              <w:jc w:val="center"/>
              <w:rPr>
                <w:rFonts w:cs="Times New Roman"/>
                <w:b/>
                <w:bCs/>
                <w:sz w:val="24"/>
                <w:szCs w:val="24"/>
              </w:rPr>
            </w:pPr>
            <w:r>
              <w:rPr>
                <w:rFonts w:cs="Times New Roman"/>
                <w:b/>
                <w:bCs/>
                <w:sz w:val="24"/>
                <w:szCs w:val="24"/>
              </w:rPr>
              <w:t>表2-15 无组织废气监测结果表  单位：mg/m</w:t>
            </w:r>
            <w:r>
              <w:rPr>
                <w:rFonts w:cs="Times New Roman"/>
                <w:b/>
                <w:bCs/>
                <w:sz w:val="24"/>
                <w:szCs w:val="24"/>
                <w:vertAlign w:val="superscript"/>
              </w:rPr>
              <w:t>3</w:t>
            </w:r>
          </w:p>
          <w:tbl>
            <w:tblPr>
              <w:tblStyle w:val="26"/>
              <w:tblW w:w="87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2835"/>
              <w:gridCol w:w="1134"/>
              <w:gridCol w:w="1134"/>
              <w:gridCol w:w="1134"/>
              <w:gridCol w:w="708"/>
              <w:gridCol w:w="6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4" w:type="dxa"/>
                  <w:vMerge w:val="restart"/>
                  <w:tcBorders>
                    <w:tl2br w:val="nil"/>
                    <w:tr2bl w:val="nil"/>
                  </w:tcBorders>
                  <w:vAlign w:val="center"/>
                </w:tcPr>
                <w:p>
                  <w:pPr>
                    <w:jc w:val="center"/>
                    <w:rPr>
                      <w:rFonts w:cs="Times New Roman"/>
                      <w:b/>
                      <w:szCs w:val="21"/>
                    </w:rPr>
                  </w:pPr>
                  <w:r>
                    <w:rPr>
                      <w:rFonts w:cs="Times New Roman"/>
                      <w:b/>
                      <w:szCs w:val="21"/>
                    </w:rPr>
                    <w:t>检测因子</w:t>
                  </w:r>
                </w:p>
              </w:tc>
              <w:tc>
                <w:tcPr>
                  <w:tcW w:w="2835" w:type="dxa"/>
                  <w:vMerge w:val="restart"/>
                  <w:tcBorders>
                    <w:tl2br w:val="nil"/>
                    <w:tr2bl w:val="nil"/>
                  </w:tcBorders>
                  <w:vAlign w:val="center"/>
                </w:tcPr>
                <w:p>
                  <w:pPr>
                    <w:ind w:left="-25" w:leftChars="-12"/>
                    <w:jc w:val="center"/>
                    <w:rPr>
                      <w:rFonts w:cs="Times New Roman"/>
                      <w:b/>
                      <w:szCs w:val="21"/>
                    </w:rPr>
                  </w:pPr>
                  <w:r>
                    <w:rPr>
                      <w:rFonts w:cs="Times New Roman"/>
                      <w:b/>
                      <w:bCs/>
                      <w:szCs w:val="21"/>
                    </w:rPr>
                    <w:t>检</w:t>
                  </w:r>
                  <w:r>
                    <w:rPr>
                      <w:rFonts w:cs="Times New Roman"/>
                      <w:b/>
                      <w:szCs w:val="21"/>
                    </w:rPr>
                    <w:t>测点编号及位置</w:t>
                  </w:r>
                </w:p>
              </w:tc>
              <w:tc>
                <w:tcPr>
                  <w:tcW w:w="3402" w:type="dxa"/>
                  <w:gridSpan w:val="3"/>
                  <w:tcBorders>
                    <w:tl2br w:val="nil"/>
                    <w:tr2bl w:val="nil"/>
                  </w:tcBorders>
                  <w:vAlign w:val="center"/>
                </w:tcPr>
                <w:p>
                  <w:pPr>
                    <w:jc w:val="center"/>
                    <w:rPr>
                      <w:rFonts w:cs="Times New Roman"/>
                      <w:b/>
                      <w:szCs w:val="21"/>
                    </w:rPr>
                  </w:pPr>
                  <w:r>
                    <w:rPr>
                      <w:rFonts w:cs="Times New Roman"/>
                      <w:b/>
                      <w:kern w:val="0"/>
                      <w:szCs w:val="21"/>
                    </w:rPr>
                    <w:t>检测数据</w:t>
                  </w:r>
                </w:p>
              </w:tc>
              <w:tc>
                <w:tcPr>
                  <w:tcW w:w="708" w:type="dxa"/>
                  <w:vMerge w:val="restart"/>
                  <w:tcBorders>
                    <w:tl2br w:val="nil"/>
                    <w:tr2bl w:val="nil"/>
                  </w:tcBorders>
                  <w:vAlign w:val="center"/>
                </w:tcPr>
                <w:p>
                  <w:pPr>
                    <w:jc w:val="center"/>
                    <w:rPr>
                      <w:rFonts w:cs="Times New Roman"/>
                      <w:b/>
                      <w:szCs w:val="21"/>
                    </w:rPr>
                  </w:pPr>
                  <w:r>
                    <w:rPr>
                      <w:rFonts w:cs="Times New Roman"/>
                      <w:b/>
                      <w:szCs w:val="21"/>
                    </w:rPr>
                    <w:t>检测</w:t>
                  </w:r>
                </w:p>
                <w:p>
                  <w:pPr>
                    <w:jc w:val="center"/>
                    <w:rPr>
                      <w:rFonts w:cs="Times New Roman"/>
                      <w:b/>
                      <w:szCs w:val="21"/>
                    </w:rPr>
                  </w:pPr>
                  <w:r>
                    <w:rPr>
                      <w:rFonts w:cs="Times New Roman"/>
                      <w:b/>
                      <w:szCs w:val="21"/>
                    </w:rPr>
                    <w:t>结果</w:t>
                  </w:r>
                </w:p>
              </w:tc>
              <w:tc>
                <w:tcPr>
                  <w:tcW w:w="676" w:type="dxa"/>
                  <w:vMerge w:val="restart"/>
                  <w:tcBorders>
                    <w:tl2br w:val="nil"/>
                    <w:tr2bl w:val="nil"/>
                  </w:tcBorders>
                  <w:vAlign w:val="center"/>
                </w:tcPr>
                <w:p>
                  <w:pPr>
                    <w:jc w:val="center"/>
                    <w:rPr>
                      <w:rFonts w:cs="Times New Roman"/>
                      <w:b/>
                      <w:szCs w:val="21"/>
                    </w:rPr>
                  </w:pPr>
                  <w:r>
                    <w:rPr>
                      <w:rFonts w:cs="Times New Roman"/>
                      <w:b/>
                      <w:szCs w:val="21"/>
                    </w:rPr>
                    <w:t>排放</w:t>
                  </w:r>
                </w:p>
                <w:p>
                  <w:pPr>
                    <w:jc w:val="center"/>
                    <w:rPr>
                      <w:rFonts w:cs="Times New Roman"/>
                      <w:b/>
                      <w:szCs w:val="21"/>
                    </w:rPr>
                  </w:pPr>
                  <w:r>
                    <w:rPr>
                      <w:rFonts w:cs="Times New Roman"/>
                      <w:b/>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4" w:type="dxa"/>
                  <w:vMerge w:val="continue"/>
                  <w:tcBorders>
                    <w:tl2br w:val="nil"/>
                    <w:tr2bl w:val="nil"/>
                  </w:tcBorders>
                  <w:vAlign w:val="center"/>
                </w:tcPr>
                <w:p>
                  <w:pPr>
                    <w:jc w:val="center"/>
                    <w:rPr>
                      <w:rFonts w:cs="Times New Roman"/>
                      <w:szCs w:val="21"/>
                    </w:rPr>
                  </w:pPr>
                </w:p>
              </w:tc>
              <w:tc>
                <w:tcPr>
                  <w:tcW w:w="2835" w:type="dxa"/>
                  <w:vMerge w:val="continue"/>
                  <w:tcBorders>
                    <w:tl2br w:val="nil"/>
                    <w:tr2bl w:val="nil"/>
                  </w:tcBorders>
                  <w:vAlign w:val="center"/>
                </w:tcPr>
                <w:p>
                  <w:pPr>
                    <w:jc w:val="center"/>
                    <w:rPr>
                      <w:rFonts w:cs="Times New Roman"/>
                      <w:szCs w:val="21"/>
                    </w:rPr>
                  </w:pPr>
                </w:p>
              </w:tc>
              <w:tc>
                <w:tcPr>
                  <w:tcW w:w="1134" w:type="dxa"/>
                  <w:tcBorders>
                    <w:tl2br w:val="nil"/>
                    <w:tr2bl w:val="nil"/>
                  </w:tcBorders>
                  <w:vAlign w:val="center"/>
                </w:tcPr>
                <w:p>
                  <w:pPr>
                    <w:jc w:val="center"/>
                    <w:rPr>
                      <w:rFonts w:cs="Times New Roman"/>
                      <w:b/>
                      <w:szCs w:val="21"/>
                    </w:rPr>
                  </w:pPr>
                  <w:r>
                    <w:rPr>
                      <w:rFonts w:cs="Times New Roman"/>
                      <w:b/>
                      <w:szCs w:val="21"/>
                    </w:rPr>
                    <w:t>第一次</w:t>
                  </w:r>
                </w:p>
              </w:tc>
              <w:tc>
                <w:tcPr>
                  <w:tcW w:w="1134" w:type="dxa"/>
                  <w:tcBorders>
                    <w:tl2br w:val="nil"/>
                    <w:tr2bl w:val="nil"/>
                  </w:tcBorders>
                  <w:vAlign w:val="center"/>
                </w:tcPr>
                <w:p>
                  <w:pPr>
                    <w:jc w:val="center"/>
                    <w:rPr>
                      <w:rFonts w:cs="Times New Roman"/>
                      <w:b/>
                      <w:szCs w:val="21"/>
                    </w:rPr>
                  </w:pPr>
                  <w:r>
                    <w:rPr>
                      <w:rFonts w:cs="Times New Roman"/>
                      <w:b/>
                      <w:szCs w:val="21"/>
                    </w:rPr>
                    <w:t>第二次</w:t>
                  </w:r>
                </w:p>
              </w:tc>
              <w:tc>
                <w:tcPr>
                  <w:tcW w:w="1134" w:type="dxa"/>
                  <w:tcBorders>
                    <w:tl2br w:val="nil"/>
                    <w:tr2bl w:val="nil"/>
                  </w:tcBorders>
                  <w:vAlign w:val="center"/>
                </w:tcPr>
                <w:p>
                  <w:pPr>
                    <w:rPr>
                      <w:rFonts w:cs="Times New Roman"/>
                      <w:b/>
                      <w:szCs w:val="21"/>
                    </w:rPr>
                  </w:pPr>
                  <w:r>
                    <w:rPr>
                      <w:rFonts w:cs="Times New Roman"/>
                      <w:b/>
                      <w:szCs w:val="21"/>
                    </w:rPr>
                    <w:t>第三次</w:t>
                  </w:r>
                </w:p>
              </w:tc>
              <w:tc>
                <w:tcPr>
                  <w:tcW w:w="708" w:type="dxa"/>
                  <w:vMerge w:val="continue"/>
                  <w:tcBorders>
                    <w:tl2br w:val="nil"/>
                    <w:tr2bl w:val="nil"/>
                  </w:tcBorders>
                  <w:vAlign w:val="center"/>
                </w:tcPr>
                <w:p>
                  <w:pPr>
                    <w:jc w:val="center"/>
                    <w:rPr>
                      <w:rFonts w:cs="Times New Roman"/>
                      <w:b/>
                      <w:szCs w:val="21"/>
                    </w:rPr>
                  </w:pPr>
                </w:p>
              </w:tc>
              <w:tc>
                <w:tcPr>
                  <w:tcW w:w="676" w:type="dxa"/>
                  <w:vMerge w:val="continue"/>
                  <w:tcBorders>
                    <w:tl2br w:val="nil"/>
                    <w:tr2bl w:val="nil"/>
                  </w:tcBorders>
                  <w:vAlign w:val="center"/>
                </w:tcPr>
                <w:p>
                  <w:pPr>
                    <w:jc w:val="center"/>
                    <w:rPr>
                      <w:rFonts w:cs="Times New Roman"/>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04" w:type="dxa"/>
                  <w:vMerge w:val="restart"/>
                  <w:tcBorders>
                    <w:tl2br w:val="nil"/>
                    <w:tr2bl w:val="nil"/>
                  </w:tcBorders>
                  <w:vAlign w:val="center"/>
                </w:tcPr>
                <w:p>
                  <w:pPr>
                    <w:jc w:val="center"/>
                    <w:rPr>
                      <w:rFonts w:cs="Times New Roman"/>
                      <w:szCs w:val="21"/>
                    </w:rPr>
                  </w:pPr>
                  <w:r>
                    <w:rPr>
                      <w:rFonts w:cs="Times New Roman"/>
                      <w:szCs w:val="21"/>
                    </w:rPr>
                    <w:t>颗粒物</w:t>
                  </w:r>
                </w:p>
              </w:tc>
              <w:tc>
                <w:tcPr>
                  <w:tcW w:w="2835" w:type="dxa"/>
                  <w:tcBorders>
                    <w:tl2br w:val="nil"/>
                    <w:tr2bl w:val="nil"/>
                  </w:tcBorders>
                  <w:vAlign w:val="center"/>
                </w:tcPr>
                <w:p>
                  <w:pPr>
                    <w:jc w:val="center"/>
                    <w:rPr>
                      <w:rFonts w:cs="Times New Roman"/>
                      <w:szCs w:val="21"/>
                    </w:rPr>
                  </w:pPr>
                  <w:r>
                    <w:rPr>
                      <w:rFonts w:cs="Times New Roman"/>
                      <w:szCs w:val="21"/>
                    </w:rPr>
                    <w:t>1#，项目厂界外下风向5m处</w:t>
                  </w:r>
                </w:p>
              </w:tc>
              <w:tc>
                <w:tcPr>
                  <w:tcW w:w="1134" w:type="dxa"/>
                  <w:tcBorders>
                    <w:tl2br w:val="nil"/>
                    <w:tr2bl w:val="nil"/>
                  </w:tcBorders>
                  <w:vAlign w:val="center"/>
                </w:tcPr>
                <w:p>
                  <w:pPr>
                    <w:jc w:val="center"/>
                    <w:rPr>
                      <w:rFonts w:cs="Times New Roman"/>
                      <w:szCs w:val="21"/>
                    </w:rPr>
                  </w:pPr>
                  <w:r>
                    <w:rPr>
                      <w:rFonts w:cs="Times New Roman"/>
                      <w:szCs w:val="21"/>
                    </w:rPr>
                    <w:t>0.254</w:t>
                  </w:r>
                </w:p>
              </w:tc>
              <w:tc>
                <w:tcPr>
                  <w:tcW w:w="1134" w:type="dxa"/>
                  <w:tcBorders>
                    <w:tl2br w:val="nil"/>
                    <w:tr2bl w:val="nil"/>
                  </w:tcBorders>
                  <w:vAlign w:val="center"/>
                </w:tcPr>
                <w:p>
                  <w:pPr>
                    <w:jc w:val="center"/>
                    <w:rPr>
                      <w:rFonts w:cs="Times New Roman"/>
                      <w:szCs w:val="21"/>
                    </w:rPr>
                  </w:pPr>
                  <w:r>
                    <w:rPr>
                      <w:rFonts w:cs="Times New Roman"/>
                      <w:szCs w:val="21"/>
                    </w:rPr>
                    <w:t>0.310</w:t>
                  </w:r>
                </w:p>
              </w:tc>
              <w:tc>
                <w:tcPr>
                  <w:tcW w:w="1134" w:type="dxa"/>
                  <w:tcBorders>
                    <w:tl2br w:val="nil"/>
                    <w:tr2bl w:val="nil"/>
                  </w:tcBorders>
                  <w:vAlign w:val="center"/>
                </w:tcPr>
                <w:p>
                  <w:pPr>
                    <w:jc w:val="center"/>
                    <w:rPr>
                      <w:rFonts w:cs="Times New Roman"/>
                      <w:szCs w:val="21"/>
                    </w:rPr>
                  </w:pPr>
                  <w:r>
                    <w:rPr>
                      <w:rFonts w:cs="Times New Roman"/>
                      <w:szCs w:val="21"/>
                    </w:rPr>
                    <w:t>0.292</w:t>
                  </w:r>
                </w:p>
              </w:tc>
              <w:tc>
                <w:tcPr>
                  <w:tcW w:w="708" w:type="dxa"/>
                  <w:vMerge w:val="restart"/>
                  <w:tcBorders>
                    <w:tl2br w:val="nil"/>
                    <w:tr2bl w:val="nil"/>
                  </w:tcBorders>
                  <w:vAlign w:val="center"/>
                </w:tcPr>
                <w:p>
                  <w:pPr>
                    <w:jc w:val="center"/>
                    <w:rPr>
                      <w:rFonts w:cs="Times New Roman"/>
                      <w:szCs w:val="21"/>
                    </w:rPr>
                  </w:pPr>
                  <w:r>
                    <w:rPr>
                      <w:rFonts w:cs="Times New Roman"/>
                      <w:szCs w:val="21"/>
                    </w:rPr>
                    <w:t>0.348</w:t>
                  </w:r>
                </w:p>
              </w:tc>
              <w:tc>
                <w:tcPr>
                  <w:tcW w:w="676" w:type="dxa"/>
                  <w:vMerge w:val="restart"/>
                  <w:tcBorders>
                    <w:tl2br w:val="nil"/>
                    <w:tr2bl w:val="nil"/>
                  </w:tcBorders>
                  <w:vAlign w:val="center"/>
                </w:tcPr>
                <w:p>
                  <w:pPr>
                    <w:jc w:val="center"/>
                    <w:rPr>
                      <w:rFonts w:cs="Times New Roman"/>
                      <w:b/>
                      <w:szCs w:val="21"/>
                    </w:rPr>
                  </w:pPr>
                  <w:r>
                    <w:rPr>
                      <w:rFonts w:cs="Times New Roman"/>
                      <w:bCs/>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tcBorders>
                    <w:tl2br w:val="nil"/>
                    <w:tr2bl w:val="nil"/>
                  </w:tcBorders>
                  <w:vAlign w:val="center"/>
                </w:tcPr>
                <w:p>
                  <w:pPr>
                    <w:jc w:val="center"/>
                    <w:rPr>
                      <w:rFonts w:cs="Times New Roman"/>
                      <w:szCs w:val="21"/>
                    </w:rPr>
                  </w:pPr>
                </w:p>
              </w:tc>
              <w:tc>
                <w:tcPr>
                  <w:tcW w:w="2835" w:type="dxa"/>
                  <w:tcBorders>
                    <w:tl2br w:val="nil"/>
                    <w:tr2bl w:val="nil"/>
                  </w:tcBorders>
                  <w:vAlign w:val="center"/>
                </w:tcPr>
                <w:p>
                  <w:pPr>
                    <w:jc w:val="center"/>
                    <w:rPr>
                      <w:rFonts w:cs="Times New Roman"/>
                      <w:szCs w:val="21"/>
                    </w:rPr>
                  </w:pPr>
                  <w:r>
                    <w:rPr>
                      <w:rFonts w:cs="Times New Roman"/>
                      <w:szCs w:val="21"/>
                    </w:rPr>
                    <w:t>2#，项目厂界外下风向5m处</w:t>
                  </w:r>
                </w:p>
              </w:tc>
              <w:tc>
                <w:tcPr>
                  <w:tcW w:w="1134" w:type="dxa"/>
                  <w:tcBorders>
                    <w:tl2br w:val="nil"/>
                    <w:tr2bl w:val="nil"/>
                  </w:tcBorders>
                  <w:vAlign w:val="center"/>
                </w:tcPr>
                <w:p>
                  <w:pPr>
                    <w:jc w:val="center"/>
                    <w:rPr>
                      <w:rFonts w:cs="Times New Roman"/>
                      <w:szCs w:val="21"/>
                    </w:rPr>
                  </w:pPr>
                  <w:r>
                    <w:rPr>
                      <w:rFonts w:cs="Times New Roman"/>
                      <w:szCs w:val="21"/>
                    </w:rPr>
                    <w:t>0.291</w:t>
                  </w:r>
                </w:p>
              </w:tc>
              <w:tc>
                <w:tcPr>
                  <w:tcW w:w="1134" w:type="dxa"/>
                  <w:tcBorders>
                    <w:tl2br w:val="nil"/>
                    <w:tr2bl w:val="nil"/>
                  </w:tcBorders>
                  <w:vAlign w:val="center"/>
                </w:tcPr>
                <w:p>
                  <w:pPr>
                    <w:jc w:val="center"/>
                    <w:rPr>
                      <w:rFonts w:cs="Times New Roman"/>
                      <w:szCs w:val="21"/>
                    </w:rPr>
                  </w:pPr>
                  <w:r>
                    <w:rPr>
                      <w:rFonts w:cs="Times New Roman"/>
                      <w:szCs w:val="21"/>
                    </w:rPr>
                    <w:t>0.275</w:t>
                  </w:r>
                </w:p>
              </w:tc>
              <w:tc>
                <w:tcPr>
                  <w:tcW w:w="1134" w:type="dxa"/>
                  <w:tcBorders>
                    <w:tl2br w:val="nil"/>
                    <w:tr2bl w:val="nil"/>
                  </w:tcBorders>
                  <w:vAlign w:val="center"/>
                </w:tcPr>
                <w:p>
                  <w:pPr>
                    <w:jc w:val="center"/>
                    <w:rPr>
                      <w:rFonts w:cs="Times New Roman"/>
                      <w:szCs w:val="21"/>
                    </w:rPr>
                  </w:pPr>
                  <w:r>
                    <w:rPr>
                      <w:rFonts w:cs="Times New Roman"/>
                      <w:szCs w:val="21"/>
                    </w:rPr>
                    <w:t>0.348</w:t>
                  </w:r>
                </w:p>
              </w:tc>
              <w:tc>
                <w:tcPr>
                  <w:tcW w:w="708" w:type="dxa"/>
                  <w:vMerge w:val="continue"/>
                  <w:tcBorders>
                    <w:tl2br w:val="nil"/>
                    <w:tr2bl w:val="nil"/>
                  </w:tcBorders>
                  <w:vAlign w:val="center"/>
                </w:tcPr>
                <w:p>
                  <w:pPr>
                    <w:jc w:val="center"/>
                    <w:rPr>
                      <w:rFonts w:cs="Times New Roman"/>
                      <w:szCs w:val="21"/>
                    </w:rPr>
                  </w:pPr>
                </w:p>
              </w:tc>
              <w:tc>
                <w:tcPr>
                  <w:tcW w:w="676" w:type="dxa"/>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04" w:type="dxa"/>
                  <w:vMerge w:val="continue"/>
                  <w:tcBorders>
                    <w:tl2br w:val="nil"/>
                    <w:tr2bl w:val="nil"/>
                  </w:tcBorders>
                  <w:vAlign w:val="center"/>
                </w:tcPr>
                <w:p>
                  <w:pPr>
                    <w:ind w:left="-97" w:leftChars="-46" w:right="-103" w:rightChars="-49"/>
                    <w:jc w:val="center"/>
                    <w:rPr>
                      <w:rFonts w:cs="Times New Roman"/>
                      <w:szCs w:val="21"/>
                    </w:rPr>
                  </w:pPr>
                </w:p>
              </w:tc>
              <w:tc>
                <w:tcPr>
                  <w:tcW w:w="2835" w:type="dxa"/>
                  <w:tcBorders>
                    <w:tl2br w:val="nil"/>
                    <w:tr2bl w:val="nil"/>
                  </w:tcBorders>
                  <w:vAlign w:val="center"/>
                </w:tcPr>
                <w:p>
                  <w:pPr>
                    <w:jc w:val="center"/>
                    <w:rPr>
                      <w:rFonts w:cs="Times New Roman"/>
                      <w:szCs w:val="21"/>
                    </w:rPr>
                  </w:pPr>
                  <w:r>
                    <w:rPr>
                      <w:rFonts w:cs="Times New Roman"/>
                      <w:szCs w:val="21"/>
                    </w:rPr>
                    <w:t>3#，项目厂界外下风向5m处</w:t>
                  </w:r>
                </w:p>
              </w:tc>
              <w:tc>
                <w:tcPr>
                  <w:tcW w:w="1134" w:type="dxa"/>
                  <w:tcBorders>
                    <w:tl2br w:val="nil"/>
                    <w:tr2bl w:val="nil"/>
                  </w:tcBorders>
                  <w:vAlign w:val="center"/>
                </w:tcPr>
                <w:p>
                  <w:pPr>
                    <w:jc w:val="center"/>
                    <w:rPr>
                      <w:rFonts w:cs="Times New Roman"/>
                      <w:szCs w:val="21"/>
                    </w:rPr>
                  </w:pPr>
                  <w:r>
                    <w:rPr>
                      <w:rFonts w:cs="Times New Roman"/>
                      <w:szCs w:val="21"/>
                    </w:rPr>
                    <w:t>0.329</w:t>
                  </w:r>
                </w:p>
              </w:tc>
              <w:tc>
                <w:tcPr>
                  <w:tcW w:w="1134" w:type="dxa"/>
                  <w:tcBorders>
                    <w:tl2br w:val="nil"/>
                    <w:tr2bl w:val="nil"/>
                  </w:tcBorders>
                  <w:vAlign w:val="center"/>
                </w:tcPr>
                <w:p>
                  <w:pPr>
                    <w:jc w:val="center"/>
                    <w:rPr>
                      <w:rFonts w:cs="Times New Roman"/>
                      <w:szCs w:val="21"/>
                    </w:rPr>
                  </w:pPr>
                  <w:r>
                    <w:rPr>
                      <w:rFonts w:cs="Times New Roman"/>
                      <w:szCs w:val="21"/>
                    </w:rPr>
                    <w:t>0.293</w:t>
                  </w:r>
                </w:p>
              </w:tc>
              <w:tc>
                <w:tcPr>
                  <w:tcW w:w="1134" w:type="dxa"/>
                  <w:tcBorders>
                    <w:tl2br w:val="nil"/>
                    <w:tr2bl w:val="nil"/>
                  </w:tcBorders>
                  <w:vAlign w:val="center"/>
                </w:tcPr>
                <w:p>
                  <w:pPr>
                    <w:jc w:val="center"/>
                    <w:rPr>
                      <w:rFonts w:cs="Times New Roman"/>
                      <w:szCs w:val="21"/>
                    </w:rPr>
                  </w:pPr>
                  <w:r>
                    <w:rPr>
                      <w:rFonts w:cs="Times New Roman"/>
                      <w:szCs w:val="21"/>
                    </w:rPr>
                    <w:t>0.257</w:t>
                  </w:r>
                </w:p>
              </w:tc>
              <w:tc>
                <w:tcPr>
                  <w:tcW w:w="708" w:type="dxa"/>
                  <w:vMerge w:val="continue"/>
                  <w:tcBorders>
                    <w:tl2br w:val="nil"/>
                    <w:tr2bl w:val="nil"/>
                  </w:tcBorders>
                  <w:vAlign w:val="center"/>
                </w:tcPr>
                <w:p>
                  <w:pPr>
                    <w:jc w:val="center"/>
                    <w:rPr>
                      <w:rFonts w:cs="Times New Roman"/>
                      <w:szCs w:val="21"/>
                    </w:rPr>
                  </w:pPr>
                </w:p>
              </w:tc>
              <w:tc>
                <w:tcPr>
                  <w:tcW w:w="676" w:type="dxa"/>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restart"/>
                  <w:tcBorders>
                    <w:tl2br w:val="nil"/>
                    <w:tr2bl w:val="nil"/>
                  </w:tcBorders>
                  <w:vAlign w:val="center"/>
                </w:tcPr>
                <w:p>
                  <w:pPr>
                    <w:ind w:left="-97" w:leftChars="-46" w:right="-103" w:rightChars="-49"/>
                    <w:jc w:val="center"/>
                    <w:rPr>
                      <w:rFonts w:cs="Times New Roman"/>
                      <w:szCs w:val="21"/>
                    </w:rPr>
                  </w:pPr>
                  <w:r>
                    <w:rPr>
                      <w:rFonts w:cs="Times New Roman"/>
                      <w:szCs w:val="21"/>
                    </w:rPr>
                    <w:t>挥发性有机物</w:t>
                  </w:r>
                </w:p>
              </w:tc>
              <w:tc>
                <w:tcPr>
                  <w:tcW w:w="2835" w:type="dxa"/>
                  <w:tcBorders>
                    <w:tl2br w:val="nil"/>
                    <w:tr2bl w:val="nil"/>
                  </w:tcBorders>
                  <w:vAlign w:val="center"/>
                </w:tcPr>
                <w:p>
                  <w:pPr>
                    <w:jc w:val="center"/>
                    <w:rPr>
                      <w:rFonts w:cs="Times New Roman"/>
                      <w:szCs w:val="21"/>
                    </w:rPr>
                  </w:pPr>
                  <w:r>
                    <w:rPr>
                      <w:rFonts w:cs="Times New Roman"/>
                      <w:szCs w:val="21"/>
                    </w:rPr>
                    <w:t>1#，项目厂界外下风向5m处</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0.0206</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0.0238</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0.0233</w:t>
                  </w:r>
                </w:p>
              </w:tc>
              <w:tc>
                <w:tcPr>
                  <w:tcW w:w="708" w:type="dxa"/>
                  <w:vMerge w:val="restart"/>
                  <w:tcBorders>
                    <w:tl2br w:val="nil"/>
                    <w:tr2bl w:val="nil"/>
                  </w:tcBorders>
                  <w:vAlign w:val="center"/>
                </w:tcPr>
                <w:p>
                  <w:pPr>
                    <w:jc w:val="center"/>
                    <w:rPr>
                      <w:rFonts w:cs="Times New Roman"/>
                      <w:szCs w:val="21"/>
                    </w:rPr>
                  </w:pPr>
                  <w:r>
                    <w:rPr>
                      <w:rFonts w:cs="Times New Roman"/>
                      <w:szCs w:val="21"/>
                    </w:rPr>
                    <w:t>0.0328</w:t>
                  </w:r>
                </w:p>
              </w:tc>
              <w:tc>
                <w:tcPr>
                  <w:tcW w:w="676" w:type="dxa"/>
                  <w:vMerge w:val="restart"/>
                  <w:tcBorders>
                    <w:tl2br w:val="nil"/>
                    <w:tr2bl w:val="nil"/>
                  </w:tcBorders>
                  <w:vAlign w:val="center"/>
                </w:tcPr>
                <w:p>
                  <w:pPr>
                    <w:jc w:val="center"/>
                    <w:rPr>
                      <w:rFonts w:cs="Times New Roman"/>
                      <w:szCs w:val="21"/>
                    </w:rPr>
                  </w:pPr>
                  <w:r>
                    <w:rPr>
                      <w:rFonts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4" w:type="dxa"/>
                  <w:vMerge w:val="continue"/>
                  <w:tcBorders>
                    <w:tl2br w:val="nil"/>
                    <w:tr2bl w:val="nil"/>
                  </w:tcBorders>
                  <w:vAlign w:val="center"/>
                </w:tcPr>
                <w:p>
                  <w:pPr>
                    <w:ind w:left="-97" w:leftChars="-46" w:right="-103" w:rightChars="-49"/>
                    <w:jc w:val="center"/>
                    <w:rPr>
                      <w:rFonts w:cs="Times New Roman"/>
                      <w:szCs w:val="21"/>
                    </w:rPr>
                  </w:pPr>
                </w:p>
              </w:tc>
              <w:tc>
                <w:tcPr>
                  <w:tcW w:w="2835" w:type="dxa"/>
                  <w:tcBorders>
                    <w:tl2br w:val="nil"/>
                    <w:tr2bl w:val="nil"/>
                  </w:tcBorders>
                  <w:vAlign w:val="center"/>
                </w:tcPr>
                <w:p>
                  <w:pPr>
                    <w:jc w:val="center"/>
                    <w:rPr>
                      <w:rFonts w:cs="Times New Roman"/>
                      <w:szCs w:val="21"/>
                    </w:rPr>
                  </w:pPr>
                  <w:r>
                    <w:rPr>
                      <w:rFonts w:cs="Times New Roman"/>
                      <w:szCs w:val="21"/>
                    </w:rPr>
                    <w:t>2#，项目厂界外下风向5m处</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0.0241</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0.0231</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0.0206</w:t>
                  </w:r>
                </w:p>
              </w:tc>
              <w:tc>
                <w:tcPr>
                  <w:tcW w:w="708" w:type="dxa"/>
                  <w:vMerge w:val="continue"/>
                  <w:tcBorders>
                    <w:tl2br w:val="nil"/>
                    <w:tr2bl w:val="nil"/>
                  </w:tcBorders>
                  <w:vAlign w:val="center"/>
                </w:tcPr>
                <w:p>
                  <w:pPr>
                    <w:jc w:val="center"/>
                    <w:rPr>
                      <w:rFonts w:cs="Times New Roman"/>
                      <w:szCs w:val="21"/>
                    </w:rPr>
                  </w:pPr>
                </w:p>
              </w:tc>
              <w:tc>
                <w:tcPr>
                  <w:tcW w:w="676" w:type="dxa"/>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104" w:type="dxa"/>
                  <w:vMerge w:val="continue"/>
                  <w:tcBorders>
                    <w:tl2br w:val="nil"/>
                    <w:tr2bl w:val="nil"/>
                  </w:tcBorders>
                  <w:vAlign w:val="center"/>
                </w:tcPr>
                <w:p>
                  <w:pPr>
                    <w:ind w:left="-97" w:leftChars="-46" w:right="-103" w:rightChars="-49"/>
                    <w:jc w:val="center"/>
                    <w:rPr>
                      <w:rFonts w:cs="Times New Roman"/>
                      <w:szCs w:val="21"/>
                    </w:rPr>
                  </w:pPr>
                </w:p>
              </w:tc>
              <w:tc>
                <w:tcPr>
                  <w:tcW w:w="2835" w:type="dxa"/>
                  <w:tcBorders>
                    <w:tl2br w:val="nil"/>
                    <w:tr2bl w:val="nil"/>
                  </w:tcBorders>
                  <w:vAlign w:val="center"/>
                </w:tcPr>
                <w:p>
                  <w:pPr>
                    <w:jc w:val="center"/>
                    <w:rPr>
                      <w:rFonts w:cs="Times New Roman"/>
                      <w:szCs w:val="21"/>
                    </w:rPr>
                  </w:pPr>
                  <w:r>
                    <w:rPr>
                      <w:rFonts w:cs="Times New Roman"/>
                      <w:szCs w:val="21"/>
                    </w:rPr>
                    <w:t>3#，项目厂界外下风向5m处</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0.0266</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0.0328</w:t>
                  </w:r>
                </w:p>
              </w:tc>
              <w:tc>
                <w:tcPr>
                  <w:tcW w:w="1134" w:type="dxa"/>
                  <w:tcBorders>
                    <w:tl2br w:val="nil"/>
                    <w:tr2bl w:val="nil"/>
                  </w:tcBorders>
                  <w:vAlign w:val="center"/>
                </w:tcPr>
                <w:p>
                  <w:pPr>
                    <w:ind w:left="-105" w:leftChars="-50" w:right="-105" w:rightChars="-50"/>
                    <w:jc w:val="center"/>
                    <w:rPr>
                      <w:rFonts w:cs="Times New Roman"/>
                      <w:szCs w:val="21"/>
                    </w:rPr>
                  </w:pPr>
                  <w:r>
                    <w:rPr>
                      <w:rFonts w:cs="Times New Roman"/>
                      <w:szCs w:val="21"/>
                    </w:rPr>
                    <w:t>0.0239</w:t>
                  </w:r>
                </w:p>
              </w:tc>
              <w:tc>
                <w:tcPr>
                  <w:tcW w:w="708" w:type="dxa"/>
                  <w:vMerge w:val="continue"/>
                  <w:tcBorders>
                    <w:tl2br w:val="nil"/>
                    <w:tr2bl w:val="nil"/>
                  </w:tcBorders>
                  <w:vAlign w:val="center"/>
                </w:tcPr>
                <w:p>
                  <w:pPr>
                    <w:jc w:val="center"/>
                    <w:rPr>
                      <w:rFonts w:cs="Times New Roman"/>
                      <w:szCs w:val="21"/>
                    </w:rPr>
                  </w:pPr>
                </w:p>
              </w:tc>
              <w:tc>
                <w:tcPr>
                  <w:tcW w:w="676" w:type="dxa"/>
                  <w:vMerge w:val="continue"/>
                  <w:tcBorders>
                    <w:tl2br w:val="nil"/>
                    <w:tr2bl w:val="nil"/>
                  </w:tcBorders>
                  <w:vAlign w:val="center"/>
                </w:tcPr>
                <w:p>
                  <w:pPr>
                    <w:jc w:val="center"/>
                    <w:rPr>
                      <w:rFonts w:cs="Times New Roman"/>
                      <w:szCs w:val="21"/>
                    </w:rPr>
                  </w:pPr>
                </w:p>
              </w:tc>
            </w:tr>
          </w:tbl>
          <w:p>
            <w:pPr>
              <w:spacing w:line="360" w:lineRule="auto"/>
              <w:ind w:firstLine="480" w:firstLineChars="200"/>
              <w:rPr>
                <w:rFonts w:cs="Times New Roman"/>
                <w:sz w:val="24"/>
                <w:szCs w:val="24"/>
              </w:rPr>
            </w:pPr>
            <w:r>
              <w:rPr>
                <w:rFonts w:cs="Times New Roman"/>
                <w:sz w:val="24"/>
                <w:szCs w:val="24"/>
              </w:rPr>
              <w:t>监测结果表明：宣汉普光科睿新材料有限公司的有组织废气检测点位颗粒物、二氧化硫和氮氧化物排放浓度均符合《大气污染物综合排放标准》（GB 16297-1996）表2中二级标准限值要求，挥发性有机物符合《四川省固定污染源大气挥发性有机物排放标准》（DB51/2377-2017）表3标准限值要求；无组织废气颗粒物符合《大气污染物综合排放标准》（GB 16297-1996）表2中无组织排放监控浓度，挥发性有机物符合《四川省固定污染源大气挥发性有机物排放标准》（DB51/2377-2017）表5无组织排放监控浓度限值要求。</w:t>
            </w:r>
          </w:p>
          <w:p>
            <w:pPr>
              <w:spacing w:line="360" w:lineRule="auto"/>
              <w:ind w:firstLine="482" w:firstLineChars="200"/>
              <w:rPr>
                <w:rFonts w:cs="Times New Roman"/>
                <w:b/>
                <w:bCs/>
                <w:sz w:val="24"/>
                <w:szCs w:val="24"/>
              </w:rPr>
            </w:pPr>
            <w:r>
              <w:rPr>
                <w:rFonts w:cs="Times New Roman"/>
                <w:b/>
                <w:bCs/>
                <w:sz w:val="24"/>
                <w:szCs w:val="24"/>
              </w:rPr>
              <w:t>（2）废水</w:t>
            </w:r>
          </w:p>
          <w:p>
            <w:pPr>
              <w:spacing w:line="360" w:lineRule="auto"/>
              <w:ind w:firstLine="480" w:firstLineChars="200"/>
              <w:rPr>
                <w:rFonts w:cs="Times New Roman"/>
                <w:sz w:val="24"/>
                <w:szCs w:val="24"/>
              </w:rPr>
            </w:pPr>
            <w:r>
              <w:rPr>
                <w:rFonts w:cs="Times New Roman"/>
                <w:sz w:val="24"/>
                <w:szCs w:val="24"/>
              </w:rPr>
              <w:t>项目废水主要为生活污水、地面清洁废水、软水制备废水。现有治理措施如下：</w:t>
            </w:r>
          </w:p>
          <w:p>
            <w:pPr>
              <w:spacing w:line="360" w:lineRule="auto"/>
              <w:ind w:firstLine="482" w:firstLineChars="200"/>
              <w:rPr>
                <w:rFonts w:cs="Times New Roman"/>
                <w:b/>
                <w:bCs/>
                <w:sz w:val="24"/>
                <w:szCs w:val="24"/>
              </w:rPr>
            </w:pPr>
            <w:r>
              <w:rPr>
                <w:rFonts w:cs="Times New Roman"/>
                <w:b/>
                <w:bCs/>
                <w:sz w:val="24"/>
                <w:szCs w:val="24"/>
              </w:rPr>
              <w:t>①生活污水</w:t>
            </w:r>
          </w:p>
          <w:p>
            <w:pPr>
              <w:spacing w:line="360" w:lineRule="auto"/>
              <w:ind w:firstLine="480" w:firstLineChars="200"/>
              <w:rPr>
                <w:rFonts w:cs="Times New Roman"/>
                <w:sz w:val="24"/>
                <w:szCs w:val="24"/>
              </w:rPr>
            </w:pPr>
            <w:r>
              <w:rPr>
                <w:rFonts w:cs="Times New Roman"/>
                <w:sz w:val="24"/>
                <w:szCs w:val="24"/>
              </w:rPr>
              <w:t>本项目共有员工40人，厂区内设住宿和食堂，生活污水产生量为3.4m</w:t>
            </w:r>
            <w:r>
              <w:rPr>
                <w:rFonts w:cs="Times New Roman"/>
                <w:sz w:val="24"/>
                <w:szCs w:val="24"/>
                <w:vertAlign w:val="superscript"/>
              </w:rPr>
              <w:t>3</w:t>
            </w:r>
            <w:r>
              <w:rPr>
                <w:rFonts w:cs="Times New Roman"/>
                <w:sz w:val="24"/>
                <w:szCs w:val="24"/>
              </w:rPr>
              <w:t>/d，食堂废水产生量为0.68m</w:t>
            </w:r>
            <w:r>
              <w:rPr>
                <w:rFonts w:cs="Times New Roman"/>
                <w:sz w:val="24"/>
                <w:szCs w:val="24"/>
                <w:vertAlign w:val="superscript"/>
              </w:rPr>
              <w:t>3</w:t>
            </w:r>
            <w:r>
              <w:rPr>
                <w:rFonts w:cs="Times New Roman"/>
                <w:sz w:val="24"/>
                <w:szCs w:val="24"/>
              </w:rPr>
              <w:t>/d，废水量共4.08m</w:t>
            </w:r>
            <w:r>
              <w:rPr>
                <w:rFonts w:cs="Times New Roman"/>
                <w:sz w:val="24"/>
                <w:szCs w:val="24"/>
                <w:vertAlign w:val="superscript"/>
              </w:rPr>
              <w:t>3</w:t>
            </w:r>
            <w:r>
              <w:rPr>
                <w:rFonts w:cs="Times New Roman"/>
                <w:sz w:val="24"/>
                <w:szCs w:val="24"/>
              </w:rPr>
              <w:t>/d。生活污水经化粪池（30m</w:t>
            </w:r>
            <w:r>
              <w:rPr>
                <w:rFonts w:cs="Times New Roman"/>
                <w:sz w:val="24"/>
                <w:szCs w:val="24"/>
                <w:vertAlign w:val="superscript"/>
              </w:rPr>
              <w:t>3</w:t>
            </w:r>
            <w:r>
              <w:rPr>
                <w:rFonts w:cs="Times New Roman"/>
                <w:sz w:val="24"/>
                <w:szCs w:val="24"/>
              </w:rPr>
              <w:t>）（食堂废水先经隔油池处理）处理后排入园区污水管网，进入柳池工业园区污水处理厂处理达《城镇污水处理厂污染物排放标准》（GB18918-2002）中一级A标后排入后河。</w:t>
            </w:r>
          </w:p>
          <w:p>
            <w:pPr>
              <w:spacing w:line="360" w:lineRule="auto"/>
              <w:ind w:firstLine="482" w:firstLineChars="200"/>
              <w:rPr>
                <w:rFonts w:cs="Times New Roman"/>
                <w:b/>
                <w:bCs/>
                <w:sz w:val="24"/>
                <w:szCs w:val="24"/>
              </w:rPr>
            </w:pPr>
            <w:r>
              <w:rPr>
                <w:rFonts w:cs="Times New Roman"/>
                <w:b/>
                <w:bCs/>
                <w:sz w:val="24"/>
                <w:szCs w:val="24"/>
              </w:rPr>
              <w:t>②地面清洁废水</w:t>
            </w:r>
          </w:p>
          <w:p>
            <w:pPr>
              <w:spacing w:line="360" w:lineRule="auto"/>
              <w:ind w:firstLine="480" w:firstLineChars="200"/>
              <w:rPr>
                <w:rFonts w:cs="Times New Roman"/>
                <w:sz w:val="24"/>
                <w:szCs w:val="24"/>
              </w:rPr>
            </w:pPr>
            <w:r>
              <w:rPr>
                <w:rFonts w:cs="Times New Roman"/>
                <w:sz w:val="24"/>
                <w:szCs w:val="24"/>
              </w:rPr>
              <w:t>地面采用拖布清洗，地面清洁废水产生量为0.05m</w:t>
            </w:r>
            <w:r>
              <w:rPr>
                <w:rFonts w:cs="Times New Roman"/>
                <w:sz w:val="24"/>
                <w:szCs w:val="24"/>
                <w:vertAlign w:val="superscript"/>
              </w:rPr>
              <w:t>3</w:t>
            </w:r>
            <w:r>
              <w:rPr>
                <w:rFonts w:cs="Times New Roman"/>
                <w:sz w:val="24"/>
                <w:szCs w:val="24"/>
              </w:rPr>
              <w:t>/d，清洗废水经化粪池收集后，排入园区污水管网。</w:t>
            </w:r>
          </w:p>
          <w:p>
            <w:pPr>
              <w:spacing w:line="360" w:lineRule="auto"/>
              <w:ind w:firstLine="482" w:firstLineChars="200"/>
              <w:rPr>
                <w:rFonts w:cs="Times New Roman"/>
                <w:b/>
                <w:bCs/>
                <w:sz w:val="24"/>
                <w:szCs w:val="24"/>
              </w:rPr>
            </w:pPr>
            <w:r>
              <w:rPr>
                <w:rFonts w:cs="Times New Roman"/>
                <w:b/>
                <w:bCs/>
                <w:sz w:val="24"/>
                <w:szCs w:val="24"/>
              </w:rPr>
              <w:t>③软水制备废水</w:t>
            </w:r>
          </w:p>
          <w:p>
            <w:pPr>
              <w:spacing w:line="360" w:lineRule="auto"/>
              <w:ind w:firstLine="480" w:firstLineChars="200"/>
              <w:rPr>
                <w:rFonts w:cs="Times New Roman"/>
                <w:sz w:val="24"/>
                <w:szCs w:val="24"/>
              </w:rPr>
            </w:pPr>
            <w:r>
              <w:rPr>
                <w:rFonts w:cs="Times New Roman"/>
                <w:sz w:val="24"/>
                <w:szCs w:val="24"/>
              </w:rPr>
              <w:t>项目生产过程中漏板拉丝及烘干箱出口冷压辊需用循环冷却水控温，为保护设备，防止管道堵塞，采用离子交换树脂制备软水，制备过程中产生的浓缩水主要为可溶性盐类废水，作为清下水，排入雨水管网。</w:t>
            </w:r>
          </w:p>
          <w:p>
            <w:pPr>
              <w:spacing w:line="360" w:lineRule="auto"/>
              <w:ind w:firstLine="480" w:firstLineChars="200"/>
              <w:rPr>
                <w:rFonts w:cs="Times New Roman"/>
                <w:sz w:val="24"/>
                <w:szCs w:val="24"/>
              </w:rPr>
            </w:pPr>
            <w:r>
              <w:rPr>
                <w:rFonts w:cs="Times New Roman"/>
                <w:sz w:val="24"/>
                <w:szCs w:val="24"/>
              </w:rPr>
              <w:t>整改措施：食堂废水现直接排入化粪池进行处理，未进行油水分离，需建设隔油池（容积1m</w:t>
            </w:r>
            <w:r>
              <w:rPr>
                <w:rFonts w:cs="Times New Roman"/>
                <w:sz w:val="24"/>
                <w:szCs w:val="24"/>
                <w:vertAlign w:val="superscript"/>
              </w:rPr>
              <w:t>3</w:t>
            </w:r>
            <w:r>
              <w:rPr>
                <w:rFonts w:cs="Times New Roman"/>
                <w:sz w:val="24"/>
                <w:szCs w:val="24"/>
              </w:rPr>
              <w:t>），食堂废水先经隔油池处理后再进入化粪池。</w:t>
            </w:r>
          </w:p>
          <w:p>
            <w:pPr>
              <w:spacing w:line="360" w:lineRule="auto"/>
              <w:ind w:firstLine="482" w:firstLineChars="200"/>
              <w:rPr>
                <w:rFonts w:cs="Times New Roman"/>
                <w:b/>
                <w:bCs/>
                <w:sz w:val="24"/>
                <w:szCs w:val="24"/>
              </w:rPr>
            </w:pPr>
            <w:r>
              <w:rPr>
                <w:rFonts w:cs="Times New Roman"/>
                <w:b/>
                <w:bCs/>
                <w:sz w:val="24"/>
                <w:szCs w:val="24"/>
              </w:rPr>
              <w:t>现有项目废水治理设施如下图所示：</w:t>
            </w:r>
          </w:p>
          <w:p>
            <w:pPr>
              <w:spacing w:line="360" w:lineRule="auto"/>
              <w:jc w:val="center"/>
              <w:rPr>
                <w:rFonts w:cs="Times New Roman"/>
                <w:szCs w:val="21"/>
              </w:rPr>
            </w:pPr>
            <w:r>
              <w:rPr>
                <w:rFonts w:cs="Times New Roman"/>
                <w:szCs w:val="21"/>
              </w:rPr>
              <mc:AlternateContent>
                <mc:Choice Requires="wps">
                  <w:drawing>
                    <wp:anchor distT="0" distB="0" distL="114300" distR="114300" simplePos="0" relativeHeight="251662336" behindDoc="0" locked="0" layoutInCell="1" allowOverlap="1">
                      <wp:simplePos x="0" y="0"/>
                      <wp:positionH relativeFrom="column">
                        <wp:posOffset>2620645</wp:posOffset>
                      </wp:positionH>
                      <wp:positionV relativeFrom="paragraph">
                        <wp:posOffset>2129790</wp:posOffset>
                      </wp:positionV>
                      <wp:extent cx="419100" cy="162560"/>
                      <wp:effectExtent l="0" t="71120" r="15240" b="71120"/>
                      <wp:wrapNone/>
                      <wp:docPr id="13" name="右箭头 13"/>
                      <wp:cNvGraphicFramePr/>
                      <a:graphic xmlns:a="http://schemas.openxmlformats.org/drawingml/2006/main">
                        <a:graphicData uri="http://schemas.microsoft.com/office/word/2010/wordprocessingShape">
                          <wps:wsp>
                            <wps:cNvSpPr/>
                            <wps:spPr>
                              <a:xfrm rot="9000000">
                                <a:off x="2916555" y="2738755"/>
                                <a:ext cx="419100" cy="16256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6.35pt;margin-top:167.7pt;height:12.8pt;width:33pt;rotation:9830400f;z-index:251662336;v-text-anchor:middle;mso-width-relative:page;mso-height-relative:page;" fillcolor="#FF0000" filled="t" stroked="t" coordsize="21600,21600" o:gfxdata="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BssJ9cAAAALAQAADwAAAAAAAAABACAAAAAi&#10;AAAAZHJzL2Rvd25yZXYueG1sUEsBAhQAFAAAAAgAh07iQCpiFBd9AgAAAQUAAA4AAAAAAAAAAQAg&#10;AAAAJgEAAGRycy9lMm9Eb2MueG1sUEsFBgAAAAAGAAYAWQEAABUGAAAAAA==&#10;" adj="17411,5400">
                      <v:fill on="t" focussize="0,0"/>
                      <v:stroke weight="2pt" color="#FF0000 [3204]" joinstyle="round"/>
                      <v:imagedata o:title=""/>
                      <o:lock v:ext="edit" aspectratio="f"/>
                    </v:shape>
                  </w:pict>
                </mc:Fallback>
              </mc:AlternateContent>
            </w:r>
            <w:r>
              <w:rPr>
                <w:rFonts w:cs="Times New Roman"/>
                <w:szCs w:val="21"/>
              </w:rPr>
              <w:drawing>
                <wp:inline distT="0" distB="0" distL="114300" distR="114300">
                  <wp:extent cx="1812925" cy="2417445"/>
                  <wp:effectExtent l="0" t="0" r="15875" b="1905"/>
                  <wp:docPr id="34" name="图片 34" descr="b15277362a9e83e7d12d1a2f31af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15277362a9e83e7d12d1a2f31af9a0"/>
                          <pic:cNvPicPr>
                            <a:picLocks noChangeAspect="1"/>
                          </pic:cNvPicPr>
                        </pic:nvPicPr>
                        <pic:blipFill>
                          <a:blip r:embed="rId30"/>
                          <a:stretch>
                            <a:fillRect/>
                          </a:stretch>
                        </pic:blipFill>
                        <pic:spPr>
                          <a:xfrm>
                            <a:off x="0" y="0"/>
                            <a:ext cx="1812925" cy="2417445"/>
                          </a:xfrm>
                          <a:prstGeom prst="rect">
                            <a:avLst/>
                          </a:prstGeom>
                        </pic:spPr>
                      </pic:pic>
                    </a:graphicData>
                  </a:graphic>
                </wp:inline>
              </w:drawing>
            </w:r>
          </w:p>
          <w:p>
            <w:pPr>
              <w:spacing w:line="360" w:lineRule="auto"/>
              <w:jc w:val="center"/>
              <w:rPr>
                <w:rFonts w:cs="Times New Roman"/>
                <w:sz w:val="24"/>
                <w:szCs w:val="24"/>
              </w:rPr>
            </w:pPr>
            <w:r>
              <w:rPr>
                <w:rFonts w:cs="Times New Roman"/>
                <w:b/>
                <w:bCs/>
                <w:szCs w:val="21"/>
              </w:rPr>
              <w:t>化粪池位置</w:t>
            </w:r>
          </w:p>
          <w:p>
            <w:pPr>
              <w:spacing w:line="360" w:lineRule="auto"/>
              <w:ind w:firstLine="482" w:firstLineChars="200"/>
              <w:rPr>
                <w:rFonts w:cs="Times New Roman"/>
                <w:b/>
                <w:bCs/>
                <w:sz w:val="24"/>
                <w:szCs w:val="24"/>
              </w:rPr>
            </w:pPr>
            <w:r>
              <w:rPr>
                <w:rFonts w:cs="Times New Roman"/>
                <w:b/>
                <w:bCs/>
                <w:sz w:val="24"/>
                <w:szCs w:val="24"/>
              </w:rPr>
              <w:t>（3）噪声</w:t>
            </w:r>
          </w:p>
          <w:p>
            <w:pPr>
              <w:spacing w:line="360" w:lineRule="auto"/>
              <w:ind w:firstLine="480" w:firstLineChars="200"/>
              <w:rPr>
                <w:rFonts w:cs="Times New Roman"/>
                <w:sz w:val="24"/>
                <w:szCs w:val="24"/>
              </w:rPr>
            </w:pPr>
            <w:r>
              <w:rPr>
                <w:rFonts w:cs="Times New Roman"/>
                <w:sz w:val="24"/>
                <w:szCs w:val="24"/>
              </w:rPr>
              <w:t>项目生产过程中产生的噪声主要来源于熔化炉、辊筒、搅拌装置、输送泵、牵伸机、烘干炉、裁切机等，噪声源强为80～90dB(A)。通过合理布局，采用低噪声设备等措施并通过减振、隔声、距离衰减，项目营运期间厂界噪声排放满足《工业企业厂界环境噪声排放标准》（GBl2348-2008）3类标准要求，达标排放。</w:t>
            </w:r>
          </w:p>
          <w:p>
            <w:pPr>
              <w:spacing w:line="360" w:lineRule="auto"/>
              <w:ind w:firstLine="480" w:firstLineChars="200"/>
              <w:rPr>
                <w:rFonts w:cs="Times New Roman"/>
                <w:sz w:val="24"/>
                <w:szCs w:val="24"/>
              </w:rPr>
            </w:pPr>
            <w:r>
              <w:rPr>
                <w:rFonts w:cs="Times New Roman"/>
                <w:sz w:val="24"/>
                <w:szCs w:val="24"/>
              </w:rPr>
              <w:t>噪声例行监测结果及评价见表2-16。</w:t>
            </w:r>
          </w:p>
          <w:p>
            <w:pPr>
              <w:spacing w:line="360" w:lineRule="auto"/>
              <w:jc w:val="center"/>
              <w:rPr>
                <w:rFonts w:cs="Times New Roman"/>
                <w:b/>
                <w:bCs/>
                <w:sz w:val="24"/>
                <w:szCs w:val="24"/>
              </w:rPr>
            </w:pPr>
            <w:r>
              <w:rPr>
                <w:rFonts w:cs="Times New Roman"/>
                <w:b/>
                <w:bCs/>
                <w:sz w:val="24"/>
                <w:szCs w:val="24"/>
              </w:rPr>
              <w:t>表2-16 噪声监测结果及评价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3115"/>
              <w:gridCol w:w="1637"/>
              <w:gridCol w:w="955"/>
              <w:gridCol w:w="923"/>
              <w:gridCol w:w="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671" w:type="pct"/>
                  <w:vMerge w:val="restart"/>
                  <w:tcBorders>
                    <w:tl2br w:val="nil"/>
                    <w:tr2bl w:val="nil"/>
                  </w:tcBorders>
                  <w:vAlign w:val="center"/>
                </w:tcPr>
                <w:p>
                  <w:pPr>
                    <w:jc w:val="center"/>
                    <w:rPr>
                      <w:rFonts w:cs="Times New Roman"/>
                      <w:b/>
                      <w:bCs/>
                      <w:szCs w:val="21"/>
                    </w:rPr>
                  </w:pPr>
                  <w:r>
                    <w:rPr>
                      <w:rFonts w:cs="Times New Roman"/>
                      <w:b/>
                      <w:bCs/>
                      <w:szCs w:val="21"/>
                    </w:rPr>
                    <w:t>检测因子</w:t>
                  </w:r>
                </w:p>
              </w:tc>
              <w:tc>
                <w:tcPr>
                  <w:tcW w:w="1784" w:type="pct"/>
                  <w:vMerge w:val="restart"/>
                  <w:tcBorders>
                    <w:tl2br w:val="nil"/>
                    <w:tr2bl w:val="nil"/>
                  </w:tcBorders>
                  <w:vAlign w:val="center"/>
                </w:tcPr>
                <w:p>
                  <w:pPr>
                    <w:jc w:val="center"/>
                    <w:rPr>
                      <w:rFonts w:cs="Times New Roman"/>
                      <w:b/>
                      <w:bCs/>
                      <w:szCs w:val="21"/>
                    </w:rPr>
                  </w:pPr>
                  <w:r>
                    <w:rPr>
                      <w:rFonts w:cs="Times New Roman"/>
                      <w:b/>
                      <w:bCs/>
                      <w:szCs w:val="21"/>
                    </w:rPr>
                    <w:t>检测点编号位置</w:t>
                  </w:r>
                </w:p>
              </w:tc>
              <w:tc>
                <w:tcPr>
                  <w:tcW w:w="1485" w:type="pct"/>
                  <w:gridSpan w:val="2"/>
                  <w:tcBorders>
                    <w:tl2br w:val="nil"/>
                    <w:tr2bl w:val="nil"/>
                  </w:tcBorders>
                  <w:vAlign w:val="center"/>
                </w:tcPr>
                <w:p>
                  <w:pPr>
                    <w:jc w:val="center"/>
                    <w:rPr>
                      <w:rFonts w:cs="Times New Roman"/>
                      <w:b/>
                      <w:bCs/>
                      <w:szCs w:val="21"/>
                    </w:rPr>
                  </w:pPr>
                  <w:r>
                    <w:rPr>
                      <w:rFonts w:cs="Times New Roman"/>
                      <w:b/>
                      <w:bCs/>
                      <w:szCs w:val="21"/>
                    </w:rPr>
                    <w:t>检测结果</w:t>
                  </w:r>
                </w:p>
              </w:tc>
              <w:tc>
                <w:tcPr>
                  <w:tcW w:w="1059" w:type="pct"/>
                  <w:gridSpan w:val="2"/>
                  <w:tcBorders>
                    <w:tl2br w:val="nil"/>
                    <w:tr2bl w:val="nil"/>
                  </w:tcBorders>
                  <w:vAlign w:val="center"/>
                </w:tcPr>
                <w:p>
                  <w:pPr>
                    <w:jc w:val="center"/>
                    <w:rPr>
                      <w:rFonts w:cs="Times New Roman"/>
                      <w:b/>
                      <w:bCs/>
                      <w:szCs w:val="21"/>
                    </w:rPr>
                  </w:pPr>
                  <w:r>
                    <w:rPr>
                      <w:rFonts w:cs="Times New Roman"/>
                      <w:b/>
                      <w:bCs/>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71" w:type="pct"/>
                  <w:vMerge w:val="continue"/>
                  <w:tcBorders>
                    <w:tl2br w:val="nil"/>
                    <w:tr2bl w:val="nil"/>
                  </w:tcBorders>
                  <w:vAlign w:val="center"/>
                </w:tcPr>
                <w:p>
                  <w:pPr>
                    <w:jc w:val="center"/>
                    <w:rPr>
                      <w:rFonts w:cs="Times New Roman"/>
                      <w:b/>
                      <w:bCs/>
                      <w:szCs w:val="21"/>
                    </w:rPr>
                  </w:pPr>
                </w:p>
              </w:tc>
              <w:tc>
                <w:tcPr>
                  <w:tcW w:w="1784" w:type="pct"/>
                  <w:vMerge w:val="continue"/>
                  <w:tcBorders>
                    <w:tl2br w:val="nil"/>
                    <w:tr2bl w:val="nil"/>
                  </w:tcBorders>
                  <w:vAlign w:val="center"/>
                </w:tcPr>
                <w:p>
                  <w:pPr>
                    <w:jc w:val="center"/>
                    <w:rPr>
                      <w:rFonts w:cs="Times New Roman"/>
                      <w:b/>
                      <w:bCs/>
                      <w:szCs w:val="21"/>
                    </w:rPr>
                  </w:pPr>
                </w:p>
              </w:tc>
              <w:tc>
                <w:tcPr>
                  <w:tcW w:w="938" w:type="pct"/>
                  <w:tcBorders>
                    <w:tl2br w:val="nil"/>
                    <w:tr2bl w:val="nil"/>
                  </w:tcBorders>
                  <w:vAlign w:val="center"/>
                </w:tcPr>
                <w:p>
                  <w:pPr>
                    <w:jc w:val="center"/>
                    <w:rPr>
                      <w:rFonts w:cs="Times New Roman"/>
                      <w:b/>
                      <w:bCs/>
                      <w:szCs w:val="21"/>
                    </w:rPr>
                  </w:pPr>
                  <w:r>
                    <w:rPr>
                      <w:rFonts w:cs="Times New Roman"/>
                      <w:b/>
                      <w:bCs/>
                      <w:szCs w:val="21"/>
                    </w:rPr>
                    <w:t>昼间</w:t>
                  </w:r>
                </w:p>
              </w:tc>
              <w:tc>
                <w:tcPr>
                  <w:tcW w:w="546" w:type="pct"/>
                  <w:tcBorders>
                    <w:tl2br w:val="nil"/>
                    <w:tr2bl w:val="nil"/>
                  </w:tcBorders>
                  <w:vAlign w:val="center"/>
                </w:tcPr>
                <w:p>
                  <w:pPr>
                    <w:jc w:val="center"/>
                    <w:rPr>
                      <w:rFonts w:cs="Times New Roman"/>
                      <w:b/>
                      <w:bCs/>
                      <w:szCs w:val="21"/>
                    </w:rPr>
                  </w:pPr>
                  <w:r>
                    <w:rPr>
                      <w:rFonts w:cs="Times New Roman"/>
                      <w:b/>
                      <w:bCs/>
                      <w:szCs w:val="21"/>
                    </w:rPr>
                    <w:t>夜间</w:t>
                  </w:r>
                </w:p>
              </w:tc>
              <w:tc>
                <w:tcPr>
                  <w:tcW w:w="529" w:type="pct"/>
                  <w:tcBorders>
                    <w:tl2br w:val="nil"/>
                    <w:tr2bl w:val="nil"/>
                  </w:tcBorders>
                  <w:vAlign w:val="center"/>
                </w:tcPr>
                <w:p>
                  <w:pPr>
                    <w:jc w:val="center"/>
                    <w:rPr>
                      <w:rFonts w:cs="Times New Roman"/>
                      <w:b/>
                      <w:bCs/>
                      <w:szCs w:val="21"/>
                    </w:rPr>
                  </w:pPr>
                  <w:r>
                    <w:rPr>
                      <w:rFonts w:cs="Times New Roman"/>
                      <w:b/>
                      <w:bCs/>
                      <w:szCs w:val="21"/>
                    </w:rPr>
                    <w:t>昼间</w:t>
                  </w:r>
                </w:p>
              </w:tc>
              <w:tc>
                <w:tcPr>
                  <w:tcW w:w="529" w:type="pct"/>
                  <w:tcBorders>
                    <w:tl2br w:val="nil"/>
                    <w:tr2bl w:val="nil"/>
                  </w:tcBorders>
                  <w:vAlign w:val="center"/>
                </w:tcPr>
                <w:p>
                  <w:pPr>
                    <w:jc w:val="center"/>
                    <w:rPr>
                      <w:rFonts w:cs="Times New Roman"/>
                      <w:b/>
                      <w:bCs/>
                      <w:szCs w:val="21"/>
                    </w:rPr>
                  </w:pPr>
                  <w:r>
                    <w:rPr>
                      <w:rFonts w:cs="Times New Roman"/>
                      <w:b/>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vMerge w:val="restart"/>
                  <w:tcBorders>
                    <w:tl2br w:val="nil"/>
                    <w:tr2bl w:val="nil"/>
                  </w:tcBorders>
                  <w:vAlign w:val="center"/>
                </w:tcPr>
                <w:p>
                  <w:pPr>
                    <w:jc w:val="center"/>
                    <w:rPr>
                      <w:rFonts w:cs="Times New Roman"/>
                      <w:szCs w:val="21"/>
                    </w:rPr>
                  </w:pPr>
                  <w:r>
                    <w:rPr>
                      <w:rFonts w:cs="Times New Roman"/>
                      <w:szCs w:val="21"/>
                    </w:rPr>
                    <w:t>L</w:t>
                  </w:r>
                  <w:r>
                    <w:rPr>
                      <w:rFonts w:cs="Times New Roman"/>
                      <w:szCs w:val="21"/>
                      <w:vertAlign w:val="subscript"/>
                    </w:rPr>
                    <w:t>eq</w:t>
                  </w:r>
                </w:p>
              </w:tc>
              <w:tc>
                <w:tcPr>
                  <w:tcW w:w="1784" w:type="pct"/>
                  <w:tcBorders>
                    <w:tl2br w:val="nil"/>
                    <w:tr2bl w:val="nil"/>
                  </w:tcBorders>
                  <w:vAlign w:val="center"/>
                </w:tcPr>
                <w:p>
                  <w:pPr>
                    <w:jc w:val="center"/>
                    <w:rPr>
                      <w:rFonts w:cs="Times New Roman"/>
                      <w:szCs w:val="21"/>
                    </w:rPr>
                  </w:pPr>
                  <w:r>
                    <w:rPr>
                      <w:rFonts w:cs="Times New Roman"/>
                      <w:szCs w:val="21"/>
                    </w:rPr>
                    <w:t>N1，北侧厂界外1m处</w:t>
                  </w:r>
                </w:p>
              </w:tc>
              <w:tc>
                <w:tcPr>
                  <w:tcW w:w="938" w:type="pct"/>
                  <w:tcBorders>
                    <w:tl2br w:val="nil"/>
                    <w:tr2bl w:val="nil"/>
                  </w:tcBorders>
                  <w:vAlign w:val="center"/>
                </w:tcPr>
                <w:p>
                  <w:pPr>
                    <w:jc w:val="center"/>
                    <w:rPr>
                      <w:rFonts w:cs="Times New Roman"/>
                      <w:bCs/>
                      <w:szCs w:val="21"/>
                    </w:rPr>
                  </w:pPr>
                  <w:r>
                    <w:rPr>
                      <w:rFonts w:cs="Times New Roman"/>
                      <w:bCs/>
                      <w:szCs w:val="21"/>
                    </w:rPr>
                    <w:t>55</w:t>
                  </w:r>
                </w:p>
              </w:tc>
              <w:tc>
                <w:tcPr>
                  <w:tcW w:w="546" w:type="pct"/>
                  <w:tcBorders>
                    <w:tl2br w:val="nil"/>
                    <w:tr2bl w:val="nil"/>
                  </w:tcBorders>
                  <w:vAlign w:val="center"/>
                </w:tcPr>
                <w:p>
                  <w:pPr>
                    <w:jc w:val="center"/>
                    <w:rPr>
                      <w:rFonts w:cs="Times New Roman"/>
                      <w:bCs/>
                      <w:szCs w:val="21"/>
                    </w:rPr>
                  </w:pPr>
                  <w:r>
                    <w:rPr>
                      <w:rFonts w:cs="Times New Roman"/>
                      <w:bCs/>
                      <w:szCs w:val="21"/>
                    </w:rPr>
                    <w:t>45</w:t>
                  </w:r>
                </w:p>
              </w:tc>
              <w:tc>
                <w:tcPr>
                  <w:tcW w:w="529" w:type="pct"/>
                  <w:tcBorders>
                    <w:tl2br w:val="nil"/>
                    <w:tr2bl w:val="nil"/>
                  </w:tcBorders>
                  <w:vAlign w:val="center"/>
                </w:tcPr>
                <w:p>
                  <w:pPr>
                    <w:jc w:val="center"/>
                    <w:rPr>
                      <w:rFonts w:cs="Times New Roman"/>
                      <w:bCs/>
                      <w:szCs w:val="21"/>
                    </w:rPr>
                  </w:pPr>
                  <w:r>
                    <w:rPr>
                      <w:rFonts w:cs="Times New Roman"/>
                      <w:bCs/>
                      <w:szCs w:val="21"/>
                    </w:rPr>
                    <w:t>65</w:t>
                  </w:r>
                </w:p>
              </w:tc>
              <w:tc>
                <w:tcPr>
                  <w:tcW w:w="529" w:type="pct"/>
                  <w:tcBorders>
                    <w:tl2br w:val="nil"/>
                    <w:tr2bl w:val="nil"/>
                  </w:tcBorders>
                  <w:vAlign w:val="center"/>
                </w:tcPr>
                <w:p>
                  <w:pPr>
                    <w:jc w:val="center"/>
                    <w:rPr>
                      <w:rFonts w:cs="Times New Roman"/>
                      <w:bCs/>
                      <w:szCs w:val="21"/>
                    </w:rPr>
                  </w:pPr>
                  <w:r>
                    <w:rPr>
                      <w:rFonts w:cs="Times New Roman"/>
                      <w:bCs/>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vMerge w:val="continue"/>
                  <w:tcBorders>
                    <w:tl2br w:val="nil"/>
                    <w:tr2bl w:val="nil"/>
                  </w:tcBorders>
                  <w:vAlign w:val="center"/>
                </w:tcPr>
                <w:p>
                  <w:pPr>
                    <w:jc w:val="center"/>
                    <w:rPr>
                      <w:rFonts w:cs="Times New Roman"/>
                      <w:szCs w:val="21"/>
                    </w:rPr>
                  </w:pPr>
                </w:p>
              </w:tc>
              <w:tc>
                <w:tcPr>
                  <w:tcW w:w="1784" w:type="pct"/>
                  <w:tcBorders>
                    <w:tl2br w:val="nil"/>
                    <w:tr2bl w:val="nil"/>
                  </w:tcBorders>
                  <w:vAlign w:val="center"/>
                </w:tcPr>
                <w:p>
                  <w:pPr>
                    <w:jc w:val="center"/>
                    <w:rPr>
                      <w:rFonts w:cs="Times New Roman"/>
                      <w:szCs w:val="21"/>
                    </w:rPr>
                  </w:pPr>
                  <w:r>
                    <w:rPr>
                      <w:rFonts w:cs="Times New Roman"/>
                      <w:szCs w:val="21"/>
                    </w:rPr>
                    <w:t>N2，东侧厂界外1m处</w:t>
                  </w:r>
                </w:p>
              </w:tc>
              <w:tc>
                <w:tcPr>
                  <w:tcW w:w="938" w:type="pct"/>
                  <w:tcBorders>
                    <w:tl2br w:val="nil"/>
                    <w:tr2bl w:val="nil"/>
                  </w:tcBorders>
                  <w:vAlign w:val="center"/>
                </w:tcPr>
                <w:p>
                  <w:pPr>
                    <w:jc w:val="center"/>
                    <w:rPr>
                      <w:rFonts w:cs="Times New Roman"/>
                      <w:bCs/>
                      <w:szCs w:val="21"/>
                    </w:rPr>
                  </w:pPr>
                  <w:r>
                    <w:rPr>
                      <w:rFonts w:cs="Times New Roman"/>
                      <w:bCs/>
                      <w:szCs w:val="21"/>
                    </w:rPr>
                    <w:t>56</w:t>
                  </w:r>
                </w:p>
              </w:tc>
              <w:tc>
                <w:tcPr>
                  <w:tcW w:w="546" w:type="pct"/>
                  <w:tcBorders>
                    <w:tl2br w:val="nil"/>
                    <w:tr2bl w:val="nil"/>
                  </w:tcBorders>
                  <w:vAlign w:val="center"/>
                </w:tcPr>
                <w:p>
                  <w:pPr>
                    <w:jc w:val="center"/>
                    <w:rPr>
                      <w:rFonts w:cs="Times New Roman"/>
                      <w:bCs/>
                      <w:szCs w:val="21"/>
                    </w:rPr>
                  </w:pPr>
                  <w:r>
                    <w:rPr>
                      <w:rFonts w:cs="Times New Roman"/>
                      <w:bCs/>
                      <w:szCs w:val="21"/>
                    </w:rPr>
                    <w:t>44</w:t>
                  </w:r>
                </w:p>
              </w:tc>
              <w:tc>
                <w:tcPr>
                  <w:tcW w:w="529" w:type="pct"/>
                  <w:tcBorders>
                    <w:tl2br w:val="nil"/>
                    <w:tr2bl w:val="nil"/>
                  </w:tcBorders>
                  <w:vAlign w:val="center"/>
                </w:tcPr>
                <w:p>
                  <w:pPr>
                    <w:jc w:val="center"/>
                    <w:rPr>
                      <w:rFonts w:cs="Times New Roman"/>
                      <w:bCs/>
                      <w:szCs w:val="21"/>
                    </w:rPr>
                  </w:pPr>
                  <w:r>
                    <w:rPr>
                      <w:rFonts w:cs="Times New Roman"/>
                      <w:bCs/>
                      <w:szCs w:val="21"/>
                    </w:rPr>
                    <w:t>65</w:t>
                  </w:r>
                </w:p>
              </w:tc>
              <w:tc>
                <w:tcPr>
                  <w:tcW w:w="529" w:type="pct"/>
                  <w:tcBorders>
                    <w:tl2br w:val="nil"/>
                    <w:tr2bl w:val="nil"/>
                  </w:tcBorders>
                  <w:vAlign w:val="center"/>
                </w:tcPr>
                <w:p>
                  <w:pPr>
                    <w:jc w:val="center"/>
                    <w:rPr>
                      <w:rFonts w:cs="Times New Roman"/>
                      <w:bCs/>
                      <w:szCs w:val="21"/>
                    </w:rPr>
                  </w:pPr>
                  <w:r>
                    <w:rPr>
                      <w:rFonts w:cs="Times New Roman"/>
                      <w:bCs/>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vMerge w:val="continue"/>
                  <w:tcBorders>
                    <w:tl2br w:val="nil"/>
                    <w:tr2bl w:val="nil"/>
                  </w:tcBorders>
                  <w:vAlign w:val="center"/>
                </w:tcPr>
                <w:p>
                  <w:pPr>
                    <w:jc w:val="center"/>
                    <w:rPr>
                      <w:rFonts w:cs="Times New Roman"/>
                      <w:szCs w:val="21"/>
                    </w:rPr>
                  </w:pPr>
                </w:p>
              </w:tc>
              <w:tc>
                <w:tcPr>
                  <w:tcW w:w="1784" w:type="pct"/>
                  <w:tcBorders>
                    <w:tl2br w:val="nil"/>
                    <w:tr2bl w:val="nil"/>
                  </w:tcBorders>
                  <w:vAlign w:val="center"/>
                </w:tcPr>
                <w:p>
                  <w:pPr>
                    <w:jc w:val="center"/>
                    <w:rPr>
                      <w:rFonts w:cs="Times New Roman"/>
                      <w:szCs w:val="21"/>
                    </w:rPr>
                  </w:pPr>
                  <w:r>
                    <w:rPr>
                      <w:rFonts w:cs="Times New Roman"/>
                      <w:szCs w:val="21"/>
                    </w:rPr>
                    <w:t>N3，南侧厂界外1m处</w:t>
                  </w:r>
                </w:p>
              </w:tc>
              <w:tc>
                <w:tcPr>
                  <w:tcW w:w="938" w:type="pct"/>
                  <w:tcBorders>
                    <w:tl2br w:val="nil"/>
                    <w:tr2bl w:val="nil"/>
                  </w:tcBorders>
                  <w:vAlign w:val="center"/>
                </w:tcPr>
                <w:p>
                  <w:pPr>
                    <w:jc w:val="center"/>
                    <w:rPr>
                      <w:rFonts w:cs="Times New Roman"/>
                      <w:bCs/>
                      <w:szCs w:val="21"/>
                    </w:rPr>
                  </w:pPr>
                  <w:r>
                    <w:rPr>
                      <w:rFonts w:cs="Times New Roman"/>
                      <w:bCs/>
                      <w:szCs w:val="21"/>
                    </w:rPr>
                    <w:t>55</w:t>
                  </w:r>
                </w:p>
              </w:tc>
              <w:tc>
                <w:tcPr>
                  <w:tcW w:w="546" w:type="pct"/>
                  <w:tcBorders>
                    <w:tl2br w:val="nil"/>
                    <w:tr2bl w:val="nil"/>
                  </w:tcBorders>
                  <w:vAlign w:val="center"/>
                </w:tcPr>
                <w:p>
                  <w:pPr>
                    <w:jc w:val="center"/>
                    <w:rPr>
                      <w:rFonts w:cs="Times New Roman"/>
                      <w:bCs/>
                      <w:szCs w:val="21"/>
                    </w:rPr>
                  </w:pPr>
                  <w:r>
                    <w:rPr>
                      <w:rFonts w:cs="Times New Roman"/>
                      <w:bCs/>
                      <w:szCs w:val="21"/>
                    </w:rPr>
                    <w:t>45</w:t>
                  </w:r>
                </w:p>
              </w:tc>
              <w:tc>
                <w:tcPr>
                  <w:tcW w:w="529" w:type="pct"/>
                  <w:tcBorders>
                    <w:tl2br w:val="nil"/>
                    <w:tr2bl w:val="nil"/>
                  </w:tcBorders>
                  <w:vAlign w:val="center"/>
                </w:tcPr>
                <w:p>
                  <w:pPr>
                    <w:jc w:val="center"/>
                    <w:rPr>
                      <w:rFonts w:cs="Times New Roman"/>
                      <w:bCs/>
                      <w:szCs w:val="21"/>
                    </w:rPr>
                  </w:pPr>
                  <w:r>
                    <w:rPr>
                      <w:rFonts w:cs="Times New Roman"/>
                      <w:bCs/>
                      <w:szCs w:val="21"/>
                    </w:rPr>
                    <w:t>65</w:t>
                  </w:r>
                </w:p>
              </w:tc>
              <w:tc>
                <w:tcPr>
                  <w:tcW w:w="529" w:type="pct"/>
                  <w:tcBorders>
                    <w:tl2br w:val="nil"/>
                    <w:tr2bl w:val="nil"/>
                  </w:tcBorders>
                  <w:vAlign w:val="center"/>
                </w:tcPr>
                <w:p>
                  <w:pPr>
                    <w:jc w:val="center"/>
                    <w:rPr>
                      <w:rFonts w:cs="Times New Roman"/>
                      <w:bCs/>
                      <w:szCs w:val="21"/>
                    </w:rPr>
                  </w:pPr>
                  <w:r>
                    <w:rPr>
                      <w:rFonts w:cs="Times New Roman"/>
                      <w:bCs/>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1" w:type="pct"/>
                  <w:vMerge w:val="continue"/>
                  <w:tcBorders>
                    <w:tl2br w:val="nil"/>
                    <w:tr2bl w:val="nil"/>
                  </w:tcBorders>
                  <w:vAlign w:val="center"/>
                </w:tcPr>
                <w:p>
                  <w:pPr>
                    <w:jc w:val="center"/>
                    <w:rPr>
                      <w:rFonts w:cs="Times New Roman"/>
                      <w:szCs w:val="21"/>
                    </w:rPr>
                  </w:pPr>
                </w:p>
              </w:tc>
              <w:tc>
                <w:tcPr>
                  <w:tcW w:w="1784" w:type="pct"/>
                  <w:tcBorders>
                    <w:tl2br w:val="nil"/>
                    <w:tr2bl w:val="nil"/>
                  </w:tcBorders>
                  <w:vAlign w:val="center"/>
                </w:tcPr>
                <w:p>
                  <w:pPr>
                    <w:jc w:val="center"/>
                    <w:rPr>
                      <w:rFonts w:cs="Times New Roman"/>
                      <w:szCs w:val="21"/>
                    </w:rPr>
                  </w:pPr>
                  <w:r>
                    <w:rPr>
                      <w:rFonts w:cs="Times New Roman"/>
                      <w:szCs w:val="21"/>
                    </w:rPr>
                    <w:t>N4，西侧厂界外1m处</w:t>
                  </w:r>
                </w:p>
              </w:tc>
              <w:tc>
                <w:tcPr>
                  <w:tcW w:w="938" w:type="pct"/>
                  <w:tcBorders>
                    <w:tl2br w:val="nil"/>
                    <w:tr2bl w:val="nil"/>
                  </w:tcBorders>
                  <w:vAlign w:val="center"/>
                </w:tcPr>
                <w:p>
                  <w:pPr>
                    <w:jc w:val="center"/>
                    <w:rPr>
                      <w:rFonts w:cs="Times New Roman"/>
                      <w:bCs/>
                      <w:szCs w:val="21"/>
                    </w:rPr>
                  </w:pPr>
                  <w:r>
                    <w:rPr>
                      <w:rFonts w:cs="Times New Roman"/>
                      <w:bCs/>
                      <w:szCs w:val="21"/>
                    </w:rPr>
                    <w:t>58</w:t>
                  </w:r>
                </w:p>
              </w:tc>
              <w:tc>
                <w:tcPr>
                  <w:tcW w:w="546" w:type="pct"/>
                  <w:tcBorders>
                    <w:tl2br w:val="nil"/>
                    <w:tr2bl w:val="nil"/>
                  </w:tcBorders>
                  <w:vAlign w:val="center"/>
                </w:tcPr>
                <w:p>
                  <w:pPr>
                    <w:jc w:val="center"/>
                    <w:rPr>
                      <w:rFonts w:cs="Times New Roman"/>
                      <w:bCs/>
                      <w:szCs w:val="21"/>
                    </w:rPr>
                  </w:pPr>
                  <w:r>
                    <w:rPr>
                      <w:rFonts w:cs="Times New Roman"/>
                      <w:bCs/>
                      <w:szCs w:val="21"/>
                    </w:rPr>
                    <w:t>48</w:t>
                  </w:r>
                </w:p>
              </w:tc>
              <w:tc>
                <w:tcPr>
                  <w:tcW w:w="529" w:type="pct"/>
                  <w:tcBorders>
                    <w:tl2br w:val="nil"/>
                    <w:tr2bl w:val="nil"/>
                  </w:tcBorders>
                  <w:vAlign w:val="center"/>
                </w:tcPr>
                <w:p>
                  <w:pPr>
                    <w:jc w:val="center"/>
                    <w:rPr>
                      <w:rFonts w:cs="Times New Roman"/>
                      <w:bCs/>
                      <w:szCs w:val="21"/>
                    </w:rPr>
                  </w:pPr>
                  <w:r>
                    <w:rPr>
                      <w:rFonts w:cs="Times New Roman"/>
                      <w:bCs/>
                      <w:szCs w:val="21"/>
                    </w:rPr>
                    <w:t>65</w:t>
                  </w:r>
                </w:p>
              </w:tc>
              <w:tc>
                <w:tcPr>
                  <w:tcW w:w="529" w:type="pct"/>
                  <w:tcBorders>
                    <w:tl2br w:val="nil"/>
                    <w:tr2bl w:val="nil"/>
                  </w:tcBorders>
                  <w:vAlign w:val="center"/>
                </w:tcPr>
                <w:p>
                  <w:pPr>
                    <w:jc w:val="center"/>
                    <w:rPr>
                      <w:rFonts w:cs="Times New Roman"/>
                      <w:bCs/>
                      <w:szCs w:val="21"/>
                    </w:rPr>
                  </w:pPr>
                  <w:r>
                    <w:rPr>
                      <w:rFonts w:cs="Times New Roman"/>
                      <w:bCs/>
                      <w:szCs w:val="21"/>
                    </w:rPr>
                    <w:t>55</w:t>
                  </w:r>
                </w:p>
              </w:tc>
            </w:tr>
          </w:tbl>
          <w:p>
            <w:pPr>
              <w:spacing w:line="360" w:lineRule="auto"/>
              <w:ind w:firstLine="480" w:firstLineChars="200"/>
              <w:rPr>
                <w:rFonts w:cs="Times New Roman"/>
                <w:sz w:val="24"/>
                <w:szCs w:val="24"/>
              </w:rPr>
            </w:pPr>
            <w:r>
              <w:rPr>
                <w:rFonts w:cs="Times New Roman"/>
                <w:sz w:val="24"/>
                <w:szCs w:val="24"/>
              </w:rPr>
              <w:t>监测结果表明：在例行监测期间，厂界昼间和夜间噪声满足《工业企业厂界环境噪声排放标准》（GB12348-2008）中3类排放标准。</w:t>
            </w:r>
          </w:p>
          <w:p>
            <w:pPr>
              <w:spacing w:line="360" w:lineRule="auto"/>
              <w:ind w:firstLine="482" w:firstLineChars="200"/>
              <w:rPr>
                <w:rFonts w:cs="Times New Roman"/>
                <w:b/>
                <w:bCs/>
                <w:sz w:val="24"/>
                <w:szCs w:val="24"/>
              </w:rPr>
            </w:pPr>
            <w:r>
              <w:rPr>
                <w:rFonts w:cs="Times New Roman"/>
                <w:b/>
                <w:bCs/>
                <w:sz w:val="24"/>
                <w:szCs w:val="24"/>
              </w:rPr>
              <w:t>综上所述，本项目噪声例行监测达标，故现有噪声措施满足噪声达标排放，无需整改。</w:t>
            </w:r>
          </w:p>
          <w:p>
            <w:pPr>
              <w:spacing w:line="360" w:lineRule="auto"/>
              <w:ind w:firstLine="482" w:firstLineChars="200"/>
              <w:rPr>
                <w:rFonts w:cs="Times New Roman"/>
                <w:b/>
                <w:bCs/>
                <w:sz w:val="24"/>
                <w:szCs w:val="24"/>
              </w:rPr>
            </w:pPr>
            <w:r>
              <w:rPr>
                <w:rFonts w:cs="Times New Roman"/>
                <w:b/>
                <w:bCs/>
                <w:sz w:val="24"/>
                <w:szCs w:val="24"/>
              </w:rPr>
              <w:t>（4）固体废物</w:t>
            </w:r>
          </w:p>
          <w:p>
            <w:pPr>
              <w:spacing w:line="360" w:lineRule="auto"/>
              <w:ind w:firstLine="480" w:firstLineChars="200"/>
              <w:rPr>
                <w:rFonts w:cs="Times New Roman"/>
                <w:sz w:val="24"/>
                <w:szCs w:val="24"/>
              </w:rPr>
            </w:pPr>
            <w:r>
              <w:rPr>
                <w:rFonts w:cs="Times New Roman"/>
                <w:sz w:val="24"/>
                <w:szCs w:val="24"/>
              </w:rPr>
              <w:t xml:space="preserve">项目生产过程中产生的固体废物主要为布袋除尘器收尘、废砖坯、废砖、废脱硫石膏、生活垃圾和废机油、含油抹布及手套等。 </w:t>
            </w:r>
          </w:p>
          <w:p>
            <w:pPr>
              <w:pStyle w:val="70"/>
              <w:ind w:firstLine="0" w:firstLineChars="0"/>
              <w:jc w:val="center"/>
              <w:rPr>
                <w:rFonts w:cs="Times New Roman"/>
                <w:b/>
                <w:bCs/>
                <w:kern w:val="2"/>
                <w:szCs w:val="24"/>
              </w:rPr>
            </w:pPr>
            <w:r>
              <w:rPr>
                <w:rFonts w:cs="Times New Roman"/>
                <w:b/>
                <w:bCs/>
                <w:kern w:val="2"/>
                <w:szCs w:val="24"/>
              </w:rPr>
              <w:t>表2-17 营运期各类固废处置措施</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2"/>
              <w:gridCol w:w="2411"/>
              <w:gridCol w:w="1759"/>
              <w:gridCol w:w="900"/>
              <w:gridCol w:w="27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pPr>
                    <w:autoSpaceDN w:val="0"/>
                    <w:jc w:val="center"/>
                    <w:textAlignment w:val="bottom"/>
                    <w:rPr>
                      <w:rFonts w:cs="Times New Roman"/>
                      <w:b/>
                      <w:bCs/>
                      <w:szCs w:val="21"/>
                    </w:rPr>
                  </w:pPr>
                  <w:r>
                    <w:rPr>
                      <w:rFonts w:cs="Times New Roman"/>
                      <w:b/>
                      <w:bCs/>
                      <w:szCs w:val="21"/>
                    </w:rPr>
                    <w:t>性质</w:t>
                  </w:r>
                </w:p>
              </w:tc>
              <w:tc>
                <w:tcPr>
                  <w:tcW w:w="2411" w:type="dxa"/>
                  <w:vAlign w:val="center"/>
                </w:tcPr>
                <w:p>
                  <w:pPr>
                    <w:autoSpaceDN w:val="0"/>
                    <w:jc w:val="center"/>
                    <w:textAlignment w:val="bottom"/>
                    <w:rPr>
                      <w:rFonts w:cs="Times New Roman"/>
                      <w:b/>
                      <w:bCs/>
                      <w:szCs w:val="21"/>
                    </w:rPr>
                  </w:pPr>
                  <w:r>
                    <w:rPr>
                      <w:rFonts w:cs="Times New Roman"/>
                      <w:b/>
                      <w:bCs/>
                      <w:szCs w:val="21"/>
                    </w:rPr>
                    <w:t>固废名称</w:t>
                  </w:r>
                </w:p>
              </w:tc>
              <w:tc>
                <w:tcPr>
                  <w:tcW w:w="1759" w:type="dxa"/>
                  <w:vAlign w:val="center"/>
                </w:tcPr>
                <w:p>
                  <w:pPr>
                    <w:autoSpaceDN w:val="0"/>
                    <w:jc w:val="center"/>
                    <w:textAlignment w:val="bottom"/>
                    <w:rPr>
                      <w:rFonts w:cs="Times New Roman"/>
                      <w:b/>
                      <w:bCs/>
                      <w:szCs w:val="21"/>
                    </w:rPr>
                  </w:pPr>
                  <w:r>
                    <w:rPr>
                      <w:rFonts w:cs="Times New Roman"/>
                      <w:b/>
                      <w:bCs/>
                      <w:szCs w:val="21"/>
                    </w:rPr>
                    <w:t>产生源</w:t>
                  </w:r>
                </w:p>
              </w:tc>
              <w:tc>
                <w:tcPr>
                  <w:tcW w:w="900" w:type="dxa"/>
                  <w:vAlign w:val="center"/>
                </w:tcPr>
                <w:p>
                  <w:pPr>
                    <w:autoSpaceDN w:val="0"/>
                    <w:jc w:val="center"/>
                    <w:textAlignment w:val="bottom"/>
                    <w:rPr>
                      <w:rFonts w:cs="Times New Roman"/>
                      <w:b/>
                      <w:bCs/>
                      <w:szCs w:val="21"/>
                    </w:rPr>
                  </w:pPr>
                  <w:r>
                    <w:rPr>
                      <w:rFonts w:cs="Times New Roman"/>
                      <w:b/>
                      <w:bCs/>
                      <w:szCs w:val="21"/>
                    </w:rPr>
                    <w:t>产生量（t/a）</w:t>
                  </w:r>
                </w:p>
              </w:tc>
              <w:tc>
                <w:tcPr>
                  <w:tcW w:w="2714" w:type="dxa"/>
                  <w:vAlign w:val="center"/>
                </w:tcPr>
                <w:p>
                  <w:pPr>
                    <w:autoSpaceDN w:val="0"/>
                    <w:jc w:val="center"/>
                    <w:textAlignment w:val="bottom"/>
                    <w:rPr>
                      <w:rFonts w:cs="Times New Roman"/>
                      <w:b/>
                      <w:bCs/>
                      <w:szCs w:val="21"/>
                    </w:rPr>
                  </w:pPr>
                  <w:r>
                    <w:rPr>
                      <w:rFonts w:cs="Times New Roman"/>
                      <w:b/>
                      <w:bCs/>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restart"/>
                  <w:vAlign w:val="center"/>
                </w:tcPr>
                <w:p>
                  <w:pPr>
                    <w:autoSpaceDN w:val="0"/>
                    <w:jc w:val="center"/>
                    <w:textAlignment w:val="bottom"/>
                    <w:rPr>
                      <w:rFonts w:cs="Times New Roman"/>
                      <w:szCs w:val="21"/>
                    </w:rPr>
                  </w:pPr>
                  <w:r>
                    <w:rPr>
                      <w:rFonts w:cs="Times New Roman"/>
                      <w:szCs w:val="21"/>
                    </w:rPr>
                    <w:t>一般固废</w:t>
                  </w:r>
                </w:p>
              </w:tc>
              <w:tc>
                <w:tcPr>
                  <w:tcW w:w="2411" w:type="dxa"/>
                  <w:vAlign w:val="center"/>
                </w:tcPr>
                <w:p>
                  <w:pPr>
                    <w:autoSpaceDN w:val="0"/>
                    <w:jc w:val="center"/>
                    <w:textAlignment w:val="bottom"/>
                    <w:rPr>
                      <w:rFonts w:cs="Times New Roman"/>
                      <w:szCs w:val="21"/>
                    </w:rPr>
                  </w:pPr>
                  <w:r>
                    <w:rPr>
                      <w:rFonts w:cs="Times New Roman"/>
                      <w:szCs w:val="21"/>
                    </w:rPr>
                    <w:t>废过滤棉</w:t>
                  </w:r>
                </w:p>
              </w:tc>
              <w:tc>
                <w:tcPr>
                  <w:tcW w:w="1759" w:type="dxa"/>
                  <w:vAlign w:val="center"/>
                </w:tcPr>
                <w:p>
                  <w:pPr>
                    <w:autoSpaceDN w:val="0"/>
                    <w:jc w:val="center"/>
                    <w:textAlignment w:val="bottom"/>
                    <w:rPr>
                      <w:rFonts w:cs="Times New Roman"/>
                      <w:szCs w:val="21"/>
                    </w:rPr>
                  </w:pPr>
                  <w:r>
                    <w:rPr>
                      <w:rFonts w:cs="Times New Roman"/>
                      <w:szCs w:val="21"/>
                    </w:rPr>
                    <w:t>烘干炉</w:t>
                  </w:r>
                </w:p>
              </w:tc>
              <w:tc>
                <w:tcPr>
                  <w:tcW w:w="900" w:type="dxa"/>
                  <w:vAlign w:val="center"/>
                </w:tcPr>
                <w:p>
                  <w:pPr>
                    <w:autoSpaceDN w:val="0"/>
                    <w:jc w:val="center"/>
                    <w:textAlignment w:val="bottom"/>
                    <w:rPr>
                      <w:rFonts w:cs="Times New Roman"/>
                      <w:szCs w:val="21"/>
                    </w:rPr>
                  </w:pPr>
                  <w:r>
                    <w:rPr>
                      <w:rFonts w:cs="Times New Roman"/>
                      <w:szCs w:val="21"/>
                    </w:rPr>
                    <w:t>0.01</w:t>
                  </w:r>
                </w:p>
              </w:tc>
              <w:tc>
                <w:tcPr>
                  <w:tcW w:w="2714" w:type="dxa"/>
                  <w:vAlign w:val="center"/>
                </w:tcPr>
                <w:p>
                  <w:pPr>
                    <w:autoSpaceDN w:val="0"/>
                    <w:jc w:val="center"/>
                    <w:textAlignment w:val="bottom"/>
                    <w:rPr>
                      <w:rFonts w:cs="Times New Roman"/>
                      <w:szCs w:val="21"/>
                    </w:rPr>
                  </w:pPr>
                  <w:r>
                    <w:rPr>
                      <w:rFonts w:cs="Times New Roman"/>
                      <w:szCs w:val="21"/>
                    </w:rPr>
                    <w:t>收集交由环卫部门清运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pPr>
                    <w:autoSpaceDN w:val="0"/>
                    <w:jc w:val="center"/>
                    <w:textAlignment w:val="bottom"/>
                    <w:rPr>
                      <w:rFonts w:cs="Times New Roman"/>
                      <w:szCs w:val="21"/>
                    </w:rPr>
                  </w:pPr>
                </w:p>
              </w:tc>
              <w:tc>
                <w:tcPr>
                  <w:tcW w:w="2411" w:type="dxa"/>
                  <w:vAlign w:val="center"/>
                </w:tcPr>
                <w:p>
                  <w:pPr>
                    <w:autoSpaceDN w:val="0"/>
                    <w:jc w:val="center"/>
                    <w:textAlignment w:val="bottom"/>
                    <w:rPr>
                      <w:rFonts w:cs="Times New Roman"/>
                      <w:szCs w:val="21"/>
                    </w:rPr>
                  </w:pPr>
                  <w:r>
                    <w:rPr>
                      <w:rFonts w:cs="Times New Roman"/>
                      <w:szCs w:val="21"/>
                    </w:rPr>
                    <w:t>废丝、裁切边废料</w:t>
                  </w:r>
                </w:p>
              </w:tc>
              <w:tc>
                <w:tcPr>
                  <w:tcW w:w="1759" w:type="dxa"/>
                  <w:vAlign w:val="center"/>
                </w:tcPr>
                <w:p>
                  <w:pPr>
                    <w:autoSpaceDN w:val="0"/>
                    <w:jc w:val="center"/>
                    <w:textAlignment w:val="bottom"/>
                    <w:rPr>
                      <w:rFonts w:cs="Times New Roman"/>
                      <w:szCs w:val="21"/>
                    </w:rPr>
                  </w:pPr>
                  <w:r>
                    <w:rPr>
                      <w:rFonts w:cs="Times New Roman"/>
                      <w:szCs w:val="21"/>
                    </w:rPr>
                    <w:t>拉丝工序</w:t>
                  </w:r>
                </w:p>
              </w:tc>
              <w:tc>
                <w:tcPr>
                  <w:tcW w:w="900" w:type="dxa"/>
                  <w:vAlign w:val="center"/>
                </w:tcPr>
                <w:p>
                  <w:pPr>
                    <w:autoSpaceDN w:val="0"/>
                    <w:jc w:val="center"/>
                    <w:textAlignment w:val="bottom"/>
                    <w:rPr>
                      <w:rFonts w:cs="Times New Roman"/>
                      <w:szCs w:val="21"/>
                    </w:rPr>
                  </w:pPr>
                  <w:r>
                    <w:rPr>
                      <w:rFonts w:cs="Times New Roman"/>
                      <w:szCs w:val="21"/>
                    </w:rPr>
                    <w:t>494</w:t>
                  </w:r>
                </w:p>
              </w:tc>
              <w:tc>
                <w:tcPr>
                  <w:tcW w:w="2714" w:type="dxa"/>
                  <w:vAlign w:val="center"/>
                </w:tcPr>
                <w:p>
                  <w:pPr>
                    <w:autoSpaceDN w:val="0"/>
                    <w:jc w:val="center"/>
                    <w:textAlignment w:val="bottom"/>
                    <w:rPr>
                      <w:rFonts w:cs="Times New Roman"/>
                      <w:szCs w:val="21"/>
                    </w:rPr>
                  </w:pPr>
                  <w:r>
                    <w:rPr>
                      <w:rFonts w:cs="Times New Roman"/>
                      <w:szCs w:val="21"/>
                    </w:rPr>
                    <w:t>作为玻璃原料或工艺品填料外售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pPr>
                    <w:autoSpaceDN w:val="0"/>
                    <w:jc w:val="center"/>
                    <w:textAlignment w:val="bottom"/>
                    <w:rPr>
                      <w:rFonts w:cs="Times New Roman"/>
                      <w:szCs w:val="21"/>
                    </w:rPr>
                  </w:pPr>
                </w:p>
              </w:tc>
              <w:tc>
                <w:tcPr>
                  <w:tcW w:w="2411" w:type="dxa"/>
                  <w:vAlign w:val="center"/>
                </w:tcPr>
                <w:p>
                  <w:pPr>
                    <w:autoSpaceDN w:val="0"/>
                    <w:jc w:val="center"/>
                    <w:textAlignment w:val="bottom"/>
                    <w:rPr>
                      <w:rFonts w:cs="Times New Roman"/>
                      <w:szCs w:val="21"/>
                    </w:rPr>
                  </w:pPr>
                  <w:r>
                    <w:rPr>
                      <w:rFonts w:cs="Times New Roman"/>
                      <w:szCs w:val="21"/>
                    </w:rPr>
                    <w:t>包装废物</w:t>
                  </w:r>
                </w:p>
              </w:tc>
              <w:tc>
                <w:tcPr>
                  <w:tcW w:w="1759" w:type="dxa"/>
                  <w:vAlign w:val="center"/>
                </w:tcPr>
                <w:p>
                  <w:pPr>
                    <w:autoSpaceDN w:val="0"/>
                    <w:jc w:val="center"/>
                    <w:textAlignment w:val="bottom"/>
                    <w:rPr>
                      <w:rFonts w:cs="Times New Roman"/>
                      <w:szCs w:val="21"/>
                    </w:rPr>
                  </w:pPr>
                  <w:r>
                    <w:rPr>
                      <w:rFonts w:cs="Times New Roman"/>
                      <w:szCs w:val="21"/>
                    </w:rPr>
                    <w:t>包装</w:t>
                  </w:r>
                </w:p>
              </w:tc>
              <w:tc>
                <w:tcPr>
                  <w:tcW w:w="900" w:type="dxa"/>
                  <w:vAlign w:val="center"/>
                </w:tcPr>
                <w:p>
                  <w:pPr>
                    <w:autoSpaceDN w:val="0"/>
                    <w:jc w:val="center"/>
                    <w:textAlignment w:val="bottom"/>
                    <w:rPr>
                      <w:rFonts w:cs="Times New Roman"/>
                      <w:szCs w:val="21"/>
                    </w:rPr>
                  </w:pPr>
                  <w:r>
                    <w:rPr>
                      <w:rFonts w:cs="Times New Roman"/>
                      <w:szCs w:val="21"/>
                    </w:rPr>
                    <w:t>1.5</w:t>
                  </w:r>
                </w:p>
              </w:tc>
              <w:tc>
                <w:tcPr>
                  <w:tcW w:w="2714" w:type="dxa"/>
                  <w:vAlign w:val="center"/>
                </w:tcPr>
                <w:p>
                  <w:pPr>
                    <w:autoSpaceDN w:val="0"/>
                    <w:jc w:val="center"/>
                    <w:textAlignment w:val="bottom"/>
                    <w:rPr>
                      <w:rFonts w:cs="Times New Roman"/>
                      <w:szCs w:val="21"/>
                    </w:rPr>
                  </w:pPr>
                  <w:r>
                    <w:rPr>
                      <w:rFonts w:cs="Times New Roman"/>
                      <w:szCs w:val="21"/>
                    </w:rPr>
                    <w:t>出售给废品收购站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pPr>
                    <w:autoSpaceDN w:val="0"/>
                    <w:jc w:val="center"/>
                    <w:textAlignment w:val="bottom"/>
                    <w:rPr>
                      <w:rFonts w:cs="Times New Roman"/>
                      <w:szCs w:val="21"/>
                    </w:rPr>
                  </w:pPr>
                </w:p>
              </w:tc>
              <w:tc>
                <w:tcPr>
                  <w:tcW w:w="2411" w:type="dxa"/>
                  <w:vAlign w:val="center"/>
                </w:tcPr>
                <w:p>
                  <w:pPr>
                    <w:autoSpaceDN w:val="0"/>
                    <w:jc w:val="center"/>
                    <w:textAlignment w:val="bottom"/>
                    <w:rPr>
                      <w:rFonts w:cs="Times New Roman"/>
                      <w:szCs w:val="21"/>
                    </w:rPr>
                  </w:pPr>
                  <w:r>
                    <w:rPr>
                      <w:rFonts w:cs="Times New Roman"/>
                      <w:szCs w:val="21"/>
                    </w:rPr>
                    <w:t>生活垃圾</w:t>
                  </w:r>
                </w:p>
              </w:tc>
              <w:tc>
                <w:tcPr>
                  <w:tcW w:w="1759" w:type="dxa"/>
                  <w:vAlign w:val="center"/>
                </w:tcPr>
                <w:p>
                  <w:pPr>
                    <w:autoSpaceDN w:val="0"/>
                    <w:jc w:val="center"/>
                    <w:textAlignment w:val="bottom"/>
                    <w:rPr>
                      <w:rFonts w:cs="Times New Roman"/>
                      <w:szCs w:val="21"/>
                    </w:rPr>
                  </w:pPr>
                  <w:r>
                    <w:rPr>
                      <w:rFonts w:cs="Times New Roman"/>
                      <w:szCs w:val="21"/>
                    </w:rPr>
                    <w:t>办公</w:t>
                  </w:r>
                </w:p>
              </w:tc>
              <w:tc>
                <w:tcPr>
                  <w:tcW w:w="900" w:type="dxa"/>
                  <w:vAlign w:val="center"/>
                </w:tcPr>
                <w:p>
                  <w:pPr>
                    <w:autoSpaceDN w:val="0"/>
                    <w:jc w:val="center"/>
                    <w:textAlignment w:val="bottom"/>
                    <w:rPr>
                      <w:rFonts w:cs="Times New Roman"/>
                      <w:szCs w:val="21"/>
                    </w:rPr>
                  </w:pPr>
                  <w:r>
                    <w:rPr>
                      <w:rFonts w:cs="Times New Roman"/>
                      <w:szCs w:val="21"/>
                    </w:rPr>
                    <w:t>3</w:t>
                  </w:r>
                </w:p>
              </w:tc>
              <w:tc>
                <w:tcPr>
                  <w:tcW w:w="2714" w:type="dxa"/>
                  <w:vAlign w:val="center"/>
                </w:tcPr>
                <w:p>
                  <w:pPr>
                    <w:autoSpaceDN w:val="0"/>
                    <w:jc w:val="center"/>
                    <w:textAlignment w:val="bottom"/>
                    <w:rPr>
                      <w:rFonts w:cs="Times New Roman"/>
                      <w:szCs w:val="21"/>
                    </w:rPr>
                  </w:pPr>
                  <w:r>
                    <w:rPr>
                      <w:rFonts w:cs="Times New Roman"/>
                      <w:szCs w:val="21"/>
                    </w:rPr>
                    <w:t>收集交由环卫部门清运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restart"/>
                  <w:vAlign w:val="center"/>
                </w:tcPr>
                <w:p>
                  <w:pPr>
                    <w:autoSpaceDN w:val="0"/>
                    <w:jc w:val="center"/>
                    <w:textAlignment w:val="bottom"/>
                    <w:rPr>
                      <w:rFonts w:cs="Times New Roman"/>
                      <w:szCs w:val="21"/>
                    </w:rPr>
                  </w:pPr>
                  <w:r>
                    <w:rPr>
                      <w:rFonts w:cs="Times New Roman"/>
                      <w:szCs w:val="21"/>
                    </w:rPr>
                    <w:t>危险废物</w:t>
                  </w:r>
                </w:p>
              </w:tc>
              <w:tc>
                <w:tcPr>
                  <w:tcW w:w="2411" w:type="dxa"/>
                  <w:vAlign w:val="center"/>
                </w:tcPr>
                <w:p>
                  <w:pPr>
                    <w:autoSpaceDN w:val="0"/>
                    <w:jc w:val="center"/>
                    <w:textAlignment w:val="bottom"/>
                    <w:rPr>
                      <w:rFonts w:cs="Times New Roman"/>
                      <w:szCs w:val="21"/>
                    </w:rPr>
                  </w:pPr>
                  <w:r>
                    <w:rPr>
                      <w:rFonts w:cs="Times New Roman"/>
                      <w:szCs w:val="21"/>
                    </w:rPr>
                    <w:t>废矿物油</w:t>
                  </w:r>
                </w:p>
              </w:tc>
              <w:tc>
                <w:tcPr>
                  <w:tcW w:w="1759" w:type="dxa"/>
                  <w:vAlign w:val="center"/>
                </w:tcPr>
                <w:p>
                  <w:pPr>
                    <w:autoSpaceDN w:val="0"/>
                    <w:jc w:val="center"/>
                    <w:textAlignment w:val="bottom"/>
                    <w:rPr>
                      <w:rFonts w:cs="Times New Roman"/>
                      <w:szCs w:val="21"/>
                    </w:rPr>
                  </w:pPr>
                  <w:r>
                    <w:rPr>
                      <w:rFonts w:cs="Times New Roman"/>
                      <w:szCs w:val="21"/>
                    </w:rPr>
                    <w:t>设备保养</w:t>
                  </w:r>
                </w:p>
              </w:tc>
              <w:tc>
                <w:tcPr>
                  <w:tcW w:w="900" w:type="dxa"/>
                  <w:vAlign w:val="center"/>
                </w:tcPr>
                <w:p>
                  <w:pPr>
                    <w:autoSpaceDN w:val="0"/>
                    <w:jc w:val="center"/>
                    <w:textAlignment w:val="bottom"/>
                    <w:rPr>
                      <w:rFonts w:cs="Times New Roman"/>
                      <w:szCs w:val="21"/>
                    </w:rPr>
                  </w:pPr>
                  <w:r>
                    <w:rPr>
                      <w:rFonts w:cs="Times New Roman"/>
                      <w:szCs w:val="21"/>
                    </w:rPr>
                    <w:t>0.01</w:t>
                  </w:r>
                </w:p>
              </w:tc>
              <w:tc>
                <w:tcPr>
                  <w:tcW w:w="2714" w:type="dxa"/>
                  <w:vMerge w:val="restart"/>
                  <w:vAlign w:val="center"/>
                </w:tcPr>
                <w:p>
                  <w:pPr>
                    <w:autoSpaceDN w:val="0"/>
                    <w:jc w:val="center"/>
                    <w:textAlignment w:val="bottom"/>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交由</w:t>
                  </w:r>
                  <w:r>
                    <w:rPr>
                      <w:rFonts w:hint="eastAsia" w:cs="Times New Roman"/>
                      <w:color w:val="000000" w:themeColor="text1"/>
                      <w:szCs w:val="21"/>
                      <w14:textFill>
                        <w14:solidFill>
                          <w14:schemeClr w14:val="tx1"/>
                        </w14:solidFill>
                      </w14:textFill>
                    </w:rPr>
                    <w:t>达州清新环境科技有限公司</w:t>
                  </w:r>
                  <w:r>
                    <w:rPr>
                      <w:rFonts w:cs="Times New Roman"/>
                      <w:color w:val="000000" w:themeColor="text1"/>
                      <w:szCs w:val="21"/>
                      <w14:textFill>
                        <w14:solidFill>
                          <w14:schemeClr w14:val="tx1"/>
                        </w14:solidFill>
                      </w14:textFill>
                    </w:rPr>
                    <w:t>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pPr>
                    <w:autoSpaceDN w:val="0"/>
                    <w:jc w:val="center"/>
                    <w:textAlignment w:val="bottom"/>
                    <w:rPr>
                      <w:rFonts w:cs="Times New Roman"/>
                      <w:szCs w:val="21"/>
                    </w:rPr>
                  </w:pPr>
                </w:p>
              </w:tc>
              <w:tc>
                <w:tcPr>
                  <w:tcW w:w="2411" w:type="dxa"/>
                  <w:vAlign w:val="center"/>
                </w:tcPr>
                <w:p>
                  <w:pPr>
                    <w:autoSpaceDN w:val="0"/>
                    <w:jc w:val="center"/>
                    <w:textAlignment w:val="bottom"/>
                    <w:rPr>
                      <w:rFonts w:cs="Times New Roman"/>
                      <w:szCs w:val="21"/>
                    </w:rPr>
                  </w:pPr>
                  <w:r>
                    <w:rPr>
                      <w:rFonts w:cs="Times New Roman"/>
                      <w:szCs w:val="21"/>
                    </w:rPr>
                    <w:t>废离子交换树脂</w:t>
                  </w:r>
                </w:p>
              </w:tc>
              <w:tc>
                <w:tcPr>
                  <w:tcW w:w="1759" w:type="dxa"/>
                  <w:vAlign w:val="center"/>
                </w:tcPr>
                <w:p>
                  <w:pPr>
                    <w:autoSpaceDN w:val="0"/>
                    <w:jc w:val="center"/>
                    <w:textAlignment w:val="bottom"/>
                    <w:rPr>
                      <w:rFonts w:cs="Times New Roman"/>
                      <w:szCs w:val="21"/>
                    </w:rPr>
                  </w:pPr>
                  <w:r>
                    <w:rPr>
                      <w:rFonts w:cs="Times New Roman"/>
                      <w:szCs w:val="21"/>
                    </w:rPr>
                    <w:t>软水制备</w:t>
                  </w:r>
                </w:p>
              </w:tc>
              <w:tc>
                <w:tcPr>
                  <w:tcW w:w="900" w:type="dxa"/>
                  <w:vAlign w:val="center"/>
                </w:tcPr>
                <w:p>
                  <w:pPr>
                    <w:autoSpaceDN w:val="0"/>
                    <w:jc w:val="center"/>
                    <w:textAlignment w:val="bottom"/>
                    <w:rPr>
                      <w:rFonts w:cs="Times New Roman"/>
                      <w:szCs w:val="21"/>
                    </w:rPr>
                  </w:pPr>
                  <w:r>
                    <w:rPr>
                      <w:rFonts w:cs="Times New Roman"/>
                      <w:szCs w:val="21"/>
                    </w:rPr>
                    <w:t>0.5</w:t>
                  </w:r>
                </w:p>
              </w:tc>
              <w:tc>
                <w:tcPr>
                  <w:tcW w:w="2714" w:type="dxa"/>
                  <w:vMerge w:val="continue"/>
                  <w:vAlign w:val="center"/>
                </w:tcPr>
                <w:p>
                  <w:pPr>
                    <w:autoSpaceDN w:val="0"/>
                    <w:jc w:val="center"/>
                    <w:textAlignment w:val="bottom"/>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pPr>
                    <w:autoSpaceDN w:val="0"/>
                    <w:jc w:val="center"/>
                    <w:textAlignment w:val="bottom"/>
                    <w:rPr>
                      <w:rFonts w:cs="Times New Roman"/>
                      <w:szCs w:val="21"/>
                    </w:rPr>
                  </w:pPr>
                </w:p>
              </w:tc>
              <w:tc>
                <w:tcPr>
                  <w:tcW w:w="2411" w:type="dxa"/>
                  <w:vAlign w:val="center"/>
                </w:tcPr>
                <w:p>
                  <w:pPr>
                    <w:autoSpaceDN w:val="0"/>
                    <w:jc w:val="center"/>
                    <w:textAlignment w:val="bottom"/>
                    <w:rPr>
                      <w:rFonts w:cs="Times New Roman"/>
                      <w:szCs w:val="21"/>
                    </w:rPr>
                  </w:pPr>
                  <w:r>
                    <w:rPr>
                      <w:rFonts w:cs="Times New Roman"/>
                      <w:szCs w:val="21"/>
                    </w:rPr>
                    <w:t>废活性炭</w:t>
                  </w:r>
                </w:p>
              </w:tc>
              <w:tc>
                <w:tcPr>
                  <w:tcW w:w="1759" w:type="dxa"/>
                  <w:vAlign w:val="center"/>
                </w:tcPr>
                <w:p>
                  <w:pPr>
                    <w:autoSpaceDN w:val="0"/>
                    <w:jc w:val="center"/>
                    <w:textAlignment w:val="bottom"/>
                    <w:rPr>
                      <w:rFonts w:cs="Times New Roman"/>
                      <w:szCs w:val="21"/>
                    </w:rPr>
                  </w:pPr>
                  <w:r>
                    <w:rPr>
                      <w:rFonts w:cs="Times New Roman"/>
                      <w:szCs w:val="21"/>
                    </w:rPr>
                    <w:t>废气处理</w:t>
                  </w:r>
                </w:p>
              </w:tc>
              <w:tc>
                <w:tcPr>
                  <w:tcW w:w="900" w:type="dxa"/>
                  <w:vAlign w:val="center"/>
                </w:tcPr>
                <w:p>
                  <w:pPr>
                    <w:autoSpaceDN w:val="0"/>
                    <w:jc w:val="center"/>
                    <w:textAlignment w:val="bottom"/>
                    <w:rPr>
                      <w:rFonts w:cs="Times New Roman"/>
                      <w:szCs w:val="21"/>
                    </w:rPr>
                  </w:pPr>
                  <w:r>
                    <w:rPr>
                      <w:rFonts w:cs="Times New Roman"/>
                      <w:szCs w:val="21"/>
                    </w:rPr>
                    <w:t>0.5</w:t>
                  </w:r>
                </w:p>
              </w:tc>
              <w:tc>
                <w:tcPr>
                  <w:tcW w:w="2714" w:type="dxa"/>
                  <w:vMerge w:val="continue"/>
                  <w:vAlign w:val="center"/>
                </w:tcPr>
                <w:p>
                  <w:pPr>
                    <w:autoSpaceDN w:val="0"/>
                    <w:jc w:val="center"/>
                    <w:textAlignment w:val="bottom"/>
                    <w:rPr>
                      <w:rFonts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2" w:type="dxa"/>
                  <w:vMerge w:val="continue"/>
                  <w:vAlign w:val="center"/>
                </w:tcPr>
                <w:p>
                  <w:pPr>
                    <w:autoSpaceDN w:val="0"/>
                    <w:jc w:val="center"/>
                    <w:textAlignment w:val="bottom"/>
                    <w:rPr>
                      <w:rFonts w:cs="Times New Roman"/>
                      <w:szCs w:val="21"/>
                    </w:rPr>
                  </w:pPr>
                </w:p>
              </w:tc>
              <w:tc>
                <w:tcPr>
                  <w:tcW w:w="2411" w:type="dxa"/>
                  <w:vAlign w:val="center"/>
                </w:tcPr>
                <w:p>
                  <w:pPr>
                    <w:autoSpaceDN w:val="0"/>
                    <w:jc w:val="center"/>
                    <w:textAlignment w:val="bottom"/>
                    <w:rPr>
                      <w:rFonts w:cs="Times New Roman"/>
                      <w:szCs w:val="21"/>
                    </w:rPr>
                  </w:pPr>
                  <w:r>
                    <w:rPr>
                      <w:rFonts w:cs="Times New Roman"/>
                      <w:szCs w:val="21"/>
                    </w:rPr>
                    <w:t>含湿染料废料</w:t>
                  </w:r>
                </w:p>
              </w:tc>
              <w:tc>
                <w:tcPr>
                  <w:tcW w:w="1759" w:type="dxa"/>
                  <w:vAlign w:val="center"/>
                </w:tcPr>
                <w:p>
                  <w:pPr>
                    <w:autoSpaceDN w:val="0"/>
                    <w:jc w:val="center"/>
                    <w:textAlignment w:val="bottom"/>
                    <w:rPr>
                      <w:rFonts w:cs="Times New Roman"/>
                      <w:szCs w:val="21"/>
                    </w:rPr>
                  </w:pPr>
                  <w:r>
                    <w:rPr>
                      <w:rFonts w:cs="Times New Roman"/>
                      <w:szCs w:val="21"/>
                    </w:rPr>
                    <w:t>湿染料</w:t>
                  </w:r>
                </w:p>
              </w:tc>
              <w:tc>
                <w:tcPr>
                  <w:tcW w:w="900" w:type="dxa"/>
                  <w:vAlign w:val="center"/>
                </w:tcPr>
                <w:p>
                  <w:pPr>
                    <w:autoSpaceDN w:val="0"/>
                    <w:jc w:val="center"/>
                    <w:textAlignment w:val="bottom"/>
                    <w:rPr>
                      <w:rFonts w:cs="Times New Roman"/>
                      <w:szCs w:val="21"/>
                    </w:rPr>
                  </w:pPr>
                  <w:r>
                    <w:rPr>
                      <w:rFonts w:cs="Times New Roman"/>
                      <w:szCs w:val="21"/>
                    </w:rPr>
                    <w:t>10</w:t>
                  </w:r>
                </w:p>
              </w:tc>
              <w:tc>
                <w:tcPr>
                  <w:tcW w:w="2714" w:type="dxa"/>
                  <w:vAlign w:val="center"/>
                </w:tcPr>
                <w:p>
                  <w:pPr>
                    <w:autoSpaceDN w:val="0"/>
                    <w:jc w:val="center"/>
                    <w:textAlignment w:val="bottom"/>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存于固废储存池，暂未交有资质的单位进行处理</w:t>
                  </w:r>
                </w:p>
              </w:tc>
            </w:tr>
          </w:tbl>
          <w:p>
            <w:pPr>
              <w:spacing w:line="360" w:lineRule="auto"/>
              <w:ind w:firstLine="480" w:firstLineChars="200"/>
              <w:rPr>
                <w:rFonts w:cs="Times New Roman"/>
                <w:sz w:val="24"/>
                <w:szCs w:val="24"/>
              </w:rPr>
            </w:pPr>
            <w:r>
              <w:rPr>
                <w:rFonts w:cs="Times New Roman"/>
                <w:sz w:val="24"/>
                <w:szCs w:val="24"/>
              </w:rPr>
              <w:t>整改：</w:t>
            </w:r>
          </w:p>
          <w:p>
            <w:pPr>
              <w:spacing w:line="360" w:lineRule="auto"/>
              <w:ind w:firstLine="480" w:firstLineChars="200"/>
              <w:rPr>
                <w:rFonts w:cs="Times New Roman"/>
                <w:sz w:val="24"/>
                <w:szCs w:val="24"/>
              </w:rPr>
            </w:pPr>
            <w:r>
              <w:rPr>
                <w:rFonts w:cs="Times New Roman"/>
                <w:sz w:val="24"/>
                <w:szCs w:val="24"/>
              </w:rPr>
              <w:t>①危险废物暂存间虽进行了重点防渗，但房间未进行封闭，建设不规范；且危险废物标志标牌非最新格式要求；环评要求规范危险废物暂存间的建设，进行全封闭，并规范标志标牌。</w:t>
            </w:r>
          </w:p>
          <w:p>
            <w:pPr>
              <w:spacing w:line="360" w:lineRule="auto"/>
              <w:ind w:firstLine="480" w:firstLineChars="200"/>
              <w:rPr>
                <w:rFonts w:cs="Times New Roman"/>
                <w:sz w:val="24"/>
                <w:szCs w:val="24"/>
              </w:rPr>
            </w:pPr>
            <w:r>
              <w:rPr>
                <w:rFonts w:cs="Times New Roman"/>
                <w:sz w:val="24"/>
                <w:szCs w:val="24"/>
              </w:rPr>
              <w:t>②固废存储池规范化设置，进行防雨措施。</w:t>
            </w:r>
          </w:p>
          <w:p>
            <w:pPr>
              <w:spacing w:line="360" w:lineRule="auto"/>
              <w:ind w:firstLine="480" w:firstLineChars="200"/>
              <w:rPr>
                <w:rFonts w:cs="Times New Roman"/>
                <w:sz w:val="24"/>
                <w:szCs w:val="24"/>
              </w:rPr>
            </w:pPr>
            <w:r>
              <w:rPr>
                <w:rFonts w:cs="Times New Roman"/>
                <w:sz w:val="24"/>
                <w:szCs w:val="24"/>
              </w:rPr>
              <w:t>③现餐厨垃圾混入生活垃圾一同处理，环评要求餐厨垃圾交由有资质的单位进行处理。</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④含湿染料废料存于固废储存池，暂未交有资质的单位进行处理；环评要求建设单位将含湿染料废料交由有资质的单位进行处理。</w:t>
            </w:r>
          </w:p>
          <w:p>
            <w:pPr>
              <w:spacing w:line="360" w:lineRule="auto"/>
              <w:ind w:firstLine="482" w:firstLineChars="200"/>
              <w:rPr>
                <w:rFonts w:cs="Times New Roman"/>
                <w:b/>
                <w:bCs/>
                <w:sz w:val="24"/>
                <w:szCs w:val="24"/>
              </w:rPr>
            </w:pPr>
            <w:r>
              <w:rPr>
                <w:rFonts w:cs="Times New Roman"/>
                <w:b/>
                <w:bCs/>
                <w:sz w:val="24"/>
                <w:szCs w:val="24"/>
              </w:rPr>
              <w:t>固（液）体废物环保设施见下图：</w:t>
            </w:r>
          </w:p>
          <w:tbl>
            <w:tblPr>
              <w:tblStyle w:val="26"/>
              <w:tblW w:w="500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358"/>
              <w:gridCol w:w="4362"/>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499" w:type="pct"/>
                  <w:tcBorders>
                    <w:tl2br w:val="nil"/>
                    <w:tr2bl w:val="nil"/>
                  </w:tcBorders>
                  <w:vAlign w:val="center"/>
                </w:tcPr>
                <w:p>
                  <w:pPr>
                    <w:snapToGrid w:val="0"/>
                    <w:jc w:val="center"/>
                    <w:rPr>
                      <w:rFonts w:cs="Times New Roman"/>
                      <w:szCs w:val="21"/>
                    </w:rPr>
                  </w:pPr>
                  <w:r>
                    <w:rPr>
                      <w:rFonts w:cs="Times New Roman"/>
                      <w:szCs w:val="21"/>
                    </w:rPr>
                    <w:drawing>
                      <wp:inline distT="0" distB="0" distL="114300" distR="114300">
                        <wp:extent cx="2560320" cy="1920240"/>
                        <wp:effectExtent l="0" t="0" r="11430" b="3810"/>
                        <wp:docPr id="8" name="图片 8" descr="IMG_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4094"/>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2500" w:type="pct"/>
                  <w:tcBorders>
                    <w:tl2br w:val="nil"/>
                    <w:tr2bl w:val="nil"/>
                  </w:tcBorders>
                  <w:vAlign w:val="center"/>
                </w:tcPr>
                <w:p>
                  <w:pPr>
                    <w:snapToGrid w:val="0"/>
                    <w:jc w:val="center"/>
                    <w:rPr>
                      <w:rFonts w:cs="Times New Roman"/>
                      <w:szCs w:val="21"/>
                    </w:rPr>
                  </w:pPr>
                  <w:r>
                    <w:rPr>
                      <w:rFonts w:cs="Times New Roman"/>
                      <w:szCs w:val="21"/>
                    </w:rPr>
                    <w:drawing>
                      <wp:inline distT="0" distB="0" distL="114300" distR="114300">
                        <wp:extent cx="2560320" cy="1920240"/>
                        <wp:effectExtent l="0" t="0" r="11430" b="3810"/>
                        <wp:docPr id="9" name="图片 9" descr="IMG_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4095"/>
                                <pic:cNvPicPr>
                                  <a:picLocks noChangeAspect="1"/>
                                </pic:cNvPicPr>
                              </pic:nvPicPr>
                              <pic:blipFill>
                                <a:blip r:embed="rId32"/>
                                <a:stretch>
                                  <a:fillRect/>
                                </a:stretch>
                              </pic:blipFill>
                              <pic:spPr>
                                <a:xfrm>
                                  <a:off x="0" y="0"/>
                                  <a:ext cx="2560320" cy="192024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000" w:type="pct"/>
                  <w:gridSpan w:val="2"/>
                  <w:tcBorders>
                    <w:tl2br w:val="nil"/>
                    <w:tr2bl w:val="nil"/>
                  </w:tcBorders>
                  <w:vAlign w:val="center"/>
                </w:tcPr>
                <w:p>
                  <w:pPr>
                    <w:snapToGrid w:val="0"/>
                    <w:jc w:val="center"/>
                    <w:rPr>
                      <w:rFonts w:cs="Times New Roman"/>
                      <w:b/>
                      <w:bCs/>
                      <w:szCs w:val="21"/>
                    </w:rPr>
                  </w:pPr>
                  <w:r>
                    <w:rPr>
                      <w:rFonts w:cs="Times New Roman"/>
                      <w:b/>
                      <w:bCs/>
                      <w:szCs w:val="21"/>
                    </w:rPr>
                    <w:t>危险废物暂存间</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000" w:type="pct"/>
                  <w:gridSpan w:val="2"/>
                  <w:tcBorders>
                    <w:tl2br w:val="nil"/>
                    <w:tr2bl w:val="nil"/>
                  </w:tcBorders>
                  <w:vAlign w:val="center"/>
                </w:tcPr>
                <w:p>
                  <w:pPr>
                    <w:snapToGrid w:val="0"/>
                    <w:jc w:val="center"/>
                    <w:rPr>
                      <w:rFonts w:cs="Times New Roman"/>
                      <w:b/>
                      <w:bCs/>
                      <w:szCs w:val="21"/>
                    </w:rPr>
                  </w:pPr>
                  <w:r>
                    <w:rPr>
                      <w:rFonts w:cs="Times New Roman"/>
                      <w:b/>
                      <w:bCs/>
                      <w:szCs w:val="21"/>
                    </w:rPr>
                    <w:drawing>
                      <wp:inline distT="0" distB="0" distL="114300" distR="114300">
                        <wp:extent cx="2406015" cy="1804670"/>
                        <wp:effectExtent l="0" t="0" r="13335" b="5080"/>
                        <wp:docPr id="31" name="图片 31" descr="IMG_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4107"/>
                                <pic:cNvPicPr>
                                  <a:picLocks noChangeAspect="1"/>
                                </pic:cNvPicPr>
                              </pic:nvPicPr>
                              <pic:blipFill>
                                <a:blip r:embed="rId33"/>
                                <a:stretch>
                                  <a:fillRect/>
                                </a:stretch>
                              </pic:blipFill>
                              <pic:spPr>
                                <a:xfrm>
                                  <a:off x="0" y="0"/>
                                  <a:ext cx="2406015" cy="1804670"/>
                                </a:xfrm>
                                <a:prstGeom prst="rect">
                                  <a:avLst/>
                                </a:prstGeom>
                              </pic:spPr>
                            </pic:pic>
                          </a:graphicData>
                        </a:graphic>
                      </wp:inline>
                    </w:drawing>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000" w:type="pct"/>
                  <w:gridSpan w:val="2"/>
                  <w:tcBorders>
                    <w:tl2br w:val="nil"/>
                    <w:tr2bl w:val="nil"/>
                  </w:tcBorders>
                  <w:vAlign w:val="center"/>
                </w:tcPr>
                <w:p>
                  <w:pPr>
                    <w:snapToGrid w:val="0"/>
                    <w:jc w:val="center"/>
                    <w:rPr>
                      <w:rFonts w:cs="Times New Roman"/>
                      <w:b/>
                      <w:bCs/>
                      <w:szCs w:val="21"/>
                    </w:rPr>
                  </w:pPr>
                  <w:r>
                    <w:rPr>
                      <w:rFonts w:cs="Times New Roman"/>
                      <w:b/>
                      <w:bCs/>
                      <w:szCs w:val="21"/>
                    </w:rPr>
                    <w:t>固废储存池</w:t>
                  </w:r>
                </w:p>
              </w:tc>
            </w:tr>
          </w:tbl>
          <w:p>
            <w:pPr>
              <w:spacing w:line="360" w:lineRule="auto"/>
              <w:ind w:firstLine="482" w:firstLineChars="200"/>
              <w:rPr>
                <w:rFonts w:cs="Times New Roman"/>
                <w:b/>
                <w:bCs/>
                <w:sz w:val="24"/>
                <w:szCs w:val="24"/>
              </w:rPr>
            </w:pPr>
            <w:r>
              <w:rPr>
                <w:rFonts w:cs="Times New Roman"/>
                <w:b/>
                <w:bCs/>
                <w:sz w:val="24"/>
                <w:szCs w:val="24"/>
              </w:rPr>
              <w:t>（5）地下水污染防治</w:t>
            </w:r>
          </w:p>
          <w:p>
            <w:pPr>
              <w:spacing w:line="360" w:lineRule="auto"/>
              <w:ind w:firstLine="480" w:firstLineChars="200"/>
              <w:rPr>
                <w:rFonts w:cs="Times New Roman"/>
                <w:sz w:val="24"/>
                <w:szCs w:val="24"/>
              </w:rPr>
            </w:pPr>
            <w:r>
              <w:rPr>
                <w:rFonts w:cs="Times New Roman"/>
                <w:sz w:val="24"/>
                <w:szCs w:val="24"/>
              </w:rPr>
              <w:t>已经对厂区进行防渗处理，分为重点防渗区、一般防渗区。</w:t>
            </w:r>
          </w:p>
          <w:p>
            <w:pPr>
              <w:spacing w:line="360" w:lineRule="auto"/>
              <w:ind w:firstLine="480" w:firstLineChars="200"/>
              <w:rPr>
                <w:rFonts w:cs="Times New Roman"/>
                <w:sz w:val="24"/>
                <w:szCs w:val="24"/>
              </w:rPr>
            </w:pPr>
            <w:r>
              <w:rPr>
                <w:rFonts w:cs="Times New Roman"/>
                <w:sz w:val="24"/>
                <w:szCs w:val="24"/>
              </w:rPr>
              <w:t>①重点防渗区：危废暂存间、化粪池</w:t>
            </w:r>
          </w:p>
          <w:p>
            <w:pPr>
              <w:spacing w:line="360" w:lineRule="auto"/>
              <w:ind w:firstLine="480" w:firstLineChars="200"/>
              <w:rPr>
                <w:rFonts w:cs="Times New Roman"/>
                <w:sz w:val="24"/>
                <w:szCs w:val="24"/>
              </w:rPr>
            </w:pPr>
            <w:r>
              <w:rPr>
                <w:rFonts w:cs="Times New Roman"/>
                <w:sz w:val="24"/>
                <w:szCs w:val="24"/>
              </w:rPr>
              <w:t>②一般防渗区：其他生产、办公区域</w:t>
            </w:r>
          </w:p>
          <w:p>
            <w:pPr>
              <w:spacing w:line="360" w:lineRule="auto"/>
              <w:ind w:firstLine="480" w:firstLineChars="200"/>
              <w:rPr>
                <w:rFonts w:cs="Times New Roman"/>
                <w:sz w:val="24"/>
                <w:szCs w:val="24"/>
              </w:rPr>
            </w:pPr>
            <w:r>
              <w:rPr>
                <w:rFonts w:cs="Times New Roman"/>
                <w:sz w:val="24"/>
                <w:szCs w:val="24"/>
              </w:rPr>
              <w:t>采取的防渗措施：</w:t>
            </w:r>
          </w:p>
          <w:p>
            <w:pPr>
              <w:spacing w:line="360" w:lineRule="auto"/>
              <w:ind w:firstLine="480" w:firstLineChars="200"/>
              <w:rPr>
                <w:rFonts w:cs="Times New Roman"/>
                <w:sz w:val="24"/>
                <w:szCs w:val="24"/>
              </w:rPr>
            </w:pPr>
            <w:r>
              <w:rPr>
                <w:rFonts w:cs="Times New Roman"/>
                <w:sz w:val="24"/>
                <w:szCs w:val="24"/>
              </w:rPr>
              <w:t>①重点防渗区：采取了防渗混凝土，铺设了高密度聚乙烯材料，采取的防渗措施可达到防渗层渗透系数≤10</w:t>
            </w:r>
            <w:r>
              <w:rPr>
                <w:rFonts w:cs="Times New Roman"/>
                <w:sz w:val="24"/>
                <w:szCs w:val="24"/>
                <w:vertAlign w:val="superscript"/>
              </w:rPr>
              <w:t>-7</w:t>
            </w:r>
            <w:r>
              <w:rPr>
                <w:rFonts w:cs="Times New Roman"/>
                <w:sz w:val="24"/>
                <w:szCs w:val="24"/>
              </w:rPr>
              <w:t>cm/s要求。</w:t>
            </w:r>
          </w:p>
          <w:p>
            <w:pPr>
              <w:spacing w:line="360" w:lineRule="auto"/>
              <w:ind w:firstLine="480" w:firstLineChars="200"/>
              <w:rPr>
                <w:rFonts w:cs="Times New Roman"/>
                <w:sz w:val="24"/>
                <w:szCs w:val="24"/>
              </w:rPr>
            </w:pPr>
            <w:r>
              <w:rPr>
                <w:rFonts w:cs="Times New Roman"/>
                <w:sz w:val="24"/>
                <w:szCs w:val="24"/>
              </w:rPr>
              <w:t>②一般防渗区：采用了防渗混凝土硬化地面，满足一般防渗要求，防渗层渗透系数≤10</w:t>
            </w:r>
            <w:r>
              <w:rPr>
                <w:rFonts w:cs="Times New Roman"/>
                <w:sz w:val="24"/>
                <w:szCs w:val="24"/>
                <w:vertAlign w:val="superscript"/>
              </w:rPr>
              <w:t>-7</w:t>
            </w:r>
            <w:r>
              <w:rPr>
                <w:rFonts w:cs="Times New Roman"/>
                <w:sz w:val="24"/>
                <w:szCs w:val="24"/>
              </w:rPr>
              <w:t>cm/s。</w:t>
            </w:r>
          </w:p>
          <w:p>
            <w:pPr>
              <w:spacing w:line="360" w:lineRule="auto"/>
              <w:ind w:firstLine="482" w:firstLineChars="200"/>
              <w:rPr>
                <w:rFonts w:cs="Times New Roman"/>
                <w:b/>
                <w:bCs/>
                <w:sz w:val="24"/>
                <w:szCs w:val="24"/>
              </w:rPr>
            </w:pPr>
            <w:r>
              <w:rPr>
                <w:rFonts w:cs="Times New Roman"/>
                <w:b/>
                <w:bCs/>
                <w:sz w:val="24"/>
                <w:szCs w:val="24"/>
              </w:rPr>
              <w:t>现有措施能满足地下水污染防治要求，无需整改。</w:t>
            </w:r>
          </w:p>
          <w:p>
            <w:pPr>
              <w:spacing w:line="360" w:lineRule="auto"/>
              <w:ind w:firstLine="482" w:firstLineChars="200"/>
              <w:rPr>
                <w:rFonts w:cs="Times New Roman"/>
                <w:b/>
                <w:bCs/>
                <w:sz w:val="24"/>
                <w:szCs w:val="24"/>
              </w:rPr>
            </w:pPr>
            <w:r>
              <w:rPr>
                <w:rFonts w:cs="Times New Roman"/>
                <w:b/>
                <w:bCs/>
                <w:sz w:val="24"/>
                <w:szCs w:val="24"/>
              </w:rPr>
              <w:t>三、现有项目污染物汇总</w:t>
            </w:r>
          </w:p>
          <w:p>
            <w:pPr>
              <w:spacing w:line="360" w:lineRule="auto"/>
              <w:ind w:firstLine="480" w:firstLineChars="200"/>
              <w:rPr>
                <w:rFonts w:cs="Times New Roman"/>
                <w:sz w:val="24"/>
                <w:szCs w:val="24"/>
              </w:rPr>
            </w:pPr>
            <w:r>
              <w:rPr>
                <w:rFonts w:cs="Times New Roman"/>
                <w:sz w:val="24"/>
                <w:szCs w:val="24"/>
              </w:rPr>
              <w:t>根据项目实际情况，现有污染物情况见下表：</w:t>
            </w:r>
          </w:p>
          <w:p>
            <w:pPr>
              <w:spacing w:line="360" w:lineRule="auto"/>
              <w:jc w:val="center"/>
              <w:rPr>
                <w:rFonts w:cs="Times New Roman"/>
                <w:b/>
                <w:bCs/>
                <w:sz w:val="24"/>
                <w:szCs w:val="24"/>
              </w:rPr>
            </w:pPr>
            <w:r>
              <w:rPr>
                <w:rFonts w:cs="Times New Roman"/>
                <w:b/>
                <w:bCs/>
                <w:sz w:val="24"/>
                <w:szCs w:val="24"/>
              </w:rPr>
              <w:t>表</w:t>
            </w:r>
            <w:r>
              <w:rPr>
                <w:rFonts w:hint="eastAsia" w:cs="Times New Roman"/>
                <w:b/>
                <w:bCs/>
                <w:sz w:val="24"/>
                <w:szCs w:val="24"/>
                <w:lang w:val="en-US" w:eastAsia="zh-CN"/>
              </w:rPr>
              <w:t>2</w:t>
            </w:r>
            <w:r>
              <w:rPr>
                <w:rFonts w:cs="Times New Roman"/>
                <w:b/>
                <w:bCs/>
                <w:sz w:val="24"/>
                <w:szCs w:val="24"/>
              </w:rPr>
              <w:t>-18 现有项目污染物排放总量</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1451"/>
              <w:gridCol w:w="4487"/>
              <w:gridCol w:w="27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141" w:hRule="atLeast"/>
                <w:jc w:val="center"/>
              </w:trPr>
              <w:tc>
                <w:tcPr>
                  <w:tcW w:w="831" w:type="pct"/>
                  <w:vAlign w:val="center"/>
                </w:tcPr>
                <w:p>
                  <w:pPr>
                    <w:jc w:val="center"/>
                    <w:rPr>
                      <w:rFonts w:cs="Times New Roman"/>
                      <w:b/>
                      <w:szCs w:val="21"/>
                    </w:rPr>
                  </w:pPr>
                  <w:r>
                    <w:rPr>
                      <w:rFonts w:cs="Times New Roman"/>
                      <w:b/>
                      <w:szCs w:val="21"/>
                    </w:rPr>
                    <w:t>污染源</w:t>
                  </w:r>
                </w:p>
              </w:tc>
              <w:tc>
                <w:tcPr>
                  <w:tcW w:w="2569" w:type="pct"/>
                  <w:vAlign w:val="center"/>
                </w:tcPr>
                <w:p>
                  <w:pPr>
                    <w:jc w:val="center"/>
                    <w:rPr>
                      <w:rFonts w:cs="Times New Roman"/>
                      <w:b/>
                      <w:szCs w:val="21"/>
                    </w:rPr>
                  </w:pPr>
                  <w:r>
                    <w:rPr>
                      <w:rFonts w:cs="Times New Roman"/>
                      <w:b/>
                      <w:szCs w:val="21"/>
                    </w:rPr>
                    <w:t>污染物</w:t>
                  </w:r>
                </w:p>
              </w:tc>
              <w:tc>
                <w:tcPr>
                  <w:tcW w:w="1598" w:type="pct"/>
                  <w:vAlign w:val="center"/>
                </w:tcPr>
                <w:p>
                  <w:pPr>
                    <w:jc w:val="center"/>
                    <w:rPr>
                      <w:rFonts w:cs="Times New Roman"/>
                      <w:b/>
                      <w:szCs w:val="21"/>
                    </w:rPr>
                  </w:pPr>
                  <w:r>
                    <w:rPr>
                      <w:rFonts w:cs="Times New Roman"/>
                      <w:b/>
                      <w:szCs w:val="21"/>
                    </w:rPr>
                    <w:t>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831" w:type="pct"/>
                  <w:vMerge w:val="restart"/>
                  <w:vAlign w:val="center"/>
                </w:tcPr>
                <w:p>
                  <w:pPr>
                    <w:jc w:val="center"/>
                    <w:rPr>
                      <w:rFonts w:cs="Times New Roman"/>
                      <w:szCs w:val="21"/>
                    </w:rPr>
                  </w:pPr>
                  <w:r>
                    <w:rPr>
                      <w:rFonts w:cs="Times New Roman"/>
                      <w:szCs w:val="21"/>
                    </w:rPr>
                    <w:t>废气污染物</w:t>
                  </w:r>
                </w:p>
              </w:tc>
              <w:tc>
                <w:tcPr>
                  <w:tcW w:w="2569" w:type="pct"/>
                  <w:vAlign w:val="center"/>
                </w:tcPr>
                <w:p>
                  <w:pPr>
                    <w:jc w:val="center"/>
                    <w:rPr>
                      <w:rFonts w:cs="Times New Roman"/>
                      <w:szCs w:val="21"/>
                    </w:rPr>
                  </w:pPr>
                  <w:r>
                    <w:rPr>
                      <w:rFonts w:cs="Times New Roman"/>
                      <w:szCs w:val="21"/>
                    </w:rPr>
                    <w:t>颗粒物</w:t>
                  </w:r>
                </w:p>
              </w:tc>
              <w:tc>
                <w:tcPr>
                  <w:tcW w:w="1598" w:type="pct"/>
                  <w:vAlign w:val="center"/>
                </w:tcPr>
                <w:p>
                  <w:pPr>
                    <w:jc w:val="center"/>
                    <w:rPr>
                      <w:rFonts w:cs="Times New Roman"/>
                      <w:szCs w:val="21"/>
                    </w:rPr>
                  </w:pPr>
                  <w:r>
                    <w:rPr>
                      <w:rFonts w:cs="Times New Roman"/>
                      <w:szCs w:val="21"/>
                      <w:lang w:bidi="ar"/>
                    </w:rPr>
                    <w:t>0.0821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831" w:type="pct"/>
                  <w:vMerge w:val="continue"/>
                  <w:vAlign w:val="center"/>
                </w:tcPr>
                <w:p>
                  <w:pPr>
                    <w:jc w:val="center"/>
                    <w:rPr>
                      <w:rFonts w:cs="Times New Roman"/>
                      <w:szCs w:val="21"/>
                    </w:rPr>
                  </w:pPr>
                </w:p>
              </w:tc>
              <w:tc>
                <w:tcPr>
                  <w:tcW w:w="2569" w:type="pct"/>
                  <w:vAlign w:val="center"/>
                </w:tcPr>
                <w:p>
                  <w:pPr>
                    <w:jc w:val="center"/>
                    <w:rPr>
                      <w:rFonts w:cs="Times New Roman"/>
                      <w:szCs w:val="21"/>
                    </w:rPr>
                  </w:pPr>
                  <w:r>
                    <w:rPr>
                      <w:rFonts w:cs="Times New Roman"/>
                      <w:bCs/>
                      <w:szCs w:val="21"/>
                    </w:rPr>
                    <w:t>SO</w:t>
                  </w:r>
                  <w:r>
                    <w:rPr>
                      <w:rFonts w:cs="Times New Roman"/>
                      <w:bCs/>
                      <w:szCs w:val="21"/>
                      <w:vertAlign w:val="subscript"/>
                    </w:rPr>
                    <w:t>2</w:t>
                  </w:r>
                </w:p>
              </w:tc>
              <w:tc>
                <w:tcPr>
                  <w:tcW w:w="1598" w:type="pct"/>
                  <w:vAlign w:val="center"/>
                </w:tcPr>
                <w:p>
                  <w:pPr>
                    <w:jc w:val="center"/>
                    <w:rPr>
                      <w:rFonts w:cs="Times New Roman"/>
                      <w:szCs w:val="21"/>
                    </w:rPr>
                  </w:pPr>
                  <w:r>
                    <w:rPr>
                      <w:rFonts w:cs="Times New Roman"/>
                      <w:szCs w:val="21"/>
                      <w:lang w:bidi="ar"/>
                    </w:rPr>
                    <w:t>0.0264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831" w:type="pct"/>
                  <w:vMerge w:val="continue"/>
                  <w:vAlign w:val="center"/>
                </w:tcPr>
                <w:p>
                  <w:pPr>
                    <w:jc w:val="center"/>
                    <w:rPr>
                      <w:rFonts w:cs="Times New Roman"/>
                      <w:szCs w:val="21"/>
                    </w:rPr>
                  </w:pPr>
                </w:p>
              </w:tc>
              <w:tc>
                <w:tcPr>
                  <w:tcW w:w="2569" w:type="pct"/>
                  <w:vAlign w:val="center"/>
                </w:tcPr>
                <w:p>
                  <w:pPr>
                    <w:jc w:val="center"/>
                    <w:rPr>
                      <w:rFonts w:cs="Times New Roman"/>
                      <w:szCs w:val="21"/>
                    </w:rPr>
                  </w:pPr>
                  <w:r>
                    <w:rPr>
                      <w:rFonts w:cs="Times New Roman"/>
                      <w:bCs/>
                      <w:szCs w:val="21"/>
                    </w:rPr>
                    <w:t>NO</w:t>
                  </w:r>
                  <w:r>
                    <w:rPr>
                      <w:rFonts w:cs="Times New Roman"/>
                      <w:bCs/>
                      <w:szCs w:val="21"/>
                      <w:vertAlign w:val="subscript"/>
                    </w:rPr>
                    <w:t>X</w:t>
                  </w:r>
                  <w:r>
                    <w:rPr>
                      <w:rFonts w:cs="Times New Roman"/>
                      <w:bCs/>
                      <w:szCs w:val="21"/>
                    </w:rPr>
                    <w:t xml:space="preserve"> </w:t>
                  </w:r>
                </w:p>
              </w:tc>
              <w:tc>
                <w:tcPr>
                  <w:tcW w:w="1598" w:type="pct"/>
                  <w:vAlign w:val="center"/>
                </w:tcPr>
                <w:p>
                  <w:pPr>
                    <w:jc w:val="center"/>
                    <w:rPr>
                      <w:rFonts w:cs="Times New Roman"/>
                      <w:szCs w:val="21"/>
                    </w:rPr>
                  </w:pPr>
                  <w:r>
                    <w:rPr>
                      <w:rFonts w:cs="Times New Roman"/>
                      <w:szCs w:val="21"/>
                      <w:lang w:bidi="ar"/>
                    </w:rPr>
                    <w:t>0.2153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284" w:hRule="atLeast"/>
                <w:jc w:val="center"/>
              </w:trPr>
              <w:tc>
                <w:tcPr>
                  <w:tcW w:w="831" w:type="pct"/>
                  <w:vMerge w:val="continue"/>
                  <w:vAlign w:val="center"/>
                </w:tcPr>
                <w:p>
                  <w:pPr>
                    <w:jc w:val="center"/>
                    <w:rPr>
                      <w:rFonts w:cs="Times New Roman"/>
                      <w:szCs w:val="21"/>
                    </w:rPr>
                  </w:pPr>
                </w:p>
              </w:tc>
              <w:tc>
                <w:tcPr>
                  <w:tcW w:w="2569" w:type="pct"/>
                  <w:vAlign w:val="center"/>
                </w:tcPr>
                <w:p>
                  <w:pPr>
                    <w:jc w:val="center"/>
                    <w:rPr>
                      <w:rFonts w:cs="Times New Roman"/>
                      <w:szCs w:val="21"/>
                    </w:rPr>
                  </w:pPr>
                  <w:r>
                    <w:rPr>
                      <w:rFonts w:cs="Times New Roman"/>
                      <w:szCs w:val="21"/>
                    </w:rPr>
                    <w:t>VOCs</w:t>
                  </w:r>
                </w:p>
              </w:tc>
              <w:tc>
                <w:tcPr>
                  <w:tcW w:w="1598" w:type="pct"/>
                  <w:vAlign w:val="center"/>
                </w:tcPr>
                <w:p>
                  <w:pPr>
                    <w:jc w:val="center"/>
                    <w:rPr>
                      <w:rFonts w:cs="Times New Roman"/>
                      <w:szCs w:val="21"/>
                    </w:rPr>
                  </w:pPr>
                  <w:r>
                    <w:rPr>
                      <w:rFonts w:cs="Times New Roman"/>
                      <w:szCs w:val="21"/>
                      <w:lang w:bidi="ar"/>
                    </w:rPr>
                    <w:t>0.0035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restart"/>
                  <w:vAlign w:val="center"/>
                </w:tcPr>
                <w:p>
                  <w:pPr>
                    <w:jc w:val="center"/>
                    <w:rPr>
                      <w:rFonts w:cs="Times New Roman"/>
                      <w:szCs w:val="21"/>
                    </w:rPr>
                  </w:pPr>
                  <w:r>
                    <w:rPr>
                      <w:rFonts w:cs="Times New Roman"/>
                      <w:szCs w:val="21"/>
                    </w:rPr>
                    <w:t>固体废物</w:t>
                  </w:r>
                </w:p>
              </w:tc>
              <w:tc>
                <w:tcPr>
                  <w:tcW w:w="2569" w:type="pct"/>
                  <w:vAlign w:val="center"/>
                </w:tcPr>
                <w:p>
                  <w:pPr>
                    <w:autoSpaceDN w:val="0"/>
                    <w:jc w:val="center"/>
                    <w:textAlignment w:val="bottom"/>
                    <w:rPr>
                      <w:rFonts w:cs="Times New Roman"/>
                      <w:szCs w:val="21"/>
                    </w:rPr>
                  </w:pPr>
                  <w:r>
                    <w:rPr>
                      <w:rFonts w:cs="Times New Roman"/>
                      <w:szCs w:val="21"/>
                    </w:rPr>
                    <w:t>废过滤棉</w:t>
                  </w:r>
                </w:p>
              </w:tc>
              <w:tc>
                <w:tcPr>
                  <w:tcW w:w="1598" w:type="pct"/>
                  <w:vAlign w:val="center"/>
                </w:tcPr>
                <w:p>
                  <w:pPr>
                    <w:autoSpaceDN w:val="0"/>
                    <w:jc w:val="center"/>
                    <w:textAlignment w:val="bottom"/>
                    <w:rPr>
                      <w:rFonts w:cs="Times New Roman"/>
                      <w:szCs w:val="21"/>
                    </w:rPr>
                  </w:pPr>
                  <w:r>
                    <w:rPr>
                      <w:rFonts w:cs="Times New Roman"/>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vAlign w:val="center"/>
                </w:tcPr>
                <w:p>
                  <w:pPr>
                    <w:jc w:val="center"/>
                    <w:rPr>
                      <w:rFonts w:cs="Times New Roman"/>
                      <w:szCs w:val="21"/>
                    </w:rPr>
                  </w:pPr>
                </w:p>
              </w:tc>
              <w:tc>
                <w:tcPr>
                  <w:tcW w:w="2569" w:type="pct"/>
                  <w:vAlign w:val="center"/>
                </w:tcPr>
                <w:p>
                  <w:pPr>
                    <w:autoSpaceDN w:val="0"/>
                    <w:jc w:val="center"/>
                    <w:textAlignment w:val="bottom"/>
                    <w:rPr>
                      <w:rFonts w:cs="Times New Roman"/>
                      <w:szCs w:val="21"/>
                    </w:rPr>
                  </w:pPr>
                  <w:r>
                    <w:rPr>
                      <w:rFonts w:cs="Times New Roman"/>
                      <w:szCs w:val="21"/>
                    </w:rPr>
                    <w:t>废丝、裁切边废料</w:t>
                  </w:r>
                </w:p>
              </w:tc>
              <w:tc>
                <w:tcPr>
                  <w:tcW w:w="1598" w:type="pct"/>
                  <w:vAlign w:val="center"/>
                </w:tcPr>
                <w:p>
                  <w:pPr>
                    <w:autoSpaceDN w:val="0"/>
                    <w:jc w:val="center"/>
                    <w:textAlignment w:val="bottom"/>
                    <w:rPr>
                      <w:rFonts w:cs="Times New Roman"/>
                      <w:szCs w:val="21"/>
                    </w:rPr>
                  </w:pPr>
                  <w:r>
                    <w:rPr>
                      <w:rFonts w:cs="Times New Roman"/>
                      <w:szCs w:val="21"/>
                    </w:rPr>
                    <w:t>494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vAlign w:val="center"/>
                </w:tcPr>
                <w:p>
                  <w:pPr>
                    <w:jc w:val="center"/>
                    <w:rPr>
                      <w:rFonts w:cs="Times New Roman"/>
                      <w:szCs w:val="21"/>
                    </w:rPr>
                  </w:pPr>
                </w:p>
              </w:tc>
              <w:tc>
                <w:tcPr>
                  <w:tcW w:w="2569" w:type="pct"/>
                  <w:vAlign w:val="center"/>
                </w:tcPr>
                <w:p>
                  <w:pPr>
                    <w:autoSpaceDN w:val="0"/>
                    <w:jc w:val="center"/>
                    <w:textAlignment w:val="bottom"/>
                    <w:rPr>
                      <w:rFonts w:cs="Times New Roman"/>
                      <w:szCs w:val="21"/>
                    </w:rPr>
                  </w:pPr>
                  <w:r>
                    <w:rPr>
                      <w:rFonts w:cs="Times New Roman"/>
                      <w:szCs w:val="21"/>
                    </w:rPr>
                    <w:t>包装废物</w:t>
                  </w:r>
                </w:p>
              </w:tc>
              <w:tc>
                <w:tcPr>
                  <w:tcW w:w="1598" w:type="pct"/>
                  <w:vAlign w:val="center"/>
                </w:tcPr>
                <w:p>
                  <w:pPr>
                    <w:autoSpaceDN w:val="0"/>
                    <w:jc w:val="center"/>
                    <w:textAlignment w:val="bottom"/>
                    <w:rPr>
                      <w:rFonts w:cs="Times New Roman"/>
                      <w:szCs w:val="21"/>
                    </w:rPr>
                  </w:pPr>
                  <w:r>
                    <w:rPr>
                      <w:rFonts w:cs="Times New Roman"/>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vAlign w:val="center"/>
                </w:tcPr>
                <w:p>
                  <w:pPr>
                    <w:jc w:val="center"/>
                    <w:rPr>
                      <w:rFonts w:cs="Times New Roman"/>
                      <w:szCs w:val="21"/>
                    </w:rPr>
                  </w:pPr>
                </w:p>
              </w:tc>
              <w:tc>
                <w:tcPr>
                  <w:tcW w:w="2569" w:type="pct"/>
                  <w:vAlign w:val="center"/>
                </w:tcPr>
                <w:p>
                  <w:pPr>
                    <w:autoSpaceDN w:val="0"/>
                    <w:jc w:val="center"/>
                    <w:textAlignment w:val="bottom"/>
                    <w:rPr>
                      <w:rFonts w:cs="Times New Roman"/>
                      <w:szCs w:val="21"/>
                    </w:rPr>
                  </w:pPr>
                  <w:r>
                    <w:rPr>
                      <w:rFonts w:cs="Times New Roman"/>
                      <w:szCs w:val="21"/>
                    </w:rPr>
                    <w:t>生活垃圾</w:t>
                  </w:r>
                </w:p>
              </w:tc>
              <w:tc>
                <w:tcPr>
                  <w:tcW w:w="1598" w:type="pct"/>
                  <w:vAlign w:val="center"/>
                </w:tcPr>
                <w:p>
                  <w:pPr>
                    <w:autoSpaceDN w:val="0"/>
                    <w:jc w:val="center"/>
                    <w:textAlignment w:val="bottom"/>
                    <w:rPr>
                      <w:rFonts w:cs="Times New Roman"/>
                      <w:szCs w:val="21"/>
                    </w:rPr>
                  </w:pPr>
                  <w:r>
                    <w:rPr>
                      <w:rFonts w:cs="Times New Roman"/>
                      <w:szCs w:val="21"/>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vAlign w:val="center"/>
                </w:tcPr>
                <w:p>
                  <w:pPr>
                    <w:jc w:val="center"/>
                    <w:rPr>
                      <w:rFonts w:cs="Times New Roman"/>
                      <w:szCs w:val="21"/>
                    </w:rPr>
                  </w:pPr>
                </w:p>
              </w:tc>
              <w:tc>
                <w:tcPr>
                  <w:tcW w:w="2569" w:type="pct"/>
                  <w:vAlign w:val="center"/>
                </w:tcPr>
                <w:p>
                  <w:pPr>
                    <w:autoSpaceDN w:val="0"/>
                    <w:jc w:val="center"/>
                    <w:textAlignment w:val="bottom"/>
                    <w:rPr>
                      <w:rFonts w:cs="Times New Roman"/>
                      <w:szCs w:val="21"/>
                    </w:rPr>
                  </w:pPr>
                  <w:r>
                    <w:rPr>
                      <w:rFonts w:cs="Times New Roman"/>
                      <w:szCs w:val="21"/>
                    </w:rPr>
                    <w:t>餐厨垃圾</w:t>
                  </w:r>
                </w:p>
              </w:tc>
              <w:tc>
                <w:tcPr>
                  <w:tcW w:w="1598" w:type="pct"/>
                  <w:vAlign w:val="center"/>
                </w:tcPr>
                <w:p>
                  <w:pPr>
                    <w:autoSpaceDN w:val="0"/>
                    <w:jc w:val="center"/>
                    <w:textAlignment w:val="bottom"/>
                    <w:rPr>
                      <w:rFonts w:cs="Times New Roman"/>
                      <w:szCs w:val="21"/>
                    </w:rPr>
                  </w:pPr>
                  <w:r>
                    <w:rPr>
                      <w:rFonts w:cs="Times New Roman"/>
                      <w:szCs w:val="21"/>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vAlign w:val="center"/>
                </w:tcPr>
                <w:p>
                  <w:pPr>
                    <w:jc w:val="center"/>
                    <w:rPr>
                      <w:rFonts w:cs="Times New Roman"/>
                      <w:szCs w:val="21"/>
                    </w:rPr>
                  </w:pPr>
                </w:p>
              </w:tc>
              <w:tc>
                <w:tcPr>
                  <w:tcW w:w="2569" w:type="pct"/>
                  <w:vAlign w:val="center"/>
                </w:tcPr>
                <w:p>
                  <w:pPr>
                    <w:autoSpaceDN w:val="0"/>
                    <w:jc w:val="center"/>
                    <w:textAlignment w:val="bottom"/>
                    <w:rPr>
                      <w:rFonts w:cs="Times New Roman"/>
                      <w:szCs w:val="21"/>
                    </w:rPr>
                  </w:pPr>
                  <w:r>
                    <w:rPr>
                      <w:rFonts w:cs="Times New Roman"/>
                      <w:szCs w:val="21"/>
                    </w:rPr>
                    <w:t>废矿物油</w:t>
                  </w:r>
                </w:p>
              </w:tc>
              <w:tc>
                <w:tcPr>
                  <w:tcW w:w="1598" w:type="pct"/>
                  <w:vAlign w:val="center"/>
                </w:tcPr>
                <w:p>
                  <w:pPr>
                    <w:autoSpaceDN w:val="0"/>
                    <w:jc w:val="center"/>
                    <w:textAlignment w:val="bottom"/>
                    <w:rPr>
                      <w:rFonts w:cs="Times New Roman"/>
                      <w:szCs w:val="21"/>
                    </w:rPr>
                  </w:pPr>
                  <w:r>
                    <w:rPr>
                      <w:rFonts w:cs="Times New Roman"/>
                      <w:szCs w:val="21"/>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vAlign w:val="center"/>
                </w:tcPr>
                <w:p>
                  <w:pPr>
                    <w:jc w:val="center"/>
                    <w:rPr>
                      <w:rFonts w:cs="Times New Roman"/>
                      <w:szCs w:val="21"/>
                    </w:rPr>
                  </w:pPr>
                </w:p>
              </w:tc>
              <w:tc>
                <w:tcPr>
                  <w:tcW w:w="2569" w:type="pct"/>
                  <w:vAlign w:val="center"/>
                </w:tcPr>
                <w:p>
                  <w:pPr>
                    <w:autoSpaceDN w:val="0"/>
                    <w:jc w:val="center"/>
                    <w:textAlignment w:val="bottom"/>
                    <w:rPr>
                      <w:rFonts w:cs="Times New Roman"/>
                      <w:szCs w:val="21"/>
                    </w:rPr>
                  </w:pPr>
                  <w:r>
                    <w:rPr>
                      <w:rFonts w:cs="Times New Roman"/>
                      <w:szCs w:val="21"/>
                    </w:rPr>
                    <w:t>废离子交换树脂</w:t>
                  </w:r>
                </w:p>
              </w:tc>
              <w:tc>
                <w:tcPr>
                  <w:tcW w:w="1598" w:type="pct"/>
                  <w:vAlign w:val="center"/>
                </w:tcPr>
                <w:p>
                  <w:pPr>
                    <w:autoSpaceDN w:val="0"/>
                    <w:jc w:val="center"/>
                    <w:textAlignment w:val="bottom"/>
                    <w:rPr>
                      <w:rFonts w:cs="Times New Roman"/>
                      <w:szCs w:val="21"/>
                    </w:rPr>
                  </w:pPr>
                  <w:r>
                    <w:rPr>
                      <w:rFonts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tcPr>
                <w:p>
                  <w:pPr>
                    <w:jc w:val="center"/>
                    <w:rPr>
                      <w:rFonts w:cs="Times New Roman"/>
                      <w:szCs w:val="21"/>
                    </w:rPr>
                  </w:pPr>
                </w:p>
              </w:tc>
              <w:tc>
                <w:tcPr>
                  <w:tcW w:w="4487" w:type="dxa"/>
                  <w:vAlign w:val="center"/>
                </w:tcPr>
                <w:p>
                  <w:pPr>
                    <w:autoSpaceDN w:val="0"/>
                    <w:jc w:val="center"/>
                    <w:textAlignment w:val="bottom"/>
                    <w:rPr>
                      <w:rFonts w:cs="Times New Roman"/>
                      <w:szCs w:val="21"/>
                    </w:rPr>
                  </w:pPr>
                  <w:r>
                    <w:rPr>
                      <w:rFonts w:cs="Times New Roman"/>
                      <w:szCs w:val="21"/>
                    </w:rPr>
                    <w:t>废活性炭</w:t>
                  </w:r>
                </w:p>
              </w:tc>
              <w:tc>
                <w:tcPr>
                  <w:tcW w:w="2791" w:type="dxa"/>
                  <w:vAlign w:val="center"/>
                </w:tcPr>
                <w:p>
                  <w:pPr>
                    <w:autoSpaceDN w:val="0"/>
                    <w:jc w:val="center"/>
                    <w:textAlignment w:val="bottom"/>
                    <w:rPr>
                      <w:rFonts w:cs="Times New Roman"/>
                      <w:szCs w:val="21"/>
                    </w:rPr>
                  </w:pPr>
                  <w:r>
                    <w:rPr>
                      <w:rFonts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31" w:type="pct"/>
                  <w:vMerge w:val="continue"/>
                </w:tcPr>
                <w:p>
                  <w:pPr>
                    <w:jc w:val="center"/>
                    <w:rPr>
                      <w:rFonts w:cs="Times New Roman"/>
                      <w:szCs w:val="21"/>
                    </w:rPr>
                  </w:pPr>
                </w:p>
              </w:tc>
              <w:tc>
                <w:tcPr>
                  <w:tcW w:w="4487" w:type="dxa"/>
                  <w:vAlign w:val="center"/>
                </w:tcPr>
                <w:p>
                  <w:pPr>
                    <w:autoSpaceDN w:val="0"/>
                    <w:jc w:val="center"/>
                    <w:textAlignment w:val="bottom"/>
                    <w:rPr>
                      <w:rFonts w:cs="Times New Roman"/>
                      <w:szCs w:val="21"/>
                    </w:rPr>
                  </w:pPr>
                  <w:r>
                    <w:rPr>
                      <w:rFonts w:cs="Times New Roman"/>
                      <w:szCs w:val="21"/>
                    </w:rPr>
                    <w:t>含湿染料废料</w:t>
                  </w:r>
                </w:p>
              </w:tc>
              <w:tc>
                <w:tcPr>
                  <w:tcW w:w="2791" w:type="dxa"/>
                  <w:vAlign w:val="center"/>
                </w:tcPr>
                <w:p>
                  <w:pPr>
                    <w:autoSpaceDN w:val="0"/>
                    <w:jc w:val="center"/>
                    <w:textAlignment w:val="bottom"/>
                    <w:rPr>
                      <w:rFonts w:cs="Times New Roman"/>
                      <w:szCs w:val="21"/>
                    </w:rPr>
                  </w:pPr>
                  <w:r>
                    <w:rPr>
                      <w:rFonts w:cs="Times New Roman"/>
                      <w:szCs w:val="21"/>
                    </w:rPr>
                    <w:t>10</w:t>
                  </w:r>
                </w:p>
              </w:tc>
            </w:tr>
          </w:tbl>
          <w:p>
            <w:pPr>
              <w:spacing w:line="360" w:lineRule="auto"/>
              <w:ind w:firstLine="482" w:firstLineChars="200"/>
              <w:rPr>
                <w:rFonts w:cs="Times New Roman"/>
                <w:b/>
                <w:bCs/>
                <w:sz w:val="24"/>
                <w:szCs w:val="24"/>
              </w:rPr>
            </w:pPr>
            <w:r>
              <w:rPr>
                <w:rFonts w:cs="Times New Roman"/>
                <w:b/>
                <w:bCs/>
                <w:sz w:val="24"/>
                <w:szCs w:val="24"/>
              </w:rPr>
              <w:t>四、卫生防护距离设置情况</w:t>
            </w:r>
          </w:p>
          <w:p>
            <w:pPr>
              <w:spacing w:line="360" w:lineRule="auto"/>
              <w:ind w:firstLine="480" w:firstLineChars="200"/>
              <w:rPr>
                <w:rFonts w:cs="Times New Roman"/>
                <w:sz w:val="24"/>
                <w:szCs w:val="24"/>
              </w:rPr>
            </w:pPr>
            <w:r>
              <w:rPr>
                <w:rFonts w:cs="Times New Roman"/>
                <w:sz w:val="24"/>
                <w:szCs w:val="24"/>
              </w:rPr>
              <w:t>原项目未设置卫生防护距离。</w:t>
            </w:r>
          </w:p>
          <w:p>
            <w:pPr>
              <w:spacing w:line="360" w:lineRule="auto"/>
              <w:ind w:firstLine="482" w:firstLineChars="200"/>
              <w:rPr>
                <w:rFonts w:cs="Times New Roman"/>
                <w:b/>
                <w:bCs/>
                <w:sz w:val="24"/>
                <w:szCs w:val="24"/>
              </w:rPr>
            </w:pPr>
            <w:r>
              <w:rPr>
                <w:rFonts w:cs="Times New Roman"/>
                <w:b/>
                <w:bCs/>
                <w:sz w:val="24"/>
                <w:szCs w:val="24"/>
              </w:rPr>
              <w:t>五、</w:t>
            </w:r>
            <w:r>
              <w:rPr>
                <w:rFonts w:cs="Times New Roman"/>
                <w:b/>
                <w:bCs/>
                <w:sz w:val="24"/>
                <w:szCs w:val="24"/>
                <w:lang w:bidi="ar"/>
              </w:rPr>
              <w:t>总量指标</w:t>
            </w:r>
          </w:p>
          <w:p>
            <w:pPr>
              <w:spacing w:line="360" w:lineRule="auto"/>
              <w:ind w:firstLine="480" w:firstLineChars="200"/>
              <w:rPr>
                <w:rFonts w:cs="Times New Roman"/>
                <w:b/>
                <w:bCs/>
                <w:sz w:val="24"/>
                <w:szCs w:val="24"/>
              </w:rPr>
            </w:pPr>
            <w:r>
              <w:rPr>
                <w:rFonts w:cs="Times New Roman"/>
                <w:sz w:val="24"/>
                <w:szCs w:val="24"/>
              </w:rPr>
              <w:t>根据恒福（环）检字（2022）第1654号监测报告</w:t>
            </w:r>
          </w:p>
          <w:p>
            <w:pPr>
              <w:spacing w:line="360" w:lineRule="auto"/>
              <w:jc w:val="center"/>
              <w:rPr>
                <w:rFonts w:cs="Times New Roman"/>
                <w:b/>
                <w:bCs/>
                <w:sz w:val="24"/>
                <w:szCs w:val="24"/>
              </w:rPr>
            </w:pPr>
            <w:r>
              <w:rPr>
                <w:rFonts w:cs="Times New Roman"/>
                <w:b/>
                <w:bCs/>
                <w:sz w:val="24"/>
                <w:szCs w:val="24"/>
              </w:rPr>
              <w:t>表2-19 现有项目大气污染物总量指标</w:t>
            </w:r>
          </w:p>
          <w:tbl>
            <w:tblPr>
              <w:tblStyle w:val="2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2181"/>
              <w:gridCol w:w="2181"/>
              <w:gridCol w:w="2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shd w:val="clear" w:color="auto" w:fill="auto"/>
                  <w:tcMar>
                    <w:left w:w="28" w:type="dxa"/>
                    <w:right w:w="28" w:type="dxa"/>
                  </w:tcMar>
                  <w:vAlign w:val="center"/>
                </w:tcPr>
                <w:p>
                  <w:pPr>
                    <w:widowControl/>
                    <w:jc w:val="center"/>
                    <w:textAlignment w:val="center"/>
                    <w:rPr>
                      <w:rFonts w:cs="Times New Roman"/>
                      <w:b/>
                      <w:bCs/>
                      <w:kern w:val="0"/>
                      <w:szCs w:val="21"/>
                    </w:rPr>
                  </w:pPr>
                  <w:r>
                    <w:rPr>
                      <w:rFonts w:cs="Times New Roman"/>
                      <w:b/>
                      <w:bCs/>
                      <w:kern w:val="0"/>
                      <w:szCs w:val="21"/>
                    </w:rPr>
                    <w:t>大气污染物（t/a）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SO</w:t>
                  </w:r>
                  <w:r>
                    <w:rPr>
                      <w:rFonts w:cs="Times New Roman"/>
                      <w:b/>
                      <w:bCs/>
                      <w:szCs w:val="21"/>
                      <w:vertAlign w:val="subscript"/>
                      <w:lang w:bidi="ar"/>
                    </w:rPr>
                    <w:t>2</w:t>
                  </w:r>
                </w:p>
              </w:tc>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NOx</w:t>
                  </w:r>
                </w:p>
              </w:tc>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颗粒物</w:t>
                  </w:r>
                </w:p>
              </w:tc>
              <w:tc>
                <w:tcPr>
                  <w:tcW w:w="1250"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VOC</w:t>
                  </w:r>
                  <w:r>
                    <w:rPr>
                      <w:rFonts w:cs="Times New Roman"/>
                      <w:b/>
                      <w:bCs/>
                      <w:szCs w:val="21"/>
                      <w:vertAlign w:val="subscript"/>
                      <w:lang w:bidi="ar"/>
                    </w:rPr>
                    <w:t>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实际排放</w:t>
                  </w:r>
                </w:p>
              </w:tc>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实际排放</w:t>
                  </w:r>
                </w:p>
              </w:tc>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实际排放</w:t>
                  </w:r>
                </w:p>
              </w:tc>
              <w:tc>
                <w:tcPr>
                  <w:tcW w:w="1250" w:type="pct"/>
                  <w:tcBorders>
                    <w:tl2br w:val="nil"/>
                    <w:tr2bl w:val="nil"/>
                  </w:tcBorders>
                  <w:shd w:val="clear" w:color="auto" w:fill="auto"/>
                  <w:tcMar>
                    <w:left w:w="28" w:type="dxa"/>
                    <w:right w:w="28" w:type="dxa"/>
                  </w:tcMar>
                  <w:vAlign w:val="center"/>
                </w:tcPr>
                <w:p>
                  <w:pPr>
                    <w:widowControl/>
                    <w:jc w:val="center"/>
                    <w:textAlignment w:val="center"/>
                    <w:rPr>
                      <w:rFonts w:cs="Times New Roman"/>
                      <w:b/>
                      <w:bCs/>
                      <w:szCs w:val="21"/>
                      <w:lang w:bidi="ar"/>
                    </w:rPr>
                  </w:pPr>
                  <w:r>
                    <w:rPr>
                      <w:rFonts w:cs="Times New Roman"/>
                      <w:b/>
                      <w:bCs/>
                      <w:szCs w:val="21"/>
                      <w:lang w:bidi="ar"/>
                    </w:rPr>
                    <w:t>实际排放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szCs w:val="21"/>
                      <w:lang w:bidi="ar"/>
                    </w:rPr>
                  </w:pPr>
                  <w:r>
                    <w:rPr>
                      <w:rFonts w:cs="Times New Roman"/>
                      <w:szCs w:val="21"/>
                      <w:lang w:bidi="ar"/>
                    </w:rPr>
                    <w:t>0.0264</w:t>
                  </w:r>
                </w:p>
              </w:tc>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szCs w:val="21"/>
                      <w:lang w:bidi="ar"/>
                    </w:rPr>
                  </w:pPr>
                  <w:r>
                    <w:rPr>
                      <w:rFonts w:cs="Times New Roman"/>
                      <w:szCs w:val="21"/>
                      <w:lang w:bidi="ar"/>
                    </w:rPr>
                    <w:t>0.2153</w:t>
                  </w:r>
                </w:p>
              </w:tc>
              <w:tc>
                <w:tcPr>
                  <w:tcW w:w="1249" w:type="pct"/>
                  <w:tcBorders>
                    <w:tl2br w:val="nil"/>
                    <w:tr2bl w:val="nil"/>
                  </w:tcBorders>
                  <w:shd w:val="clear" w:color="auto" w:fill="auto"/>
                  <w:tcMar>
                    <w:left w:w="28" w:type="dxa"/>
                    <w:right w:w="28" w:type="dxa"/>
                  </w:tcMar>
                  <w:vAlign w:val="center"/>
                </w:tcPr>
                <w:p>
                  <w:pPr>
                    <w:widowControl/>
                    <w:jc w:val="center"/>
                    <w:textAlignment w:val="center"/>
                    <w:rPr>
                      <w:rFonts w:cs="Times New Roman"/>
                      <w:szCs w:val="21"/>
                      <w:lang w:bidi="ar"/>
                    </w:rPr>
                  </w:pPr>
                  <w:r>
                    <w:rPr>
                      <w:rFonts w:cs="Times New Roman"/>
                      <w:szCs w:val="21"/>
                      <w:lang w:bidi="ar"/>
                    </w:rPr>
                    <w:t>0.0821</w:t>
                  </w:r>
                </w:p>
              </w:tc>
              <w:tc>
                <w:tcPr>
                  <w:tcW w:w="1250" w:type="pct"/>
                  <w:tcBorders>
                    <w:tl2br w:val="nil"/>
                    <w:tr2bl w:val="nil"/>
                  </w:tcBorders>
                  <w:shd w:val="clear" w:color="auto" w:fill="auto"/>
                  <w:tcMar>
                    <w:left w:w="28" w:type="dxa"/>
                    <w:right w:w="28" w:type="dxa"/>
                  </w:tcMar>
                  <w:vAlign w:val="center"/>
                </w:tcPr>
                <w:p>
                  <w:pPr>
                    <w:widowControl/>
                    <w:jc w:val="center"/>
                    <w:textAlignment w:val="center"/>
                    <w:rPr>
                      <w:rFonts w:cs="Times New Roman"/>
                      <w:szCs w:val="21"/>
                      <w:lang w:bidi="ar"/>
                    </w:rPr>
                  </w:pPr>
                  <w:r>
                    <w:rPr>
                      <w:rFonts w:cs="Times New Roman"/>
                      <w:szCs w:val="21"/>
                      <w:lang w:bidi="ar"/>
                    </w:rPr>
                    <w:t>0.0035</w:t>
                  </w:r>
                </w:p>
              </w:tc>
            </w:tr>
          </w:tbl>
          <w:p>
            <w:pPr>
              <w:spacing w:line="360" w:lineRule="auto"/>
              <w:ind w:firstLine="482" w:firstLineChars="200"/>
              <w:rPr>
                <w:rFonts w:cs="Times New Roman"/>
                <w:b/>
                <w:bCs/>
                <w:sz w:val="24"/>
                <w:szCs w:val="24"/>
              </w:rPr>
            </w:pPr>
            <w:r>
              <w:rPr>
                <w:rFonts w:cs="Times New Roman"/>
                <w:b/>
                <w:bCs/>
                <w:sz w:val="24"/>
                <w:szCs w:val="24"/>
              </w:rPr>
              <w:t>六、原有项目存在的主要环境问题及“以新带老”措施</w:t>
            </w:r>
          </w:p>
          <w:p>
            <w:pPr>
              <w:spacing w:line="360" w:lineRule="auto"/>
              <w:ind w:firstLine="482" w:firstLineChars="200"/>
              <w:rPr>
                <w:rFonts w:cs="Times New Roman"/>
                <w:b/>
                <w:bCs/>
                <w:sz w:val="24"/>
                <w:szCs w:val="24"/>
              </w:rPr>
            </w:pPr>
            <w:r>
              <w:rPr>
                <w:rFonts w:cs="Times New Roman"/>
                <w:b/>
                <w:bCs/>
                <w:sz w:val="24"/>
                <w:szCs w:val="24"/>
              </w:rPr>
              <w:t>存在问题：</w:t>
            </w:r>
          </w:p>
          <w:p>
            <w:pPr>
              <w:spacing w:line="360" w:lineRule="auto"/>
              <w:ind w:firstLine="480" w:firstLineChars="200"/>
              <w:rPr>
                <w:rFonts w:cs="Times New Roman"/>
                <w:sz w:val="24"/>
                <w:szCs w:val="24"/>
              </w:rPr>
            </w:pPr>
            <w:r>
              <w:rPr>
                <w:rFonts w:cs="Times New Roman"/>
                <w:sz w:val="24"/>
                <w:szCs w:val="24"/>
              </w:rPr>
              <w:t>①食堂废水现直接排入化粪池进行处理，未进行油水分离。</w:t>
            </w:r>
          </w:p>
          <w:p>
            <w:pPr>
              <w:spacing w:line="360" w:lineRule="auto"/>
              <w:ind w:firstLine="480" w:firstLineChars="200"/>
              <w:rPr>
                <w:rFonts w:cs="Times New Roman"/>
                <w:sz w:val="24"/>
                <w:szCs w:val="24"/>
              </w:rPr>
            </w:pPr>
            <w:r>
              <w:rPr>
                <w:rFonts w:cs="Times New Roman"/>
                <w:sz w:val="24"/>
                <w:szCs w:val="24"/>
              </w:rPr>
              <w:t>②危险废物暂存间建设不规范，且标志标牌非最新格式要求。</w:t>
            </w:r>
          </w:p>
          <w:p>
            <w:pPr>
              <w:spacing w:line="360" w:lineRule="auto"/>
              <w:ind w:firstLine="480" w:firstLineChars="200"/>
              <w:rPr>
                <w:rFonts w:cs="Times New Roman"/>
                <w:sz w:val="24"/>
                <w:szCs w:val="24"/>
              </w:rPr>
            </w:pPr>
            <w:r>
              <w:rPr>
                <w:rFonts w:cs="Times New Roman"/>
                <w:sz w:val="24"/>
                <w:szCs w:val="24"/>
              </w:rPr>
              <w:t>③一般固废存储池防雨设施不完善。</w:t>
            </w:r>
          </w:p>
          <w:p>
            <w:pPr>
              <w:spacing w:line="360" w:lineRule="auto"/>
              <w:ind w:firstLine="480" w:firstLineChars="200"/>
              <w:rPr>
                <w:rFonts w:cs="Times New Roman"/>
                <w:sz w:val="24"/>
                <w:szCs w:val="24"/>
              </w:rPr>
            </w:pPr>
            <w:r>
              <w:rPr>
                <w:rFonts w:cs="Times New Roman"/>
                <w:sz w:val="24"/>
                <w:szCs w:val="24"/>
              </w:rPr>
              <w:t>④现餐厨垃圾混入生活垃圾一同处理。</w:t>
            </w:r>
          </w:p>
          <w:p>
            <w:pPr>
              <w:spacing w:line="360" w:lineRule="auto"/>
              <w:ind w:firstLine="480" w:firstLineChars="20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⑤含湿染料废料存于固废储存池，暂未交有资质的单位进行处理；</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以新带老措施：</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①需建设一个容积为1m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隔油池，食堂废水先经隔油池处理后再进入化粪池。</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②规范危险废物暂存间的建设，进行全封闭，并规范标志标牌。</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③一般固废存储池规范化设置，进行防雨措施。</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④餐厨垃圾交由有资质的单位进行处理。</w:t>
            </w:r>
          </w:p>
          <w:p>
            <w:pPr>
              <w:spacing w:line="360" w:lineRule="auto"/>
              <w:ind w:firstLine="480" w:firstLineChars="200"/>
              <w:rPr>
                <w:rFonts w:cs="Times New Roman"/>
                <w:sz w:val="24"/>
                <w:szCs w:val="24"/>
              </w:rPr>
            </w:pPr>
            <w:r>
              <w:rPr>
                <w:rFonts w:hint="eastAsia" w:cs="Times New Roman"/>
                <w:color w:val="000000" w:themeColor="text1"/>
                <w:sz w:val="24"/>
                <w:szCs w:val="24"/>
                <w14:textFill>
                  <w14:solidFill>
                    <w14:schemeClr w14:val="tx1"/>
                  </w14:solidFill>
                </w14:textFill>
              </w:rPr>
              <w:t>⑤含湿染料废料交由有资质的单位进行处理。</w:t>
            </w:r>
          </w:p>
          <w:p>
            <w:pPr>
              <w:spacing w:line="360" w:lineRule="auto"/>
              <w:rPr>
                <w:rFonts w:cs="Times New Roman"/>
                <w:sz w:val="24"/>
                <w:szCs w:val="24"/>
              </w:rPr>
            </w:pPr>
          </w:p>
        </w:tc>
      </w:tr>
    </w:tbl>
    <w:p>
      <w:pPr>
        <w:pStyle w:val="59"/>
        <w:jc w:val="center"/>
        <w:rPr>
          <w:rFonts w:eastAsia="黑体" w:cs="Times New Roman"/>
          <w:b w:val="0"/>
          <w:sz w:val="30"/>
          <w:szCs w:val="30"/>
        </w:rPr>
        <w:sectPr>
          <w:footerReference r:id="rId6" w:type="default"/>
          <w:pgSz w:w="11906" w:h="16838"/>
          <w:pgMar w:top="1134" w:right="1134" w:bottom="1134" w:left="1418" w:header="851" w:footer="992" w:gutter="0"/>
          <w:cols w:space="720" w:num="1"/>
          <w:docGrid w:type="lines" w:linePitch="312" w:charSpace="0"/>
        </w:sectPr>
      </w:pPr>
    </w:p>
    <w:p>
      <w:pPr>
        <w:pStyle w:val="59"/>
        <w:jc w:val="center"/>
        <w:rPr>
          <w:rFonts w:eastAsia="黑体" w:cs="Times New Roman"/>
          <w:b w:val="0"/>
          <w:sz w:val="30"/>
          <w:szCs w:val="30"/>
        </w:rPr>
      </w:pPr>
      <w:r>
        <w:rPr>
          <w:rFonts w:eastAsia="黑体" w:cs="Times New Roman"/>
          <w:b w:val="0"/>
          <w:sz w:val="30"/>
          <w:szCs w:val="30"/>
        </w:rPr>
        <w:t>三、区域环境质量现状、环境保护目标及评价标准</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8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jc w:val="center"/>
              <w:rPr>
                <w:rFonts w:cs="Times New Roman"/>
                <w:sz w:val="24"/>
                <w:szCs w:val="24"/>
              </w:rPr>
            </w:pPr>
            <w:r>
              <w:rPr>
                <w:rFonts w:cs="Times New Roman"/>
                <w:sz w:val="24"/>
                <w:szCs w:val="24"/>
              </w:rPr>
              <w:t>区域</w:t>
            </w:r>
          </w:p>
          <w:p>
            <w:pPr>
              <w:jc w:val="center"/>
              <w:rPr>
                <w:rFonts w:cs="Times New Roman"/>
                <w:sz w:val="24"/>
                <w:szCs w:val="24"/>
              </w:rPr>
            </w:pPr>
            <w:r>
              <w:rPr>
                <w:rFonts w:cs="Times New Roman"/>
                <w:sz w:val="24"/>
                <w:szCs w:val="24"/>
              </w:rPr>
              <w:t>环境</w:t>
            </w:r>
          </w:p>
          <w:p>
            <w:pPr>
              <w:jc w:val="center"/>
              <w:rPr>
                <w:rFonts w:cs="Times New Roman"/>
                <w:sz w:val="24"/>
                <w:szCs w:val="24"/>
              </w:rPr>
            </w:pPr>
            <w:r>
              <w:rPr>
                <w:rFonts w:cs="Times New Roman"/>
                <w:sz w:val="24"/>
                <w:szCs w:val="24"/>
              </w:rPr>
              <w:t>质量</w:t>
            </w:r>
          </w:p>
          <w:p>
            <w:pPr>
              <w:jc w:val="center"/>
              <w:rPr>
                <w:rFonts w:cs="Times New Roman"/>
                <w:sz w:val="24"/>
                <w:szCs w:val="24"/>
              </w:rPr>
            </w:pPr>
            <w:r>
              <w:rPr>
                <w:rFonts w:cs="Times New Roman"/>
                <w:sz w:val="24"/>
                <w:szCs w:val="24"/>
              </w:rPr>
              <w:t>现状</w:t>
            </w:r>
          </w:p>
        </w:tc>
        <w:tc>
          <w:tcPr>
            <w:tcW w:w="8645" w:type="dxa"/>
            <w:vAlign w:val="center"/>
          </w:tcPr>
          <w:p>
            <w:pPr>
              <w:spacing w:line="360" w:lineRule="auto"/>
              <w:ind w:firstLine="482" w:firstLineChars="200"/>
              <w:rPr>
                <w:rFonts w:cs="Times New Roman"/>
                <w:b/>
                <w:sz w:val="24"/>
                <w:szCs w:val="24"/>
              </w:rPr>
            </w:pPr>
            <w:r>
              <w:rPr>
                <w:rFonts w:cs="Times New Roman"/>
                <w:b/>
                <w:sz w:val="24"/>
                <w:szCs w:val="24"/>
              </w:rPr>
              <w:t>1、大气环境质量现状</w:t>
            </w:r>
          </w:p>
          <w:p>
            <w:pPr>
              <w:spacing w:line="360" w:lineRule="auto"/>
              <w:ind w:firstLine="480" w:firstLineChars="200"/>
              <w:rPr>
                <w:rFonts w:cs="Times New Roman"/>
                <w:sz w:val="24"/>
                <w:szCs w:val="24"/>
              </w:rPr>
            </w:pPr>
            <w:r>
              <w:rPr>
                <w:rFonts w:cs="Times New Roman"/>
                <w:sz w:val="24"/>
                <w:szCs w:val="24"/>
              </w:rPr>
              <w:t>本项目位于达州市宣汉县，为了解区域环境空气质量现状，本次环评引用达州市生态环境局2023年1月18日公布的《达州市2022年环境空气质量状况》中相关数据和结论。</w:t>
            </w:r>
          </w:p>
          <w:p>
            <w:pPr>
              <w:spacing w:line="360" w:lineRule="auto"/>
              <w:ind w:firstLine="480" w:firstLineChars="200"/>
              <w:rPr>
                <w:rFonts w:cs="Times New Roman"/>
                <w:sz w:val="24"/>
                <w:szCs w:val="24"/>
              </w:rPr>
            </w:pPr>
            <w:r>
              <w:rPr>
                <w:rFonts w:cs="Times New Roman"/>
                <w:sz w:val="24"/>
                <w:szCs w:val="24"/>
              </w:rPr>
              <w:t>根据达州市2022年环境空气质量状况：宣汉县二氧化硫年均值为5微克/立方米，二氧化氮年均值为19微克/立方米，可吸入颗粒物年均值为50微克/立方米，细颗粒物年均值为27微克/立方米，臭氧年均值为99微克/立方米，一氧化碳年均值为1.1毫克/立方米，宣汉县城区环境空气质量年均值达到《环境空气质量标准》（GB3095—2012）中二级标准。</w:t>
            </w:r>
          </w:p>
          <w:p>
            <w:pPr>
              <w:spacing w:line="360" w:lineRule="auto"/>
              <w:ind w:firstLine="480" w:firstLineChars="200"/>
              <w:rPr>
                <w:rFonts w:cs="Times New Roman"/>
                <w:sz w:val="24"/>
                <w:szCs w:val="24"/>
              </w:rPr>
            </w:pPr>
            <w:r>
              <w:rPr>
                <w:rFonts w:cs="Times New Roman"/>
                <w:sz w:val="24"/>
                <w:szCs w:val="24"/>
              </w:rPr>
              <w:t>项目位于四川达州普光经济开发区柳池工业园区1号干道2号，根据《环境影响评价技术导则大气环境》（HJ2.2-2018），城市环境空气质量达标情况评价指标为SO</w:t>
            </w:r>
            <w:r>
              <w:rPr>
                <w:rFonts w:cs="Times New Roman"/>
                <w:sz w:val="24"/>
                <w:szCs w:val="24"/>
                <w:vertAlign w:val="subscript"/>
              </w:rPr>
              <w:t>2</w:t>
            </w:r>
            <w:r>
              <w:rPr>
                <w:rFonts w:cs="Times New Roman"/>
                <w:sz w:val="24"/>
                <w:szCs w:val="24"/>
              </w:rPr>
              <w:t>、NO</w:t>
            </w:r>
            <w:r>
              <w:rPr>
                <w:rFonts w:cs="Times New Roman"/>
                <w:sz w:val="24"/>
                <w:szCs w:val="24"/>
                <w:vertAlign w:val="subscript"/>
              </w:rPr>
              <w:t>2</w:t>
            </w:r>
            <w:r>
              <w:rPr>
                <w:rFonts w:cs="Times New Roman"/>
                <w:sz w:val="24"/>
                <w:szCs w:val="24"/>
              </w:rPr>
              <w:t>、PM</w:t>
            </w:r>
            <w:r>
              <w:rPr>
                <w:rFonts w:cs="Times New Roman"/>
                <w:sz w:val="24"/>
                <w:szCs w:val="24"/>
                <w:vertAlign w:val="subscript"/>
              </w:rPr>
              <w:t>10</w:t>
            </w:r>
            <w:r>
              <w:rPr>
                <w:rFonts w:cs="Times New Roman"/>
                <w:sz w:val="24"/>
                <w:szCs w:val="24"/>
              </w:rPr>
              <w:t>、PM</w:t>
            </w:r>
            <w:r>
              <w:rPr>
                <w:rFonts w:cs="Times New Roman"/>
                <w:sz w:val="24"/>
                <w:szCs w:val="24"/>
                <w:vertAlign w:val="subscript"/>
              </w:rPr>
              <w:t>2.5</w:t>
            </w:r>
            <w:r>
              <w:rPr>
                <w:rFonts w:cs="Times New Roman"/>
                <w:sz w:val="24"/>
                <w:szCs w:val="24"/>
              </w:rPr>
              <w:t>、CO和O</w:t>
            </w:r>
            <w:r>
              <w:rPr>
                <w:rFonts w:cs="Times New Roman"/>
                <w:sz w:val="24"/>
                <w:szCs w:val="24"/>
                <w:vertAlign w:val="subscript"/>
              </w:rPr>
              <w:t>3</w:t>
            </w:r>
            <w:r>
              <w:rPr>
                <w:rFonts w:cs="Times New Roman"/>
                <w:sz w:val="24"/>
                <w:szCs w:val="24"/>
              </w:rPr>
              <w:t>，六项污染物全部达标即为城市环境空气质量达标，根据上述描述，六项污染物全部达标，因此，本项目所在区域为达标区，环境空气质量良好。</w:t>
            </w:r>
          </w:p>
          <w:p>
            <w:pPr>
              <w:spacing w:line="360" w:lineRule="auto"/>
              <w:ind w:firstLine="482" w:firstLineChars="200"/>
              <w:rPr>
                <w:rFonts w:cs="Times New Roman"/>
                <w:b/>
                <w:bCs/>
                <w:sz w:val="24"/>
                <w:szCs w:val="24"/>
              </w:rPr>
            </w:pPr>
            <w:r>
              <w:rPr>
                <w:rFonts w:cs="Times New Roman"/>
                <w:b/>
                <w:bCs/>
                <w:sz w:val="24"/>
                <w:szCs w:val="24"/>
              </w:rPr>
              <w:t>（2）其他污染物环境质量现状评价</w:t>
            </w:r>
          </w:p>
          <w:p>
            <w:pPr>
              <w:spacing w:line="360" w:lineRule="auto"/>
              <w:ind w:firstLine="480" w:firstLineChars="200"/>
              <w:rPr>
                <w:rFonts w:cs="Times New Roman"/>
                <w:sz w:val="24"/>
                <w:szCs w:val="24"/>
              </w:rPr>
            </w:pPr>
            <w:r>
              <w:rPr>
                <w:rFonts w:cs="Times New Roman"/>
                <w:sz w:val="24"/>
                <w:szCs w:val="24"/>
              </w:rPr>
              <w:t>为了解区域大气环境质量现状，本次评价委托达州恒福环境监测服务有限公司于2023年8月5日~8月11日对区域大气环境质量现状进行监测。</w:t>
            </w:r>
          </w:p>
          <w:p>
            <w:pPr>
              <w:spacing w:line="360" w:lineRule="auto"/>
              <w:ind w:firstLine="482" w:firstLineChars="200"/>
              <w:rPr>
                <w:rFonts w:cs="Times New Roman"/>
                <w:b/>
                <w:bCs/>
                <w:sz w:val="24"/>
                <w:szCs w:val="24"/>
              </w:rPr>
            </w:pPr>
            <w:r>
              <w:rPr>
                <w:rFonts w:cs="Times New Roman"/>
                <w:b/>
                <w:bCs/>
                <w:sz w:val="24"/>
                <w:szCs w:val="24"/>
              </w:rPr>
              <w:t>1）监测项目</w:t>
            </w:r>
          </w:p>
          <w:p>
            <w:pPr>
              <w:spacing w:line="360" w:lineRule="auto"/>
              <w:ind w:firstLine="480" w:firstLineChars="200"/>
              <w:rPr>
                <w:rFonts w:cs="Times New Roman"/>
                <w:sz w:val="24"/>
                <w:szCs w:val="24"/>
              </w:rPr>
            </w:pPr>
            <w:r>
              <w:rPr>
                <w:rFonts w:cs="Times New Roman"/>
                <w:sz w:val="24"/>
                <w:szCs w:val="24"/>
              </w:rPr>
              <w:t>TVOC、颗粒物、甲醛、氨、臭气浓度</w:t>
            </w:r>
          </w:p>
          <w:p>
            <w:pPr>
              <w:spacing w:line="360" w:lineRule="auto"/>
              <w:ind w:firstLine="482" w:firstLineChars="200"/>
              <w:rPr>
                <w:rFonts w:cs="Times New Roman"/>
                <w:b/>
                <w:bCs/>
                <w:sz w:val="24"/>
                <w:szCs w:val="24"/>
              </w:rPr>
            </w:pPr>
            <w:r>
              <w:rPr>
                <w:rFonts w:cs="Times New Roman"/>
                <w:b/>
                <w:bCs/>
                <w:sz w:val="24"/>
                <w:szCs w:val="24"/>
              </w:rPr>
              <w:t>2）监测时间</w:t>
            </w:r>
          </w:p>
          <w:p>
            <w:pPr>
              <w:spacing w:line="360" w:lineRule="auto"/>
              <w:ind w:firstLine="480" w:firstLineChars="200"/>
              <w:rPr>
                <w:rFonts w:cs="Times New Roman"/>
                <w:sz w:val="24"/>
                <w:szCs w:val="24"/>
              </w:rPr>
            </w:pPr>
            <w:r>
              <w:rPr>
                <w:rFonts w:cs="Times New Roman"/>
                <w:sz w:val="24"/>
                <w:szCs w:val="24"/>
              </w:rPr>
              <w:t>2023年8月5日~8月11日，共7天。</w:t>
            </w:r>
          </w:p>
          <w:p>
            <w:pPr>
              <w:spacing w:line="360" w:lineRule="auto"/>
              <w:ind w:firstLine="482" w:firstLineChars="200"/>
              <w:rPr>
                <w:rFonts w:cs="Times New Roman"/>
                <w:b/>
                <w:bCs/>
                <w:sz w:val="24"/>
                <w:szCs w:val="24"/>
              </w:rPr>
            </w:pPr>
            <w:r>
              <w:rPr>
                <w:rFonts w:cs="Times New Roman"/>
                <w:b/>
                <w:bCs/>
                <w:sz w:val="24"/>
                <w:szCs w:val="24"/>
              </w:rPr>
              <w:t>3）监测结果</w:t>
            </w:r>
          </w:p>
          <w:p>
            <w:pPr>
              <w:spacing w:line="360" w:lineRule="auto"/>
              <w:ind w:firstLine="480" w:firstLineChars="200"/>
              <w:rPr>
                <w:rFonts w:cs="Times New Roman"/>
                <w:sz w:val="24"/>
                <w:szCs w:val="24"/>
              </w:rPr>
            </w:pPr>
            <w:r>
              <w:rPr>
                <w:rFonts w:cs="Times New Roman"/>
                <w:sz w:val="24"/>
                <w:szCs w:val="24"/>
              </w:rPr>
              <w:t>本次大气环境质量现状监测数据见表3-1~表3-2。</w:t>
            </w:r>
          </w:p>
          <w:p>
            <w:pPr>
              <w:spacing w:line="360" w:lineRule="auto"/>
              <w:jc w:val="center"/>
              <w:rPr>
                <w:rFonts w:cs="Times New Roman" w:eastAsiaTheme="minorEastAsia"/>
                <w:b/>
                <w:bCs/>
                <w:sz w:val="24"/>
                <w:szCs w:val="24"/>
              </w:rPr>
            </w:pPr>
            <w:r>
              <w:rPr>
                <w:rFonts w:cs="Times New Roman" w:eastAsiaTheme="minorEastAsia"/>
                <w:b/>
                <w:bCs/>
                <w:sz w:val="24"/>
                <w:szCs w:val="24"/>
              </w:rPr>
              <w:t xml:space="preserve">表3-1 监测结果  </w:t>
            </w:r>
            <w:r>
              <w:rPr>
                <w:rFonts w:cs="Times New Roman"/>
                <w:sz w:val="24"/>
                <w:szCs w:val="24"/>
              </w:rPr>
              <w:t>单位：mg/m</w:t>
            </w:r>
            <w:r>
              <w:rPr>
                <w:rFonts w:cs="Times New Roman"/>
                <w:sz w:val="24"/>
                <w:szCs w:val="24"/>
                <w:vertAlign w:val="superscript"/>
              </w:rPr>
              <w:t>3</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21"/>
              <w:gridCol w:w="1275"/>
              <w:gridCol w:w="1276"/>
              <w:gridCol w:w="1057"/>
              <w:gridCol w:w="1057"/>
              <w:gridCol w:w="1057"/>
              <w:gridCol w:w="1059"/>
              <w:gridCol w:w="7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96" w:type="pct"/>
                  <w:vMerge w:val="restart"/>
                  <w:tcBorders>
                    <w:tl2br w:val="nil"/>
                    <w:tr2bl w:val="nil"/>
                  </w:tcBorders>
                  <w:vAlign w:val="center"/>
                </w:tcPr>
                <w:p>
                  <w:pPr>
                    <w:jc w:val="center"/>
                    <w:rPr>
                      <w:rFonts w:cs="Times New Roman"/>
                      <w:b/>
                      <w:bCs/>
                      <w:szCs w:val="21"/>
                    </w:rPr>
                  </w:pPr>
                  <w:r>
                    <w:rPr>
                      <w:rFonts w:cs="Times New Roman"/>
                      <w:b/>
                      <w:bCs/>
                      <w:szCs w:val="21"/>
                    </w:rPr>
                    <w:t>检</w:t>
                  </w:r>
                  <w:r>
                    <w:rPr>
                      <w:rFonts w:cs="Times New Roman"/>
                      <w:b/>
                      <w:szCs w:val="21"/>
                    </w:rPr>
                    <w:t>测点编号及位置</w:t>
                  </w:r>
                </w:p>
              </w:tc>
              <w:tc>
                <w:tcPr>
                  <w:tcW w:w="744" w:type="pct"/>
                  <w:vMerge w:val="restart"/>
                  <w:tcBorders>
                    <w:tl2br w:val="nil"/>
                    <w:tr2bl w:val="nil"/>
                  </w:tcBorders>
                  <w:vAlign w:val="center"/>
                </w:tcPr>
                <w:p>
                  <w:pPr>
                    <w:jc w:val="center"/>
                    <w:rPr>
                      <w:rFonts w:cs="Times New Roman"/>
                      <w:b/>
                      <w:bCs/>
                      <w:szCs w:val="21"/>
                    </w:rPr>
                  </w:pPr>
                  <w:r>
                    <w:rPr>
                      <w:rFonts w:cs="Times New Roman"/>
                      <w:b/>
                      <w:szCs w:val="21"/>
                    </w:rPr>
                    <w:t>检测因子</w:t>
                  </w:r>
                </w:p>
              </w:tc>
              <w:tc>
                <w:tcPr>
                  <w:tcW w:w="745" w:type="pct"/>
                  <w:vMerge w:val="restart"/>
                  <w:tcBorders>
                    <w:tl2br w:val="nil"/>
                    <w:tr2bl w:val="nil"/>
                  </w:tcBorders>
                  <w:vAlign w:val="center"/>
                </w:tcPr>
                <w:p>
                  <w:pPr>
                    <w:pStyle w:val="77"/>
                    <w:spacing w:before="0" w:after="0"/>
                    <w:rPr>
                      <w:rFonts w:cs="Times New Roman"/>
                      <w:b/>
                      <w:bCs/>
                      <w:sz w:val="21"/>
                      <w:szCs w:val="21"/>
                    </w:rPr>
                  </w:pPr>
                  <w:r>
                    <w:rPr>
                      <w:rFonts w:cs="Times New Roman"/>
                      <w:b/>
                      <w:szCs w:val="21"/>
                    </w:rPr>
                    <w:t>检测日期</w:t>
                  </w:r>
                </w:p>
              </w:tc>
              <w:tc>
                <w:tcPr>
                  <w:tcW w:w="2469" w:type="pct"/>
                  <w:gridSpan w:val="4"/>
                  <w:tcBorders>
                    <w:tl2br w:val="nil"/>
                    <w:tr2bl w:val="nil"/>
                  </w:tcBorders>
                  <w:vAlign w:val="center"/>
                </w:tcPr>
                <w:p>
                  <w:pPr>
                    <w:pStyle w:val="77"/>
                    <w:spacing w:before="0" w:after="0"/>
                    <w:rPr>
                      <w:rFonts w:cs="Times New Roman"/>
                      <w:b/>
                      <w:bCs/>
                      <w:sz w:val="21"/>
                      <w:szCs w:val="21"/>
                    </w:rPr>
                  </w:pPr>
                  <w:r>
                    <w:rPr>
                      <w:rFonts w:cs="Times New Roman"/>
                      <w:b/>
                      <w:bCs/>
                      <w:sz w:val="21"/>
                      <w:szCs w:val="21"/>
                    </w:rPr>
                    <w:t>检测数据</w:t>
                  </w:r>
                </w:p>
              </w:tc>
              <w:tc>
                <w:tcPr>
                  <w:tcW w:w="443" w:type="pct"/>
                  <w:vMerge w:val="restart"/>
                  <w:tcBorders>
                    <w:tl2br w:val="nil"/>
                    <w:tr2bl w:val="nil"/>
                  </w:tcBorders>
                  <w:vAlign w:val="center"/>
                </w:tcPr>
                <w:p>
                  <w:pPr>
                    <w:pStyle w:val="77"/>
                    <w:spacing w:before="0" w:after="0"/>
                    <w:rPr>
                      <w:rFonts w:cs="Times New Roman"/>
                      <w:b/>
                      <w:kern w:val="0"/>
                      <w:sz w:val="21"/>
                      <w:szCs w:val="21"/>
                    </w:rPr>
                  </w:pPr>
                  <w:r>
                    <w:rPr>
                      <w:rFonts w:cs="Times New Roman"/>
                      <w:b/>
                      <w:kern w:val="0"/>
                      <w:sz w:val="21"/>
                      <w:szCs w:val="21"/>
                    </w:rPr>
                    <w:t>检测</w:t>
                  </w:r>
                </w:p>
                <w:p>
                  <w:pPr>
                    <w:pStyle w:val="77"/>
                    <w:spacing w:before="0" w:after="0"/>
                    <w:rPr>
                      <w:rFonts w:cs="Times New Roman"/>
                      <w:b/>
                      <w:bCs/>
                      <w:sz w:val="21"/>
                      <w:szCs w:val="21"/>
                    </w:rPr>
                  </w:pPr>
                  <w:r>
                    <w:rPr>
                      <w:rFonts w:cs="Times New Roman"/>
                      <w:b/>
                      <w:kern w:val="0"/>
                      <w:sz w:val="21"/>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96" w:type="pct"/>
                  <w:vMerge w:val="continue"/>
                  <w:tcBorders>
                    <w:tl2br w:val="nil"/>
                    <w:tr2bl w:val="nil"/>
                  </w:tcBorders>
                  <w:vAlign w:val="center"/>
                </w:tcPr>
                <w:p>
                  <w:pPr>
                    <w:jc w:val="center"/>
                    <w:rPr>
                      <w:rFonts w:cs="Times New Roman"/>
                      <w:b/>
                      <w:szCs w:val="21"/>
                    </w:rPr>
                  </w:pPr>
                </w:p>
              </w:tc>
              <w:tc>
                <w:tcPr>
                  <w:tcW w:w="744" w:type="pct"/>
                  <w:vMerge w:val="continue"/>
                  <w:tcBorders>
                    <w:tl2br w:val="nil"/>
                    <w:tr2bl w:val="nil"/>
                  </w:tcBorders>
                  <w:vAlign w:val="center"/>
                </w:tcPr>
                <w:p>
                  <w:pPr>
                    <w:jc w:val="center"/>
                    <w:rPr>
                      <w:rFonts w:cs="Times New Roman"/>
                      <w:b/>
                      <w:szCs w:val="21"/>
                    </w:rPr>
                  </w:pPr>
                </w:p>
              </w:tc>
              <w:tc>
                <w:tcPr>
                  <w:tcW w:w="745" w:type="pct"/>
                  <w:vMerge w:val="continue"/>
                  <w:tcBorders>
                    <w:tl2br w:val="nil"/>
                    <w:tr2bl w:val="nil"/>
                  </w:tcBorders>
                  <w:vAlign w:val="center"/>
                </w:tcPr>
                <w:p>
                  <w:pPr>
                    <w:pStyle w:val="77"/>
                    <w:spacing w:before="0" w:after="0"/>
                    <w:rPr>
                      <w:rFonts w:cs="Times New Roman"/>
                      <w:b/>
                      <w:sz w:val="21"/>
                      <w:szCs w:val="21"/>
                    </w:rPr>
                  </w:pPr>
                </w:p>
              </w:tc>
              <w:tc>
                <w:tcPr>
                  <w:tcW w:w="617" w:type="pct"/>
                  <w:tcBorders>
                    <w:tl2br w:val="nil"/>
                    <w:tr2bl w:val="nil"/>
                  </w:tcBorders>
                  <w:vAlign w:val="center"/>
                </w:tcPr>
                <w:p>
                  <w:pPr>
                    <w:jc w:val="center"/>
                    <w:rPr>
                      <w:rFonts w:cs="Times New Roman"/>
                      <w:b/>
                      <w:bCs/>
                      <w:szCs w:val="21"/>
                    </w:rPr>
                  </w:pPr>
                  <w:r>
                    <w:rPr>
                      <w:rFonts w:cs="Times New Roman"/>
                      <w:b/>
                      <w:szCs w:val="21"/>
                    </w:rPr>
                    <w:t>第一次</w:t>
                  </w:r>
                </w:p>
              </w:tc>
              <w:tc>
                <w:tcPr>
                  <w:tcW w:w="617" w:type="pct"/>
                  <w:tcBorders>
                    <w:tl2br w:val="nil"/>
                    <w:tr2bl w:val="nil"/>
                  </w:tcBorders>
                  <w:vAlign w:val="center"/>
                </w:tcPr>
                <w:p>
                  <w:pPr>
                    <w:jc w:val="center"/>
                    <w:rPr>
                      <w:rFonts w:cs="Times New Roman"/>
                      <w:b/>
                      <w:bCs/>
                      <w:szCs w:val="21"/>
                    </w:rPr>
                  </w:pPr>
                  <w:r>
                    <w:rPr>
                      <w:rFonts w:cs="Times New Roman"/>
                      <w:b/>
                      <w:szCs w:val="21"/>
                    </w:rPr>
                    <w:t>第二次</w:t>
                  </w:r>
                </w:p>
              </w:tc>
              <w:tc>
                <w:tcPr>
                  <w:tcW w:w="617" w:type="pct"/>
                  <w:tcBorders>
                    <w:tl2br w:val="nil"/>
                    <w:tr2bl w:val="nil"/>
                  </w:tcBorders>
                  <w:vAlign w:val="center"/>
                </w:tcPr>
                <w:p>
                  <w:pPr>
                    <w:jc w:val="center"/>
                    <w:rPr>
                      <w:rFonts w:cs="Times New Roman"/>
                      <w:b/>
                      <w:bCs/>
                      <w:szCs w:val="21"/>
                    </w:rPr>
                  </w:pPr>
                  <w:r>
                    <w:rPr>
                      <w:rFonts w:cs="Times New Roman"/>
                      <w:b/>
                      <w:szCs w:val="21"/>
                    </w:rPr>
                    <w:t>第三次</w:t>
                  </w:r>
                </w:p>
              </w:tc>
              <w:tc>
                <w:tcPr>
                  <w:tcW w:w="617" w:type="pct"/>
                  <w:tcBorders>
                    <w:tl2br w:val="nil"/>
                    <w:tr2bl w:val="nil"/>
                  </w:tcBorders>
                  <w:vAlign w:val="center"/>
                </w:tcPr>
                <w:p>
                  <w:pPr>
                    <w:jc w:val="center"/>
                    <w:rPr>
                      <w:rFonts w:cs="Times New Roman"/>
                      <w:b/>
                      <w:szCs w:val="21"/>
                    </w:rPr>
                  </w:pPr>
                  <w:r>
                    <w:rPr>
                      <w:rFonts w:cs="Times New Roman"/>
                      <w:b/>
                      <w:szCs w:val="21"/>
                    </w:rPr>
                    <w:t>第四次</w:t>
                  </w:r>
                </w:p>
              </w:tc>
              <w:tc>
                <w:tcPr>
                  <w:tcW w:w="443" w:type="pct"/>
                  <w:vMerge w:val="continue"/>
                  <w:tcBorders>
                    <w:tl2br w:val="nil"/>
                    <w:tr2bl w:val="nil"/>
                  </w:tcBorders>
                  <w:vAlign w:val="center"/>
                </w:tcPr>
                <w:p>
                  <w:pPr>
                    <w:jc w:val="center"/>
                    <w:rPr>
                      <w:rFonts w:cs="Times New Roman"/>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restart"/>
                  <w:tcBorders>
                    <w:tl2br w:val="nil"/>
                    <w:tr2bl w:val="nil"/>
                  </w:tcBorders>
                  <w:vAlign w:val="center"/>
                </w:tcPr>
                <w:p>
                  <w:pPr>
                    <w:jc w:val="center"/>
                    <w:rPr>
                      <w:rFonts w:cs="Times New Roman"/>
                      <w:szCs w:val="21"/>
                    </w:rPr>
                  </w:pPr>
                  <w:r>
                    <w:rPr>
                      <w:rFonts w:cs="Times New Roman"/>
                      <w:szCs w:val="21"/>
                    </w:rPr>
                    <w:t>1#，柳池</w:t>
                  </w:r>
                </w:p>
                <w:p>
                  <w:pPr>
                    <w:jc w:val="center"/>
                    <w:rPr>
                      <w:rFonts w:cs="Times New Roman"/>
                      <w:szCs w:val="21"/>
                    </w:rPr>
                  </w:pPr>
                  <w:r>
                    <w:rPr>
                      <w:rFonts w:cs="Times New Roman"/>
                      <w:szCs w:val="21"/>
                    </w:rPr>
                    <w:t>安置房处</w:t>
                  </w:r>
                </w:p>
              </w:tc>
              <w:tc>
                <w:tcPr>
                  <w:tcW w:w="744" w:type="pct"/>
                  <w:vMerge w:val="restart"/>
                  <w:tcBorders>
                    <w:tl2br w:val="nil"/>
                    <w:tr2bl w:val="nil"/>
                  </w:tcBorders>
                  <w:vAlign w:val="center"/>
                </w:tcPr>
                <w:p>
                  <w:pPr>
                    <w:jc w:val="center"/>
                    <w:rPr>
                      <w:rFonts w:cs="Times New Roman"/>
                      <w:szCs w:val="21"/>
                    </w:rPr>
                  </w:pPr>
                  <w:r>
                    <w:rPr>
                      <w:rFonts w:cs="Times New Roman"/>
                      <w:szCs w:val="21"/>
                    </w:rPr>
                    <w:t>氨</w:t>
                  </w:r>
                </w:p>
              </w:tc>
              <w:tc>
                <w:tcPr>
                  <w:tcW w:w="745" w:type="pct"/>
                  <w:tcBorders>
                    <w:tl2br w:val="nil"/>
                    <w:tr2bl w:val="nil"/>
                  </w:tcBorders>
                  <w:vAlign w:val="center"/>
                </w:tcPr>
                <w:p>
                  <w:pPr>
                    <w:jc w:val="center"/>
                    <w:rPr>
                      <w:rFonts w:cs="Times New Roman"/>
                      <w:szCs w:val="21"/>
                    </w:rPr>
                  </w:pPr>
                  <w:r>
                    <w:rPr>
                      <w:rFonts w:cs="Times New Roman"/>
                      <w:szCs w:val="21"/>
                    </w:rPr>
                    <w:t>2023.08.05</w:t>
                  </w:r>
                </w:p>
              </w:tc>
              <w:tc>
                <w:tcPr>
                  <w:tcW w:w="617" w:type="pct"/>
                  <w:tcBorders>
                    <w:tl2br w:val="nil"/>
                    <w:tr2bl w:val="nil"/>
                  </w:tcBorders>
                  <w:vAlign w:val="center"/>
                </w:tcPr>
                <w:p>
                  <w:pPr>
                    <w:jc w:val="center"/>
                    <w:rPr>
                      <w:rFonts w:cs="Times New Roman"/>
                      <w:szCs w:val="21"/>
                    </w:rPr>
                  </w:pPr>
                  <w:r>
                    <w:rPr>
                      <w:rFonts w:cs="Times New Roman"/>
                      <w:szCs w:val="21"/>
                    </w:rPr>
                    <w:t>0.11</w:t>
                  </w:r>
                </w:p>
              </w:tc>
              <w:tc>
                <w:tcPr>
                  <w:tcW w:w="617" w:type="pct"/>
                  <w:tcBorders>
                    <w:tl2br w:val="nil"/>
                    <w:tr2bl w:val="nil"/>
                  </w:tcBorders>
                  <w:vAlign w:val="center"/>
                </w:tcPr>
                <w:p>
                  <w:pPr>
                    <w:jc w:val="center"/>
                    <w:rPr>
                      <w:rFonts w:cs="Times New Roman"/>
                      <w:szCs w:val="21"/>
                    </w:rPr>
                  </w:pPr>
                  <w:r>
                    <w:rPr>
                      <w:rFonts w:cs="Times New Roman"/>
                      <w:szCs w:val="21"/>
                    </w:rPr>
                    <w:t>0.12</w:t>
                  </w:r>
                </w:p>
              </w:tc>
              <w:tc>
                <w:tcPr>
                  <w:tcW w:w="617" w:type="pct"/>
                  <w:tcBorders>
                    <w:tl2br w:val="nil"/>
                    <w:tr2bl w:val="nil"/>
                  </w:tcBorders>
                  <w:vAlign w:val="center"/>
                </w:tcPr>
                <w:p>
                  <w:pPr>
                    <w:jc w:val="center"/>
                    <w:rPr>
                      <w:rFonts w:cs="Times New Roman"/>
                      <w:szCs w:val="21"/>
                    </w:rPr>
                  </w:pPr>
                  <w:r>
                    <w:rPr>
                      <w:rFonts w:cs="Times New Roman"/>
                      <w:szCs w:val="21"/>
                    </w:rPr>
                    <w:t>0.13</w:t>
                  </w:r>
                </w:p>
              </w:tc>
              <w:tc>
                <w:tcPr>
                  <w:tcW w:w="617" w:type="pct"/>
                  <w:tcBorders>
                    <w:tl2br w:val="nil"/>
                    <w:tr2bl w:val="nil"/>
                  </w:tcBorders>
                  <w:vAlign w:val="center"/>
                </w:tcPr>
                <w:p>
                  <w:pPr>
                    <w:jc w:val="center"/>
                    <w:rPr>
                      <w:rFonts w:cs="Times New Roman"/>
                      <w:szCs w:val="21"/>
                    </w:rPr>
                  </w:pPr>
                  <w:r>
                    <w:rPr>
                      <w:rFonts w:cs="Times New Roman"/>
                      <w:szCs w:val="21"/>
                    </w:rPr>
                    <w:t>0.19</w:t>
                  </w:r>
                </w:p>
              </w:tc>
              <w:tc>
                <w:tcPr>
                  <w:tcW w:w="443" w:type="pct"/>
                  <w:vMerge w:val="restart"/>
                  <w:tcBorders>
                    <w:tl2br w:val="nil"/>
                    <w:tr2bl w:val="nil"/>
                  </w:tcBorders>
                  <w:vAlign w:val="center"/>
                </w:tcPr>
                <w:p>
                  <w:pPr>
                    <w:jc w:val="center"/>
                    <w:rPr>
                      <w:rFonts w:cs="Times New Roman"/>
                      <w:szCs w:val="21"/>
                    </w:rPr>
                  </w:pPr>
                  <w:r>
                    <w:rPr>
                      <w:rFonts w:cs="Times New Roman"/>
                      <w:szCs w:val="21"/>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2023.08.06</w:t>
                  </w:r>
                </w:p>
              </w:tc>
              <w:tc>
                <w:tcPr>
                  <w:tcW w:w="617" w:type="pct"/>
                  <w:tcBorders>
                    <w:tl2br w:val="nil"/>
                    <w:tr2bl w:val="nil"/>
                  </w:tcBorders>
                  <w:vAlign w:val="center"/>
                </w:tcPr>
                <w:p>
                  <w:pPr>
                    <w:jc w:val="center"/>
                    <w:rPr>
                      <w:rFonts w:cs="Times New Roman"/>
                      <w:szCs w:val="21"/>
                    </w:rPr>
                  </w:pPr>
                  <w:r>
                    <w:rPr>
                      <w:rFonts w:cs="Times New Roman"/>
                      <w:szCs w:val="21"/>
                    </w:rPr>
                    <w:t>0.16</w:t>
                  </w:r>
                </w:p>
              </w:tc>
              <w:tc>
                <w:tcPr>
                  <w:tcW w:w="617" w:type="pct"/>
                  <w:tcBorders>
                    <w:tl2br w:val="nil"/>
                    <w:tr2bl w:val="nil"/>
                  </w:tcBorders>
                  <w:vAlign w:val="center"/>
                </w:tcPr>
                <w:p>
                  <w:pPr>
                    <w:jc w:val="center"/>
                    <w:rPr>
                      <w:rFonts w:cs="Times New Roman"/>
                      <w:szCs w:val="21"/>
                    </w:rPr>
                  </w:pPr>
                  <w:r>
                    <w:rPr>
                      <w:rFonts w:cs="Times New Roman"/>
                      <w:szCs w:val="21"/>
                    </w:rPr>
                    <w:t>0.13</w:t>
                  </w:r>
                </w:p>
              </w:tc>
              <w:tc>
                <w:tcPr>
                  <w:tcW w:w="617" w:type="pct"/>
                  <w:tcBorders>
                    <w:tl2br w:val="nil"/>
                    <w:tr2bl w:val="nil"/>
                  </w:tcBorders>
                  <w:vAlign w:val="center"/>
                </w:tcPr>
                <w:p>
                  <w:pPr>
                    <w:jc w:val="center"/>
                    <w:rPr>
                      <w:rFonts w:cs="Times New Roman"/>
                      <w:szCs w:val="21"/>
                    </w:rPr>
                  </w:pPr>
                  <w:r>
                    <w:rPr>
                      <w:rFonts w:cs="Times New Roman"/>
                      <w:szCs w:val="21"/>
                    </w:rPr>
                    <w:t>0.16</w:t>
                  </w:r>
                </w:p>
              </w:tc>
              <w:tc>
                <w:tcPr>
                  <w:tcW w:w="617" w:type="pct"/>
                  <w:tcBorders>
                    <w:tl2br w:val="nil"/>
                    <w:tr2bl w:val="nil"/>
                  </w:tcBorders>
                  <w:vAlign w:val="center"/>
                </w:tcPr>
                <w:p>
                  <w:pPr>
                    <w:jc w:val="center"/>
                    <w:rPr>
                      <w:rFonts w:cs="Times New Roman"/>
                      <w:szCs w:val="21"/>
                    </w:rPr>
                  </w:pPr>
                  <w:r>
                    <w:rPr>
                      <w:rFonts w:cs="Times New Roman"/>
                      <w:szCs w:val="21"/>
                    </w:rPr>
                    <w:t>0.11</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2023.08.07</w:t>
                  </w:r>
                </w:p>
              </w:tc>
              <w:tc>
                <w:tcPr>
                  <w:tcW w:w="617" w:type="pct"/>
                  <w:tcBorders>
                    <w:tl2br w:val="nil"/>
                    <w:tr2bl w:val="nil"/>
                  </w:tcBorders>
                  <w:vAlign w:val="center"/>
                </w:tcPr>
                <w:p>
                  <w:pPr>
                    <w:jc w:val="center"/>
                    <w:rPr>
                      <w:rFonts w:cs="Times New Roman"/>
                      <w:szCs w:val="21"/>
                    </w:rPr>
                  </w:pPr>
                  <w:r>
                    <w:rPr>
                      <w:rFonts w:cs="Times New Roman"/>
                      <w:szCs w:val="21"/>
                    </w:rPr>
                    <w:t>0.11</w:t>
                  </w:r>
                </w:p>
              </w:tc>
              <w:tc>
                <w:tcPr>
                  <w:tcW w:w="617" w:type="pct"/>
                  <w:tcBorders>
                    <w:tl2br w:val="nil"/>
                    <w:tr2bl w:val="nil"/>
                  </w:tcBorders>
                  <w:vAlign w:val="center"/>
                </w:tcPr>
                <w:p>
                  <w:pPr>
                    <w:jc w:val="center"/>
                    <w:rPr>
                      <w:rFonts w:cs="Times New Roman"/>
                      <w:szCs w:val="21"/>
                    </w:rPr>
                  </w:pPr>
                  <w:r>
                    <w:rPr>
                      <w:rFonts w:cs="Times New Roman"/>
                      <w:szCs w:val="21"/>
                    </w:rPr>
                    <w:t>0.13</w:t>
                  </w:r>
                </w:p>
              </w:tc>
              <w:tc>
                <w:tcPr>
                  <w:tcW w:w="617" w:type="pct"/>
                  <w:tcBorders>
                    <w:tl2br w:val="nil"/>
                    <w:tr2bl w:val="nil"/>
                  </w:tcBorders>
                  <w:vAlign w:val="center"/>
                </w:tcPr>
                <w:p>
                  <w:pPr>
                    <w:jc w:val="center"/>
                    <w:rPr>
                      <w:rFonts w:cs="Times New Roman"/>
                      <w:szCs w:val="21"/>
                    </w:rPr>
                  </w:pPr>
                  <w:r>
                    <w:rPr>
                      <w:rFonts w:cs="Times New Roman"/>
                      <w:szCs w:val="21"/>
                    </w:rPr>
                    <w:t>0.10</w:t>
                  </w:r>
                </w:p>
              </w:tc>
              <w:tc>
                <w:tcPr>
                  <w:tcW w:w="617" w:type="pct"/>
                  <w:tcBorders>
                    <w:tl2br w:val="nil"/>
                    <w:tr2bl w:val="nil"/>
                  </w:tcBorders>
                  <w:vAlign w:val="center"/>
                </w:tcPr>
                <w:p>
                  <w:pPr>
                    <w:jc w:val="center"/>
                    <w:rPr>
                      <w:rFonts w:cs="Times New Roman"/>
                      <w:szCs w:val="21"/>
                    </w:rPr>
                  </w:pPr>
                  <w:r>
                    <w:rPr>
                      <w:rFonts w:cs="Times New Roman"/>
                      <w:szCs w:val="21"/>
                    </w:rPr>
                    <w:t>0.12</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2023.08.08</w:t>
                  </w:r>
                </w:p>
              </w:tc>
              <w:tc>
                <w:tcPr>
                  <w:tcW w:w="617" w:type="pct"/>
                  <w:tcBorders>
                    <w:tl2br w:val="nil"/>
                    <w:tr2bl w:val="nil"/>
                  </w:tcBorders>
                  <w:vAlign w:val="center"/>
                </w:tcPr>
                <w:p>
                  <w:pPr>
                    <w:jc w:val="center"/>
                    <w:rPr>
                      <w:rFonts w:cs="Times New Roman"/>
                      <w:szCs w:val="21"/>
                    </w:rPr>
                  </w:pPr>
                  <w:r>
                    <w:rPr>
                      <w:rFonts w:cs="Times New Roman"/>
                      <w:szCs w:val="21"/>
                    </w:rPr>
                    <w:t>0.15</w:t>
                  </w:r>
                </w:p>
              </w:tc>
              <w:tc>
                <w:tcPr>
                  <w:tcW w:w="617" w:type="pct"/>
                  <w:tcBorders>
                    <w:tl2br w:val="nil"/>
                    <w:tr2bl w:val="nil"/>
                  </w:tcBorders>
                  <w:vAlign w:val="center"/>
                </w:tcPr>
                <w:p>
                  <w:pPr>
                    <w:jc w:val="center"/>
                    <w:rPr>
                      <w:rFonts w:cs="Times New Roman"/>
                      <w:szCs w:val="21"/>
                    </w:rPr>
                  </w:pPr>
                  <w:r>
                    <w:rPr>
                      <w:rFonts w:cs="Times New Roman"/>
                      <w:szCs w:val="21"/>
                    </w:rPr>
                    <w:t>0.16</w:t>
                  </w:r>
                </w:p>
              </w:tc>
              <w:tc>
                <w:tcPr>
                  <w:tcW w:w="617" w:type="pct"/>
                  <w:tcBorders>
                    <w:tl2br w:val="nil"/>
                    <w:tr2bl w:val="nil"/>
                  </w:tcBorders>
                  <w:vAlign w:val="center"/>
                </w:tcPr>
                <w:p>
                  <w:pPr>
                    <w:jc w:val="center"/>
                    <w:rPr>
                      <w:rFonts w:cs="Times New Roman"/>
                      <w:szCs w:val="21"/>
                    </w:rPr>
                  </w:pPr>
                  <w:r>
                    <w:rPr>
                      <w:rFonts w:cs="Times New Roman"/>
                      <w:szCs w:val="21"/>
                    </w:rPr>
                    <w:t>0.11</w:t>
                  </w:r>
                </w:p>
              </w:tc>
              <w:tc>
                <w:tcPr>
                  <w:tcW w:w="617" w:type="pct"/>
                  <w:tcBorders>
                    <w:tl2br w:val="nil"/>
                    <w:tr2bl w:val="nil"/>
                  </w:tcBorders>
                  <w:vAlign w:val="center"/>
                </w:tcPr>
                <w:p>
                  <w:pPr>
                    <w:jc w:val="center"/>
                    <w:rPr>
                      <w:rFonts w:cs="Times New Roman"/>
                      <w:szCs w:val="21"/>
                    </w:rPr>
                  </w:pPr>
                  <w:r>
                    <w:rPr>
                      <w:rFonts w:cs="Times New Roman"/>
                      <w:szCs w:val="21"/>
                    </w:rPr>
                    <w:t>0.13</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2023.08.09</w:t>
                  </w:r>
                </w:p>
              </w:tc>
              <w:tc>
                <w:tcPr>
                  <w:tcW w:w="617" w:type="pct"/>
                  <w:tcBorders>
                    <w:tl2br w:val="nil"/>
                    <w:tr2bl w:val="nil"/>
                  </w:tcBorders>
                  <w:vAlign w:val="center"/>
                </w:tcPr>
                <w:p>
                  <w:pPr>
                    <w:jc w:val="center"/>
                    <w:rPr>
                      <w:rFonts w:cs="Times New Roman"/>
                      <w:szCs w:val="21"/>
                    </w:rPr>
                  </w:pPr>
                  <w:r>
                    <w:rPr>
                      <w:rFonts w:cs="Times New Roman"/>
                      <w:szCs w:val="21"/>
                    </w:rPr>
                    <w:t>0.16</w:t>
                  </w:r>
                </w:p>
              </w:tc>
              <w:tc>
                <w:tcPr>
                  <w:tcW w:w="617" w:type="pct"/>
                  <w:tcBorders>
                    <w:tl2br w:val="nil"/>
                    <w:tr2bl w:val="nil"/>
                  </w:tcBorders>
                  <w:vAlign w:val="center"/>
                </w:tcPr>
                <w:p>
                  <w:pPr>
                    <w:jc w:val="center"/>
                    <w:rPr>
                      <w:rFonts w:cs="Times New Roman"/>
                      <w:szCs w:val="21"/>
                    </w:rPr>
                  </w:pPr>
                  <w:r>
                    <w:rPr>
                      <w:rFonts w:cs="Times New Roman"/>
                      <w:szCs w:val="21"/>
                    </w:rPr>
                    <w:t>0.16</w:t>
                  </w:r>
                </w:p>
              </w:tc>
              <w:tc>
                <w:tcPr>
                  <w:tcW w:w="617" w:type="pct"/>
                  <w:tcBorders>
                    <w:tl2br w:val="nil"/>
                    <w:tr2bl w:val="nil"/>
                  </w:tcBorders>
                  <w:vAlign w:val="center"/>
                </w:tcPr>
                <w:p>
                  <w:pPr>
                    <w:jc w:val="center"/>
                    <w:rPr>
                      <w:rFonts w:cs="Times New Roman"/>
                      <w:szCs w:val="21"/>
                    </w:rPr>
                  </w:pPr>
                  <w:r>
                    <w:rPr>
                      <w:rFonts w:cs="Times New Roman"/>
                      <w:szCs w:val="21"/>
                    </w:rPr>
                    <w:t>0.16</w:t>
                  </w:r>
                </w:p>
              </w:tc>
              <w:tc>
                <w:tcPr>
                  <w:tcW w:w="617" w:type="pct"/>
                  <w:tcBorders>
                    <w:tl2br w:val="nil"/>
                    <w:tr2bl w:val="nil"/>
                  </w:tcBorders>
                  <w:vAlign w:val="center"/>
                </w:tcPr>
                <w:p>
                  <w:pPr>
                    <w:jc w:val="center"/>
                    <w:rPr>
                      <w:rFonts w:cs="Times New Roman"/>
                      <w:szCs w:val="21"/>
                    </w:rPr>
                  </w:pPr>
                  <w:r>
                    <w:rPr>
                      <w:rFonts w:cs="Times New Roman"/>
                      <w:szCs w:val="21"/>
                    </w:rPr>
                    <w:t>0.10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2023.08.10</w:t>
                  </w:r>
                </w:p>
              </w:tc>
              <w:tc>
                <w:tcPr>
                  <w:tcW w:w="617" w:type="pct"/>
                  <w:tcBorders>
                    <w:tl2br w:val="nil"/>
                    <w:tr2bl w:val="nil"/>
                  </w:tcBorders>
                  <w:vAlign w:val="center"/>
                </w:tcPr>
                <w:p>
                  <w:pPr>
                    <w:jc w:val="center"/>
                    <w:rPr>
                      <w:rFonts w:cs="Times New Roman"/>
                      <w:szCs w:val="21"/>
                    </w:rPr>
                  </w:pPr>
                  <w:r>
                    <w:rPr>
                      <w:rFonts w:cs="Times New Roman"/>
                      <w:szCs w:val="21"/>
                    </w:rPr>
                    <w:t>0.15</w:t>
                  </w:r>
                </w:p>
              </w:tc>
              <w:tc>
                <w:tcPr>
                  <w:tcW w:w="617" w:type="pct"/>
                  <w:tcBorders>
                    <w:tl2br w:val="nil"/>
                    <w:tr2bl w:val="nil"/>
                  </w:tcBorders>
                  <w:vAlign w:val="center"/>
                </w:tcPr>
                <w:p>
                  <w:pPr>
                    <w:jc w:val="center"/>
                    <w:rPr>
                      <w:rFonts w:cs="Times New Roman"/>
                      <w:szCs w:val="21"/>
                    </w:rPr>
                  </w:pPr>
                  <w:r>
                    <w:rPr>
                      <w:rFonts w:cs="Times New Roman"/>
                      <w:szCs w:val="21"/>
                    </w:rPr>
                    <w:t>0.11</w:t>
                  </w:r>
                </w:p>
              </w:tc>
              <w:tc>
                <w:tcPr>
                  <w:tcW w:w="617" w:type="pct"/>
                  <w:tcBorders>
                    <w:tl2br w:val="nil"/>
                    <w:tr2bl w:val="nil"/>
                  </w:tcBorders>
                  <w:vAlign w:val="center"/>
                </w:tcPr>
                <w:p>
                  <w:pPr>
                    <w:jc w:val="center"/>
                    <w:rPr>
                      <w:rFonts w:cs="Times New Roman"/>
                      <w:szCs w:val="21"/>
                    </w:rPr>
                  </w:pPr>
                  <w:r>
                    <w:rPr>
                      <w:rFonts w:cs="Times New Roman"/>
                      <w:szCs w:val="21"/>
                    </w:rPr>
                    <w:t>0.12</w:t>
                  </w:r>
                </w:p>
              </w:tc>
              <w:tc>
                <w:tcPr>
                  <w:tcW w:w="617" w:type="pct"/>
                  <w:tcBorders>
                    <w:tl2br w:val="nil"/>
                    <w:tr2bl w:val="nil"/>
                  </w:tcBorders>
                  <w:vAlign w:val="center"/>
                </w:tcPr>
                <w:p>
                  <w:pPr>
                    <w:jc w:val="center"/>
                    <w:rPr>
                      <w:rFonts w:cs="Times New Roman"/>
                      <w:szCs w:val="21"/>
                    </w:rPr>
                  </w:pPr>
                  <w:r>
                    <w:rPr>
                      <w:rFonts w:cs="Times New Roman"/>
                      <w:szCs w:val="21"/>
                    </w:rPr>
                    <w:t>0.15</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2023.08.11</w:t>
                  </w:r>
                </w:p>
              </w:tc>
              <w:tc>
                <w:tcPr>
                  <w:tcW w:w="617" w:type="pct"/>
                  <w:tcBorders>
                    <w:tl2br w:val="nil"/>
                    <w:tr2bl w:val="nil"/>
                  </w:tcBorders>
                  <w:vAlign w:val="center"/>
                </w:tcPr>
                <w:p>
                  <w:pPr>
                    <w:jc w:val="center"/>
                    <w:rPr>
                      <w:rFonts w:cs="Times New Roman"/>
                      <w:szCs w:val="21"/>
                    </w:rPr>
                  </w:pPr>
                  <w:r>
                    <w:rPr>
                      <w:rFonts w:cs="Times New Roman"/>
                      <w:szCs w:val="21"/>
                    </w:rPr>
                    <w:t>0.10</w:t>
                  </w:r>
                </w:p>
              </w:tc>
              <w:tc>
                <w:tcPr>
                  <w:tcW w:w="617" w:type="pct"/>
                  <w:tcBorders>
                    <w:tl2br w:val="nil"/>
                    <w:tr2bl w:val="nil"/>
                  </w:tcBorders>
                  <w:vAlign w:val="center"/>
                </w:tcPr>
                <w:p>
                  <w:pPr>
                    <w:jc w:val="center"/>
                    <w:rPr>
                      <w:rFonts w:cs="Times New Roman"/>
                      <w:szCs w:val="21"/>
                    </w:rPr>
                  </w:pPr>
                  <w:r>
                    <w:rPr>
                      <w:rFonts w:cs="Times New Roman"/>
                      <w:szCs w:val="21"/>
                    </w:rPr>
                    <w:t>0.14</w:t>
                  </w:r>
                </w:p>
              </w:tc>
              <w:tc>
                <w:tcPr>
                  <w:tcW w:w="617" w:type="pct"/>
                  <w:tcBorders>
                    <w:tl2br w:val="nil"/>
                    <w:tr2bl w:val="nil"/>
                  </w:tcBorders>
                  <w:vAlign w:val="center"/>
                </w:tcPr>
                <w:p>
                  <w:pPr>
                    <w:jc w:val="center"/>
                    <w:rPr>
                      <w:rFonts w:cs="Times New Roman"/>
                      <w:szCs w:val="21"/>
                    </w:rPr>
                  </w:pPr>
                  <w:r>
                    <w:rPr>
                      <w:rFonts w:cs="Times New Roman"/>
                      <w:szCs w:val="21"/>
                    </w:rPr>
                    <w:t>0.15</w:t>
                  </w:r>
                </w:p>
              </w:tc>
              <w:tc>
                <w:tcPr>
                  <w:tcW w:w="617" w:type="pct"/>
                  <w:tcBorders>
                    <w:tl2br w:val="nil"/>
                    <w:tr2bl w:val="nil"/>
                  </w:tcBorders>
                  <w:vAlign w:val="center"/>
                </w:tcPr>
                <w:p>
                  <w:pPr>
                    <w:jc w:val="center"/>
                    <w:rPr>
                      <w:rFonts w:cs="Times New Roman"/>
                      <w:szCs w:val="21"/>
                    </w:rPr>
                  </w:pPr>
                  <w:r>
                    <w:rPr>
                      <w:rFonts w:cs="Times New Roman"/>
                      <w:szCs w:val="21"/>
                    </w:rPr>
                    <w:t>0.15</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restart"/>
                  <w:tcBorders>
                    <w:tl2br w:val="nil"/>
                    <w:tr2bl w:val="nil"/>
                  </w:tcBorders>
                  <w:vAlign w:val="center"/>
                </w:tcPr>
                <w:p>
                  <w:pPr>
                    <w:jc w:val="center"/>
                    <w:rPr>
                      <w:rFonts w:cs="Times New Roman"/>
                      <w:szCs w:val="21"/>
                    </w:rPr>
                  </w:pPr>
                  <w:r>
                    <w:rPr>
                      <w:rFonts w:cs="Times New Roman"/>
                      <w:szCs w:val="21"/>
                    </w:rPr>
                    <w:t>甲醛</w:t>
                  </w:r>
                </w:p>
              </w:tc>
              <w:tc>
                <w:tcPr>
                  <w:tcW w:w="745" w:type="pct"/>
                  <w:tcBorders>
                    <w:tl2br w:val="nil"/>
                    <w:tr2bl w:val="nil"/>
                  </w:tcBorders>
                  <w:vAlign w:val="center"/>
                </w:tcPr>
                <w:p>
                  <w:pPr>
                    <w:jc w:val="center"/>
                    <w:rPr>
                      <w:rFonts w:cs="Times New Roman"/>
                      <w:szCs w:val="21"/>
                    </w:rPr>
                  </w:pPr>
                  <w:r>
                    <w:rPr>
                      <w:rFonts w:cs="Times New Roman"/>
                      <w:szCs w:val="21"/>
                    </w:rPr>
                    <w:t>2023.08.05</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restart"/>
                  <w:tcBorders>
                    <w:tl2br w:val="nil"/>
                    <w:tr2bl w:val="nil"/>
                  </w:tcBorders>
                  <w:vAlign w:val="center"/>
                </w:tcPr>
                <w:p>
                  <w:pPr>
                    <w:jc w:val="center"/>
                    <w:rPr>
                      <w:rFonts w:cs="Times New Roman"/>
                      <w:szCs w:val="21"/>
                    </w:rPr>
                  </w:pPr>
                  <w:r>
                    <w:rPr>
                      <w:rFonts w:cs="Times New Roman"/>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2023.08.06</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2023.08.07</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2023.08.08</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2023.08.09</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2023.08.10</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2023.08.11</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617"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restart"/>
                  <w:tcBorders>
                    <w:tl2br w:val="nil"/>
                    <w:tr2bl w:val="nil"/>
                  </w:tcBorders>
                  <w:vAlign w:val="center"/>
                </w:tcPr>
                <w:p>
                  <w:pPr>
                    <w:autoSpaceDE w:val="0"/>
                    <w:autoSpaceDN w:val="0"/>
                    <w:jc w:val="center"/>
                    <w:rPr>
                      <w:rFonts w:cs="Times New Roman"/>
                      <w:szCs w:val="21"/>
                    </w:rPr>
                  </w:pPr>
                  <w:r>
                    <w:rPr>
                      <w:rFonts w:cs="Times New Roman"/>
                      <w:szCs w:val="21"/>
                    </w:rPr>
                    <w:t>臭气浓度</w:t>
                  </w:r>
                </w:p>
                <w:p>
                  <w:pPr>
                    <w:jc w:val="center"/>
                    <w:rPr>
                      <w:rFonts w:cs="Times New Roman"/>
                      <w:szCs w:val="21"/>
                    </w:rPr>
                  </w:pPr>
                  <w:r>
                    <w:rPr>
                      <w:rFonts w:cs="Times New Roman"/>
                      <w:szCs w:val="21"/>
                    </w:rPr>
                    <w:t>（无量纲）</w:t>
                  </w:r>
                </w:p>
              </w:tc>
              <w:tc>
                <w:tcPr>
                  <w:tcW w:w="745" w:type="pct"/>
                  <w:tcBorders>
                    <w:tl2br w:val="nil"/>
                    <w:tr2bl w:val="nil"/>
                  </w:tcBorders>
                  <w:vAlign w:val="center"/>
                </w:tcPr>
                <w:p>
                  <w:pPr>
                    <w:jc w:val="center"/>
                    <w:rPr>
                      <w:rFonts w:cs="Times New Roman"/>
                      <w:szCs w:val="21"/>
                    </w:rPr>
                  </w:pPr>
                  <w:r>
                    <w:rPr>
                      <w:rFonts w:cs="Times New Roman"/>
                      <w:szCs w:val="21"/>
                    </w:rPr>
                    <w:t>2023.08.05</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443" w:type="pct"/>
                  <w:vMerge w:val="restart"/>
                  <w:tcBorders>
                    <w:tl2br w:val="nil"/>
                    <w:tr2bl w:val="nil"/>
                  </w:tcBorders>
                  <w:vAlign w:val="center"/>
                </w:tcPr>
                <w:p>
                  <w:pPr>
                    <w:jc w:val="center"/>
                    <w:rPr>
                      <w:rFonts w:cs="Times New Roman"/>
                      <w:sz w:val="24"/>
                    </w:rPr>
                  </w:pPr>
                  <w:r>
                    <w:rPr>
                      <w:rFonts w:cs="Times New Roman"/>
                    </w:rP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2023.08.06</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2023.08.07</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2023.08.08</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2023.08.09</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2023.08.11</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617"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bl>
          <w:p>
            <w:pPr>
              <w:spacing w:line="360" w:lineRule="auto"/>
              <w:jc w:val="center"/>
              <w:rPr>
                <w:rFonts w:cs="Times New Roman" w:eastAsiaTheme="minorEastAsia"/>
                <w:b/>
                <w:bCs/>
                <w:sz w:val="24"/>
                <w:szCs w:val="24"/>
              </w:rPr>
            </w:pPr>
            <w:r>
              <w:rPr>
                <w:rFonts w:cs="Times New Roman" w:eastAsiaTheme="minorEastAsia"/>
                <w:b/>
                <w:bCs/>
                <w:sz w:val="24"/>
                <w:szCs w:val="24"/>
              </w:rPr>
              <w:t xml:space="preserve">表3-2 监测结果  </w:t>
            </w:r>
            <w:r>
              <w:rPr>
                <w:rFonts w:cs="Times New Roman"/>
                <w:sz w:val="24"/>
                <w:szCs w:val="24"/>
              </w:rPr>
              <w:t>单位：mg/m</w:t>
            </w:r>
            <w:r>
              <w:rPr>
                <w:rFonts w:cs="Times New Roman"/>
                <w:sz w:val="24"/>
                <w:szCs w:val="24"/>
                <w:vertAlign w:val="superscript"/>
              </w:rPr>
              <w:t>3</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73"/>
              <w:gridCol w:w="2160"/>
              <w:gridCol w:w="2064"/>
              <w:gridCol w:w="20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327" w:type="pct"/>
                  <w:vMerge w:val="restart"/>
                  <w:tcBorders>
                    <w:tl2br w:val="nil"/>
                    <w:tr2bl w:val="nil"/>
                  </w:tcBorders>
                  <w:shd w:val="clear" w:color="auto" w:fill="auto"/>
                  <w:vAlign w:val="center"/>
                </w:tcPr>
                <w:p>
                  <w:pPr>
                    <w:jc w:val="center"/>
                    <w:rPr>
                      <w:rFonts w:cs="Times New Roman"/>
                    </w:rPr>
                  </w:pPr>
                  <w:r>
                    <w:rPr>
                      <w:rFonts w:cs="Times New Roman"/>
                      <w:b/>
                      <w:bCs/>
                      <w:szCs w:val="21"/>
                    </w:rPr>
                    <w:t>检测点编号及位置</w:t>
                  </w:r>
                </w:p>
              </w:tc>
              <w:tc>
                <w:tcPr>
                  <w:tcW w:w="1261" w:type="pct"/>
                  <w:vMerge w:val="restart"/>
                  <w:tcBorders>
                    <w:tl2br w:val="nil"/>
                    <w:tr2bl w:val="nil"/>
                  </w:tcBorders>
                  <w:shd w:val="clear" w:color="auto" w:fill="auto"/>
                  <w:vAlign w:val="center"/>
                </w:tcPr>
                <w:p>
                  <w:pPr>
                    <w:jc w:val="center"/>
                    <w:rPr>
                      <w:rFonts w:cs="Times New Roman"/>
                      <w:b/>
                      <w:bCs/>
                    </w:rPr>
                  </w:pPr>
                  <w:r>
                    <w:rPr>
                      <w:rFonts w:cs="Times New Roman"/>
                      <w:b/>
                      <w:bCs/>
                    </w:rPr>
                    <w:t>检测日期</w:t>
                  </w:r>
                </w:p>
              </w:tc>
              <w:tc>
                <w:tcPr>
                  <w:tcW w:w="2410" w:type="pct"/>
                  <w:gridSpan w:val="2"/>
                  <w:tcBorders>
                    <w:tl2br w:val="nil"/>
                    <w:tr2bl w:val="nil"/>
                  </w:tcBorders>
                  <w:shd w:val="clear" w:color="auto" w:fill="auto"/>
                  <w:vAlign w:val="center"/>
                </w:tcPr>
                <w:p>
                  <w:pPr>
                    <w:jc w:val="center"/>
                    <w:rPr>
                      <w:rFonts w:cs="Times New Roman"/>
                      <w:b/>
                      <w:bCs/>
                    </w:rPr>
                  </w:pPr>
                  <w:r>
                    <w:rPr>
                      <w:rFonts w:cs="Times New Roman"/>
                      <w:b/>
                      <w:bCs/>
                    </w:rPr>
                    <w:t>检测因子及检测结果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vMerge w:val="continue"/>
                  <w:tcBorders>
                    <w:tl2br w:val="nil"/>
                    <w:tr2bl w:val="nil"/>
                  </w:tcBorders>
                  <w:shd w:val="clear" w:color="auto" w:fill="auto"/>
                  <w:vAlign w:val="center"/>
                </w:tcPr>
                <w:p>
                  <w:pPr>
                    <w:jc w:val="center"/>
                    <w:rPr>
                      <w:rFonts w:cs="Times New Roman"/>
                      <w:b/>
                      <w:bCs/>
                    </w:rPr>
                  </w:pPr>
                </w:p>
              </w:tc>
              <w:tc>
                <w:tcPr>
                  <w:tcW w:w="1205" w:type="pct"/>
                  <w:tcBorders>
                    <w:tl2br w:val="nil"/>
                    <w:tr2bl w:val="nil"/>
                  </w:tcBorders>
                  <w:shd w:val="clear" w:color="auto" w:fill="auto"/>
                  <w:vAlign w:val="center"/>
                </w:tcPr>
                <w:p>
                  <w:pPr>
                    <w:jc w:val="center"/>
                    <w:rPr>
                      <w:rFonts w:cs="Times New Roman"/>
                      <w:b/>
                      <w:bCs/>
                    </w:rPr>
                  </w:pPr>
                  <w:r>
                    <w:rPr>
                      <w:rFonts w:cs="Times New Roman"/>
                      <w:b/>
                      <w:bCs/>
                    </w:rPr>
                    <w:t>TSP</w:t>
                  </w:r>
                </w:p>
              </w:tc>
              <w:tc>
                <w:tcPr>
                  <w:tcW w:w="1205" w:type="pct"/>
                  <w:tcBorders>
                    <w:tl2br w:val="nil"/>
                    <w:tr2bl w:val="nil"/>
                  </w:tcBorders>
                  <w:shd w:val="clear" w:color="auto" w:fill="auto"/>
                  <w:vAlign w:val="center"/>
                </w:tcPr>
                <w:p>
                  <w:pPr>
                    <w:jc w:val="center"/>
                    <w:rPr>
                      <w:rFonts w:cs="Times New Roman"/>
                      <w:b/>
                      <w:bCs/>
                    </w:rPr>
                  </w:pPr>
                  <w:r>
                    <w:rPr>
                      <w:rFonts w:cs="Times New Roman"/>
                      <w:b/>
                      <w:bCs/>
                    </w:rPr>
                    <w:t>TVOC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restart"/>
                  <w:tcBorders>
                    <w:tl2br w:val="nil"/>
                    <w:tr2bl w:val="nil"/>
                  </w:tcBorders>
                  <w:shd w:val="clear" w:color="auto" w:fill="auto"/>
                  <w:vAlign w:val="center"/>
                </w:tcPr>
                <w:p>
                  <w:pPr>
                    <w:jc w:val="center"/>
                    <w:rPr>
                      <w:rFonts w:cs="Times New Roman"/>
                      <w:szCs w:val="21"/>
                    </w:rPr>
                  </w:pPr>
                  <w:r>
                    <w:rPr>
                      <w:rFonts w:cs="Times New Roman"/>
                      <w:szCs w:val="21"/>
                    </w:rPr>
                    <w:t>1#，柳池</w:t>
                  </w:r>
                </w:p>
                <w:p>
                  <w:pPr>
                    <w:jc w:val="center"/>
                    <w:rPr>
                      <w:rFonts w:cs="Times New Roman"/>
                    </w:rPr>
                  </w:pPr>
                  <w:r>
                    <w:rPr>
                      <w:rFonts w:cs="Times New Roman"/>
                      <w:szCs w:val="21"/>
                    </w:rPr>
                    <w:t>安置房处</w:t>
                  </w: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2023.08.05</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0.169</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2023.08.06</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0.142</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2023.08.07</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0.175</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2023.08.08</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0.184</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2023.08.09</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0.152</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2023.08.10</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0.164</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2023.08.11</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0.191</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0.0077</w:t>
                  </w:r>
                </w:p>
              </w:tc>
            </w:tr>
          </w:tbl>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（3）大气环境质量现状评价</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1）评价因子</w:t>
            </w:r>
          </w:p>
          <w:p>
            <w:pPr>
              <w:spacing w:line="360" w:lineRule="auto"/>
              <w:ind w:firstLine="480" w:firstLineChars="200"/>
              <w:rPr>
                <w:rFonts w:cs="Times New Roman" w:eastAsiaTheme="minorEastAsia"/>
                <w:sz w:val="24"/>
                <w:szCs w:val="24"/>
              </w:rPr>
            </w:pPr>
            <w:r>
              <w:rPr>
                <w:rFonts w:cs="Times New Roman"/>
                <w:sz w:val="24"/>
                <w:szCs w:val="24"/>
              </w:rPr>
              <w:t>TVOC、颗粒物、甲醛、氨</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2）评价标准</w:t>
            </w:r>
          </w:p>
          <w:p>
            <w:pPr>
              <w:spacing w:line="360" w:lineRule="auto"/>
              <w:ind w:firstLine="480" w:firstLineChars="200"/>
              <w:rPr>
                <w:rFonts w:cs="Times New Roman" w:eastAsiaTheme="minorEastAsia"/>
                <w:sz w:val="24"/>
                <w:szCs w:val="24"/>
              </w:rPr>
            </w:pPr>
            <w:r>
              <w:rPr>
                <w:rFonts w:cs="Times New Roman"/>
                <w:sz w:val="24"/>
                <w:szCs w:val="24"/>
              </w:rPr>
              <w:t>《环境空气质量标准》（GB3095-2012）二级标准限值</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3）评价方法</w:t>
            </w:r>
          </w:p>
          <w:p>
            <w:pPr>
              <w:spacing w:line="360" w:lineRule="auto"/>
              <w:ind w:firstLine="480" w:firstLineChars="200"/>
              <w:rPr>
                <w:rFonts w:cs="Times New Roman" w:eastAsiaTheme="minorEastAsia"/>
                <w:sz w:val="24"/>
                <w:szCs w:val="24"/>
              </w:rPr>
            </w:pPr>
            <w:r>
              <w:rPr>
                <w:rFonts w:cs="Times New Roman" w:eastAsiaTheme="minorEastAsia"/>
                <w:sz w:val="24"/>
                <w:szCs w:val="24"/>
              </w:rPr>
              <w:t>采用单项质量指数法，公式为：</w:t>
            </w:r>
          </w:p>
          <w:p>
            <w:pPr>
              <w:spacing w:line="360" w:lineRule="auto"/>
              <w:jc w:val="center"/>
              <w:rPr>
                <w:rFonts w:cs="Times New Roman" w:eastAsiaTheme="minorEastAsia"/>
                <w:sz w:val="24"/>
                <w:szCs w:val="24"/>
              </w:rPr>
            </w:pPr>
            <w:r>
              <w:rPr>
                <w:rFonts w:cs="Times New Roman" w:eastAsiaTheme="minorEastAsia"/>
                <w:sz w:val="24"/>
                <w:szCs w:val="24"/>
              </w:rPr>
              <w:t>Pi = Ci / Si</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式中，Pi ——第i个污染物标准指数值；</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Ci ——第i个污染物实测浓度值，mg/m</w:t>
            </w:r>
            <w:r>
              <w:rPr>
                <w:rFonts w:cs="Times New Roman" w:eastAsiaTheme="minorEastAsia"/>
                <w:sz w:val="24"/>
                <w:szCs w:val="24"/>
                <w:vertAlign w:val="superscript"/>
              </w:rPr>
              <w:t>3</w:t>
            </w:r>
            <w:r>
              <w:rPr>
                <w:rFonts w:cs="Times New Roman" w:eastAsiaTheme="minorEastAsia"/>
                <w:sz w:val="24"/>
                <w:szCs w:val="24"/>
              </w:rPr>
              <w:t>；</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Si ——第i个污染物评价标准限值，mg/m</w:t>
            </w:r>
            <w:r>
              <w:rPr>
                <w:rFonts w:cs="Times New Roman" w:eastAsiaTheme="minorEastAsia"/>
                <w:sz w:val="24"/>
                <w:szCs w:val="24"/>
                <w:vertAlign w:val="superscript"/>
              </w:rPr>
              <w:t>3</w:t>
            </w:r>
            <w:r>
              <w:rPr>
                <w:rFonts w:cs="Times New Roman" w:eastAsiaTheme="minorEastAsia"/>
                <w:sz w:val="24"/>
                <w:szCs w:val="24"/>
              </w:rPr>
              <w:t>。</w:t>
            </w:r>
          </w:p>
          <w:p>
            <w:pPr>
              <w:spacing w:line="360" w:lineRule="auto"/>
              <w:ind w:firstLine="480" w:firstLineChars="200"/>
              <w:rPr>
                <w:rFonts w:cs="Times New Roman" w:eastAsiaTheme="minorEastAsia"/>
                <w:sz w:val="24"/>
                <w:szCs w:val="24"/>
              </w:rPr>
            </w:pPr>
            <w:r>
              <w:rPr>
                <w:rFonts w:cs="Times New Roman" w:eastAsiaTheme="minorEastAsia"/>
                <w:sz w:val="24"/>
                <w:szCs w:val="24"/>
              </w:rPr>
              <w:t>当Pi值大于1.0时，表明大气环境已受到该项评价因子所表征的污染物的污染。Pi值越大，受污染程度越重；Pi值越小，受污染程度越轻。</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4）评价结果</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本项目所在区域大气环境质量现状评价结果见表3-3。</w:t>
            </w:r>
          </w:p>
          <w:p>
            <w:pPr>
              <w:spacing w:line="360" w:lineRule="auto"/>
              <w:jc w:val="center"/>
              <w:rPr>
                <w:rFonts w:cs="Times New Roman" w:eastAsiaTheme="minorEastAsia"/>
                <w:b/>
                <w:bCs/>
                <w:sz w:val="24"/>
                <w:szCs w:val="24"/>
              </w:rPr>
            </w:pPr>
            <w:r>
              <w:rPr>
                <w:rFonts w:cs="Times New Roman" w:eastAsiaTheme="minorEastAsia"/>
                <w:b/>
                <w:bCs/>
                <w:sz w:val="24"/>
                <w:szCs w:val="24"/>
              </w:rPr>
              <w:t>表3-3  大气环境质量现状评价结果</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1925"/>
              <w:gridCol w:w="1473"/>
              <w:gridCol w:w="1473"/>
              <w:gridCol w:w="913"/>
              <w:gridCol w:w="153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tcBorders>
                    <w:tl2br w:val="nil"/>
                    <w:tr2bl w:val="nil"/>
                  </w:tcBorders>
                  <w:vAlign w:val="center"/>
                </w:tcPr>
                <w:p>
                  <w:pPr>
                    <w:pStyle w:val="52"/>
                    <w:rPr>
                      <w:rFonts w:cs="Times New Roman"/>
                      <w:bCs/>
                      <w:szCs w:val="21"/>
                    </w:rPr>
                  </w:pPr>
                  <w:r>
                    <w:rPr>
                      <w:rFonts w:cs="Times New Roman"/>
                      <w:bCs/>
                      <w:szCs w:val="21"/>
                    </w:rPr>
                    <w:t>评价因子</w:t>
                  </w:r>
                </w:p>
              </w:tc>
              <w:tc>
                <w:tcPr>
                  <w:tcW w:w="1124" w:type="pct"/>
                  <w:tcBorders>
                    <w:tl2br w:val="nil"/>
                    <w:tr2bl w:val="nil"/>
                  </w:tcBorders>
                  <w:vAlign w:val="center"/>
                </w:tcPr>
                <w:p>
                  <w:pPr>
                    <w:pStyle w:val="52"/>
                    <w:rPr>
                      <w:rFonts w:cs="Times New Roman"/>
                      <w:bCs/>
                      <w:szCs w:val="21"/>
                    </w:rPr>
                  </w:pPr>
                  <w:r>
                    <w:rPr>
                      <w:rFonts w:cs="Times New Roman"/>
                      <w:bCs/>
                      <w:szCs w:val="21"/>
                    </w:rPr>
                    <w:t>浓度max（mg/m</w:t>
                  </w:r>
                  <w:r>
                    <w:rPr>
                      <w:rFonts w:cs="Times New Roman"/>
                      <w:bCs/>
                      <w:szCs w:val="21"/>
                      <w:vertAlign w:val="superscript"/>
                    </w:rPr>
                    <w:t>3</w:t>
                  </w:r>
                  <w:r>
                    <w:rPr>
                      <w:rFonts w:cs="Times New Roman"/>
                      <w:bCs/>
                      <w:szCs w:val="21"/>
                    </w:rPr>
                    <w:t>）</w:t>
                  </w:r>
                </w:p>
              </w:tc>
              <w:tc>
                <w:tcPr>
                  <w:tcW w:w="860" w:type="pct"/>
                  <w:tcBorders>
                    <w:tl2br w:val="nil"/>
                    <w:tr2bl w:val="nil"/>
                  </w:tcBorders>
                  <w:vAlign w:val="center"/>
                </w:tcPr>
                <w:p>
                  <w:pPr>
                    <w:pStyle w:val="50"/>
                    <w:rPr>
                      <w:b/>
                      <w:sz w:val="21"/>
                    </w:rPr>
                  </w:pPr>
                  <w:r>
                    <w:rPr>
                      <w:b/>
                      <w:sz w:val="21"/>
                    </w:rPr>
                    <w:t>标准值（mg/m</w:t>
                  </w:r>
                  <w:r>
                    <w:rPr>
                      <w:b/>
                      <w:sz w:val="21"/>
                      <w:vertAlign w:val="superscript"/>
                    </w:rPr>
                    <w:t>3</w:t>
                  </w:r>
                  <w:r>
                    <w:rPr>
                      <w:b/>
                      <w:sz w:val="21"/>
                    </w:rPr>
                    <w:t>）</w:t>
                  </w:r>
                </w:p>
              </w:tc>
              <w:tc>
                <w:tcPr>
                  <w:tcW w:w="860" w:type="pct"/>
                  <w:tcBorders>
                    <w:tl2br w:val="nil"/>
                    <w:tr2bl w:val="nil"/>
                  </w:tcBorders>
                  <w:vAlign w:val="center"/>
                </w:tcPr>
                <w:p>
                  <w:pPr>
                    <w:pStyle w:val="52"/>
                    <w:rPr>
                      <w:rFonts w:cs="Times New Roman"/>
                      <w:bCs/>
                      <w:szCs w:val="21"/>
                    </w:rPr>
                  </w:pPr>
                  <w:r>
                    <w:rPr>
                      <w:rFonts w:cs="Times New Roman"/>
                      <w:bCs/>
                      <w:i/>
                      <w:szCs w:val="21"/>
                    </w:rPr>
                    <w:t>P</w:t>
                  </w:r>
                  <w:r>
                    <w:rPr>
                      <w:rFonts w:cs="Times New Roman"/>
                      <w:bCs/>
                      <w:i/>
                      <w:szCs w:val="21"/>
                      <w:vertAlign w:val="subscript"/>
                    </w:rPr>
                    <w:t>max</w:t>
                  </w:r>
                </w:p>
              </w:tc>
              <w:tc>
                <w:tcPr>
                  <w:tcW w:w="533" w:type="pct"/>
                  <w:tcBorders>
                    <w:tl2br w:val="nil"/>
                    <w:tr2bl w:val="nil"/>
                  </w:tcBorders>
                  <w:vAlign w:val="center"/>
                </w:tcPr>
                <w:p>
                  <w:pPr>
                    <w:pStyle w:val="52"/>
                    <w:rPr>
                      <w:rFonts w:cs="Times New Roman"/>
                      <w:bCs/>
                      <w:szCs w:val="21"/>
                    </w:rPr>
                  </w:pPr>
                  <w:r>
                    <w:rPr>
                      <w:rFonts w:cs="Times New Roman"/>
                      <w:bCs/>
                      <w:szCs w:val="21"/>
                    </w:rPr>
                    <w:t>超标个数</w:t>
                  </w:r>
                </w:p>
              </w:tc>
              <w:tc>
                <w:tcPr>
                  <w:tcW w:w="894" w:type="pct"/>
                  <w:tcBorders>
                    <w:tl2br w:val="nil"/>
                    <w:tr2bl w:val="nil"/>
                  </w:tcBorders>
                  <w:vAlign w:val="center"/>
                </w:tcPr>
                <w:p>
                  <w:pPr>
                    <w:pStyle w:val="52"/>
                    <w:rPr>
                      <w:rFonts w:cs="Times New Roman"/>
                      <w:bCs/>
                      <w:szCs w:val="21"/>
                    </w:rPr>
                  </w:pPr>
                  <w:r>
                    <w:rPr>
                      <w:rFonts w:cs="Times New Roman"/>
                      <w:bCs/>
                      <w:szCs w:val="21"/>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tcBorders>
                    <w:tl2br w:val="nil"/>
                    <w:tr2bl w:val="nil"/>
                  </w:tcBorders>
                  <w:vAlign w:val="center"/>
                </w:tcPr>
                <w:p>
                  <w:pPr>
                    <w:jc w:val="center"/>
                    <w:rPr>
                      <w:rFonts w:cs="Times New Roman"/>
                      <w:szCs w:val="21"/>
                    </w:rPr>
                  </w:pPr>
                  <w:r>
                    <w:rPr>
                      <w:rFonts w:cs="Times New Roman"/>
                      <w:szCs w:val="21"/>
                    </w:rPr>
                    <w:t>TVOC</w:t>
                  </w:r>
                </w:p>
              </w:tc>
              <w:tc>
                <w:tcPr>
                  <w:tcW w:w="1124" w:type="pct"/>
                  <w:tcBorders>
                    <w:tl2br w:val="nil"/>
                    <w:tr2bl w:val="nil"/>
                  </w:tcBorders>
                  <w:vAlign w:val="center"/>
                </w:tcPr>
                <w:p>
                  <w:pPr>
                    <w:jc w:val="center"/>
                    <w:rPr>
                      <w:rFonts w:cs="Times New Roman"/>
                      <w:szCs w:val="21"/>
                    </w:rPr>
                  </w:pPr>
                  <w:r>
                    <w:rPr>
                      <w:rFonts w:cs="Times New Roman"/>
                      <w:szCs w:val="21"/>
                    </w:rPr>
                    <w:t>0.0097</w:t>
                  </w:r>
                </w:p>
              </w:tc>
              <w:tc>
                <w:tcPr>
                  <w:tcW w:w="860" w:type="pct"/>
                  <w:tcBorders>
                    <w:tl2br w:val="nil"/>
                    <w:tr2bl w:val="nil"/>
                  </w:tcBorders>
                </w:tcPr>
                <w:p>
                  <w:pPr>
                    <w:pStyle w:val="52"/>
                    <w:rPr>
                      <w:rFonts w:cs="Times New Roman"/>
                      <w:b w:val="0"/>
                      <w:szCs w:val="21"/>
                    </w:rPr>
                  </w:pPr>
                  <w:r>
                    <w:rPr>
                      <w:rFonts w:cs="Times New Roman"/>
                      <w:b w:val="0"/>
                      <w:szCs w:val="21"/>
                    </w:rPr>
                    <w:t>0.6</w:t>
                  </w:r>
                </w:p>
              </w:tc>
              <w:tc>
                <w:tcPr>
                  <w:tcW w:w="860" w:type="pct"/>
                  <w:tcBorders>
                    <w:tl2br w:val="nil"/>
                    <w:tr2bl w:val="nil"/>
                  </w:tcBorders>
                  <w:vAlign w:val="center"/>
                </w:tcPr>
                <w:p>
                  <w:pPr>
                    <w:pStyle w:val="52"/>
                    <w:rPr>
                      <w:rFonts w:cs="Times New Roman"/>
                      <w:b w:val="0"/>
                      <w:szCs w:val="21"/>
                    </w:rPr>
                  </w:pPr>
                  <w:r>
                    <w:rPr>
                      <w:rFonts w:cs="Times New Roman"/>
                      <w:b w:val="0"/>
                      <w:szCs w:val="21"/>
                    </w:rPr>
                    <w:t>0.016</w:t>
                  </w:r>
                </w:p>
              </w:tc>
              <w:tc>
                <w:tcPr>
                  <w:tcW w:w="533" w:type="pct"/>
                  <w:tcBorders>
                    <w:tl2br w:val="nil"/>
                    <w:tr2bl w:val="nil"/>
                  </w:tcBorders>
                  <w:vAlign w:val="center"/>
                </w:tcPr>
                <w:p>
                  <w:pPr>
                    <w:jc w:val="center"/>
                    <w:rPr>
                      <w:rFonts w:cs="Times New Roman"/>
                      <w:szCs w:val="21"/>
                    </w:rPr>
                  </w:pPr>
                  <w:r>
                    <w:rPr>
                      <w:rFonts w:cs="Times New Roman"/>
                      <w:szCs w:val="21"/>
                    </w:rPr>
                    <w:t>0</w:t>
                  </w:r>
                </w:p>
              </w:tc>
              <w:tc>
                <w:tcPr>
                  <w:tcW w:w="89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tcBorders>
                    <w:tl2br w:val="nil"/>
                    <w:tr2bl w:val="nil"/>
                  </w:tcBorders>
                  <w:vAlign w:val="center"/>
                </w:tcPr>
                <w:p>
                  <w:pPr>
                    <w:jc w:val="center"/>
                    <w:rPr>
                      <w:rFonts w:cs="Times New Roman"/>
                      <w:szCs w:val="21"/>
                    </w:rPr>
                  </w:pPr>
                  <w:r>
                    <w:rPr>
                      <w:rFonts w:cs="Times New Roman"/>
                      <w:szCs w:val="21"/>
                    </w:rPr>
                    <w:t>TSP</w:t>
                  </w:r>
                </w:p>
              </w:tc>
              <w:tc>
                <w:tcPr>
                  <w:tcW w:w="1124" w:type="pct"/>
                  <w:tcBorders>
                    <w:tl2br w:val="nil"/>
                    <w:tr2bl w:val="nil"/>
                  </w:tcBorders>
                  <w:vAlign w:val="center"/>
                </w:tcPr>
                <w:p>
                  <w:pPr>
                    <w:jc w:val="center"/>
                    <w:rPr>
                      <w:rFonts w:cs="Times New Roman"/>
                      <w:szCs w:val="21"/>
                    </w:rPr>
                  </w:pPr>
                  <w:r>
                    <w:rPr>
                      <w:rFonts w:cs="Times New Roman"/>
                      <w:szCs w:val="21"/>
                    </w:rPr>
                    <w:t>0.191</w:t>
                  </w:r>
                </w:p>
              </w:tc>
              <w:tc>
                <w:tcPr>
                  <w:tcW w:w="860" w:type="pct"/>
                  <w:tcBorders>
                    <w:tl2br w:val="nil"/>
                    <w:tr2bl w:val="nil"/>
                  </w:tcBorders>
                </w:tcPr>
                <w:p>
                  <w:pPr>
                    <w:pStyle w:val="52"/>
                    <w:rPr>
                      <w:rFonts w:cs="Times New Roman"/>
                      <w:b w:val="0"/>
                      <w:szCs w:val="21"/>
                    </w:rPr>
                  </w:pPr>
                  <w:r>
                    <w:rPr>
                      <w:rFonts w:cs="Times New Roman"/>
                      <w:b w:val="0"/>
                      <w:szCs w:val="21"/>
                    </w:rPr>
                    <w:t>0.3</w:t>
                  </w:r>
                </w:p>
              </w:tc>
              <w:tc>
                <w:tcPr>
                  <w:tcW w:w="860" w:type="pct"/>
                  <w:tcBorders>
                    <w:tl2br w:val="nil"/>
                    <w:tr2bl w:val="nil"/>
                  </w:tcBorders>
                  <w:vAlign w:val="center"/>
                </w:tcPr>
                <w:p>
                  <w:pPr>
                    <w:pStyle w:val="52"/>
                    <w:rPr>
                      <w:rFonts w:cs="Times New Roman"/>
                      <w:b w:val="0"/>
                      <w:szCs w:val="21"/>
                    </w:rPr>
                  </w:pPr>
                  <w:r>
                    <w:rPr>
                      <w:rFonts w:cs="Times New Roman"/>
                      <w:b w:val="0"/>
                      <w:szCs w:val="21"/>
                    </w:rPr>
                    <w:t>0.637</w:t>
                  </w:r>
                </w:p>
              </w:tc>
              <w:tc>
                <w:tcPr>
                  <w:tcW w:w="533" w:type="pct"/>
                  <w:tcBorders>
                    <w:tl2br w:val="nil"/>
                    <w:tr2bl w:val="nil"/>
                  </w:tcBorders>
                  <w:vAlign w:val="center"/>
                </w:tcPr>
                <w:p>
                  <w:pPr>
                    <w:jc w:val="center"/>
                    <w:rPr>
                      <w:rFonts w:cs="Times New Roman"/>
                      <w:szCs w:val="21"/>
                    </w:rPr>
                  </w:pPr>
                  <w:r>
                    <w:rPr>
                      <w:rFonts w:cs="Times New Roman"/>
                      <w:szCs w:val="21"/>
                    </w:rPr>
                    <w:t>0</w:t>
                  </w:r>
                </w:p>
              </w:tc>
              <w:tc>
                <w:tcPr>
                  <w:tcW w:w="89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vAlign w:val="center"/>
                </w:tcPr>
                <w:p>
                  <w:pPr>
                    <w:pStyle w:val="77"/>
                    <w:snapToGrid w:val="0"/>
                    <w:spacing w:before="0" w:after="0"/>
                    <w:rPr>
                      <w:rFonts w:cs="Times New Roman"/>
                      <w:sz w:val="21"/>
                      <w:szCs w:val="21"/>
                    </w:rPr>
                  </w:pPr>
                  <w:r>
                    <w:rPr>
                      <w:rFonts w:cs="Times New Roman"/>
                      <w:sz w:val="21"/>
                      <w:szCs w:val="21"/>
                    </w:rPr>
                    <w:t>甲醛</w:t>
                  </w:r>
                </w:p>
              </w:tc>
              <w:tc>
                <w:tcPr>
                  <w:tcW w:w="1124" w:type="pct"/>
                </w:tcPr>
                <w:p>
                  <w:pPr>
                    <w:jc w:val="center"/>
                    <w:rPr>
                      <w:rFonts w:cs="Times New Roman"/>
                      <w:szCs w:val="21"/>
                    </w:rPr>
                  </w:pPr>
                  <w:r>
                    <w:rPr>
                      <w:rFonts w:cs="Times New Roman"/>
                      <w:szCs w:val="21"/>
                    </w:rPr>
                    <w:t>未检出</w:t>
                  </w:r>
                </w:p>
              </w:tc>
              <w:tc>
                <w:tcPr>
                  <w:tcW w:w="860" w:type="pct"/>
                </w:tcPr>
                <w:p>
                  <w:pPr>
                    <w:pStyle w:val="52"/>
                    <w:rPr>
                      <w:rFonts w:cs="Times New Roman"/>
                      <w:b w:val="0"/>
                      <w:szCs w:val="21"/>
                    </w:rPr>
                  </w:pPr>
                  <w:r>
                    <w:rPr>
                      <w:rFonts w:cs="Times New Roman"/>
                      <w:b w:val="0"/>
                      <w:szCs w:val="21"/>
                    </w:rPr>
                    <w:t>0.05</w:t>
                  </w:r>
                </w:p>
              </w:tc>
              <w:tc>
                <w:tcPr>
                  <w:tcW w:w="860" w:type="pct"/>
                </w:tcPr>
                <w:p>
                  <w:pPr>
                    <w:pStyle w:val="52"/>
                    <w:rPr>
                      <w:rFonts w:cs="Times New Roman"/>
                      <w:b w:val="0"/>
                      <w:szCs w:val="21"/>
                    </w:rPr>
                  </w:pPr>
                  <w:r>
                    <w:rPr>
                      <w:rFonts w:cs="Times New Roman"/>
                      <w:b w:val="0"/>
                      <w:szCs w:val="21"/>
                    </w:rPr>
                    <w:t>/</w:t>
                  </w:r>
                </w:p>
              </w:tc>
              <w:tc>
                <w:tcPr>
                  <w:tcW w:w="533" w:type="pct"/>
                  <w:vAlign w:val="center"/>
                </w:tcPr>
                <w:p>
                  <w:pPr>
                    <w:jc w:val="center"/>
                    <w:rPr>
                      <w:rFonts w:cs="Times New Roman"/>
                      <w:szCs w:val="21"/>
                    </w:rPr>
                  </w:pPr>
                  <w:r>
                    <w:rPr>
                      <w:rFonts w:cs="Times New Roman"/>
                      <w:szCs w:val="21"/>
                    </w:rPr>
                    <w:t>0</w:t>
                  </w:r>
                </w:p>
              </w:tc>
              <w:tc>
                <w:tcPr>
                  <w:tcW w:w="894" w:type="pct"/>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vAlign w:val="center"/>
                </w:tcPr>
                <w:p>
                  <w:pPr>
                    <w:pStyle w:val="77"/>
                    <w:snapToGrid w:val="0"/>
                    <w:spacing w:before="0" w:after="0"/>
                    <w:rPr>
                      <w:rFonts w:cs="Times New Roman"/>
                      <w:sz w:val="21"/>
                      <w:szCs w:val="21"/>
                    </w:rPr>
                  </w:pPr>
                  <w:r>
                    <w:rPr>
                      <w:rFonts w:cs="Times New Roman"/>
                      <w:sz w:val="21"/>
                      <w:szCs w:val="21"/>
                    </w:rPr>
                    <w:t>氨</w:t>
                  </w:r>
                </w:p>
              </w:tc>
              <w:tc>
                <w:tcPr>
                  <w:tcW w:w="1124" w:type="pct"/>
                </w:tcPr>
                <w:p>
                  <w:pPr>
                    <w:jc w:val="center"/>
                    <w:rPr>
                      <w:rFonts w:cs="Times New Roman"/>
                      <w:szCs w:val="21"/>
                    </w:rPr>
                  </w:pPr>
                  <w:r>
                    <w:rPr>
                      <w:rFonts w:cs="Times New Roman"/>
                      <w:szCs w:val="21"/>
                    </w:rPr>
                    <w:t>0.19</w:t>
                  </w:r>
                </w:p>
              </w:tc>
              <w:tc>
                <w:tcPr>
                  <w:tcW w:w="860" w:type="pct"/>
                </w:tcPr>
                <w:p>
                  <w:pPr>
                    <w:pStyle w:val="52"/>
                    <w:rPr>
                      <w:rFonts w:cs="Times New Roman"/>
                      <w:b w:val="0"/>
                      <w:szCs w:val="21"/>
                    </w:rPr>
                  </w:pPr>
                  <w:r>
                    <w:rPr>
                      <w:rFonts w:cs="Times New Roman"/>
                      <w:b w:val="0"/>
                      <w:szCs w:val="21"/>
                    </w:rPr>
                    <w:t>0.2</w:t>
                  </w:r>
                </w:p>
              </w:tc>
              <w:tc>
                <w:tcPr>
                  <w:tcW w:w="860" w:type="pct"/>
                </w:tcPr>
                <w:p>
                  <w:pPr>
                    <w:pStyle w:val="52"/>
                    <w:rPr>
                      <w:rFonts w:cs="Times New Roman"/>
                      <w:b w:val="0"/>
                      <w:szCs w:val="21"/>
                    </w:rPr>
                  </w:pPr>
                  <w:r>
                    <w:rPr>
                      <w:rFonts w:cs="Times New Roman"/>
                      <w:b w:val="0"/>
                      <w:szCs w:val="21"/>
                    </w:rPr>
                    <w:t>0.95</w:t>
                  </w:r>
                </w:p>
              </w:tc>
              <w:tc>
                <w:tcPr>
                  <w:tcW w:w="533" w:type="pct"/>
                  <w:vAlign w:val="center"/>
                </w:tcPr>
                <w:p>
                  <w:pPr>
                    <w:jc w:val="center"/>
                    <w:rPr>
                      <w:rFonts w:cs="Times New Roman"/>
                      <w:szCs w:val="21"/>
                    </w:rPr>
                  </w:pPr>
                  <w:r>
                    <w:rPr>
                      <w:rFonts w:cs="Times New Roman"/>
                      <w:szCs w:val="21"/>
                    </w:rPr>
                    <w:t>0</w:t>
                  </w:r>
                </w:p>
              </w:tc>
              <w:tc>
                <w:tcPr>
                  <w:tcW w:w="894" w:type="pct"/>
                  <w:vAlign w:val="center"/>
                </w:tcPr>
                <w:p>
                  <w:pPr>
                    <w:jc w:val="center"/>
                    <w:rPr>
                      <w:rFonts w:cs="Times New Roman"/>
                      <w:szCs w:val="21"/>
                    </w:rPr>
                  </w:pPr>
                  <w:r>
                    <w:rPr>
                      <w:rFonts w:cs="Times New Roman"/>
                      <w:szCs w:val="21"/>
                    </w:rPr>
                    <w:t>/</w:t>
                  </w:r>
                </w:p>
              </w:tc>
            </w:tr>
          </w:tbl>
          <w:p>
            <w:pPr>
              <w:spacing w:line="360" w:lineRule="auto"/>
              <w:ind w:firstLine="480" w:firstLineChars="200"/>
              <w:rPr>
                <w:rFonts w:cs="Times New Roman"/>
                <w:sz w:val="24"/>
                <w:szCs w:val="24"/>
              </w:rPr>
            </w:pPr>
            <w:r>
              <w:rPr>
                <w:rFonts w:cs="Times New Roman"/>
                <w:sz w:val="24"/>
                <w:szCs w:val="24"/>
              </w:rPr>
              <w:t>由上表可知，监测及评价结果分析表明：评价区域环境空气中的TVOC、甲醛、氨浓度值均满足</w:t>
            </w:r>
            <w:r>
              <w:rPr>
                <w:rFonts w:cs="Times New Roman"/>
                <w:sz w:val="24"/>
                <w:szCs w:val="32"/>
                <w:lang w:bidi="ar"/>
              </w:rPr>
              <w:t>《环境影响评价技术导则大气环境》（HJ2.2-2018）附录D中的浓度限值标准要求；</w:t>
            </w:r>
            <w:r>
              <w:rPr>
                <w:rFonts w:cs="Times New Roman"/>
                <w:sz w:val="24"/>
                <w:szCs w:val="24"/>
              </w:rPr>
              <w:t>颗粒物满足《环境空气质量标准》（GB3095-2012）二级标准限值，项目所在区域环境空气质量良好。</w:t>
            </w:r>
          </w:p>
          <w:p>
            <w:pPr>
              <w:spacing w:line="360" w:lineRule="auto"/>
              <w:ind w:firstLine="482" w:firstLineChars="200"/>
              <w:rPr>
                <w:rFonts w:cs="Times New Roman"/>
                <w:b/>
                <w:sz w:val="24"/>
                <w:szCs w:val="24"/>
              </w:rPr>
            </w:pPr>
            <w:r>
              <w:rPr>
                <w:rFonts w:cs="Times New Roman"/>
                <w:b/>
                <w:sz w:val="24"/>
                <w:szCs w:val="24"/>
              </w:rPr>
              <w:t>2、地表水环境质量现状</w:t>
            </w:r>
          </w:p>
          <w:p>
            <w:pPr>
              <w:spacing w:line="360" w:lineRule="auto"/>
              <w:ind w:firstLine="480" w:firstLineChars="200"/>
              <w:jc w:val="left"/>
              <w:rPr>
                <w:rFonts w:cs="Times New Roman"/>
                <w:sz w:val="24"/>
                <w:szCs w:val="24"/>
              </w:rPr>
            </w:pPr>
            <w:r>
              <w:rPr>
                <w:rFonts w:cs="Times New Roman"/>
                <w:sz w:val="24"/>
                <w:szCs w:val="24"/>
              </w:rPr>
              <w:t>本项目区域河流为州河水系。根据《建设项目环境影响报告表编制技术指南（污染影响类）（试行）》中“</w:t>
            </w:r>
            <w:r>
              <w:rPr>
                <w:rFonts w:cs="Times New Roman"/>
                <w:i/>
                <w:sz w:val="24"/>
                <w:szCs w:val="24"/>
              </w:rPr>
              <w:t>应优先采用国务院生态环境保护主管部门统一发布的水环境状况信息</w:t>
            </w:r>
            <w:r>
              <w:rPr>
                <w:rFonts w:cs="Times New Roman"/>
                <w:sz w:val="24"/>
                <w:szCs w:val="24"/>
              </w:rPr>
              <w:t>”的规定，根据达州市生态环境局2023年7月17日发布的2023年6月达州市地表水水质月报（https://sthjj.dazhou.gov.cn/news-show-16518.html）：</w:t>
            </w:r>
          </w:p>
          <w:p>
            <w:pPr>
              <w:spacing w:line="360" w:lineRule="auto"/>
              <w:ind w:firstLine="480" w:firstLineChars="200"/>
              <w:rPr>
                <w:rFonts w:cs="Times New Roman"/>
                <w:sz w:val="24"/>
                <w:szCs w:val="24"/>
              </w:rPr>
            </w:pPr>
            <w:r>
              <w:rPr>
                <w:rFonts w:cs="Times New Roman"/>
                <w:sz w:val="24"/>
                <w:szCs w:val="24"/>
              </w:rPr>
              <w:t>2023年6月全市35个河流断面中，优（Ⅰ~Ⅱ类）良（Ⅲ类）水质断面32个，占比91.4%；轻度污染（Ⅳ类）水质断面3个，占比 8.6%。</w:t>
            </w:r>
          </w:p>
          <w:p>
            <w:pPr>
              <w:spacing w:line="360" w:lineRule="auto"/>
              <w:ind w:firstLine="480" w:firstLineChars="200"/>
              <w:rPr>
                <w:rFonts w:cs="Times New Roman"/>
                <w:sz w:val="24"/>
                <w:szCs w:val="24"/>
              </w:rPr>
            </w:pPr>
            <w:r>
              <w:rPr>
                <w:rFonts w:cs="Times New Roman"/>
                <w:sz w:val="24"/>
                <w:szCs w:val="24"/>
              </w:rPr>
              <w:t>项目区域地表水有联系的监测断面水质评价结果情况见下表所示。</w:t>
            </w:r>
          </w:p>
          <w:p>
            <w:pPr>
              <w:spacing w:line="360" w:lineRule="auto"/>
              <w:jc w:val="center"/>
              <w:rPr>
                <w:rFonts w:cs="Times New Roman"/>
                <w:b/>
                <w:bCs/>
                <w:sz w:val="24"/>
                <w:szCs w:val="24"/>
              </w:rPr>
            </w:pPr>
            <w:r>
              <w:rPr>
                <w:rFonts w:cs="Times New Roman"/>
                <w:b/>
                <w:bCs/>
                <w:sz w:val="24"/>
                <w:szCs w:val="24"/>
              </w:rPr>
              <w:t>表3-4  2023年6月达州市河流水质评价结果表</w:t>
            </w:r>
          </w:p>
          <w:tbl>
            <w:tblPr>
              <w:tblStyle w:val="26"/>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637"/>
              <w:gridCol w:w="673"/>
              <w:gridCol w:w="745"/>
              <w:gridCol w:w="1210"/>
              <w:gridCol w:w="2080"/>
              <w:gridCol w:w="1069"/>
              <w:gridCol w:w="1069"/>
              <w:gridCol w:w="107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pPr>
                    <w:pStyle w:val="75"/>
                    <w:rPr>
                      <w:rFonts w:cs="Times New Roman"/>
                      <w:b/>
                      <w:color w:val="auto"/>
                    </w:rPr>
                  </w:pPr>
                  <w:r>
                    <w:rPr>
                      <w:rFonts w:cs="Times New Roman"/>
                      <w:b/>
                      <w:color w:val="auto"/>
                    </w:rPr>
                    <w:t>序号</w:t>
                  </w:r>
                </w:p>
              </w:tc>
              <w:tc>
                <w:tcPr>
                  <w:tcW w:w="828" w:type="pct"/>
                  <w:gridSpan w:val="2"/>
                  <w:tcBorders>
                    <w:tl2br w:val="nil"/>
                    <w:tr2bl w:val="nil"/>
                  </w:tcBorders>
                  <w:vAlign w:val="center"/>
                </w:tcPr>
                <w:p>
                  <w:pPr>
                    <w:pStyle w:val="75"/>
                    <w:rPr>
                      <w:rFonts w:cs="Times New Roman"/>
                      <w:b/>
                      <w:color w:val="auto"/>
                    </w:rPr>
                  </w:pPr>
                  <w:r>
                    <w:rPr>
                      <w:rFonts w:cs="Times New Roman"/>
                      <w:b/>
                      <w:color w:val="auto"/>
                    </w:rPr>
                    <w:t>河流</w:t>
                  </w:r>
                </w:p>
              </w:tc>
              <w:tc>
                <w:tcPr>
                  <w:tcW w:w="706" w:type="pct"/>
                  <w:tcBorders>
                    <w:tl2br w:val="nil"/>
                    <w:tr2bl w:val="nil"/>
                  </w:tcBorders>
                  <w:vAlign w:val="center"/>
                </w:tcPr>
                <w:p>
                  <w:pPr>
                    <w:pStyle w:val="75"/>
                    <w:rPr>
                      <w:rFonts w:cs="Times New Roman"/>
                      <w:b/>
                      <w:color w:val="auto"/>
                    </w:rPr>
                  </w:pPr>
                  <w:r>
                    <w:rPr>
                      <w:rFonts w:cs="Times New Roman"/>
                      <w:b/>
                      <w:color w:val="auto"/>
                    </w:rPr>
                    <w:t>断面名称</w:t>
                  </w:r>
                </w:p>
              </w:tc>
              <w:tc>
                <w:tcPr>
                  <w:tcW w:w="1214" w:type="pct"/>
                  <w:tcBorders>
                    <w:tl2br w:val="nil"/>
                    <w:tr2bl w:val="nil"/>
                  </w:tcBorders>
                  <w:vAlign w:val="center"/>
                </w:tcPr>
                <w:p>
                  <w:pPr>
                    <w:pStyle w:val="75"/>
                    <w:rPr>
                      <w:rFonts w:cs="Times New Roman"/>
                      <w:b/>
                      <w:color w:val="auto"/>
                    </w:rPr>
                  </w:pPr>
                  <w:r>
                    <w:rPr>
                      <w:rFonts w:cs="Times New Roman"/>
                      <w:b/>
                      <w:color w:val="auto"/>
                    </w:rPr>
                    <w:t>断面属性</w:t>
                  </w:r>
                </w:p>
              </w:tc>
              <w:tc>
                <w:tcPr>
                  <w:tcW w:w="624" w:type="pct"/>
                  <w:tcBorders>
                    <w:tl2br w:val="nil"/>
                    <w:tr2bl w:val="nil"/>
                  </w:tcBorders>
                  <w:vAlign w:val="center"/>
                </w:tcPr>
                <w:p>
                  <w:pPr>
                    <w:pStyle w:val="75"/>
                    <w:rPr>
                      <w:rFonts w:cs="Times New Roman"/>
                      <w:b/>
                      <w:color w:val="auto"/>
                    </w:rPr>
                  </w:pPr>
                  <w:r>
                    <w:rPr>
                      <w:rFonts w:cs="Times New Roman"/>
                      <w:b/>
                      <w:color w:val="auto"/>
                    </w:rPr>
                    <w:t>上年同期</w:t>
                  </w:r>
                </w:p>
              </w:tc>
              <w:tc>
                <w:tcPr>
                  <w:tcW w:w="624" w:type="pct"/>
                  <w:tcBorders>
                    <w:tl2br w:val="nil"/>
                    <w:tr2bl w:val="nil"/>
                  </w:tcBorders>
                  <w:vAlign w:val="center"/>
                </w:tcPr>
                <w:p>
                  <w:pPr>
                    <w:pStyle w:val="75"/>
                    <w:rPr>
                      <w:rFonts w:cs="Times New Roman"/>
                      <w:b/>
                      <w:color w:val="auto"/>
                    </w:rPr>
                  </w:pPr>
                  <w:r>
                    <w:rPr>
                      <w:rFonts w:cs="Times New Roman"/>
                      <w:b/>
                      <w:color w:val="auto"/>
                    </w:rPr>
                    <w:t>上月类别</w:t>
                  </w:r>
                </w:p>
              </w:tc>
              <w:tc>
                <w:tcPr>
                  <w:tcW w:w="628" w:type="pct"/>
                  <w:tcBorders>
                    <w:tl2br w:val="nil"/>
                    <w:tr2bl w:val="nil"/>
                  </w:tcBorders>
                  <w:vAlign w:val="center"/>
                </w:tcPr>
                <w:p>
                  <w:pPr>
                    <w:pStyle w:val="75"/>
                    <w:rPr>
                      <w:rFonts w:cs="Times New Roman"/>
                      <w:b/>
                      <w:color w:val="auto"/>
                    </w:rPr>
                  </w:pPr>
                  <w:r>
                    <w:rPr>
                      <w:rFonts w:cs="Times New Roman"/>
                      <w:b/>
                      <w:color w:val="auto"/>
                    </w:rPr>
                    <w:t>本月类别</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pPr>
                    <w:pStyle w:val="75"/>
                    <w:rPr>
                      <w:rFonts w:cs="Times New Roman"/>
                      <w:bCs/>
                      <w:color w:val="auto"/>
                    </w:rPr>
                  </w:pPr>
                  <w:r>
                    <w:rPr>
                      <w:rFonts w:cs="Times New Roman"/>
                      <w:bCs/>
                      <w:color w:val="auto"/>
                    </w:rPr>
                    <w:t>1</w:t>
                  </w:r>
                </w:p>
              </w:tc>
              <w:tc>
                <w:tcPr>
                  <w:tcW w:w="393" w:type="pct"/>
                  <w:tcBorders>
                    <w:tl2br w:val="nil"/>
                    <w:tr2bl w:val="nil"/>
                  </w:tcBorders>
                  <w:vAlign w:val="center"/>
                </w:tcPr>
                <w:p>
                  <w:pPr>
                    <w:pStyle w:val="75"/>
                    <w:rPr>
                      <w:rFonts w:cs="Times New Roman"/>
                      <w:bCs/>
                      <w:color w:val="auto"/>
                    </w:rPr>
                  </w:pPr>
                  <w:r>
                    <w:rPr>
                      <w:rFonts w:cs="Times New Roman"/>
                      <w:bCs/>
                      <w:color w:val="auto"/>
                    </w:rPr>
                    <w:t>州河水系</w:t>
                  </w:r>
                </w:p>
              </w:tc>
              <w:tc>
                <w:tcPr>
                  <w:tcW w:w="435" w:type="pct"/>
                  <w:tcBorders>
                    <w:tl2br w:val="nil"/>
                    <w:tr2bl w:val="nil"/>
                  </w:tcBorders>
                  <w:vAlign w:val="center"/>
                </w:tcPr>
                <w:p>
                  <w:pPr>
                    <w:pStyle w:val="75"/>
                    <w:rPr>
                      <w:rFonts w:cs="Times New Roman"/>
                      <w:bCs/>
                      <w:color w:val="auto"/>
                    </w:rPr>
                  </w:pPr>
                  <w:r>
                    <w:rPr>
                      <w:rFonts w:cs="Times New Roman"/>
                      <w:bCs/>
                      <w:color w:val="auto"/>
                    </w:rPr>
                    <w:t>后河</w:t>
                  </w:r>
                </w:p>
              </w:tc>
              <w:tc>
                <w:tcPr>
                  <w:tcW w:w="706" w:type="pct"/>
                  <w:tcBorders>
                    <w:tl2br w:val="nil"/>
                    <w:tr2bl w:val="nil"/>
                  </w:tcBorders>
                  <w:vAlign w:val="center"/>
                </w:tcPr>
                <w:p>
                  <w:pPr>
                    <w:pStyle w:val="75"/>
                    <w:rPr>
                      <w:rFonts w:cs="Times New Roman"/>
                      <w:bCs/>
                      <w:color w:val="auto"/>
                    </w:rPr>
                  </w:pPr>
                  <w:r>
                    <w:rPr>
                      <w:rFonts w:cs="Times New Roman"/>
                      <w:bCs/>
                      <w:color w:val="auto"/>
                    </w:rPr>
                    <w:t>漩坑坝</w:t>
                  </w:r>
                </w:p>
              </w:tc>
              <w:tc>
                <w:tcPr>
                  <w:tcW w:w="1214" w:type="pct"/>
                  <w:tcBorders>
                    <w:tl2br w:val="nil"/>
                    <w:tr2bl w:val="nil"/>
                  </w:tcBorders>
                  <w:vAlign w:val="center"/>
                </w:tcPr>
                <w:p>
                  <w:pPr>
                    <w:pStyle w:val="75"/>
                    <w:rPr>
                      <w:rFonts w:cs="Times New Roman"/>
                      <w:bCs/>
                      <w:color w:val="auto"/>
                    </w:rPr>
                  </w:pPr>
                  <w:r>
                    <w:rPr>
                      <w:rFonts w:cs="Times New Roman"/>
                      <w:bCs/>
                      <w:color w:val="auto"/>
                    </w:rPr>
                    <w:t>国考</w:t>
                  </w:r>
                </w:p>
              </w:tc>
              <w:tc>
                <w:tcPr>
                  <w:tcW w:w="624" w:type="pct"/>
                  <w:tcBorders>
                    <w:tl2br w:val="nil"/>
                    <w:tr2bl w:val="nil"/>
                  </w:tcBorders>
                  <w:vAlign w:val="center"/>
                </w:tcPr>
                <w:p>
                  <w:pPr>
                    <w:pStyle w:val="75"/>
                    <w:rPr>
                      <w:rFonts w:cs="Times New Roman"/>
                      <w:bCs/>
                      <w:color w:val="auto"/>
                    </w:rPr>
                  </w:pPr>
                  <w:r>
                    <w:rPr>
                      <w:rFonts w:cs="Times New Roman"/>
                      <w:bCs/>
                      <w:color w:val="auto"/>
                    </w:rPr>
                    <w:t>Ⅱ</w:t>
                  </w:r>
                </w:p>
              </w:tc>
              <w:tc>
                <w:tcPr>
                  <w:tcW w:w="624" w:type="pct"/>
                  <w:tcBorders>
                    <w:tl2br w:val="nil"/>
                    <w:tr2bl w:val="nil"/>
                  </w:tcBorders>
                  <w:vAlign w:val="center"/>
                </w:tcPr>
                <w:p>
                  <w:pPr>
                    <w:jc w:val="center"/>
                    <w:rPr>
                      <w:rFonts w:cs="Times New Roman"/>
                      <w:bCs/>
                      <w:szCs w:val="21"/>
                    </w:rPr>
                  </w:pPr>
                  <w:r>
                    <w:rPr>
                      <w:rFonts w:cs="Times New Roman"/>
                      <w:bCs/>
                      <w:szCs w:val="21"/>
                    </w:rPr>
                    <w:t>Ⅱ</w:t>
                  </w:r>
                </w:p>
              </w:tc>
              <w:tc>
                <w:tcPr>
                  <w:tcW w:w="628" w:type="pct"/>
                  <w:tcBorders>
                    <w:tl2br w:val="nil"/>
                    <w:tr2bl w:val="nil"/>
                  </w:tcBorders>
                  <w:vAlign w:val="center"/>
                </w:tcPr>
                <w:p>
                  <w:pPr>
                    <w:jc w:val="center"/>
                    <w:rPr>
                      <w:rFonts w:cs="Times New Roman"/>
                      <w:bCs/>
                      <w:szCs w:val="21"/>
                    </w:rPr>
                  </w:pPr>
                  <w:r>
                    <w:rPr>
                      <w:rFonts w:cs="Times New Roman"/>
                      <w:bCs/>
                      <w:szCs w:val="21"/>
                    </w:rPr>
                    <w:t>Ⅱ</w:t>
                  </w:r>
                </w:p>
              </w:tc>
            </w:tr>
          </w:tbl>
          <w:p>
            <w:pPr>
              <w:spacing w:line="360" w:lineRule="auto"/>
              <w:ind w:firstLine="480" w:firstLineChars="200"/>
              <w:rPr>
                <w:rFonts w:cs="Times New Roman"/>
                <w:sz w:val="24"/>
                <w:szCs w:val="24"/>
              </w:rPr>
            </w:pPr>
            <w:r>
              <w:rPr>
                <w:rFonts w:cs="Times New Roman"/>
                <w:sz w:val="24"/>
                <w:szCs w:val="24"/>
              </w:rPr>
              <w:t>本项目位于四川达州普光经济开发区柳池工业园区，参考断面为“漩坑坝断面”，由上表可知，该断面水质可达到《地表水环境质量标准》（GB3838—2002）中的Ⅱ类水域标准。</w:t>
            </w:r>
          </w:p>
          <w:p>
            <w:pPr>
              <w:spacing w:line="360" w:lineRule="auto"/>
              <w:ind w:firstLine="482" w:firstLineChars="200"/>
              <w:rPr>
                <w:rFonts w:cs="Times New Roman"/>
                <w:b/>
                <w:sz w:val="24"/>
                <w:szCs w:val="24"/>
              </w:rPr>
            </w:pPr>
            <w:r>
              <w:rPr>
                <w:rFonts w:cs="Times New Roman"/>
                <w:b/>
                <w:sz w:val="24"/>
                <w:szCs w:val="24"/>
              </w:rPr>
              <w:t>3、声环境质量现状</w:t>
            </w:r>
          </w:p>
          <w:p>
            <w:pPr>
              <w:spacing w:line="360" w:lineRule="auto"/>
              <w:ind w:firstLine="480" w:firstLineChars="200"/>
              <w:rPr>
                <w:rFonts w:cs="Times New Roman"/>
                <w:sz w:val="24"/>
                <w:szCs w:val="24"/>
              </w:rPr>
            </w:pPr>
            <w:r>
              <w:rPr>
                <w:rFonts w:cs="Times New Roman"/>
                <w:sz w:val="24"/>
                <w:szCs w:val="24"/>
              </w:rPr>
              <w:t>为了解区域声环境质量现状，本次环评区域噪声委托达州恒福环境监测服务有限公司于2023年6月2日对区域声质量现状进行监测。</w:t>
            </w:r>
          </w:p>
          <w:p>
            <w:pPr>
              <w:spacing w:line="360" w:lineRule="auto"/>
              <w:ind w:firstLine="482" w:firstLineChars="200"/>
              <w:rPr>
                <w:rFonts w:cs="Times New Roman"/>
                <w:b/>
                <w:sz w:val="24"/>
                <w:szCs w:val="24"/>
              </w:rPr>
            </w:pPr>
            <w:r>
              <w:rPr>
                <w:rFonts w:cs="Times New Roman"/>
                <w:b/>
                <w:sz w:val="24"/>
                <w:szCs w:val="24"/>
              </w:rPr>
              <w:t>①监测点位</w:t>
            </w:r>
          </w:p>
          <w:p>
            <w:pPr>
              <w:spacing w:line="360" w:lineRule="auto"/>
              <w:ind w:firstLine="480" w:firstLineChars="200"/>
              <w:rPr>
                <w:rFonts w:cs="Times New Roman"/>
                <w:sz w:val="24"/>
                <w:szCs w:val="24"/>
              </w:rPr>
            </w:pPr>
            <w:r>
              <w:rPr>
                <w:rFonts w:cs="Times New Roman"/>
                <w:sz w:val="24"/>
                <w:szCs w:val="24"/>
              </w:rPr>
              <w:t>本次环评共设噪声监测点4个，监测点位置见表3-5。</w:t>
            </w:r>
          </w:p>
          <w:p>
            <w:pPr>
              <w:spacing w:line="360" w:lineRule="auto"/>
              <w:jc w:val="center"/>
              <w:rPr>
                <w:rFonts w:cs="Times New Roman"/>
                <w:b/>
                <w:bCs/>
                <w:sz w:val="24"/>
                <w:szCs w:val="24"/>
              </w:rPr>
            </w:pPr>
            <w:r>
              <w:rPr>
                <w:rFonts w:cs="Times New Roman"/>
                <w:b/>
                <w:bCs/>
                <w:sz w:val="24"/>
                <w:szCs w:val="24"/>
              </w:rPr>
              <w:t>表3-5  噪声监测点位表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1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jc w:val="center"/>
                    <w:rPr>
                      <w:rFonts w:cs="Times New Roman"/>
                      <w:b/>
                      <w:bCs/>
                      <w:szCs w:val="21"/>
                    </w:rPr>
                  </w:pPr>
                  <w:r>
                    <w:rPr>
                      <w:rFonts w:cs="Times New Roman"/>
                      <w:b/>
                      <w:bCs/>
                      <w:szCs w:val="21"/>
                    </w:rPr>
                    <w:t>编号</w:t>
                  </w:r>
                </w:p>
              </w:tc>
              <w:tc>
                <w:tcPr>
                  <w:tcW w:w="3591" w:type="pct"/>
                  <w:tcBorders>
                    <w:tl2br w:val="nil"/>
                    <w:tr2bl w:val="nil"/>
                  </w:tcBorders>
                  <w:vAlign w:val="center"/>
                </w:tcPr>
                <w:p>
                  <w:pPr>
                    <w:jc w:val="center"/>
                    <w:rPr>
                      <w:rFonts w:cs="Times New Roman"/>
                      <w:b/>
                      <w:bCs/>
                      <w:szCs w:val="21"/>
                    </w:rPr>
                  </w:pPr>
                  <w:r>
                    <w:rPr>
                      <w:rFonts w:cs="Times New Roman"/>
                      <w:b/>
                      <w:bCs/>
                      <w:szCs w:val="21"/>
                    </w:rPr>
                    <w:t>监测点名称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jc w:val="center"/>
                    <w:rPr>
                      <w:rFonts w:cs="Times New Roman"/>
                      <w:szCs w:val="21"/>
                    </w:rPr>
                  </w:pPr>
                  <w:r>
                    <w:rPr>
                      <w:rFonts w:cs="Times New Roman"/>
                      <w:szCs w:val="21"/>
                    </w:rPr>
                    <w:t>1#</w:t>
                  </w:r>
                </w:p>
              </w:tc>
              <w:tc>
                <w:tcPr>
                  <w:tcW w:w="3591" w:type="pct"/>
                  <w:tcBorders>
                    <w:tl2br w:val="nil"/>
                    <w:tr2bl w:val="nil"/>
                  </w:tcBorders>
                  <w:vAlign w:val="center"/>
                </w:tcPr>
                <w:p>
                  <w:pPr>
                    <w:jc w:val="center"/>
                    <w:rPr>
                      <w:rFonts w:cs="Times New Roman"/>
                      <w:szCs w:val="21"/>
                    </w:rPr>
                  </w:pPr>
                  <w:r>
                    <w:rPr>
                      <w:rFonts w:cs="Times New Roman"/>
                      <w:szCs w:val="21"/>
                    </w:rPr>
                    <w:t>本项目北厂界外1m处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jc w:val="center"/>
                    <w:rPr>
                      <w:rFonts w:cs="Times New Roman"/>
                      <w:szCs w:val="21"/>
                    </w:rPr>
                  </w:pPr>
                  <w:r>
                    <w:rPr>
                      <w:rFonts w:cs="Times New Roman"/>
                      <w:szCs w:val="21"/>
                    </w:rPr>
                    <w:t>2#</w:t>
                  </w:r>
                </w:p>
              </w:tc>
              <w:tc>
                <w:tcPr>
                  <w:tcW w:w="3591" w:type="pct"/>
                  <w:tcBorders>
                    <w:tl2br w:val="nil"/>
                    <w:tr2bl w:val="nil"/>
                  </w:tcBorders>
                  <w:vAlign w:val="center"/>
                </w:tcPr>
                <w:p>
                  <w:pPr>
                    <w:jc w:val="center"/>
                    <w:rPr>
                      <w:rFonts w:cs="Times New Roman"/>
                      <w:szCs w:val="21"/>
                    </w:rPr>
                  </w:pPr>
                  <w:r>
                    <w:rPr>
                      <w:rFonts w:cs="Times New Roman"/>
                      <w:szCs w:val="21"/>
                    </w:rPr>
                    <w:t>本项目东厂界外1m处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jc w:val="center"/>
                    <w:rPr>
                      <w:rFonts w:cs="Times New Roman"/>
                      <w:szCs w:val="21"/>
                    </w:rPr>
                  </w:pPr>
                  <w:r>
                    <w:rPr>
                      <w:rFonts w:cs="Times New Roman"/>
                      <w:szCs w:val="21"/>
                    </w:rPr>
                    <w:t>3#</w:t>
                  </w:r>
                </w:p>
              </w:tc>
              <w:tc>
                <w:tcPr>
                  <w:tcW w:w="3591" w:type="pct"/>
                  <w:tcBorders>
                    <w:tl2br w:val="nil"/>
                    <w:tr2bl w:val="nil"/>
                  </w:tcBorders>
                  <w:vAlign w:val="center"/>
                </w:tcPr>
                <w:p>
                  <w:pPr>
                    <w:jc w:val="center"/>
                    <w:rPr>
                      <w:rFonts w:cs="Times New Roman"/>
                      <w:szCs w:val="21"/>
                    </w:rPr>
                  </w:pPr>
                  <w:r>
                    <w:rPr>
                      <w:rFonts w:cs="Times New Roman"/>
                      <w:szCs w:val="21"/>
                    </w:rPr>
                    <w:t>本项目南厂界外1m处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08" w:type="pct"/>
                  <w:tcBorders>
                    <w:tl2br w:val="nil"/>
                    <w:tr2bl w:val="nil"/>
                  </w:tcBorders>
                  <w:vAlign w:val="center"/>
                </w:tcPr>
                <w:p>
                  <w:pPr>
                    <w:jc w:val="center"/>
                    <w:rPr>
                      <w:rFonts w:cs="Times New Roman"/>
                      <w:szCs w:val="21"/>
                    </w:rPr>
                  </w:pPr>
                  <w:r>
                    <w:rPr>
                      <w:rFonts w:cs="Times New Roman"/>
                      <w:szCs w:val="21"/>
                    </w:rPr>
                    <w:t>4#</w:t>
                  </w:r>
                </w:p>
              </w:tc>
              <w:tc>
                <w:tcPr>
                  <w:tcW w:w="3591" w:type="pct"/>
                  <w:tcBorders>
                    <w:tl2br w:val="nil"/>
                    <w:tr2bl w:val="nil"/>
                  </w:tcBorders>
                  <w:vAlign w:val="center"/>
                </w:tcPr>
                <w:p>
                  <w:pPr>
                    <w:jc w:val="center"/>
                    <w:rPr>
                      <w:rFonts w:cs="Times New Roman"/>
                      <w:szCs w:val="21"/>
                    </w:rPr>
                  </w:pPr>
                  <w:r>
                    <w:rPr>
                      <w:rFonts w:cs="Times New Roman"/>
                      <w:szCs w:val="21"/>
                    </w:rPr>
                    <w:t>本项目西厂界外1m处</w:t>
                  </w:r>
                </w:p>
              </w:tc>
            </w:tr>
          </w:tbl>
          <w:p>
            <w:pPr>
              <w:spacing w:line="360" w:lineRule="auto"/>
              <w:ind w:firstLine="482" w:firstLineChars="200"/>
              <w:rPr>
                <w:rFonts w:cs="Times New Roman"/>
                <w:b/>
                <w:sz w:val="24"/>
                <w:szCs w:val="24"/>
              </w:rPr>
            </w:pPr>
            <w:r>
              <w:rPr>
                <w:rFonts w:cs="Times New Roman"/>
                <w:b/>
                <w:sz w:val="24"/>
                <w:szCs w:val="24"/>
              </w:rPr>
              <w:t>②监测时间</w:t>
            </w:r>
          </w:p>
          <w:p>
            <w:pPr>
              <w:spacing w:line="360" w:lineRule="auto"/>
              <w:ind w:firstLine="480" w:firstLineChars="200"/>
              <w:rPr>
                <w:rFonts w:cs="Times New Roman"/>
                <w:sz w:val="24"/>
                <w:szCs w:val="24"/>
              </w:rPr>
            </w:pPr>
            <w:r>
              <w:rPr>
                <w:rFonts w:cs="Times New Roman"/>
                <w:sz w:val="24"/>
                <w:szCs w:val="24"/>
              </w:rPr>
              <w:t>2023年8月5日~6日，共监测2天，昼夜各监测1次。</w:t>
            </w:r>
          </w:p>
          <w:p>
            <w:pPr>
              <w:spacing w:line="360" w:lineRule="auto"/>
              <w:ind w:firstLine="482" w:firstLineChars="200"/>
              <w:rPr>
                <w:rFonts w:cs="Times New Roman"/>
                <w:b/>
                <w:sz w:val="24"/>
                <w:szCs w:val="24"/>
              </w:rPr>
            </w:pPr>
            <w:r>
              <w:rPr>
                <w:rFonts w:cs="Times New Roman"/>
                <w:b/>
                <w:sz w:val="24"/>
                <w:szCs w:val="24"/>
              </w:rPr>
              <w:t>③评价标准</w:t>
            </w:r>
          </w:p>
          <w:p>
            <w:pPr>
              <w:spacing w:line="360" w:lineRule="auto"/>
              <w:ind w:firstLine="480" w:firstLineChars="200"/>
              <w:rPr>
                <w:rFonts w:cs="Times New Roman"/>
                <w:sz w:val="24"/>
                <w:szCs w:val="24"/>
              </w:rPr>
            </w:pPr>
            <w:r>
              <w:rPr>
                <w:rFonts w:cs="Times New Roman"/>
                <w:sz w:val="24"/>
                <w:szCs w:val="24"/>
                <w:lang w:val="zh-CN"/>
              </w:rPr>
              <w:t>执行《声环境质量标准》（GB3096-2008）</w:t>
            </w:r>
            <w:r>
              <w:rPr>
                <w:rFonts w:cs="Times New Roman"/>
                <w:sz w:val="24"/>
                <w:szCs w:val="24"/>
              </w:rPr>
              <w:t>2</w:t>
            </w:r>
            <w:r>
              <w:rPr>
                <w:rFonts w:cs="Times New Roman"/>
                <w:sz w:val="24"/>
                <w:szCs w:val="24"/>
                <w:lang w:val="zh-CN"/>
              </w:rPr>
              <w:t>类标准</w:t>
            </w:r>
            <w:r>
              <w:rPr>
                <w:rFonts w:cs="Times New Roman"/>
                <w:sz w:val="24"/>
                <w:szCs w:val="24"/>
              </w:rPr>
              <w:t>。</w:t>
            </w:r>
          </w:p>
          <w:p>
            <w:pPr>
              <w:spacing w:line="360" w:lineRule="auto"/>
              <w:ind w:firstLine="482" w:firstLineChars="200"/>
              <w:rPr>
                <w:rFonts w:cs="Times New Roman"/>
                <w:b/>
                <w:sz w:val="24"/>
                <w:szCs w:val="24"/>
              </w:rPr>
            </w:pPr>
            <w:r>
              <w:rPr>
                <w:rFonts w:cs="Times New Roman"/>
                <w:b/>
                <w:sz w:val="24"/>
                <w:szCs w:val="24"/>
              </w:rPr>
              <w:t>④评价结果</w:t>
            </w:r>
          </w:p>
          <w:p>
            <w:pPr>
              <w:spacing w:line="360" w:lineRule="auto"/>
              <w:ind w:firstLine="480" w:firstLineChars="200"/>
              <w:rPr>
                <w:rFonts w:cs="Times New Roman"/>
                <w:sz w:val="24"/>
                <w:szCs w:val="24"/>
              </w:rPr>
            </w:pPr>
            <w:r>
              <w:rPr>
                <w:rFonts w:cs="Times New Roman"/>
                <w:sz w:val="24"/>
                <w:szCs w:val="24"/>
              </w:rPr>
              <w:t>区域声环境质量现状监测结果见表3-6。</w:t>
            </w:r>
          </w:p>
          <w:p>
            <w:pPr>
              <w:spacing w:line="360" w:lineRule="auto"/>
              <w:jc w:val="center"/>
              <w:rPr>
                <w:rFonts w:cs="Times New Roman"/>
                <w:b/>
                <w:bCs/>
                <w:sz w:val="24"/>
                <w:szCs w:val="24"/>
              </w:rPr>
            </w:pPr>
            <w:r>
              <w:rPr>
                <w:rFonts w:cs="Times New Roman"/>
                <w:b/>
                <w:bCs/>
                <w:sz w:val="24"/>
                <w:szCs w:val="24"/>
              </w:rPr>
              <w:t>表3-6  声环境质量现状评价结果</w:t>
            </w:r>
          </w:p>
          <w:tbl>
            <w:tblPr>
              <w:tblStyle w:val="26"/>
              <w:tblW w:w="85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161"/>
              <w:gridCol w:w="2452"/>
              <w:gridCol w:w="1252"/>
              <w:gridCol w:w="930"/>
              <w:gridCol w:w="1240"/>
              <w:gridCol w:w="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96" w:type="dxa"/>
                  <w:vMerge w:val="restart"/>
                  <w:tcBorders>
                    <w:tl2br w:val="nil"/>
                    <w:tr2bl w:val="nil"/>
                  </w:tcBorders>
                  <w:vAlign w:val="center"/>
                </w:tcPr>
                <w:p>
                  <w:pPr>
                    <w:pStyle w:val="77"/>
                    <w:snapToGrid w:val="0"/>
                    <w:spacing w:before="0" w:after="0"/>
                    <w:ind w:left="-105" w:leftChars="-50" w:right="-105" w:rightChars="-50"/>
                    <w:rPr>
                      <w:rFonts w:cs="Times New Roman"/>
                      <w:b/>
                      <w:sz w:val="21"/>
                      <w:szCs w:val="21"/>
                    </w:rPr>
                  </w:pPr>
                  <w:r>
                    <w:rPr>
                      <w:rFonts w:cs="Times New Roman"/>
                      <w:b/>
                      <w:sz w:val="21"/>
                      <w:szCs w:val="21"/>
                    </w:rPr>
                    <w:t>检测因子</w:t>
                  </w:r>
                </w:p>
              </w:tc>
              <w:tc>
                <w:tcPr>
                  <w:tcW w:w="760" w:type="dxa"/>
                  <w:vMerge w:val="restart"/>
                  <w:tcBorders>
                    <w:tl2br w:val="nil"/>
                    <w:tr2bl w:val="nil"/>
                  </w:tcBorders>
                  <w:vAlign w:val="center"/>
                </w:tcPr>
                <w:p>
                  <w:pPr>
                    <w:pStyle w:val="77"/>
                    <w:snapToGrid w:val="0"/>
                    <w:spacing w:before="0" w:after="0"/>
                    <w:rPr>
                      <w:rFonts w:cs="Times New Roman"/>
                      <w:b/>
                      <w:sz w:val="21"/>
                      <w:szCs w:val="21"/>
                    </w:rPr>
                  </w:pPr>
                  <w:r>
                    <w:rPr>
                      <w:rFonts w:cs="Times New Roman"/>
                      <w:b/>
                      <w:sz w:val="21"/>
                      <w:szCs w:val="21"/>
                    </w:rPr>
                    <w:t>检测日期</w:t>
                  </w:r>
                </w:p>
              </w:tc>
              <w:tc>
                <w:tcPr>
                  <w:tcW w:w="2642" w:type="dxa"/>
                  <w:vMerge w:val="restart"/>
                  <w:tcBorders>
                    <w:tl2br w:val="nil"/>
                    <w:tr2bl w:val="nil"/>
                  </w:tcBorders>
                  <w:vAlign w:val="center"/>
                </w:tcPr>
                <w:p>
                  <w:pPr>
                    <w:spacing w:line="300" w:lineRule="exact"/>
                    <w:jc w:val="center"/>
                    <w:rPr>
                      <w:rFonts w:cs="Times New Roman"/>
                      <w:b/>
                      <w:bCs/>
                      <w:szCs w:val="21"/>
                    </w:rPr>
                  </w:pPr>
                  <w:r>
                    <w:rPr>
                      <w:rFonts w:cs="Times New Roman"/>
                      <w:b/>
                      <w:szCs w:val="21"/>
                    </w:rPr>
                    <w:t>检测点编号及位置</w:t>
                  </w:r>
                </w:p>
              </w:tc>
              <w:tc>
                <w:tcPr>
                  <w:tcW w:w="2282" w:type="dxa"/>
                  <w:gridSpan w:val="2"/>
                  <w:tcBorders>
                    <w:tl2br w:val="nil"/>
                    <w:tr2bl w:val="nil"/>
                  </w:tcBorders>
                  <w:vAlign w:val="center"/>
                </w:tcPr>
                <w:p>
                  <w:pPr>
                    <w:jc w:val="center"/>
                    <w:rPr>
                      <w:rFonts w:cs="Times New Roman"/>
                      <w:b/>
                      <w:bCs/>
                      <w:szCs w:val="21"/>
                    </w:rPr>
                  </w:pPr>
                  <w:r>
                    <w:rPr>
                      <w:rFonts w:cs="Times New Roman"/>
                      <w:b/>
                      <w:szCs w:val="21"/>
                    </w:rPr>
                    <w:t>昼间</w:t>
                  </w:r>
                </w:p>
              </w:tc>
              <w:tc>
                <w:tcPr>
                  <w:tcW w:w="2282" w:type="dxa"/>
                  <w:gridSpan w:val="2"/>
                  <w:tcBorders>
                    <w:tl2br w:val="nil"/>
                    <w:tr2bl w:val="nil"/>
                  </w:tcBorders>
                  <w:vAlign w:val="center"/>
                </w:tcPr>
                <w:p>
                  <w:pPr>
                    <w:jc w:val="center"/>
                    <w:rPr>
                      <w:rFonts w:cs="Times New Roman"/>
                      <w:b/>
                      <w:bCs/>
                      <w:szCs w:val="21"/>
                    </w:rPr>
                  </w:pPr>
                  <w:r>
                    <w:rPr>
                      <w:rFonts w:cs="Times New Roman"/>
                      <w:b/>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96" w:type="dxa"/>
                  <w:vMerge w:val="continue"/>
                  <w:tcBorders>
                    <w:tl2br w:val="nil"/>
                    <w:tr2bl w:val="nil"/>
                  </w:tcBorders>
                  <w:vAlign w:val="center"/>
                </w:tcPr>
                <w:p>
                  <w:pPr>
                    <w:jc w:val="center"/>
                    <w:rPr>
                      <w:rFonts w:cs="Times New Roman"/>
                      <w:b/>
                      <w:szCs w:val="21"/>
                    </w:rPr>
                  </w:pPr>
                </w:p>
              </w:tc>
              <w:tc>
                <w:tcPr>
                  <w:tcW w:w="760" w:type="dxa"/>
                  <w:vMerge w:val="continue"/>
                  <w:tcBorders>
                    <w:tl2br w:val="nil"/>
                    <w:tr2bl w:val="nil"/>
                  </w:tcBorders>
                  <w:vAlign w:val="center"/>
                </w:tcPr>
                <w:p>
                  <w:pPr>
                    <w:jc w:val="center"/>
                    <w:rPr>
                      <w:rFonts w:cs="Times New Roman"/>
                      <w:b/>
                      <w:szCs w:val="21"/>
                    </w:rPr>
                  </w:pPr>
                </w:p>
              </w:tc>
              <w:tc>
                <w:tcPr>
                  <w:tcW w:w="2642" w:type="dxa"/>
                  <w:vMerge w:val="continue"/>
                  <w:tcBorders>
                    <w:tl2br w:val="nil"/>
                    <w:tr2bl w:val="nil"/>
                  </w:tcBorders>
                  <w:vAlign w:val="center"/>
                </w:tcPr>
                <w:p>
                  <w:pPr>
                    <w:jc w:val="center"/>
                    <w:rPr>
                      <w:rFonts w:cs="Times New Roman"/>
                      <w:b/>
                      <w:szCs w:val="21"/>
                    </w:rPr>
                  </w:pPr>
                </w:p>
              </w:tc>
              <w:tc>
                <w:tcPr>
                  <w:tcW w:w="1276" w:type="dxa"/>
                  <w:tcBorders>
                    <w:tl2br w:val="nil"/>
                    <w:tr2bl w:val="nil"/>
                  </w:tcBorders>
                  <w:vAlign w:val="center"/>
                </w:tcPr>
                <w:p>
                  <w:pPr>
                    <w:ind w:left="-105" w:leftChars="-50" w:right="-105" w:rightChars="-50"/>
                    <w:jc w:val="center"/>
                    <w:rPr>
                      <w:rFonts w:cs="Times New Roman"/>
                      <w:b/>
                      <w:szCs w:val="21"/>
                    </w:rPr>
                  </w:pPr>
                  <w:r>
                    <w:rPr>
                      <w:rFonts w:cs="Times New Roman"/>
                      <w:b/>
                      <w:szCs w:val="21"/>
                    </w:rPr>
                    <w:t>检测时段</w:t>
                  </w:r>
                </w:p>
              </w:tc>
              <w:tc>
                <w:tcPr>
                  <w:tcW w:w="1006" w:type="dxa"/>
                  <w:tcBorders>
                    <w:tl2br w:val="nil"/>
                    <w:tr2bl w:val="nil"/>
                  </w:tcBorders>
                  <w:vAlign w:val="center"/>
                </w:tcPr>
                <w:p>
                  <w:pPr>
                    <w:ind w:left="-105" w:leftChars="-50" w:right="-105" w:rightChars="-50"/>
                    <w:jc w:val="center"/>
                    <w:rPr>
                      <w:rFonts w:cs="Times New Roman"/>
                      <w:b/>
                      <w:szCs w:val="21"/>
                    </w:rPr>
                  </w:pPr>
                  <w:r>
                    <w:rPr>
                      <w:rFonts w:cs="Times New Roman"/>
                      <w:b/>
                      <w:szCs w:val="21"/>
                    </w:rPr>
                    <w:t>检测结果</w:t>
                  </w:r>
                </w:p>
              </w:tc>
              <w:tc>
                <w:tcPr>
                  <w:tcW w:w="1262" w:type="dxa"/>
                  <w:tcBorders>
                    <w:tl2br w:val="nil"/>
                    <w:tr2bl w:val="nil"/>
                  </w:tcBorders>
                  <w:vAlign w:val="center"/>
                </w:tcPr>
                <w:p>
                  <w:pPr>
                    <w:ind w:left="-105" w:leftChars="-50" w:right="-105" w:rightChars="-50"/>
                    <w:jc w:val="center"/>
                    <w:rPr>
                      <w:rFonts w:cs="Times New Roman"/>
                      <w:b/>
                      <w:szCs w:val="21"/>
                    </w:rPr>
                  </w:pPr>
                  <w:r>
                    <w:rPr>
                      <w:rFonts w:cs="Times New Roman"/>
                      <w:b/>
                      <w:szCs w:val="21"/>
                    </w:rPr>
                    <w:t>检测时段</w:t>
                  </w:r>
                </w:p>
              </w:tc>
              <w:tc>
                <w:tcPr>
                  <w:tcW w:w="1020" w:type="dxa"/>
                  <w:tcBorders>
                    <w:tl2br w:val="nil"/>
                    <w:tr2bl w:val="nil"/>
                  </w:tcBorders>
                  <w:vAlign w:val="center"/>
                </w:tcPr>
                <w:p>
                  <w:pPr>
                    <w:ind w:left="-105" w:leftChars="-50" w:right="-105" w:rightChars="-50"/>
                    <w:jc w:val="center"/>
                    <w:rPr>
                      <w:rFonts w:cs="Times New Roman"/>
                      <w:b/>
                      <w:szCs w:val="21"/>
                    </w:rPr>
                  </w:pPr>
                  <w:r>
                    <w:rPr>
                      <w:rFonts w:cs="Times New Roman"/>
                      <w:b/>
                      <w:szCs w:val="21"/>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restart"/>
                  <w:tcBorders>
                    <w:tl2br w:val="nil"/>
                    <w:tr2bl w:val="nil"/>
                  </w:tcBorders>
                  <w:vAlign w:val="center"/>
                </w:tcPr>
                <w:p>
                  <w:pPr>
                    <w:jc w:val="center"/>
                    <w:rPr>
                      <w:rFonts w:cs="Times New Roman"/>
                      <w:bCs/>
                      <w:kern w:val="0"/>
                      <w:szCs w:val="21"/>
                    </w:rPr>
                  </w:pPr>
                  <w:r>
                    <w:rPr>
                      <w:rFonts w:cs="Times New Roman"/>
                      <w:snapToGrid w:val="0"/>
                      <w:szCs w:val="21"/>
                    </w:rPr>
                    <w:t>L</w:t>
                  </w:r>
                  <w:r>
                    <w:rPr>
                      <w:rFonts w:cs="Times New Roman"/>
                      <w:snapToGrid w:val="0"/>
                      <w:szCs w:val="21"/>
                      <w:vertAlign w:val="subscript"/>
                    </w:rPr>
                    <w:t>eq</w:t>
                  </w:r>
                </w:p>
              </w:tc>
              <w:tc>
                <w:tcPr>
                  <w:tcW w:w="760" w:type="dxa"/>
                  <w:vMerge w:val="restart"/>
                  <w:tcBorders>
                    <w:tl2br w:val="nil"/>
                    <w:tr2bl w:val="nil"/>
                  </w:tcBorders>
                  <w:vAlign w:val="center"/>
                </w:tcPr>
                <w:p>
                  <w:pPr>
                    <w:jc w:val="center"/>
                    <w:rPr>
                      <w:rFonts w:cs="Times New Roman"/>
                      <w:bCs/>
                      <w:kern w:val="0"/>
                      <w:szCs w:val="21"/>
                    </w:rPr>
                  </w:pPr>
                  <w:r>
                    <w:rPr>
                      <w:rFonts w:cs="Times New Roman"/>
                      <w:bCs/>
                      <w:kern w:val="0"/>
                      <w:szCs w:val="21"/>
                    </w:rPr>
                    <w:t>2023.08.05</w:t>
                  </w:r>
                </w:p>
              </w:tc>
              <w:tc>
                <w:tcPr>
                  <w:tcW w:w="2642" w:type="dxa"/>
                  <w:tcBorders>
                    <w:tl2br w:val="nil"/>
                    <w:tr2bl w:val="nil"/>
                  </w:tcBorders>
                  <w:vAlign w:val="center"/>
                </w:tcPr>
                <w:p>
                  <w:pPr>
                    <w:snapToGrid w:val="0"/>
                    <w:jc w:val="center"/>
                    <w:rPr>
                      <w:rFonts w:cs="Times New Roman"/>
                      <w:szCs w:val="21"/>
                    </w:rPr>
                  </w:pPr>
                  <w:r>
                    <w:rPr>
                      <w:rFonts w:cs="Times New Roman"/>
                      <w:szCs w:val="21"/>
                    </w:rPr>
                    <w:t>N1，本项目北侧厂界外1m</w:t>
                  </w:r>
                </w:p>
              </w:tc>
              <w:tc>
                <w:tcPr>
                  <w:tcW w:w="1276" w:type="dxa"/>
                  <w:tcBorders>
                    <w:tl2br w:val="nil"/>
                    <w:tr2bl w:val="nil"/>
                  </w:tcBorders>
                  <w:vAlign w:val="center"/>
                </w:tcPr>
                <w:p>
                  <w:pPr>
                    <w:pStyle w:val="77"/>
                    <w:snapToGrid w:val="0"/>
                    <w:spacing w:before="0" w:after="0"/>
                    <w:ind w:left="-105" w:leftChars="-50" w:right="-105" w:rightChars="-50"/>
                    <w:rPr>
                      <w:rFonts w:cs="Times New Roman"/>
                      <w:sz w:val="21"/>
                      <w:szCs w:val="21"/>
                    </w:rPr>
                  </w:pPr>
                  <w:r>
                    <w:rPr>
                      <w:rFonts w:cs="Times New Roman"/>
                      <w:sz w:val="21"/>
                      <w:szCs w:val="21"/>
                    </w:rPr>
                    <w:t>09:43-09:53</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55</w:t>
                  </w:r>
                </w:p>
              </w:tc>
              <w:tc>
                <w:tcPr>
                  <w:tcW w:w="1262" w:type="dxa"/>
                  <w:tcBorders>
                    <w:tl2br w:val="nil"/>
                    <w:tr2bl w:val="nil"/>
                  </w:tcBorders>
                  <w:vAlign w:val="center"/>
                </w:tcPr>
                <w:p>
                  <w:pPr>
                    <w:snapToGrid w:val="0"/>
                    <w:ind w:left="-105" w:leftChars="-50" w:right="-105" w:rightChars="-50"/>
                    <w:jc w:val="center"/>
                    <w:rPr>
                      <w:rFonts w:cs="Times New Roman"/>
                      <w:szCs w:val="21"/>
                    </w:rPr>
                  </w:pPr>
                  <w:r>
                    <w:rPr>
                      <w:rFonts w:cs="Times New Roman"/>
                      <w:szCs w:val="21"/>
                    </w:rPr>
                    <w:t>23:05-23:15</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continue"/>
                  <w:tcBorders>
                    <w:tl2br w:val="nil"/>
                    <w:tr2bl w:val="nil"/>
                  </w:tcBorders>
                  <w:vAlign w:val="center"/>
                </w:tcPr>
                <w:p>
                  <w:pPr>
                    <w:jc w:val="center"/>
                    <w:rPr>
                      <w:rFonts w:cs="Times New Roman"/>
                      <w:snapToGrid w:val="0"/>
                      <w:szCs w:val="21"/>
                    </w:rPr>
                  </w:pPr>
                </w:p>
              </w:tc>
              <w:tc>
                <w:tcPr>
                  <w:tcW w:w="760" w:type="dxa"/>
                  <w:vMerge w:val="continue"/>
                  <w:tcBorders>
                    <w:tl2br w:val="nil"/>
                    <w:tr2bl w:val="nil"/>
                  </w:tcBorders>
                  <w:vAlign w:val="center"/>
                </w:tcPr>
                <w:p>
                  <w:pPr>
                    <w:jc w:val="center"/>
                    <w:rPr>
                      <w:rFonts w:cs="Times New Roman"/>
                      <w:snapToGrid w:val="0"/>
                      <w:szCs w:val="21"/>
                    </w:rPr>
                  </w:pPr>
                </w:p>
              </w:tc>
              <w:tc>
                <w:tcPr>
                  <w:tcW w:w="2642" w:type="dxa"/>
                  <w:tcBorders>
                    <w:tl2br w:val="nil"/>
                    <w:tr2bl w:val="nil"/>
                  </w:tcBorders>
                  <w:vAlign w:val="center"/>
                </w:tcPr>
                <w:p>
                  <w:pPr>
                    <w:snapToGrid w:val="0"/>
                    <w:jc w:val="center"/>
                    <w:rPr>
                      <w:rFonts w:cs="Times New Roman"/>
                      <w:szCs w:val="21"/>
                    </w:rPr>
                  </w:pPr>
                  <w:r>
                    <w:rPr>
                      <w:rFonts w:cs="Times New Roman"/>
                      <w:szCs w:val="21"/>
                    </w:rPr>
                    <w:t>N2，本项目东侧厂界外1m</w:t>
                  </w:r>
                </w:p>
              </w:tc>
              <w:tc>
                <w:tcPr>
                  <w:tcW w:w="1276" w:type="dxa"/>
                  <w:tcBorders>
                    <w:tl2br w:val="nil"/>
                    <w:tr2bl w:val="nil"/>
                  </w:tcBorders>
                  <w:vAlign w:val="center"/>
                </w:tcPr>
                <w:p>
                  <w:pPr>
                    <w:ind w:left="-105" w:leftChars="-50" w:right="-105" w:rightChars="-50"/>
                    <w:jc w:val="center"/>
                    <w:rPr>
                      <w:rFonts w:cs="Times New Roman"/>
                      <w:szCs w:val="21"/>
                    </w:rPr>
                  </w:pPr>
                  <w:r>
                    <w:rPr>
                      <w:rFonts w:cs="Times New Roman"/>
                      <w:szCs w:val="21"/>
                    </w:rPr>
                    <w:t>09:59-10:09</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56</w:t>
                  </w:r>
                </w:p>
              </w:tc>
              <w:tc>
                <w:tcPr>
                  <w:tcW w:w="1262" w:type="dxa"/>
                  <w:tcBorders>
                    <w:tl2br w:val="nil"/>
                    <w:tr2bl w:val="nil"/>
                  </w:tcBorders>
                  <w:vAlign w:val="center"/>
                </w:tcPr>
                <w:p>
                  <w:pPr>
                    <w:ind w:left="-105" w:leftChars="-50" w:right="-105" w:rightChars="-50"/>
                    <w:jc w:val="center"/>
                    <w:rPr>
                      <w:rFonts w:cs="Times New Roman"/>
                      <w:szCs w:val="21"/>
                    </w:rPr>
                  </w:pPr>
                  <w:r>
                    <w:rPr>
                      <w:rFonts w:cs="Times New Roman"/>
                      <w:szCs w:val="21"/>
                    </w:rPr>
                    <w:t>23:19-23:29</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continue"/>
                  <w:tcBorders>
                    <w:tl2br w:val="nil"/>
                    <w:tr2bl w:val="nil"/>
                  </w:tcBorders>
                  <w:vAlign w:val="center"/>
                </w:tcPr>
                <w:p>
                  <w:pPr>
                    <w:jc w:val="center"/>
                    <w:rPr>
                      <w:rFonts w:cs="Times New Roman"/>
                      <w:snapToGrid w:val="0"/>
                      <w:szCs w:val="21"/>
                    </w:rPr>
                  </w:pPr>
                </w:p>
              </w:tc>
              <w:tc>
                <w:tcPr>
                  <w:tcW w:w="760" w:type="dxa"/>
                  <w:vMerge w:val="continue"/>
                  <w:tcBorders>
                    <w:tl2br w:val="nil"/>
                    <w:tr2bl w:val="nil"/>
                  </w:tcBorders>
                  <w:vAlign w:val="center"/>
                </w:tcPr>
                <w:p>
                  <w:pPr>
                    <w:jc w:val="center"/>
                    <w:rPr>
                      <w:rFonts w:cs="Times New Roman"/>
                      <w:snapToGrid w:val="0"/>
                      <w:szCs w:val="21"/>
                    </w:rPr>
                  </w:pPr>
                </w:p>
              </w:tc>
              <w:tc>
                <w:tcPr>
                  <w:tcW w:w="2642" w:type="dxa"/>
                  <w:tcBorders>
                    <w:tl2br w:val="nil"/>
                    <w:tr2bl w:val="nil"/>
                  </w:tcBorders>
                  <w:vAlign w:val="center"/>
                </w:tcPr>
                <w:p>
                  <w:pPr>
                    <w:snapToGrid w:val="0"/>
                    <w:jc w:val="center"/>
                    <w:rPr>
                      <w:rFonts w:cs="Times New Roman"/>
                      <w:szCs w:val="21"/>
                    </w:rPr>
                  </w:pPr>
                  <w:r>
                    <w:rPr>
                      <w:rFonts w:cs="Times New Roman"/>
                      <w:szCs w:val="21"/>
                    </w:rPr>
                    <w:t>N3，本项目南侧厂界外1m</w:t>
                  </w:r>
                </w:p>
              </w:tc>
              <w:tc>
                <w:tcPr>
                  <w:tcW w:w="1276" w:type="dxa"/>
                  <w:tcBorders>
                    <w:tl2br w:val="nil"/>
                    <w:tr2bl w:val="nil"/>
                  </w:tcBorders>
                  <w:vAlign w:val="center"/>
                </w:tcPr>
                <w:p>
                  <w:pPr>
                    <w:ind w:left="-105" w:leftChars="-50" w:right="-105" w:rightChars="-50"/>
                    <w:jc w:val="center"/>
                    <w:rPr>
                      <w:rFonts w:cs="Times New Roman"/>
                      <w:szCs w:val="21"/>
                    </w:rPr>
                  </w:pPr>
                  <w:r>
                    <w:rPr>
                      <w:rFonts w:cs="Times New Roman"/>
                      <w:szCs w:val="21"/>
                    </w:rPr>
                    <w:t>10:13-10:23</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56</w:t>
                  </w:r>
                </w:p>
              </w:tc>
              <w:tc>
                <w:tcPr>
                  <w:tcW w:w="1262" w:type="dxa"/>
                  <w:tcBorders>
                    <w:tl2br w:val="nil"/>
                    <w:tr2bl w:val="nil"/>
                  </w:tcBorders>
                  <w:vAlign w:val="center"/>
                </w:tcPr>
                <w:p>
                  <w:pPr>
                    <w:ind w:left="-105" w:leftChars="-50" w:right="-105" w:rightChars="-50"/>
                    <w:jc w:val="center"/>
                    <w:rPr>
                      <w:rFonts w:cs="Times New Roman"/>
                      <w:szCs w:val="21"/>
                    </w:rPr>
                  </w:pPr>
                  <w:r>
                    <w:rPr>
                      <w:rFonts w:cs="Times New Roman"/>
                      <w:szCs w:val="21"/>
                    </w:rPr>
                    <w:t>23:47-23:57</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continue"/>
                  <w:tcBorders>
                    <w:tl2br w:val="nil"/>
                    <w:tr2bl w:val="nil"/>
                  </w:tcBorders>
                  <w:vAlign w:val="center"/>
                </w:tcPr>
                <w:p>
                  <w:pPr>
                    <w:jc w:val="center"/>
                    <w:rPr>
                      <w:rFonts w:cs="Times New Roman"/>
                      <w:snapToGrid w:val="0"/>
                      <w:szCs w:val="21"/>
                    </w:rPr>
                  </w:pPr>
                </w:p>
              </w:tc>
              <w:tc>
                <w:tcPr>
                  <w:tcW w:w="760" w:type="dxa"/>
                  <w:vMerge w:val="continue"/>
                  <w:tcBorders>
                    <w:tl2br w:val="nil"/>
                    <w:tr2bl w:val="nil"/>
                  </w:tcBorders>
                  <w:vAlign w:val="center"/>
                </w:tcPr>
                <w:p>
                  <w:pPr>
                    <w:jc w:val="center"/>
                    <w:rPr>
                      <w:rFonts w:cs="Times New Roman"/>
                      <w:snapToGrid w:val="0"/>
                      <w:szCs w:val="21"/>
                    </w:rPr>
                  </w:pPr>
                </w:p>
              </w:tc>
              <w:tc>
                <w:tcPr>
                  <w:tcW w:w="2642" w:type="dxa"/>
                  <w:tcBorders>
                    <w:tl2br w:val="nil"/>
                    <w:tr2bl w:val="nil"/>
                  </w:tcBorders>
                  <w:vAlign w:val="center"/>
                </w:tcPr>
                <w:p>
                  <w:pPr>
                    <w:snapToGrid w:val="0"/>
                    <w:jc w:val="center"/>
                    <w:rPr>
                      <w:rFonts w:cs="Times New Roman"/>
                      <w:szCs w:val="21"/>
                    </w:rPr>
                  </w:pPr>
                  <w:r>
                    <w:rPr>
                      <w:rFonts w:cs="Times New Roman"/>
                      <w:szCs w:val="21"/>
                    </w:rPr>
                    <w:t>N4，本项目西侧厂界外1m</w:t>
                  </w:r>
                </w:p>
              </w:tc>
              <w:tc>
                <w:tcPr>
                  <w:tcW w:w="1276" w:type="dxa"/>
                  <w:tcBorders>
                    <w:tl2br w:val="nil"/>
                    <w:tr2bl w:val="nil"/>
                  </w:tcBorders>
                  <w:vAlign w:val="center"/>
                </w:tcPr>
                <w:p>
                  <w:pPr>
                    <w:ind w:left="-105" w:leftChars="-50" w:right="-105" w:rightChars="-50"/>
                    <w:jc w:val="center"/>
                    <w:rPr>
                      <w:rFonts w:cs="Times New Roman"/>
                      <w:szCs w:val="21"/>
                    </w:rPr>
                  </w:pPr>
                  <w:r>
                    <w:rPr>
                      <w:rFonts w:cs="Times New Roman"/>
                      <w:szCs w:val="21"/>
                    </w:rPr>
                    <w:t>10:29-10:39</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56</w:t>
                  </w:r>
                </w:p>
              </w:tc>
              <w:tc>
                <w:tcPr>
                  <w:tcW w:w="1262" w:type="dxa"/>
                  <w:tcBorders>
                    <w:tl2br w:val="nil"/>
                    <w:tr2bl w:val="nil"/>
                  </w:tcBorders>
                  <w:vAlign w:val="center"/>
                </w:tcPr>
                <w:p>
                  <w:pPr>
                    <w:snapToGrid w:val="0"/>
                    <w:ind w:left="-105" w:leftChars="-50" w:right="-105" w:rightChars="-50"/>
                    <w:jc w:val="center"/>
                    <w:rPr>
                      <w:rFonts w:cs="Times New Roman"/>
                      <w:szCs w:val="21"/>
                    </w:rPr>
                  </w:pPr>
                  <w:r>
                    <w:rPr>
                      <w:rFonts w:cs="Times New Roman"/>
                      <w:szCs w:val="21"/>
                    </w:rPr>
                    <w:t>23:33-23:43</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continue"/>
                  <w:tcBorders>
                    <w:tl2br w:val="nil"/>
                    <w:tr2bl w:val="nil"/>
                  </w:tcBorders>
                  <w:vAlign w:val="center"/>
                </w:tcPr>
                <w:p>
                  <w:pPr>
                    <w:jc w:val="center"/>
                    <w:rPr>
                      <w:rFonts w:cs="Times New Roman"/>
                      <w:snapToGrid w:val="0"/>
                      <w:szCs w:val="21"/>
                    </w:rPr>
                  </w:pPr>
                </w:p>
              </w:tc>
              <w:tc>
                <w:tcPr>
                  <w:tcW w:w="760" w:type="dxa"/>
                  <w:vMerge w:val="restart"/>
                  <w:tcBorders>
                    <w:tl2br w:val="nil"/>
                    <w:tr2bl w:val="nil"/>
                  </w:tcBorders>
                  <w:vAlign w:val="center"/>
                </w:tcPr>
                <w:p>
                  <w:pPr>
                    <w:jc w:val="center"/>
                    <w:rPr>
                      <w:rFonts w:cs="Times New Roman"/>
                      <w:snapToGrid w:val="0"/>
                      <w:szCs w:val="21"/>
                    </w:rPr>
                  </w:pPr>
                  <w:r>
                    <w:rPr>
                      <w:rFonts w:cs="Times New Roman"/>
                      <w:snapToGrid w:val="0"/>
                      <w:szCs w:val="21"/>
                    </w:rPr>
                    <w:t>2023.08.06</w:t>
                  </w:r>
                </w:p>
              </w:tc>
              <w:tc>
                <w:tcPr>
                  <w:tcW w:w="2642" w:type="dxa"/>
                  <w:tcBorders>
                    <w:tl2br w:val="nil"/>
                    <w:tr2bl w:val="nil"/>
                  </w:tcBorders>
                  <w:vAlign w:val="center"/>
                </w:tcPr>
                <w:p>
                  <w:pPr>
                    <w:snapToGrid w:val="0"/>
                    <w:jc w:val="center"/>
                    <w:rPr>
                      <w:rFonts w:cs="Times New Roman"/>
                      <w:szCs w:val="21"/>
                    </w:rPr>
                  </w:pPr>
                  <w:r>
                    <w:rPr>
                      <w:rFonts w:cs="Times New Roman"/>
                      <w:szCs w:val="21"/>
                    </w:rPr>
                    <w:t>N1，本项目北侧厂界外1m</w:t>
                  </w:r>
                </w:p>
              </w:tc>
              <w:tc>
                <w:tcPr>
                  <w:tcW w:w="1276" w:type="dxa"/>
                  <w:tcBorders>
                    <w:tl2br w:val="nil"/>
                    <w:tr2bl w:val="nil"/>
                  </w:tcBorders>
                  <w:vAlign w:val="center"/>
                </w:tcPr>
                <w:p>
                  <w:pPr>
                    <w:pStyle w:val="77"/>
                    <w:snapToGrid w:val="0"/>
                    <w:spacing w:before="0" w:after="0"/>
                    <w:ind w:left="-105" w:leftChars="-50" w:right="-105" w:rightChars="-50"/>
                    <w:rPr>
                      <w:rFonts w:cs="Times New Roman"/>
                      <w:sz w:val="21"/>
                      <w:szCs w:val="21"/>
                    </w:rPr>
                  </w:pPr>
                  <w:r>
                    <w:rPr>
                      <w:rFonts w:cs="Times New Roman"/>
                      <w:sz w:val="21"/>
                      <w:szCs w:val="21"/>
                    </w:rPr>
                    <w:t>09:31-09:41</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55</w:t>
                  </w:r>
                </w:p>
              </w:tc>
              <w:tc>
                <w:tcPr>
                  <w:tcW w:w="1262" w:type="dxa"/>
                  <w:tcBorders>
                    <w:tl2br w:val="nil"/>
                    <w:tr2bl w:val="nil"/>
                  </w:tcBorders>
                  <w:vAlign w:val="center"/>
                </w:tcPr>
                <w:p>
                  <w:pPr>
                    <w:pStyle w:val="77"/>
                    <w:snapToGrid w:val="0"/>
                    <w:spacing w:before="0" w:after="0"/>
                    <w:ind w:left="-105" w:leftChars="-50" w:right="-105" w:rightChars="-50"/>
                    <w:rPr>
                      <w:rFonts w:cs="Times New Roman"/>
                      <w:sz w:val="21"/>
                      <w:szCs w:val="21"/>
                    </w:rPr>
                  </w:pPr>
                  <w:r>
                    <w:rPr>
                      <w:rFonts w:cs="Times New Roman"/>
                      <w:sz w:val="21"/>
                      <w:szCs w:val="21"/>
                    </w:rPr>
                    <w:t>22:16-22:26</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continue"/>
                  <w:tcBorders>
                    <w:tl2br w:val="nil"/>
                    <w:tr2bl w:val="nil"/>
                  </w:tcBorders>
                  <w:vAlign w:val="center"/>
                </w:tcPr>
                <w:p>
                  <w:pPr>
                    <w:jc w:val="center"/>
                    <w:rPr>
                      <w:rFonts w:cs="Times New Roman"/>
                      <w:snapToGrid w:val="0"/>
                      <w:szCs w:val="21"/>
                    </w:rPr>
                  </w:pPr>
                </w:p>
              </w:tc>
              <w:tc>
                <w:tcPr>
                  <w:tcW w:w="760" w:type="dxa"/>
                  <w:vMerge w:val="continue"/>
                  <w:tcBorders>
                    <w:tl2br w:val="nil"/>
                    <w:tr2bl w:val="nil"/>
                  </w:tcBorders>
                  <w:vAlign w:val="center"/>
                </w:tcPr>
                <w:p>
                  <w:pPr>
                    <w:jc w:val="center"/>
                    <w:rPr>
                      <w:rFonts w:cs="Times New Roman"/>
                      <w:snapToGrid w:val="0"/>
                      <w:szCs w:val="21"/>
                    </w:rPr>
                  </w:pPr>
                </w:p>
              </w:tc>
              <w:tc>
                <w:tcPr>
                  <w:tcW w:w="2642" w:type="dxa"/>
                  <w:tcBorders>
                    <w:tl2br w:val="nil"/>
                    <w:tr2bl w:val="nil"/>
                  </w:tcBorders>
                  <w:vAlign w:val="center"/>
                </w:tcPr>
                <w:p>
                  <w:pPr>
                    <w:snapToGrid w:val="0"/>
                    <w:jc w:val="center"/>
                    <w:rPr>
                      <w:rFonts w:cs="Times New Roman"/>
                      <w:szCs w:val="21"/>
                    </w:rPr>
                  </w:pPr>
                  <w:r>
                    <w:rPr>
                      <w:rFonts w:cs="Times New Roman"/>
                      <w:szCs w:val="21"/>
                    </w:rPr>
                    <w:t>N2，本项目东侧厂界外1m</w:t>
                  </w:r>
                </w:p>
              </w:tc>
              <w:tc>
                <w:tcPr>
                  <w:tcW w:w="1276" w:type="dxa"/>
                  <w:tcBorders>
                    <w:tl2br w:val="nil"/>
                    <w:tr2bl w:val="nil"/>
                  </w:tcBorders>
                  <w:vAlign w:val="center"/>
                </w:tcPr>
                <w:p>
                  <w:pPr>
                    <w:ind w:left="-105" w:leftChars="-50" w:right="-105" w:rightChars="-50"/>
                    <w:jc w:val="center"/>
                    <w:rPr>
                      <w:rFonts w:cs="Times New Roman"/>
                      <w:szCs w:val="21"/>
                    </w:rPr>
                  </w:pPr>
                  <w:r>
                    <w:rPr>
                      <w:rFonts w:cs="Times New Roman"/>
                      <w:szCs w:val="21"/>
                    </w:rPr>
                    <w:t>09:46-09:56</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56</w:t>
                  </w:r>
                </w:p>
              </w:tc>
              <w:tc>
                <w:tcPr>
                  <w:tcW w:w="1262" w:type="dxa"/>
                  <w:tcBorders>
                    <w:tl2br w:val="nil"/>
                    <w:tr2bl w:val="nil"/>
                  </w:tcBorders>
                  <w:vAlign w:val="center"/>
                </w:tcPr>
                <w:p>
                  <w:pPr>
                    <w:ind w:left="-105" w:leftChars="-50" w:right="-105" w:rightChars="-50"/>
                    <w:jc w:val="center"/>
                    <w:rPr>
                      <w:rFonts w:cs="Times New Roman"/>
                      <w:szCs w:val="21"/>
                    </w:rPr>
                  </w:pPr>
                  <w:r>
                    <w:rPr>
                      <w:rFonts w:cs="Times New Roman"/>
                      <w:szCs w:val="21"/>
                    </w:rPr>
                    <w:t>22:30-22:40</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continue"/>
                  <w:tcBorders>
                    <w:tl2br w:val="nil"/>
                    <w:tr2bl w:val="nil"/>
                  </w:tcBorders>
                  <w:vAlign w:val="center"/>
                </w:tcPr>
                <w:p>
                  <w:pPr>
                    <w:jc w:val="center"/>
                    <w:rPr>
                      <w:rFonts w:cs="Times New Roman"/>
                      <w:snapToGrid w:val="0"/>
                      <w:szCs w:val="21"/>
                    </w:rPr>
                  </w:pPr>
                </w:p>
              </w:tc>
              <w:tc>
                <w:tcPr>
                  <w:tcW w:w="760" w:type="dxa"/>
                  <w:vMerge w:val="continue"/>
                  <w:tcBorders>
                    <w:tl2br w:val="nil"/>
                    <w:tr2bl w:val="nil"/>
                  </w:tcBorders>
                  <w:vAlign w:val="center"/>
                </w:tcPr>
                <w:p>
                  <w:pPr>
                    <w:jc w:val="center"/>
                    <w:rPr>
                      <w:rFonts w:cs="Times New Roman"/>
                      <w:snapToGrid w:val="0"/>
                      <w:szCs w:val="21"/>
                    </w:rPr>
                  </w:pPr>
                </w:p>
              </w:tc>
              <w:tc>
                <w:tcPr>
                  <w:tcW w:w="2642" w:type="dxa"/>
                  <w:tcBorders>
                    <w:tl2br w:val="nil"/>
                    <w:tr2bl w:val="nil"/>
                  </w:tcBorders>
                  <w:vAlign w:val="center"/>
                </w:tcPr>
                <w:p>
                  <w:pPr>
                    <w:snapToGrid w:val="0"/>
                    <w:jc w:val="center"/>
                    <w:rPr>
                      <w:rFonts w:cs="Times New Roman"/>
                      <w:szCs w:val="21"/>
                    </w:rPr>
                  </w:pPr>
                  <w:r>
                    <w:rPr>
                      <w:rFonts w:cs="Times New Roman"/>
                      <w:szCs w:val="21"/>
                    </w:rPr>
                    <w:t>N3，本项目南侧厂界外1m</w:t>
                  </w:r>
                </w:p>
              </w:tc>
              <w:tc>
                <w:tcPr>
                  <w:tcW w:w="1276" w:type="dxa"/>
                  <w:tcBorders>
                    <w:tl2br w:val="nil"/>
                    <w:tr2bl w:val="nil"/>
                  </w:tcBorders>
                  <w:vAlign w:val="center"/>
                </w:tcPr>
                <w:p>
                  <w:pPr>
                    <w:ind w:left="-105" w:leftChars="-50" w:right="-105" w:rightChars="-50"/>
                    <w:jc w:val="center"/>
                    <w:rPr>
                      <w:rFonts w:cs="Times New Roman"/>
                      <w:szCs w:val="21"/>
                    </w:rPr>
                  </w:pPr>
                  <w:r>
                    <w:rPr>
                      <w:rFonts w:cs="Times New Roman"/>
                      <w:szCs w:val="21"/>
                    </w:rPr>
                    <w:t>10:00-10:10</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56</w:t>
                  </w:r>
                </w:p>
              </w:tc>
              <w:tc>
                <w:tcPr>
                  <w:tcW w:w="1262" w:type="dxa"/>
                  <w:tcBorders>
                    <w:tl2br w:val="nil"/>
                    <w:tr2bl w:val="nil"/>
                  </w:tcBorders>
                  <w:vAlign w:val="center"/>
                </w:tcPr>
                <w:p>
                  <w:pPr>
                    <w:ind w:left="-105" w:leftChars="-50" w:right="-105" w:rightChars="-50"/>
                    <w:jc w:val="center"/>
                    <w:rPr>
                      <w:rFonts w:cs="Times New Roman"/>
                      <w:szCs w:val="21"/>
                    </w:rPr>
                  </w:pPr>
                  <w:r>
                    <w:rPr>
                      <w:rFonts w:cs="Times New Roman"/>
                      <w:szCs w:val="21"/>
                    </w:rPr>
                    <w:t>22:43-22:53</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6" w:type="dxa"/>
                  <w:vMerge w:val="continue"/>
                  <w:tcBorders>
                    <w:tl2br w:val="nil"/>
                    <w:tr2bl w:val="nil"/>
                  </w:tcBorders>
                  <w:vAlign w:val="center"/>
                </w:tcPr>
                <w:p>
                  <w:pPr>
                    <w:jc w:val="center"/>
                    <w:rPr>
                      <w:rFonts w:cs="Times New Roman"/>
                      <w:snapToGrid w:val="0"/>
                      <w:szCs w:val="21"/>
                    </w:rPr>
                  </w:pPr>
                </w:p>
              </w:tc>
              <w:tc>
                <w:tcPr>
                  <w:tcW w:w="760" w:type="dxa"/>
                  <w:vMerge w:val="continue"/>
                  <w:tcBorders>
                    <w:tl2br w:val="nil"/>
                    <w:tr2bl w:val="nil"/>
                  </w:tcBorders>
                  <w:vAlign w:val="center"/>
                </w:tcPr>
                <w:p>
                  <w:pPr>
                    <w:jc w:val="center"/>
                    <w:rPr>
                      <w:rFonts w:cs="Times New Roman"/>
                      <w:snapToGrid w:val="0"/>
                      <w:szCs w:val="21"/>
                    </w:rPr>
                  </w:pPr>
                </w:p>
              </w:tc>
              <w:tc>
                <w:tcPr>
                  <w:tcW w:w="2642" w:type="dxa"/>
                  <w:tcBorders>
                    <w:tl2br w:val="nil"/>
                    <w:tr2bl w:val="nil"/>
                  </w:tcBorders>
                  <w:vAlign w:val="center"/>
                </w:tcPr>
                <w:p>
                  <w:pPr>
                    <w:snapToGrid w:val="0"/>
                    <w:jc w:val="center"/>
                    <w:rPr>
                      <w:rFonts w:cs="Times New Roman"/>
                      <w:szCs w:val="21"/>
                    </w:rPr>
                  </w:pPr>
                  <w:r>
                    <w:rPr>
                      <w:rFonts w:cs="Times New Roman"/>
                      <w:szCs w:val="21"/>
                    </w:rPr>
                    <w:t>N4，本项目西侧厂界外1m</w:t>
                  </w:r>
                </w:p>
              </w:tc>
              <w:tc>
                <w:tcPr>
                  <w:tcW w:w="1276" w:type="dxa"/>
                  <w:tcBorders>
                    <w:tl2br w:val="nil"/>
                    <w:tr2bl w:val="nil"/>
                  </w:tcBorders>
                  <w:vAlign w:val="center"/>
                </w:tcPr>
                <w:p>
                  <w:pPr>
                    <w:snapToGrid w:val="0"/>
                    <w:ind w:left="-105" w:leftChars="-50" w:right="-105" w:rightChars="-50"/>
                    <w:jc w:val="center"/>
                    <w:rPr>
                      <w:rFonts w:cs="Times New Roman"/>
                      <w:szCs w:val="21"/>
                    </w:rPr>
                  </w:pPr>
                  <w:r>
                    <w:rPr>
                      <w:rFonts w:cs="Times New Roman"/>
                      <w:szCs w:val="21"/>
                    </w:rPr>
                    <w:t>10:15-10:25</w:t>
                  </w:r>
                </w:p>
              </w:tc>
              <w:tc>
                <w:tcPr>
                  <w:tcW w:w="1006"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54</w:t>
                  </w:r>
                </w:p>
              </w:tc>
              <w:tc>
                <w:tcPr>
                  <w:tcW w:w="1262" w:type="dxa"/>
                  <w:tcBorders>
                    <w:tl2br w:val="nil"/>
                    <w:tr2bl w:val="nil"/>
                  </w:tcBorders>
                  <w:vAlign w:val="center"/>
                </w:tcPr>
                <w:p>
                  <w:pPr>
                    <w:snapToGrid w:val="0"/>
                    <w:ind w:left="-105" w:leftChars="-50" w:right="-105" w:rightChars="-50"/>
                    <w:jc w:val="center"/>
                    <w:rPr>
                      <w:rFonts w:cs="Times New Roman"/>
                      <w:szCs w:val="21"/>
                    </w:rPr>
                  </w:pPr>
                  <w:r>
                    <w:rPr>
                      <w:rFonts w:cs="Times New Roman"/>
                      <w:szCs w:val="21"/>
                    </w:rPr>
                    <w:t>22:56-23:06</w:t>
                  </w:r>
                </w:p>
              </w:tc>
              <w:tc>
                <w:tcPr>
                  <w:tcW w:w="1020" w:type="dxa"/>
                  <w:tcBorders>
                    <w:tl2br w:val="nil"/>
                    <w:tr2bl w:val="nil"/>
                  </w:tcBorders>
                  <w:vAlign w:val="center"/>
                </w:tcPr>
                <w:p>
                  <w:pPr>
                    <w:widowControl/>
                    <w:ind w:left="-105" w:leftChars="-50" w:right="-105" w:rightChars="-50"/>
                    <w:jc w:val="center"/>
                    <w:textAlignment w:val="center"/>
                    <w:rPr>
                      <w:rFonts w:cs="Times New Roman"/>
                      <w:szCs w:val="21"/>
                    </w:rPr>
                  </w:pPr>
                  <w:r>
                    <w:rPr>
                      <w:rFonts w:cs="Times New Roman"/>
                      <w:szCs w:val="21"/>
                    </w:rPr>
                    <w:t>42</w:t>
                  </w:r>
                </w:p>
              </w:tc>
            </w:tr>
          </w:tbl>
          <w:p>
            <w:pPr>
              <w:spacing w:line="360" w:lineRule="auto"/>
              <w:ind w:firstLine="480" w:firstLineChars="200"/>
              <w:rPr>
                <w:rFonts w:cs="Times New Roman"/>
                <w:sz w:val="24"/>
                <w:szCs w:val="24"/>
              </w:rPr>
            </w:pPr>
            <w:r>
              <w:rPr>
                <w:rFonts w:cs="Times New Roman"/>
                <w:sz w:val="24"/>
                <w:szCs w:val="24"/>
              </w:rPr>
              <w:t>结果表明，区域各监测点噪声值均达到《声环境质量标准》（GB3096-2008）3类标准，区域声环境质量良好。</w:t>
            </w:r>
          </w:p>
          <w:p>
            <w:pPr>
              <w:spacing w:line="360" w:lineRule="auto"/>
              <w:ind w:firstLine="482" w:firstLineChars="200"/>
              <w:rPr>
                <w:rFonts w:cs="Times New Roman"/>
                <w:b/>
                <w:bCs/>
                <w:sz w:val="24"/>
                <w:szCs w:val="32"/>
                <w:lang w:bidi="ar"/>
              </w:rPr>
            </w:pPr>
            <w:r>
              <w:rPr>
                <w:rFonts w:cs="Times New Roman"/>
                <w:b/>
                <w:bCs/>
                <w:sz w:val="24"/>
                <w:szCs w:val="24"/>
              </w:rPr>
              <w:t>4、</w:t>
            </w:r>
            <w:r>
              <w:rPr>
                <w:rFonts w:cs="Times New Roman"/>
                <w:b/>
                <w:bCs/>
                <w:sz w:val="24"/>
                <w:szCs w:val="32"/>
                <w:lang w:bidi="ar"/>
              </w:rPr>
              <w:t>土壤环境质量现状</w:t>
            </w:r>
          </w:p>
          <w:p>
            <w:pPr>
              <w:spacing w:line="360" w:lineRule="auto"/>
              <w:ind w:firstLine="482" w:firstLineChars="200"/>
              <w:rPr>
                <w:rFonts w:cs="Times New Roman"/>
                <w:b/>
                <w:bCs/>
                <w:sz w:val="24"/>
                <w:szCs w:val="32"/>
                <w:lang w:bidi="ar"/>
              </w:rPr>
            </w:pPr>
            <w:r>
              <w:rPr>
                <w:rFonts w:cs="Times New Roman"/>
                <w:b/>
                <w:bCs/>
                <w:sz w:val="24"/>
                <w:szCs w:val="32"/>
                <w:lang w:bidi="ar"/>
              </w:rPr>
              <w:t>（1）监测点位基本信息</w:t>
            </w:r>
          </w:p>
          <w:p>
            <w:pPr>
              <w:spacing w:line="360" w:lineRule="auto"/>
              <w:ind w:firstLine="480" w:firstLineChars="200"/>
              <w:rPr>
                <w:rFonts w:cs="Times New Roman"/>
                <w:sz w:val="24"/>
                <w:szCs w:val="32"/>
                <w:lang w:bidi="ar"/>
              </w:rPr>
            </w:pPr>
            <w:r>
              <w:rPr>
                <w:rFonts w:cs="Times New Roman"/>
                <w:sz w:val="24"/>
                <w:szCs w:val="32"/>
                <w:lang w:bidi="ar"/>
              </w:rPr>
              <w:t>为了解区域土壤环境质量现状，本次环评委托达州恒福环境监测服务有限公司于2023年</w:t>
            </w:r>
            <w:r>
              <w:rPr>
                <w:rFonts w:hint="eastAsia" w:cs="Times New Roman"/>
                <w:sz w:val="24"/>
                <w:szCs w:val="32"/>
                <w:lang w:bidi="ar"/>
              </w:rPr>
              <w:t>8</w:t>
            </w:r>
            <w:r>
              <w:rPr>
                <w:rFonts w:cs="Times New Roman"/>
                <w:sz w:val="24"/>
                <w:szCs w:val="32"/>
                <w:lang w:bidi="ar"/>
              </w:rPr>
              <w:t>月</w:t>
            </w:r>
            <w:r>
              <w:rPr>
                <w:rFonts w:hint="eastAsia" w:cs="Times New Roman"/>
                <w:sz w:val="24"/>
                <w:szCs w:val="32"/>
                <w:lang w:bidi="ar"/>
              </w:rPr>
              <w:t>6</w:t>
            </w:r>
            <w:r>
              <w:rPr>
                <w:rFonts w:cs="Times New Roman"/>
                <w:sz w:val="24"/>
                <w:szCs w:val="32"/>
                <w:lang w:bidi="ar"/>
              </w:rPr>
              <w:t>日对区域土壤环境进行监测。</w:t>
            </w:r>
          </w:p>
          <w:p>
            <w:pPr>
              <w:spacing w:line="360" w:lineRule="auto"/>
              <w:ind w:firstLine="480" w:firstLineChars="200"/>
              <w:rPr>
                <w:rFonts w:cs="Times New Roman"/>
                <w:sz w:val="24"/>
                <w:szCs w:val="32"/>
                <w:lang w:bidi="ar"/>
              </w:rPr>
            </w:pPr>
            <w:r>
              <w:rPr>
                <w:rFonts w:cs="Times New Roman"/>
                <w:sz w:val="24"/>
                <w:szCs w:val="32"/>
                <w:lang w:bidi="ar"/>
              </w:rPr>
              <w:t>本次环评共设土壤监测点1个，监测点基本信息见下表3-7。</w:t>
            </w:r>
          </w:p>
          <w:p>
            <w:pPr>
              <w:spacing w:line="360" w:lineRule="auto"/>
              <w:jc w:val="center"/>
              <w:rPr>
                <w:rFonts w:cs="Times New Roman"/>
                <w:b/>
                <w:bCs/>
                <w:sz w:val="24"/>
                <w:szCs w:val="24"/>
              </w:rPr>
            </w:pPr>
            <w:r>
              <w:rPr>
                <w:rFonts w:cs="Times New Roman"/>
                <w:b/>
                <w:bCs/>
                <w:sz w:val="24"/>
                <w:szCs w:val="24"/>
              </w:rPr>
              <w:t>表3-7 土壤监测点基本信息表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691"/>
              <w:gridCol w:w="693"/>
              <w:gridCol w:w="1281"/>
              <w:gridCol w:w="5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tcBorders>
                    <w:tl2br w:val="nil"/>
                    <w:tr2bl w:val="nil"/>
                  </w:tcBorders>
                  <w:vAlign w:val="center"/>
                </w:tcPr>
                <w:p>
                  <w:pPr>
                    <w:jc w:val="center"/>
                    <w:rPr>
                      <w:rFonts w:cs="Times New Roman"/>
                      <w:b/>
                      <w:bCs/>
                      <w:szCs w:val="21"/>
                    </w:rPr>
                  </w:pPr>
                  <w:r>
                    <w:rPr>
                      <w:rFonts w:cs="Times New Roman"/>
                      <w:b/>
                      <w:bCs/>
                      <w:szCs w:val="21"/>
                    </w:rPr>
                    <w:t>编号</w:t>
                  </w:r>
                </w:p>
              </w:tc>
              <w:tc>
                <w:tcPr>
                  <w:tcW w:w="410" w:type="pct"/>
                  <w:tcBorders>
                    <w:tl2br w:val="nil"/>
                    <w:tr2bl w:val="nil"/>
                  </w:tcBorders>
                  <w:vAlign w:val="center"/>
                </w:tcPr>
                <w:p>
                  <w:pPr>
                    <w:jc w:val="center"/>
                    <w:rPr>
                      <w:rFonts w:cs="Times New Roman"/>
                      <w:b/>
                      <w:bCs/>
                      <w:szCs w:val="21"/>
                    </w:rPr>
                  </w:pPr>
                  <w:r>
                    <w:rPr>
                      <w:rFonts w:cs="Times New Roman"/>
                      <w:b/>
                      <w:bCs/>
                      <w:szCs w:val="21"/>
                    </w:rPr>
                    <w:t>监测区域</w:t>
                  </w:r>
                </w:p>
              </w:tc>
              <w:tc>
                <w:tcPr>
                  <w:tcW w:w="411" w:type="pct"/>
                  <w:tcBorders>
                    <w:tl2br w:val="nil"/>
                    <w:tr2bl w:val="nil"/>
                  </w:tcBorders>
                  <w:vAlign w:val="center"/>
                </w:tcPr>
                <w:p>
                  <w:pPr>
                    <w:jc w:val="center"/>
                    <w:rPr>
                      <w:rFonts w:cs="Times New Roman"/>
                      <w:b/>
                      <w:bCs/>
                      <w:szCs w:val="21"/>
                    </w:rPr>
                  </w:pPr>
                  <w:r>
                    <w:rPr>
                      <w:rFonts w:cs="Times New Roman"/>
                      <w:b/>
                      <w:bCs/>
                      <w:szCs w:val="21"/>
                    </w:rPr>
                    <w:t>监测点位</w:t>
                  </w:r>
                </w:p>
              </w:tc>
              <w:tc>
                <w:tcPr>
                  <w:tcW w:w="723" w:type="pct"/>
                  <w:tcBorders>
                    <w:tl2br w:val="nil"/>
                    <w:tr2bl w:val="nil"/>
                  </w:tcBorders>
                  <w:vAlign w:val="center"/>
                </w:tcPr>
                <w:p>
                  <w:pPr>
                    <w:jc w:val="center"/>
                    <w:rPr>
                      <w:rFonts w:cs="Times New Roman"/>
                      <w:b/>
                      <w:bCs/>
                      <w:szCs w:val="21"/>
                    </w:rPr>
                  </w:pPr>
                  <w:r>
                    <w:rPr>
                      <w:rFonts w:cs="Times New Roman"/>
                      <w:b/>
                      <w:bCs/>
                      <w:szCs w:val="21"/>
                    </w:rPr>
                    <w:t>监测点类型</w:t>
                  </w:r>
                </w:p>
              </w:tc>
              <w:tc>
                <w:tcPr>
                  <w:tcW w:w="3074" w:type="pct"/>
                  <w:tcBorders>
                    <w:tl2br w:val="nil"/>
                    <w:tr2bl w:val="nil"/>
                  </w:tcBorders>
                  <w:vAlign w:val="center"/>
                </w:tcPr>
                <w:p>
                  <w:pPr>
                    <w:jc w:val="center"/>
                    <w:rPr>
                      <w:rFonts w:cs="Times New Roman"/>
                      <w:b/>
                      <w:bCs/>
                      <w:szCs w:val="21"/>
                    </w:rPr>
                  </w:pPr>
                  <w:r>
                    <w:rPr>
                      <w:rFonts w:cs="Times New Roman"/>
                      <w:b/>
                      <w:bCs/>
                      <w:szCs w:val="21"/>
                    </w:rPr>
                    <w:t>检测项目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81" w:type="pct"/>
                  <w:tcBorders>
                    <w:tl2br w:val="nil"/>
                    <w:tr2bl w:val="nil"/>
                  </w:tcBorders>
                  <w:vAlign w:val="center"/>
                </w:tcPr>
                <w:p>
                  <w:pPr>
                    <w:jc w:val="center"/>
                    <w:rPr>
                      <w:rFonts w:cs="Times New Roman"/>
                      <w:szCs w:val="21"/>
                    </w:rPr>
                  </w:pPr>
                  <w:r>
                    <w:rPr>
                      <w:rFonts w:cs="Times New Roman"/>
                      <w:szCs w:val="21"/>
                    </w:rPr>
                    <w:t>T1</w:t>
                  </w:r>
                </w:p>
              </w:tc>
              <w:tc>
                <w:tcPr>
                  <w:tcW w:w="410" w:type="pct"/>
                  <w:tcBorders>
                    <w:tl2br w:val="nil"/>
                    <w:tr2bl w:val="nil"/>
                  </w:tcBorders>
                  <w:vAlign w:val="center"/>
                </w:tcPr>
                <w:p>
                  <w:pPr>
                    <w:jc w:val="center"/>
                    <w:rPr>
                      <w:rFonts w:cs="Times New Roman"/>
                      <w:kern w:val="0"/>
                      <w:szCs w:val="21"/>
                    </w:rPr>
                  </w:pPr>
                  <w:r>
                    <w:rPr>
                      <w:rFonts w:cs="Times New Roman"/>
                      <w:kern w:val="0"/>
                      <w:szCs w:val="21"/>
                    </w:rPr>
                    <w:t>占地范围内</w:t>
                  </w:r>
                </w:p>
              </w:tc>
              <w:tc>
                <w:tcPr>
                  <w:tcW w:w="411" w:type="pct"/>
                  <w:tcBorders>
                    <w:tl2br w:val="nil"/>
                    <w:tr2bl w:val="nil"/>
                  </w:tcBorders>
                  <w:vAlign w:val="center"/>
                </w:tcPr>
                <w:p>
                  <w:pPr>
                    <w:jc w:val="center"/>
                    <w:rPr>
                      <w:rFonts w:cs="Times New Roman"/>
                      <w:kern w:val="0"/>
                      <w:szCs w:val="21"/>
                    </w:rPr>
                  </w:pPr>
                  <w:r>
                    <w:rPr>
                      <w:rFonts w:cs="Times New Roman"/>
                      <w:kern w:val="0"/>
                      <w:szCs w:val="21"/>
                    </w:rPr>
                    <w:t>厂区大门绿化带处</w:t>
                  </w:r>
                </w:p>
              </w:tc>
              <w:tc>
                <w:tcPr>
                  <w:tcW w:w="723" w:type="pct"/>
                  <w:tcBorders>
                    <w:tl2br w:val="nil"/>
                    <w:tr2bl w:val="nil"/>
                  </w:tcBorders>
                  <w:vAlign w:val="center"/>
                </w:tcPr>
                <w:p>
                  <w:pPr>
                    <w:jc w:val="center"/>
                    <w:rPr>
                      <w:rFonts w:cs="Times New Roman"/>
                      <w:szCs w:val="21"/>
                    </w:rPr>
                  </w:pPr>
                  <w:r>
                    <w:rPr>
                      <w:rFonts w:cs="Times New Roman"/>
                      <w:szCs w:val="21"/>
                    </w:rPr>
                    <w:t>表层样（0~0.2m）</w:t>
                  </w:r>
                </w:p>
              </w:tc>
              <w:tc>
                <w:tcPr>
                  <w:tcW w:w="3074" w:type="pct"/>
                  <w:tcBorders>
                    <w:tl2br w:val="nil"/>
                    <w:tr2bl w:val="nil"/>
                  </w:tcBorders>
                  <w:vAlign w:val="center"/>
                </w:tcPr>
                <w:p>
                  <w:pPr>
                    <w:jc w:val="center"/>
                    <w:rPr>
                      <w:rFonts w:cs="Times New Roman"/>
                      <w:szCs w:val="21"/>
                    </w:rPr>
                  </w:pPr>
                  <w:r>
                    <w:rPr>
                      <w:rFonts w:cs="Times New Roman"/>
                      <w:szCs w:val="21"/>
                    </w:rPr>
                    <w:t>砷、镉、铬（六价）、铜、铅、汞、镍、四氯化碳、氯仿、氯甲烷、1,</w:t>
                  </w:r>
                  <w:r>
                    <w:rPr>
                      <w:rFonts w:eastAsia="Times New Roman" w:cs="Times New Roman"/>
                      <w:szCs w:val="21"/>
                    </w:rPr>
                    <w:t>1-</w:t>
                  </w:r>
                  <w:r>
                    <w:rPr>
                      <w:rFonts w:cs="Times New Roman"/>
                      <w:szCs w:val="21"/>
                    </w:rPr>
                    <w:t>二氯乙烷、1,</w:t>
                  </w:r>
                  <w:r>
                    <w:rPr>
                      <w:rFonts w:eastAsia="Times New Roman" w:cs="Times New Roman"/>
                      <w:szCs w:val="21"/>
                    </w:rPr>
                    <w:t>2-</w:t>
                  </w:r>
                  <w:r>
                    <w:rPr>
                      <w:rFonts w:cs="Times New Roman"/>
                      <w:szCs w:val="21"/>
                    </w:rPr>
                    <w:t>二氯乙烷、1,1-二氯乙烯、顺-1,2-二氯乙烯、反-1,2-二氯乙烯、 二氯甲烷、1,2-二氯丙烷、1,1,1,2-四氯乙烷、1,1,2,2-四氯乙烷、四氯乙烯、1,1,1-三氯乙烷、1,1,2-三氯乙烷、三氯乙烯、1,2,3-三氯丙烷、氯乙烯、苯、 氯苯、1,2- 二氯苯、</w:t>
                  </w:r>
                  <w:r>
                    <w:rPr>
                      <w:rFonts w:eastAsia="Times New Roman" w:cs="Times New Roman"/>
                      <w:szCs w:val="21"/>
                    </w:rPr>
                    <w:t>1,4-</w:t>
                  </w:r>
                  <w:r>
                    <w:rPr>
                      <w:rFonts w:cs="Times New Roman"/>
                      <w:szCs w:val="21"/>
                    </w:rPr>
                    <w:t>二氯苯、乙苯、苯乙烯、甲苯、间二甲苯</w:t>
                  </w:r>
                  <w:r>
                    <w:rPr>
                      <w:rFonts w:eastAsia="Times New Roman" w:cs="Times New Roman"/>
                      <w:szCs w:val="21"/>
                    </w:rPr>
                    <w:t xml:space="preserve">+ </w:t>
                  </w:r>
                  <w:r>
                    <w:rPr>
                      <w:rFonts w:cs="Times New Roman"/>
                      <w:szCs w:val="21"/>
                    </w:rPr>
                    <w:t>对二甲苯、邻二甲苯、硝基苯、苯胺、</w:t>
                  </w:r>
                  <w:r>
                    <w:rPr>
                      <w:rFonts w:eastAsia="Times New Roman" w:cs="Times New Roman"/>
                      <w:szCs w:val="21"/>
                    </w:rPr>
                    <w:t>2-</w:t>
                  </w:r>
                  <w:r>
                    <w:rPr>
                      <w:rFonts w:cs="Times New Roman"/>
                      <w:szCs w:val="21"/>
                    </w:rPr>
                    <w:t>氯酚、苯并[a]蒽、苯并[a]芘、苯并[b]荧蒽、䓛、苯并[k]荧蒽、二苯并[a,h]蒽、茚并[1,2,3-cd]芘、萘、pH</w:t>
                  </w:r>
                </w:p>
              </w:tc>
            </w:tr>
          </w:tbl>
          <w:p>
            <w:pPr>
              <w:spacing w:line="360" w:lineRule="auto"/>
              <w:ind w:firstLine="482" w:firstLineChars="200"/>
              <w:rPr>
                <w:rFonts w:cs="Times New Roman"/>
                <w:b/>
                <w:bCs/>
                <w:sz w:val="24"/>
                <w:szCs w:val="32"/>
                <w:lang w:bidi="ar"/>
              </w:rPr>
            </w:pPr>
            <w:r>
              <w:rPr>
                <w:rFonts w:cs="Times New Roman"/>
                <w:b/>
                <w:bCs/>
                <w:sz w:val="24"/>
                <w:szCs w:val="32"/>
                <w:lang w:bidi="ar"/>
              </w:rPr>
              <w:t>（2）评价标准</w:t>
            </w:r>
          </w:p>
          <w:p>
            <w:pPr>
              <w:spacing w:line="360" w:lineRule="auto"/>
              <w:ind w:firstLine="480" w:firstLineChars="200"/>
              <w:rPr>
                <w:rFonts w:cs="Times New Roman"/>
                <w:sz w:val="24"/>
                <w:szCs w:val="32"/>
                <w:lang w:bidi="ar"/>
              </w:rPr>
            </w:pPr>
            <w:r>
              <w:rPr>
                <w:rFonts w:cs="Times New Roman"/>
                <w:sz w:val="24"/>
                <w:szCs w:val="32"/>
                <w:lang w:bidi="ar"/>
              </w:rPr>
              <w:t>执行《土壤环境质量建设用地土壤污染风险管控标准（试行）》（GB36600-2018）中二类用地筛选值。</w:t>
            </w:r>
          </w:p>
          <w:p>
            <w:pPr>
              <w:spacing w:line="360" w:lineRule="auto"/>
              <w:ind w:firstLine="482" w:firstLineChars="200"/>
              <w:rPr>
                <w:rFonts w:cs="Times New Roman"/>
                <w:b/>
                <w:bCs/>
                <w:sz w:val="24"/>
                <w:szCs w:val="32"/>
                <w:lang w:bidi="ar"/>
              </w:rPr>
            </w:pPr>
            <w:r>
              <w:rPr>
                <w:rFonts w:cs="Times New Roman"/>
                <w:b/>
                <w:bCs/>
                <w:sz w:val="24"/>
                <w:szCs w:val="32"/>
                <w:lang w:bidi="ar"/>
              </w:rPr>
              <w:t>（3）评价方法</w:t>
            </w:r>
          </w:p>
          <w:p>
            <w:pPr>
              <w:spacing w:line="360" w:lineRule="auto"/>
              <w:ind w:firstLine="480" w:firstLineChars="200"/>
              <w:rPr>
                <w:rFonts w:cs="Times New Roman"/>
                <w:sz w:val="24"/>
                <w:szCs w:val="32"/>
                <w:lang w:bidi="ar"/>
              </w:rPr>
            </w:pPr>
            <w:r>
              <w:rPr>
                <w:rFonts w:cs="Times New Roman"/>
                <w:sz w:val="24"/>
                <w:szCs w:val="32"/>
                <w:lang w:bidi="ar"/>
              </w:rPr>
              <w:t>据HJ964-2018规定，土壤环境质量现状评价采用标准指数法。标准指数&gt;1，表明该因子已超标，标准指数越大，超标越严重。</w:t>
            </w:r>
          </w:p>
          <w:p>
            <w:pPr>
              <w:spacing w:line="360" w:lineRule="auto"/>
              <w:ind w:firstLine="480" w:firstLineChars="200"/>
              <w:rPr>
                <w:rFonts w:cs="Times New Roman"/>
                <w:sz w:val="24"/>
                <w:szCs w:val="32"/>
                <w:lang w:bidi="ar"/>
              </w:rPr>
            </w:pPr>
            <w:r>
              <w:rPr>
                <w:rFonts w:cs="Times New Roman"/>
                <w:sz w:val="24"/>
                <w:szCs w:val="32"/>
                <w:lang w:bidi="ar"/>
              </w:rPr>
              <w:t>土壤现状评价采用单项分指数法评价，公式如下：</w:t>
            </w:r>
          </w:p>
          <w:p>
            <w:pPr>
              <w:spacing w:line="360" w:lineRule="auto"/>
              <w:jc w:val="center"/>
              <w:rPr>
                <w:rFonts w:cs="Times New Roman"/>
                <w:sz w:val="24"/>
                <w:szCs w:val="32"/>
                <w:lang w:bidi="ar"/>
              </w:rPr>
            </w:pPr>
            <w:r>
              <w:rPr>
                <w:rFonts w:cs="Times New Roman"/>
                <w:sz w:val="24"/>
                <w:szCs w:val="32"/>
                <w:lang w:bidi="ar"/>
              </w:rPr>
              <w:t>Ki=Ci/Si</w:t>
            </w:r>
          </w:p>
          <w:p>
            <w:pPr>
              <w:spacing w:line="360" w:lineRule="auto"/>
              <w:ind w:firstLine="480" w:firstLineChars="200"/>
              <w:rPr>
                <w:rFonts w:cs="Times New Roman"/>
                <w:sz w:val="24"/>
                <w:szCs w:val="32"/>
                <w:lang w:bidi="ar"/>
              </w:rPr>
            </w:pPr>
            <w:r>
              <w:rPr>
                <w:rFonts w:cs="Times New Roman"/>
                <w:sz w:val="24"/>
                <w:szCs w:val="32"/>
                <w:lang w:bidi="ar"/>
              </w:rPr>
              <w:t>式中：Ki—第i项参数的分指数；</w:t>
            </w:r>
          </w:p>
          <w:p>
            <w:pPr>
              <w:spacing w:line="360" w:lineRule="auto"/>
              <w:ind w:firstLine="1200" w:firstLineChars="500"/>
              <w:rPr>
                <w:rFonts w:cs="Times New Roman"/>
                <w:sz w:val="24"/>
                <w:szCs w:val="32"/>
                <w:lang w:bidi="ar"/>
              </w:rPr>
            </w:pPr>
            <w:r>
              <w:rPr>
                <w:rFonts w:cs="Times New Roman"/>
                <w:sz w:val="24"/>
                <w:szCs w:val="32"/>
                <w:lang w:bidi="ar"/>
              </w:rPr>
              <w:t>Ci—第i项参数的实测值；</w:t>
            </w:r>
          </w:p>
          <w:p>
            <w:pPr>
              <w:spacing w:line="360" w:lineRule="auto"/>
              <w:ind w:firstLine="1200" w:firstLineChars="500"/>
              <w:rPr>
                <w:rFonts w:cs="Times New Roman"/>
                <w:sz w:val="24"/>
                <w:szCs w:val="32"/>
                <w:lang w:bidi="ar"/>
              </w:rPr>
            </w:pPr>
            <w:r>
              <w:rPr>
                <w:rFonts w:cs="Times New Roman"/>
                <w:sz w:val="24"/>
                <w:szCs w:val="32"/>
                <w:lang w:bidi="ar"/>
              </w:rPr>
              <w:t>Si—第i项参数的标准值。</w:t>
            </w:r>
          </w:p>
          <w:p>
            <w:pPr>
              <w:spacing w:line="360" w:lineRule="auto"/>
              <w:ind w:firstLine="482" w:firstLineChars="200"/>
              <w:rPr>
                <w:rFonts w:cs="Times New Roman"/>
                <w:b/>
                <w:bCs/>
                <w:sz w:val="24"/>
                <w:szCs w:val="32"/>
                <w:lang w:bidi="ar"/>
              </w:rPr>
            </w:pPr>
            <w:r>
              <w:rPr>
                <w:rFonts w:cs="Times New Roman"/>
                <w:b/>
                <w:bCs/>
                <w:sz w:val="24"/>
                <w:szCs w:val="32"/>
                <w:lang w:bidi="ar"/>
              </w:rPr>
              <w:t>（4）监测结果及评价结果</w:t>
            </w:r>
          </w:p>
          <w:p>
            <w:pPr>
              <w:spacing w:line="360" w:lineRule="auto"/>
              <w:jc w:val="center"/>
              <w:rPr>
                <w:rFonts w:cs="Times New Roman"/>
                <w:b/>
                <w:bCs/>
                <w:sz w:val="24"/>
                <w:szCs w:val="24"/>
              </w:rPr>
            </w:pPr>
            <w:r>
              <w:rPr>
                <w:rFonts w:cs="Times New Roman"/>
                <w:b/>
                <w:bCs/>
                <w:sz w:val="24"/>
                <w:szCs w:val="24"/>
              </w:rPr>
              <w:t>表3-8 土壤环境质量现状监测及评价结果表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3"/>
              <w:gridCol w:w="1553"/>
              <w:gridCol w:w="2959"/>
              <w:gridCol w:w="1591"/>
              <w:gridCol w:w="1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9" w:type="pct"/>
                  <w:vMerge w:val="restart"/>
                  <w:tcBorders>
                    <w:tl2br w:val="nil"/>
                    <w:tr2bl w:val="nil"/>
                  </w:tcBorders>
                  <w:vAlign w:val="center"/>
                </w:tcPr>
                <w:p>
                  <w:pPr>
                    <w:jc w:val="center"/>
                    <w:rPr>
                      <w:rFonts w:cs="Times New Roman"/>
                      <w:b/>
                      <w:bCs/>
                    </w:rPr>
                  </w:pPr>
                  <w:r>
                    <w:rPr>
                      <w:rFonts w:cs="Times New Roman"/>
                      <w:b/>
                      <w:bCs/>
                    </w:rPr>
                    <w:t>采样日期</w:t>
                  </w:r>
                </w:p>
              </w:tc>
              <w:tc>
                <w:tcPr>
                  <w:tcW w:w="907" w:type="pct"/>
                  <w:vMerge w:val="restart"/>
                  <w:tcBorders>
                    <w:tl2br w:val="nil"/>
                    <w:tr2bl w:val="nil"/>
                  </w:tcBorders>
                  <w:vAlign w:val="center"/>
                </w:tcPr>
                <w:p>
                  <w:pPr>
                    <w:jc w:val="center"/>
                    <w:rPr>
                      <w:rFonts w:cs="Times New Roman"/>
                      <w:b/>
                      <w:bCs/>
                    </w:rPr>
                  </w:pPr>
                  <w:r>
                    <w:rPr>
                      <w:rFonts w:cs="Times New Roman"/>
                      <w:b/>
                      <w:bCs/>
                    </w:rPr>
                    <w:t>检测因子</w:t>
                  </w:r>
                </w:p>
              </w:tc>
              <w:tc>
                <w:tcPr>
                  <w:tcW w:w="1728" w:type="pct"/>
                  <w:tcBorders>
                    <w:tl2br w:val="nil"/>
                    <w:tr2bl w:val="nil"/>
                  </w:tcBorders>
                  <w:vAlign w:val="center"/>
                </w:tcPr>
                <w:p>
                  <w:pPr>
                    <w:jc w:val="center"/>
                    <w:rPr>
                      <w:rFonts w:cs="Times New Roman"/>
                      <w:b/>
                      <w:bCs/>
                    </w:rPr>
                  </w:pPr>
                  <w:r>
                    <w:rPr>
                      <w:rFonts w:cs="Times New Roman"/>
                      <w:b/>
                      <w:bCs/>
                    </w:rPr>
                    <w:t>检测点位编号、位置及检测结果</w:t>
                  </w:r>
                </w:p>
              </w:tc>
              <w:tc>
                <w:tcPr>
                  <w:tcW w:w="929" w:type="pct"/>
                  <w:tcBorders>
                    <w:tl2br w:val="nil"/>
                    <w:tr2bl w:val="nil"/>
                  </w:tcBorders>
                  <w:vAlign w:val="center"/>
                </w:tcPr>
                <w:p>
                  <w:pPr>
                    <w:jc w:val="center"/>
                    <w:rPr>
                      <w:rFonts w:cs="Times New Roman"/>
                      <w:b/>
                      <w:bCs/>
                    </w:rPr>
                  </w:pPr>
                  <w:r>
                    <w:rPr>
                      <w:rFonts w:cs="Times New Roman"/>
                      <w:b/>
                      <w:bCs/>
                    </w:rPr>
                    <w:t>筛选值</w:t>
                  </w:r>
                </w:p>
              </w:tc>
              <w:tc>
                <w:tcPr>
                  <w:tcW w:w="755" w:type="pct"/>
                  <w:vMerge w:val="restart"/>
                  <w:tcBorders>
                    <w:tl2br w:val="nil"/>
                    <w:tr2bl w:val="nil"/>
                  </w:tcBorders>
                  <w:vAlign w:val="center"/>
                </w:tcPr>
                <w:p>
                  <w:pPr>
                    <w:jc w:val="center"/>
                    <w:rPr>
                      <w:rFonts w:cs="Times New Roman"/>
                      <w:b/>
                      <w:bCs/>
                    </w:rPr>
                  </w:pPr>
                  <w:r>
                    <w:rPr>
                      <w:rFonts w:cs="Times New Roman"/>
                      <w:b/>
                      <w:position w:val="1"/>
                    </w:rPr>
                    <w:t>S</w:t>
                  </w:r>
                  <w:r>
                    <w:rPr>
                      <w:rFonts w:cs="Times New Roman"/>
                      <w:b/>
                      <w:position w:val="-2"/>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9" w:type="pct"/>
                  <w:vMerge w:val="continue"/>
                  <w:tcBorders>
                    <w:tl2br w:val="nil"/>
                    <w:tr2bl w:val="nil"/>
                  </w:tcBorders>
                  <w:vAlign w:val="center"/>
                </w:tcPr>
                <w:p>
                  <w:pPr>
                    <w:jc w:val="center"/>
                    <w:rPr>
                      <w:rFonts w:cs="Times New Roman"/>
                    </w:rPr>
                  </w:pPr>
                </w:p>
              </w:tc>
              <w:tc>
                <w:tcPr>
                  <w:tcW w:w="907" w:type="pct"/>
                  <w:vMerge w:val="continue"/>
                  <w:tcBorders>
                    <w:tl2br w:val="nil"/>
                    <w:tr2bl w:val="nil"/>
                  </w:tcBorders>
                  <w:vAlign w:val="center"/>
                </w:tcPr>
                <w:p>
                  <w:pPr>
                    <w:jc w:val="center"/>
                    <w:rPr>
                      <w:rFonts w:cs="Times New Roman"/>
                      <w:b/>
                      <w:bCs/>
                    </w:rPr>
                  </w:pPr>
                </w:p>
              </w:tc>
              <w:tc>
                <w:tcPr>
                  <w:tcW w:w="1728" w:type="pct"/>
                  <w:tcBorders>
                    <w:tl2br w:val="nil"/>
                    <w:tr2bl w:val="nil"/>
                  </w:tcBorders>
                  <w:vAlign w:val="center"/>
                </w:tcPr>
                <w:p>
                  <w:pPr>
                    <w:jc w:val="center"/>
                    <w:rPr>
                      <w:rFonts w:cs="Times New Roman"/>
                      <w:b/>
                    </w:rPr>
                  </w:pPr>
                  <w:r>
                    <w:rPr>
                      <w:rFonts w:cs="Times New Roman"/>
                      <w:b/>
                    </w:rPr>
                    <w:t>T1，厂区大门绿化带处</w:t>
                  </w:r>
                </w:p>
              </w:tc>
              <w:tc>
                <w:tcPr>
                  <w:tcW w:w="929" w:type="pct"/>
                  <w:tcBorders>
                    <w:tl2br w:val="nil"/>
                    <w:tr2bl w:val="nil"/>
                  </w:tcBorders>
                  <w:vAlign w:val="center"/>
                </w:tcPr>
                <w:p>
                  <w:pPr>
                    <w:jc w:val="center"/>
                    <w:rPr>
                      <w:rFonts w:cs="Times New Roman"/>
                      <w:b/>
                    </w:rPr>
                  </w:pPr>
                  <w:r>
                    <w:rPr>
                      <w:rFonts w:cs="Times New Roman"/>
                      <w:b/>
                    </w:rPr>
                    <w:t>第二类用地</w:t>
                  </w:r>
                </w:p>
              </w:tc>
              <w:tc>
                <w:tcPr>
                  <w:tcW w:w="755" w:type="pct"/>
                  <w:vMerge w:val="continue"/>
                  <w:tcBorders>
                    <w:tl2br w:val="nil"/>
                    <w:tr2bl w:val="nil"/>
                  </w:tcBorders>
                  <w:vAlign w:val="center"/>
                </w:tcPr>
                <w:p>
                  <w:pPr>
                    <w:jc w:val="center"/>
                    <w:rPr>
                      <w:rFonts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restart"/>
                  <w:tcBorders>
                    <w:tl2br w:val="nil"/>
                    <w:tr2bl w:val="nil"/>
                  </w:tcBorders>
                  <w:vAlign w:val="center"/>
                </w:tcPr>
                <w:p>
                  <w:pPr>
                    <w:jc w:val="center"/>
                    <w:rPr>
                      <w:rFonts w:cs="Times New Roman"/>
                    </w:rPr>
                  </w:pPr>
                  <w:r>
                    <w:rPr>
                      <w:rFonts w:cs="Times New Roman"/>
                      <w:bCs/>
                      <w:kern w:val="0"/>
                      <w:szCs w:val="21"/>
                    </w:rPr>
                    <w:t>2023.08.0</w:t>
                  </w:r>
                  <w:r>
                    <w:rPr>
                      <w:rFonts w:hint="eastAsia" w:cs="Times New Roman"/>
                      <w:bCs/>
                      <w:kern w:val="0"/>
                      <w:szCs w:val="21"/>
                    </w:rPr>
                    <w:t>6</w:t>
                  </w:r>
                </w:p>
              </w:tc>
              <w:tc>
                <w:tcPr>
                  <w:tcW w:w="907" w:type="pct"/>
                  <w:tcBorders>
                    <w:tl2br w:val="nil"/>
                    <w:tr2bl w:val="nil"/>
                  </w:tcBorders>
                  <w:vAlign w:val="center"/>
                </w:tcPr>
                <w:p>
                  <w:pPr>
                    <w:autoSpaceDE w:val="0"/>
                    <w:autoSpaceDN w:val="0"/>
                    <w:jc w:val="center"/>
                    <w:rPr>
                      <w:rFonts w:cs="Times New Roman"/>
                    </w:rPr>
                  </w:pPr>
                  <w:r>
                    <w:rPr>
                      <w:rFonts w:cs="Times New Roman"/>
                    </w:rPr>
                    <w:t>pH（无量纲）</w:t>
                  </w:r>
                </w:p>
              </w:tc>
              <w:tc>
                <w:tcPr>
                  <w:tcW w:w="1728"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7.2</w:t>
                  </w:r>
                </w:p>
              </w:tc>
              <w:tc>
                <w:tcPr>
                  <w:tcW w:w="929"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bCs/>
                    </w:rPr>
                  </w:pPr>
                </w:p>
              </w:tc>
              <w:tc>
                <w:tcPr>
                  <w:tcW w:w="907" w:type="pct"/>
                  <w:tcBorders>
                    <w:tl2br w:val="nil"/>
                    <w:tr2bl w:val="nil"/>
                  </w:tcBorders>
                  <w:vAlign w:val="center"/>
                </w:tcPr>
                <w:p>
                  <w:pPr>
                    <w:autoSpaceDE w:val="0"/>
                    <w:autoSpaceDN w:val="0"/>
                    <w:jc w:val="center"/>
                    <w:rPr>
                      <w:rFonts w:cs="Times New Roman"/>
                    </w:rPr>
                  </w:pPr>
                  <w:r>
                    <w:rPr>
                      <w:rFonts w:cs="Times New Roman"/>
                    </w:rPr>
                    <w:t>铜</w:t>
                  </w:r>
                </w:p>
              </w:tc>
              <w:tc>
                <w:tcPr>
                  <w:tcW w:w="1728" w:type="pct"/>
                  <w:tcBorders>
                    <w:tl2br w:val="nil"/>
                    <w:tr2bl w:val="nil"/>
                  </w:tcBorders>
                  <w:vAlign w:val="center"/>
                </w:tcPr>
                <w:p>
                  <w:pPr>
                    <w:widowControl/>
                    <w:jc w:val="center"/>
                    <w:textAlignment w:val="top"/>
                    <w:rPr>
                      <w:rFonts w:cs="Times New Roman"/>
                      <w:kern w:val="0"/>
                      <w:szCs w:val="21"/>
                      <w:lang w:bidi="ar"/>
                    </w:rPr>
                  </w:pPr>
                  <w:r>
                    <w:rPr>
                      <w:rFonts w:cs="Times New Roman"/>
                      <w:szCs w:val="21"/>
                    </w:rPr>
                    <w:t>30</w:t>
                  </w:r>
                </w:p>
              </w:tc>
              <w:tc>
                <w:tcPr>
                  <w:tcW w:w="929"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18000</w:t>
                  </w:r>
                </w:p>
              </w:tc>
              <w:tc>
                <w:tcPr>
                  <w:tcW w:w="1292" w:type="dxa"/>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 xml:space="preserve">0.002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铅</w:t>
                  </w:r>
                </w:p>
              </w:tc>
              <w:tc>
                <w:tcPr>
                  <w:tcW w:w="1728" w:type="pct"/>
                  <w:tcBorders>
                    <w:tl2br w:val="nil"/>
                    <w:tr2bl w:val="nil"/>
                  </w:tcBorders>
                  <w:vAlign w:val="center"/>
                </w:tcPr>
                <w:p>
                  <w:pPr>
                    <w:widowControl/>
                    <w:jc w:val="center"/>
                    <w:textAlignment w:val="top"/>
                    <w:rPr>
                      <w:rFonts w:cs="Times New Roman"/>
                      <w:kern w:val="0"/>
                      <w:szCs w:val="21"/>
                      <w:lang w:bidi="ar"/>
                    </w:rPr>
                  </w:pPr>
                  <w:r>
                    <w:rPr>
                      <w:rFonts w:cs="Times New Roman"/>
                      <w:szCs w:val="21"/>
                    </w:rPr>
                    <w:t>30</w:t>
                  </w:r>
                </w:p>
              </w:tc>
              <w:tc>
                <w:tcPr>
                  <w:tcW w:w="929"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800</w:t>
                  </w:r>
                </w:p>
              </w:tc>
              <w:tc>
                <w:tcPr>
                  <w:tcW w:w="1292" w:type="dxa"/>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 xml:space="preserve">0.038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镍</w:t>
                  </w:r>
                </w:p>
              </w:tc>
              <w:tc>
                <w:tcPr>
                  <w:tcW w:w="1728" w:type="pct"/>
                  <w:tcBorders>
                    <w:tl2br w:val="nil"/>
                    <w:tr2bl w:val="nil"/>
                  </w:tcBorders>
                  <w:vAlign w:val="center"/>
                </w:tcPr>
                <w:p>
                  <w:pPr>
                    <w:widowControl/>
                    <w:jc w:val="center"/>
                    <w:textAlignment w:val="top"/>
                    <w:rPr>
                      <w:rFonts w:cs="Times New Roman"/>
                      <w:szCs w:val="21"/>
                    </w:rPr>
                  </w:pPr>
                  <w:r>
                    <w:rPr>
                      <w:rFonts w:cs="Times New Roman"/>
                      <w:szCs w:val="21"/>
                    </w:rPr>
                    <w:t>54</w:t>
                  </w:r>
                </w:p>
              </w:tc>
              <w:tc>
                <w:tcPr>
                  <w:tcW w:w="929"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900</w:t>
                  </w:r>
                </w:p>
              </w:tc>
              <w:tc>
                <w:tcPr>
                  <w:tcW w:w="1292" w:type="dxa"/>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 xml:space="preserve">0.060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镉</w:t>
                  </w:r>
                </w:p>
              </w:tc>
              <w:tc>
                <w:tcPr>
                  <w:tcW w:w="1728" w:type="pct"/>
                  <w:tcBorders>
                    <w:tl2br w:val="nil"/>
                    <w:tr2bl w:val="nil"/>
                  </w:tcBorders>
                  <w:vAlign w:val="center"/>
                </w:tcPr>
                <w:p>
                  <w:pPr>
                    <w:widowControl/>
                    <w:jc w:val="center"/>
                    <w:textAlignment w:val="top"/>
                    <w:rPr>
                      <w:rFonts w:cs="Times New Roman"/>
                      <w:szCs w:val="21"/>
                    </w:rPr>
                  </w:pPr>
                  <w:r>
                    <w:rPr>
                      <w:rFonts w:cs="Times New Roman"/>
                      <w:szCs w:val="21"/>
                    </w:rPr>
                    <w:t>0.24</w:t>
                  </w:r>
                </w:p>
              </w:tc>
              <w:tc>
                <w:tcPr>
                  <w:tcW w:w="929" w:type="pct"/>
                  <w:tcBorders>
                    <w:tl2br w:val="nil"/>
                    <w:tr2bl w:val="nil"/>
                  </w:tcBorders>
                  <w:vAlign w:val="center"/>
                </w:tcPr>
                <w:p>
                  <w:pPr>
                    <w:widowControl/>
                    <w:jc w:val="center"/>
                    <w:textAlignment w:val="top"/>
                    <w:rPr>
                      <w:rFonts w:cs="Times New Roman"/>
                      <w:szCs w:val="21"/>
                    </w:rPr>
                  </w:pPr>
                  <w:r>
                    <w:rPr>
                      <w:rFonts w:cs="Times New Roman"/>
                      <w:szCs w:val="21"/>
                    </w:rPr>
                    <w:t>65</w:t>
                  </w:r>
                </w:p>
              </w:tc>
              <w:tc>
                <w:tcPr>
                  <w:tcW w:w="1292" w:type="dxa"/>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 xml:space="preserve">0.004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砷</w:t>
                  </w:r>
                </w:p>
              </w:tc>
              <w:tc>
                <w:tcPr>
                  <w:tcW w:w="1728" w:type="pct"/>
                  <w:tcBorders>
                    <w:tl2br w:val="nil"/>
                    <w:tr2bl w:val="nil"/>
                  </w:tcBorders>
                  <w:vAlign w:val="center"/>
                </w:tcPr>
                <w:p>
                  <w:pPr>
                    <w:widowControl/>
                    <w:jc w:val="center"/>
                    <w:textAlignment w:val="top"/>
                    <w:rPr>
                      <w:rFonts w:cs="Times New Roman"/>
                      <w:kern w:val="0"/>
                      <w:szCs w:val="21"/>
                    </w:rPr>
                  </w:pPr>
                  <w:r>
                    <w:rPr>
                      <w:rFonts w:cs="Times New Roman"/>
                      <w:szCs w:val="21"/>
                    </w:rPr>
                    <w:t>2.93</w:t>
                  </w:r>
                </w:p>
              </w:tc>
              <w:tc>
                <w:tcPr>
                  <w:tcW w:w="929" w:type="pct"/>
                  <w:tcBorders>
                    <w:tl2br w:val="nil"/>
                    <w:tr2bl w:val="nil"/>
                  </w:tcBorders>
                  <w:vAlign w:val="center"/>
                </w:tcPr>
                <w:p>
                  <w:pPr>
                    <w:widowControl/>
                    <w:jc w:val="center"/>
                    <w:textAlignment w:val="top"/>
                    <w:rPr>
                      <w:rFonts w:cs="Times New Roman"/>
                      <w:kern w:val="0"/>
                      <w:szCs w:val="21"/>
                    </w:rPr>
                  </w:pPr>
                  <w:r>
                    <w:rPr>
                      <w:rFonts w:cs="Times New Roman"/>
                      <w:kern w:val="0"/>
                      <w:szCs w:val="21"/>
                    </w:rPr>
                    <w:t>60</w:t>
                  </w:r>
                  <w:r>
                    <w:rPr>
                      <w:rFonts w:cs="Times New Roman"/>
                      <w:kern w:val="0"/>
                      <w:szCs w:val="21"/>
                      <w:vertAlign w:val="superscript"/>
                    </w:rPr>
                    <w:t>a</w:t>
                  </w:r>
                </w:p>
              </w:tc>
              <w:tc>
                <w:tcPr>
                  <w:tcW w:w="1292" w:type="dxa"/>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 xml:space="preserve">0.049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汞</w:t>
                  </w:r>
                </w:p>
              </w:tc>
              <w:tc>
                <w:tcPr>
                  <w:tcW w:w="1728" w:type="pct"/>
                  <w:tcBorders>
                    <w:tl2br w:val="nil"/>
                    <w:tr2bl w:val="nil"/>
                  </w:tcBorders>
                  <w:vAlign w:val="center"/>
                </w:tcPr>
                <w:p>
                  <w:pPr>
                    <w:widowControl/>
                    <w:jc w:val="center"/>
                    <w:textAlignment w:val="top"/>
                    <w:rPr>
                      <w:rFonts w:cs="Times New Roman"/>
                      <w:kern w:val="0"/>
                      <w:szCs w:val="21"/>
                    </w:rPr>
                  </w:pPr>
                  <w:r>
                    <w:rPr>
                      <w:rFonts w:cs="Times New Roman"/>
                      <w:kern w:val="0"/>
                      <w:szCs w:val="21"/>
                      <w:lang w:bidi="ar"/>
                    </w:rPr>
                    <w:t>0.169</w:t>
                  </w:r>
                </w:p>
              </w:tc>
              <w:tc>
                <w:tcPr>
                  <w:tcW w:w="929" w:type="pct"/>
                  <w:tcBorders>
                    <w:tl2br w:val="nil"/>
                    <w:tr2bl w:val="nil"/>
                  </w:tcBorders>
                  <w:vAlign w:val="center"/>
                </w:tcPr>
                <w:p>
                  <w:pPr>
                    <w:widowControl/>
                    <w:jc w:val="center"/>
                    <w:textAlignment w:val="top"/>
                    <w:rPr>
                      <w:rFonts w:cs="Times New Roman"/>
                      <w:kern w:val="0"/>
                      <w:szCs w:val="21"/>
                    </w:rPr>
                  </w:pPr>
                  <w:r>
                    <w:rPr>
                      <w:rFonts w:cs="Times New Roman"/>
                      <w:kern w:val="0"/>
                      <w:szCs w:val="21"/>
                    </w:rPr>
                    <w:t>38</w:t>
                  </w:r>
                </w:p>
              </w:tc>
              <w:tc>
                <w:tcPr>
                  <w:tcW w:w="1292" w:type="dxa"/>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 xml:space="preserve">0.004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铬（六价）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5.7</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石油烃</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4500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pStyle w:val="77"/>
                    <w:spacing w:before="0" w:after="0"/>
                    <w:rPr>
                      <w:rFonts w:cs="Times New Roman"/>
                      <w:sz w:val="21"/>
                      <w:szCs w:val="21"/>
                    </w:rPr>
                  </w:pPr>
                  <w:r>
                    <w:rPr>
                      <w:rFonts w:cs="Times New Roman"/>
                      <w:sz w:val="21"/>
                      <w:szCs w:val="21"/>
                    </w:rPr>
                    <w:t>四氯化碳</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2.8</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氯仿</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0.9</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1,1-二氯乙烷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9</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spacing w:val="-4"/>
                    </w:rPr>
                  </w:pPr>
                  <w:r>
                    <w:rPr>
                      <w:rFonts w:cs="Times New Roman"/>
                      <w:spacing w:val="-4"/>
                    </w:rPr>
                    <w:t>1,2-二氯乙烷，苯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5，4</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1,1-二氯乙烯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66</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spacing w:val="-8"/>
                    </w:rPr>
                  </w:pPr>
                  <w:r>
                    <w:rPr>
                      <w:rFonts w:cs="Times New Roman"/>
                      <w:spacing w:val="-8"/>
                    </w:rPr>
                    <w:t>顺-1,2-二氯乙烯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596</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spacing w:val="-8"/>
                    </w:rPr>
                  </w:pPr>
                  <w:r>
                    <w:rPr>
                      <w:rFonts w:cs="Times New Roman"/>
                      <w:spacing w:val="-8"/>
                    </w:rPr>
                    <w:t>反-1,2-二氯乙烯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54</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spacing w:val="-8"/>
                    </w:rPr>
                  </w:pPr>
                  <w:r>
                    <w:rPr>
                      <w:rFonts w:cs="Times New Roman"/>
                    </w:rPr>
                    <w:t>二氯甲烷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616</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1,2-二氯丙烷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spacing w:val="-4"/>
                    </w:rPr>
                  </w:pPr>
                  <w:r>
                    <w:rPr>
                      <w:rFonts w:cs="Times New Roman"/>
                      <w:spacing w:val="-4"/>
                    </w:rPr>
                    <w:t>1,1,1,2-四氯乙烷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spacing w:val="-4"/>
                    </w:rPr>
                  </w:pPr>
                  <w:r>
                    <w:rPr>
                      <w:rFonts w:cs="Times New Roman"/>
                      <w:spacing w:val="-4"/>
                    </w:rPr>
                    <w:t>1,1,2,2-四氯乙烷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6.8</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四氯乙烯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53</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1,1,1-三氯乙烷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840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1,1,2-三氯乙烷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2.8</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三氯乙烯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2.8</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1,2,3-三氯丙烷</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0.5</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氯乙烯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0.43</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氯苯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270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1,2-二氯苯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560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1,4-二氯苯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乙苯</w:t>
                  </w:r>
                </w:p>
              </w:tc>
              <w:tc>
                <w:tcPr>
                  <w:tcW w:w="1728" w:type="pct"/>
                  <w:tcBorders>
                    <w:tl2br w:val="nil"/>
                    <w:tr2bl w:val="nil"/>
                  </w:tcBorders>
                  <w:vAlign w:val="center"/>
                </w:tcPr>
                <w:p>
                  <w:pPr>
                    <w:jc w:val="center"/>
                    <w:rPr>
                      <w:rFonts w:cs="Times New Roman"/>
                      <w:kern w:val="0"/>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28</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甲苯</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1200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间，对二甲苯</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570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spacing w:val="-8"/>
                    </w:rPr>
                  </w:pPr>
                  <w:r>
                    <w:rPr>
                      <w:rFonts w:cs="Times New Roman"/>
                      <w:spacing w:val="-8"/>
                    </w:rPr>
                    <w:t>邻二甲苯，苯乙烯</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640，1290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苯并[a]芘</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1.5</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苯并[b]荧蒽</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15</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苯并[k]荧蒽</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151</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䓛</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1293</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二苯并[a,h]蒽</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1.5</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茚并[1,2,3-cd]芘</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15</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萘</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70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苯并[a]蒽</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15</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氯甲烷*</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37</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硝基苯*</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76</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苯胺*</w:t>
                  </w:r>
                </w:p>
              </w:tc>
              <w:tc>
                <w:tcPr>
                  <w:tcW w:w="1728" w:type="pct"/>
                  <w:tcBorders>
                    <w:tl2br w:val="nil"/>
                    <w:tr2bl w:val="nil"/>
                  </w:tcBorders>
                  <w:vAlign w:val="center"/>
                </w:tcPr>
                <w:p>
                  <w:pPr>
                    <w:jc w:val="center"/>
                    <w:rPr>
                      <w:rFonts w:cs="Times New Roman"/>
                      <w:szCs w:val="21"/>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260</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9" w:type="pct"/>
                  <w:vMerge w:val="continue"/>
                  <w:tcBorders>
                    <w:tl2br w:val="nil"/>
                    <w:tr2bl w:val="nil"/>
                  </w:tcBorders>
                  <w:vAlign w:val="center"/>
                </w:tcPr>
                <w:p>
                  <w:pPr>
                    <w:jc w:val="center"/>
                    <w:rPr>
                      <w:rFonts w:cs="Times New Roman"/>
                    </w:rPr>
                  </w:pPr>
                </w:p>
              </w:tc>
              <w:tc>
                <w:tcPr>
                  <w:tcW w:w="907" w:type="pct"/>
                  <w:tcBorders>
                    <w:tl2br w:val="nil"/>
                    <w:tr2bl w:val="nil"/>
                  </w:tcBorders>
                  <w:vAlign w:val="center"/>
                </w:tcPr>
                <w:p>
                  <w:pPr>
                    <w:autoSpaceDE w:val="0"/>
                    <w:autoSpaceDN w:val="0"/>
                    <w:jc w:val="center"/>
                    <w:rPr>
                      <w:rFonts w:cs="Times New Roman"/>
                    </w:rPr>
                  </w:pPr>
                  <w:r>
                    <w:rPr>
                      <w:rFonts w:cs="Times New Roman"/>
                    </w:rPr>
                    <w:t>2-氯酚*</w:t>
                  </w:r>
                </w:p>
              </w:tc>
              <w:tc>
                <w:tcPr>
                  <w:tcW w:w="1728" w:type="pct"/>
                  <w:tcBorders>
                    <w:tl2br w:val="nil"/>
                    <w:tr2bl w:val="nil"/>
                  </w:tcBorders>
                  <w:vAlign w:val="center"/>
                </w:tcPr>
                <w:p>
                  <w:pPr>
                    <w:jc w:val="center"/>
                    <w:rPr>
                      <w:rFonts w:cs="Times New Roman"/>
                      <w:kern w:val="0"/>
                    </w:rPr>
                  </w:pPr>
                  <w:r>
                    <w:rPr>
                      <w:rFonts w:cs="Times New Roman"/>
                      <w:kern w:val="0"/>
                      <w:szCs w:val="21"/>
                      <w:lang w:bidi="ar"/>
                    </w:rPr>
                    <w:t>ND</w:t>
                  </w:r>
                </w:p>
              </w:tc>
              <w:tc>
                <w:tcPr>
                  <w:tcW w:w="929" w:type="pct"/>
                  <w:tcBorders>
                    <w:tl2br w:val="nil"/>
                    <w:tr2bl w:val="nil"/>
                  </w:tcBorders>
                  <w:vAlign w:val="center"/>
                </w:tcPr>
                <w:p>
                  <w:pPr>
                    <w:jc w:val="center"/>
                    <w:rPr>
                      <w:rFonts w:cs="Times New Roman"/>
                      <w:kern w:val="0"/>
                      <w:szCs w:val="21"/>
                      <w:lang w:bidi="ar"/>
                    </w:rPr>
                  </w:pPr>
                  <w:r>
                    <w:rPr>
                      <w:rFonts w:cs="Times New Roman"/>
                      <w:kern w:val="0"/>
                      <w:szCs w:val="21"/>
                      <w:lang w:bidi="ar"/>
                    </w:rPr>
                    <w:t>2256</w:t>
                  </w:r>
                </w:p>
              </w:tc>
              <w:tc>
                <w:tcPr>
                  <w:tcW w:w="755" w:type="pct"/>
                  <w:tcBorders>
                    <w:tl2br w:val="nil"/>
                    <w:tr2bl w:val="nil"/>
                  </w:tcBorders>
                  <w:vAlign w:val="center"/>
                </w:tcPr>
                <w:p>
                  <w:pPr>
                    <w:widowControl/>
                    <w:jc w:val="center"/>
                    <w:textAlignment w:val="top"/>
                    <w:rPr>
                      <w:rFonts w:cs="Times New Roman"/>
                      <w:kern w:val="0"/>
                      <w:szCs w:val="21"/>
                      <w:lang w:bidi="ar"/>
                    </w:rPr>
                  </w:pPr>
                  <w:r>
                    <w:rPr>
                      <w:rFonts w:cs="Times New Roman"/>
                      <w:kern w:val="0"/>
                      <w:szCs w:val="21"/>
                      <w:lang w:bidi="ar"/>
                    </w:rPr>
                    <w:t>0</w:t>
                  </w:r>
                </w:p>
              </w:tc>
            </w:tr>
          </w:tbl>
          <w:p>
            <w:pPr>
              <w:spacing w:line="360" w:lineRule="auto"/>
              <w:ind w:firstLine="480" w:firstLineChars="200"/>
              <w:rPr>
                <w:rFonts w:cs="Times New Roman"/>
                <w:sz w:val="24"/>
                <w:szCs w:val="24"/>
              </w:rPr>
            </w:pPr>
            <w:r>
              <w:rPr>
                <w:rFonts w:cs="Times New Roman"/>
                <w:sz w:val="24"/>
                <w:szCs w:val="24"/>
              </w:rPr>
              <w:t>结果表明，现状监测期间，厂内各点位各项指标监测结果均可以满足《土壤环境质量建设用地土壤污染风险管控标准（试行）》（GB36600-2018）中二类用地筛选值标准。</w:t>
            </w:r>
          </w:p>
          <w:p>
            <w:pPr>
              <w:spacing w:line="360" w:lineRule="auto"/>
              <w:ind w:firstLine="482" w:firstLineChars="200"/>
              <w:rPr>
                <w:rFonts w:cs="Times New Roman"/>
                <w:b/>
                <w:bCs/>
                <w:sz w:val="24"/>
                <w:szCs w:val="24"/>
                <w:lang w:val="zh-CN"/>
              </w:rPr>
            </w:pPr>
            <w:r>
              <w:rPr>
                <w:rFonts w:cs="Times New Roman"/>
                <w:b/>
                <w:bCs/>
                <w:sz w:val="24"/>
                <w:szCs w:val="24"/>
              </w:rPr>
              <w:t>5</w:t>
            </w:r>
            <w:r>
              <w:rPr>
                <w:rFonts w:cs="Times New Roman"/>
                <w:b/>
                <w:bCs/>
                <w:sz w:val="24"/>
                <w:szCs w:val="24"/>
                <w:lang w:val="zh-CN"/>
              </w:rPr>
              <w:t>、生态环境质量现状分析</w:t>
            </w:r>
          </w:p>
          <w:p>
            <w:pPr>
              <w:spacing w:line="360" w:lineRule="auto"/>
              <w:ind w:firstLine="480" w:firstLineChars="200"/>
              <w:rPr>
                <w:rFonts w:cs="Times New Roman"/>
                <w:sz w:val="24"/>
                <w:szCs w:val="24"/>
                <w:lang w:val="zh-CN"/>
              </w:rPr>
            </w:pPr>
            <w:r>
              <w:rPr>
                <w:rFonts w:cs="Times New Roman"/>
                <w:sz w:val="24"/>
                <w:szCs w:val="24"/>
                <w:lang w:val="zh-CN"/>
              </w:rPr>
              <w:t>项目位于柳池工业园区内，土地性质为工业用地，</w:t>
            </w:r>
            <w:r>
              <w:rPr>
                <w:rFonts w:cs="Times New Roman"/>
                <w:sz w:val="24"/>
                <w:szCs w:val="24"/>
              </w:rPr>
              <w:t>厂房已修建完毕，</w:t>
            </w:r>
            <w:r>
              <w:rPr>
                <w:rFonts w:cs="Times New Roman"/>
                <w:sz w:val="24"/>
                <w:szCs w:val="24"/>
                <w:lang w:val="zh-CN"/>
              </w:rPr>
              <w:t>周围主要为工业企业，由于人类活动频繁，项目区域内的植物主要为人工种植的花草树木等，无珍稀、濒危野生动、植物存在，无特殊文物保护单位，生态环境质量较好。本项目的建设基本不会对水土保持、植被、动物等生态环境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jc w:val="center"/>
              <w:rPr>
                <w:rFonts w:cs="Times New Roman"/>
                <w:sz w:val="24"/>
                <w:szCs w:val="24"/>
              </w:rPr>
            </w:pPr>
            <w:r>
              <w:rPr>
                <w:rFonts w:cs="Times New Roman"/>
                <w:sz w:val="24"/>
                <w:szCs w:val="24"/>
              </w:rPr>
              <w:t>环境</w:t>
            </w:r>
          </w:p>
          <w:p>
            <w:pPr>
              <w:jc w:val="center"/>
              <w:rPr>
                <w:rFonts w:cs="Times New Roman"/>
                <w:sz w:val="24"/>
                <w:szCs w:val="24"/>
              </w:rPr>
            </w:pPr>
            <w:r>
              <w:rPr>
                <w:rFonts w:cs="Times New Roman"/>
                <w:sz w:val="24"/>
                <w:szCs w:val="24"/>
              </w:rPr>
              <w:t>保护</w:t>
            </w:r>
          </w:p>
          <w:p>
            <w:pPr>
              <w:jc w:val="center"/>
              <w:rPr>
                <w:rFonts w:cs="Times New Roman"/>
                <w:sz w:val="24"/>
                <w:szCs w:val="24"/>
              </w:rPr>
            </w:pPr>
            <w:r>
              <w:rPr>
                <w:rFonts w:cs="Times New Roman"/>
                <w:sz w:val="24"/>
                <w:szCs w:val="24"/>
              </w:rPr>
              <w:t>目标</w:t>
            </w:r>
          </w:p>
        </w:tc>
        <w:tc>
          <w:tcPr>
            <w:tcW w:w="8645" w:type="dxa"/>
            <w:vAlign w:val="center"/>
          </w:tcPr>
          <w:p>
            <w:pPr>
              <w:spacing w:line="360" w:lineRule="auto"/>
              <w:ind w:firstLine="482" w:firstLineChars="200"/>
              <w:rPr>
                <w:rFonts w:cs="Times New Roman"/>
                <w:b/>
                <w:sz w:val="24"/>
                <w:szCs w:val="24"/>
              </w:rPr>
            </w:pPr>
            <w:r>
              <w:rPr>
                <w:rFonts w:cs="Times New Roman"/>
                <w:b/>
                <w:sz w:val="24"/>
                <w:szCs w:val="24"/>
              </w:rPr>
              <w:t>1、大气环境</w:t>
            </w:r>
          </w:p>
          <w:p>
            <w:pPr>
              <w:spacing w:line="360" w:lineRule="auto"/>
              <w:ind w:firstLine="480" w:firstLineChars="200"/>
              <w:rPr>
                <w:rFonts w:cs="Times New Roman"/>
                <w:sz w:val="24"/>
                <w:szCs w:val="24"/>
              </w:rPr>
            </w:pPr>
            <w:r>
              <w:rPr>
                <w:rFonts w:cs="Times New Roman"/>
                <w:sz w:val="24"/>
                <w:szCs w:val="24"/>
              </w:rPr>
              <w:t>本项目厂界外500m范围内大气环境保护目标见表3-9。</w:t>
            </w:r>
          </w:p>
          <w:p>
            <w:pPr>
              <w:spacing w:line="360" w:lineRule="auto"/>
              <w:jc w:val="center"/>
              <w:rPr>
                <w:rFonts w:cs="Times New Roman"/>
                <w:b/>
                <w:bCs/>
                <w:sz w:val="24"/>
                <w:szCs w:val="24"/>
              </w:rPr>
            </w:pPr>
            <w:r>
              <w:rPr>
                <w:rFonts w:cs="Times New Roman"/>
                <w:b/>
                <w:bCs/>
                <w:sz w:val="24"/>
                <w:szCs w:val="24"/>
              </w:rPr>
              <w:t>表3-9 主要环境保护目标</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01"/>
              <w:gridCol w:w="1482"/>
              <w:gridCol w:w="845"/>
              <w:gridCol w:w="1494"/>
              <w:gridCol w:w="1444"/>
              <w:gridCol w:w="824"/>
              <w:gridCol w:w="1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1" w:type="pct"/>
                  <w:tcBorders>
                    <w:tl2br w:val="nil"/>
                    <w:tr2bl w:val="nil"/>
                  </w:tcBorders>
                  <w:vAlign w:val="center"/>
                </w:tcPr>
                <w:p>
                  <w:pPr>
                    <w:jc w:val="center"/>
                    <w:rPr>
                      <w:rFonts w:cs="Times New Roman"/>
                      <w:b/>
                      <w:bCs/>
                      <w:szCs w:val="21"/>
                    </w:rPr>
                  </w:pPr>
                  <w:r>
                    <w:rPr>
                      <w:rFonts w:cs="Times New Roman"/>
                      <w:b/>
                      <w:bCs/>
                      <w:szCs w:val="21"/>
                    </w:rPr>
                    <w:t>序号</w:t>
                  </w:r>
                </w:p>
              </w:tc>
              <w:tc>
                <w:tcPr>
                  <w:tcW w:w="865" w:type="pct"/>
                  <w:tcBorders>
                    <w:tl2br w:val="nil"/>
                    <w:tr2bl w:val="nil"/>
                  </w:tcBorders>
                  <w:vAlign w:val="center"/>
                </w:tcPr>
                <w:p>
                  <w:pPr>
                    <w:jc w:val="center"/>
                    <w:rPr>
                      <w:rFonts w:cs="Times New Roman"/>
                      <w:b/>
                      <w:bCs/>
                      <w:szCs w:val="21"/>
                    </w:rPr>
                  </w:pPr>
                  <w:r>
                    <w:rPr>
                      <w:rFonts w:cs="Times New Roman"/>
                      <w:b/>
                      <w:bCs/>
                      <w:szCs w:val="21"/>
                    </w:rPr>
                    <w:t>保护对象</w:t>
                  </w:r>
                </w:p>
              </w:tc>
              <w:tc>
                <w:tcPr>
                  <w:tcW w:w="493" w:type="pct"/>
                  <w:tcBorders>
                    <w:tl2br w:val="nil"/>
                    <w:tr2bl w:val="nil"/>
                  </w:tcBorders>
                  <w:vAlign w:val="center"/>
                </w:tcPr>
                <w:p>
                  <w:pPr>
                    <w:jc w:val="center"/>
                    <w:rPr>
                      <w:rFonts w:cs="Times New Roman"/>
                      <w:b/>
                      <w:bCs/>
                      <w:szCs w:val="21"/>
                    </w:rPr>
                  </w:pPr>
                  <w:r>
                    <w:rPr>
                      <w:rFonts w:cs="Times New Roman"/>
                      <w:b/>
                      <w:bCs/>
                      <w:szCs w:val="21"/>
                    </w:rPr>
                    <w:t>方位</w:t>
                  </w:r>
                </w:p>
              </w:tc>
              <w:tc>
                <w:tcPr>
                  <w:tcW w:w="872" w:type="pct"/>
                  <w:tcBorders>
                    <w:tl2br w:val="nil"/>
                    <w:tr2bl w:val="nil"/>
                  </w:tcBorders>
                  <w:vAlign w:val="center"/>
                </w:tcPr>
                <w:p>
                  <w:pPr>
                    <w:jc w:val="center"/>
                    <w:rPr>
                      <w:rFonts w:cs="Times New Roman"/>
                      <w:b/>
                      <w:bCs/>
                      <w:szCs w:val="21"/>
                    </w:rPr>
                  </w:pPr>
                  <w:r>
                    <w:rPr>
                      <w:rFonts w:cs="Times New Roman"/>
                      <w:b/>
                      <w:bCs/>
                      <w:szCs w:val="21"/>
                    </w:rPr>
                    <w:t>距离</w:t>
                  </w:r>
                </w:p>
              </w:tc>
              <w:tc>
                <w:tcPr>
                  <w:tcW w:w="843" w:type="pct"/>
                  <w:tcBorders>
                    <w:tl2br w:val="nil"/>
                    <w:tr2bl w:val="nil"/>
                  </w:tcBorders>
                  <w:vAlign w:val="center"/>
                </w:tcPr>
                <w:p>
                  <w:pPr>
                    <w:jc w:val="center"/>
                    <w:rPr>
                      <w:rFonts w:cs="Times New Roman"/>
                      <w:b/>
                      <w:bCs/>
                      <w:szCs w:val="21"/>
                    </w:rPr>
                  </w:pPr>
                  <w:r>
                    <w:rPr>
                      <w:rFonts w:cs="Times New Roman"/>
                      <w:b/>
                      <w:bCs/>
                      <w:szCs w:val="21"/>
                    </w:rPr>
                    <w:t>规模</w:t>
                  </w:r>
                </w:p>
              </w:tc>
              <w:tc>
                <w:tcPr>
                  <w:tcW w:w="481" w:type="pct"/>
                  <w:tcBorders>
                    <w:tl2br w:val="nil"/>
                    <w:tr2bl w:val="nil"/>
                  </w:tcBorders>
                  <w:vAlign w:val="center"/>
                </w:tcPr>
                <w:p>
                  <w:pPr>
                    <w:jc w:val="center"/>
                    <w:rPr>
                      <w:rFonts w:cs="Times New Roman"/>
                      <w:b/>
                      <w:bCs/>
                      <w:szCs w:val="21"/>
                    </w:rPr>
                  </w:pPr>
                  <w:r>
                    <w:rPr>
                      <w:rFonts w:cs="Times New Roman"/>
                      <w:b/>
                      <w:bCs/>
                      <w:szCs w:val="21"/>
                    </w:rPr>
                    <w:t>性质</w:t>
                  </w:r>
                </w:p>
              </w:tc>
              <w:tc>
                <w:tcPr>
                  <w:tcW w:w="1091" w:type="pct"/>
                  <w:tcBorders>
                    <w:tl2br w:val="nil"/>
                    <w:tr2bl w:val="nil"/>
                  </w:tcBorders>
                  <w:vAlign w:val="center"/>
                </w:tcPr>
                <w:p>
                  <w:pPr>
                    <w:jc w:val="center"/>
                    <w:rPr>
                      <w:rFonts w:cs="Times New Roman"/>
                      <w:b/>
                      <w:bCs/>
                      <w:szCs w:val="21"/>
                    </w:rPr>
                  </w:pPr>
                  <w:r>
                    <w:rPr>
                      <w:rFonts w:cs="Times New Roman"/>
                      <w:b/>
                      <w:bCs/>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1" w:type="pct"/>
                  <w:tcBorders>
                    <w:tl2br w:val="nil"/>
                    <w:tr2bl w:val="nil"/>
                  </w:tcBorders>
                  <w:vAlign w:val="center"/>
                </w:tcPr>
                <w:p>
                  <w:pPr>
                    <w:jc w:val="center"/>
                    <w:rPr>
                      <w:rFonts w:cs="Times New Roman"/>
                      <w:szCs w:val="21"/>
                    </w:rPr>
                  </w:pPr>
                  <w:r>
                    <w:rPr>
                      <w:rFonts w:cs="Times New Roman"/>
                      <w:szCs w:val="21"/>
                    </w:rPr>
                    <w:t>1</w:t>
                  </w:r>
                </w:p>
              </w:tc>
              <w:tc>
                <w:tcPr>
                  <w:tcW w:w="865" w:type="pct"/>
                  <w:tcBorders>
                    <w:tl2br w:val="nil"/>
                    <w:tr2bl w:val="nil"/>
                  </w:tcBorders>
                  <w:vAlign w:val="center"/>
                </w:tcPr>
                <w:p>
                  <w:pPr>
                    <w:jc w:val="center"/>
                    <w:rPr>
                      <w:rFonts w:cs="Times New Roman"/>
                      <w:szCs w:val="21"/>
                    </w:rPr>
                  </w:pPr>
                  <w:r>
                    <w:rPr>
                      <w:rFonts w:cs="Times New Roman"/>
                      <w:szCs w:val="21"/>
                    </w:rPr>
                    <w:t>散户</w:t>
                  </w:r>
                </w:p>
              </w:tc>
              <w:tc>
                <w:tcPr>
                  <w:tcW w:w="493" w:type="pct"/>
                  <w:tcBorders>
                    <w:tl2br w:val="nil"/>
                    <w:tr2bl w:val="nil"/>
                  </w:tcBorders>
                  <w:vAlign w:val="center"/>
                </w:tcPr>
                <w:p>
                  <w:pPr>
                    <w:jc w:val="center"/>
                    <w:rPr>
                      <w:rFonts w:cs="Times New Roman"/>
                      <w:szCs w:val="21"/>
                    </w:rPr>
                  </w:pPr>
                  <w:r>
                    <w:rPr>
                      <w:rFonts w:cs="Times New Roman"/>
                      <w:szCs w:val="21"/>
                    </w:rPr>
                    <w:t>南侧</w:t>
                  </w:r>
                </w:p>
              </w:tc>
              <w:tc>
                <w:tcPr>
                  <w:tcW w:w="872" w:type="pct"/>
                  <w:tcBorders>
                    <w:tl2br w:val="nil"/>
                    <w:tr2bl w:val="nil"/>
                  </w:tcBorders>
                  <w:vAlign w:val="center"/>
                </w:tcPr>
                <w:p>
                  <w:pPr>
                    <w:jc w:val="center"/>
                    <w:rPr>
                      <w:rFonts w:cs="Times New Roman"/>
                      <w:szCs w:val="21"/>
                    </w:rPr>
                  </w:pPr>
                  <w:r>
                    <w:rPr>
                      <w:rFonts w:cs="Times New Roman"/>
                      <w:szCs w:val="21"/>
                    </w:rPr>
                    <w:t>约128m~230m</w:t>
                  </w:r>
                </w:p>
              </w:tc>
              <w:tc>
                <w:tcPr>
                  <w:tcW w:w="843" w:type="pct"/>
                  <w:tcBorders>
                    <w:tl2br w:val="nil"/>
                    <w:tr2bl w:val="nil"/>
                  </w:tcBorders>
                  <w:vAlign w:val="center"/>
                </w:tcPr>
                <w:p>
                  <w:pPr>
                    <w:jc w:val="center"/>
                    <w:rPr>
                      <w:rFonts w:cs="Times New Roman"/>
                      <w:szCs w:val="21"/>
                    </w:rPr>
                  </w:pPr>
                  <w:r>
                    <w:rPr>
                      <w:rFonts w:cs="Times New Roman"/>
                      <w:szCs w:val="21"/>
                    </w:rPr>
                    <w:t>4户农户，约16人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1" w:type="pct"/>
                  <w:vMerge w:val="restart"/>
                  <w:tcBorders>
                    <w:tl2br w:val="nil"/>
                    <w:tr2bl w:val="nil"/>
                  </w:tcBorders>
                  <w:vAlign w:val="center"/>
                </w:tcPr>
                <w:p>
                  <w:pPr>
                    <w:jc w:val="center"/>
                    <w:rPr>
                      <w:rFonts w:cs="Times New Roman"/>
                      <w:szCs w:val="21"/>
                    </w:rPr>
                  </w:pPr>
                  <w:r>
                    <w:rPr>
                      <w:rFonts w:cs="Times New Roman"/>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51" w:type="pct"/>
                  <w:tcBorders>
                    <w:tl2br w:val="nil"/>
                    <w:tr2bl w:val="nil"/>
                  </w:tcBorders>
                  <w:vAlign w:val="center"/>
                </w:tcPr>
                <w:p>
                  <w:pPr>
                    <w:jc w:val="center"/>
                    <w:rPr>
                      <w:rFonts w:cs="Times New Roman"/>
                      <w:szCs w:val="21"/>
                    </w:rPr>
                  </w:pPr>
                  <w:r>
                    <w:rPr>
                      <w:rFonts w:cs="Times New Roman"/>
                      <w:szCs w:val="21"/>
                    </w:rPr>
                    <w:t>2</w:t>
                  </w:r>
                </w:p>
              </w:tc>
              <w:tc>
                <w:tcPr>
                  <w:tcW w:w="865" w:type="pct"/>
                  <w:tcBorders>
                    <w:tl2br w:val="nil"/>
                    <w:tr2bl w:val="nil"/>
                  </w:tcBorders>
                  <w:vAlign w:val="center"/>
                </w:tcPr>
                <w:p>
                  <w:pPr>
                    <w:jc w:val="center"/>
                    <w:rPr>
                      <w:rFonts w:cs="Times New Roman"/>
                      <w:szCs w:val="21"/>
                    </w:rPr>
                  </w:pPr>
                  <w:r>
                    <w:rPr>
                      <w:rFonts w:cs="Times New Roman"/>
                      <w:szCs w:val="21"/>
                    </w:rPr>
                    <w:t>柳池安置房</w:t>
                  </w:r>
                </w:p>
              </w:tc>
              <w:tc>
                <w:tcPr>
                  <w:tcW w:w="493" w:type="pct"/>
                  <w:tcBorders>
                    <w:tl2br w:val="nil"/>
                    <w:tr2bl w:val="nil"/>
                  </w:tcBorders>
                  <w:vAlign w:val="center"/>
                </w:tcPr>
                <w:p>
                  <w:pPr>
                    <w:jc w:val="center"/>
                    <w:rPr>
                      <w:rFonts w:cs="Times New Roman"/>
                      <w:szCs w:val="21"/>
                    </w:rPr>
                  </w:pPr>
                  <w:r>
                    <w:rPr>
                      <w:rFonts w:cs="Times New Roman"/>
                    </w:rPr>
                    <w:t>西南侧</w:t>
                  </w:r>
                </w:p>
              </w:tc>
              <w:tc>
                <w:tcPr>
                  <w:tcW w:w="872" w:type="pct"/>
                  <w:tcBorders>
                    <w:tl2br w:val="nil"/>
                    <w:tr2bl w:val="nil"/>
                  </w:tcBorders>
                  <w:vAlign w:val="center"/>
                </w:tcPr>
                <w:p>
                  <w:pPr>
                    <w:jc w:val="center"/>
                    <w:rPr>
                      <w:rFonts w:cs="Times New Roman"/>
                      <w:szCs w:val="21"/>
                    </w:rPr>
                  </w:pPr>
                  <w:r>
                    <w:rPr>
                      <w:rFonts w:cs="Times New Roman"/>
                      <w:szCs w:val="21"/>
                    </w:rPr>
                    <w:t>约335m</w:t>
                  </w:r>
                </w:p>
              </w:tc>
              <w:tc>
                <w:tcPr>
                  <w:tcW w:w="843" w:type="pct"/>
                  <w:tcBorders>
                    <w:tl2br w:val="nil"/>
                    <w:tr2bl w:val="nil"/>
                  </w:tcBorders>
                  <w:vAlign w:val="center"/>
                </w:tcPr>
                <w:p>
                  <w:pPr>
                    <w:jc w:val="center"/>
                    <w:rPr>
                      <w:rFonts w:cs="Times New Roman"/>
                      <w:szCs w:val="21"/>
                    </w:rPr>
                  </w:pPr>
                  <w:r>
                    <w:rPr>
                      <w:rFonts w:cs="Times New Roman"/>
                      <w:szCs w:val="21"/>
                    </w:rPr>
                    <w:t>约1000人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1" w:type="pct"/>
                  <w:vMerge w:val="continue"/>
                  <w:tcBorders>
                    <w:tl2br w:val="nil"/>
                    <w:tr2bl w:val="nil"/>
                  </w:tcBorders>
                  <w:vAlign w:val="center"/>
                </w:tcPr>
                <w:p>
                  <w:pPr>
                    <w:jc w:val="center"/>
                    <w:rPr>
                      <w:rFonts w:cs="Times New Roman"/>
                      <w:szCs w:val="21"/>
                    </w:rPr>
                  </w:pPr>
                </w:p>
              </w:tc>
            </w:tr>
          </w:tbl>
          <w:p>
            <w:pPr>
              <w:spacing w:line="360" w:lineRule="auto"/>
              <w:ind w:firstLine="482" w:firstLineChars="200"/>
              <w:rPr>
                <w:rFonts w:cs="Times New Roman"/>
                <w:b/>
                <w:sz w:val="24"/>
                <w:szCs w:val="24"/>
              </w:rPr>
            </w:pPr>
            <w:r>
              <w:rPr>
                <w:rFonts w:cs="Times New Roman"/>
                <w:b/>
                <w:sz w:val="24"/>
                <w:szCs w:val="24"/>
              </w:rPr>
              <w:t>2、声环境</w:t>
            </w:r>
          </w:p>
          <w:p>
            <w:pPr>
              <w:spacing w:line="360" w:lineRule="auto"/>
              <w:ind w:firstLine="480" w:firstLineChars="200"/>
              <w:rPr>
                <w:rFonts w:cs="Times New Roman"/>
                <w:sz w:val="24"/>
                <w:szCs w:val="24"/>
              </w:rPr>
            </w:pPr>
            <w:r>
              <w:rPr>
                <w:rFonts w:cs="Times New Roman"/>
                <w:sz w:val="24"/>
                <w:szCs w:val="24"/>
              </w:rPr>
              <w:t>本项目厂界外50m范围内无声环境保护目标。</w:t>
            </w:r>
          </w:p>
          <w:p>
            <w:pPr>
              <w:spacing w:line="360" w:lineRule="auto"/>
              <w:ind w:firstLine="482" w:firstLineChars="200"/>
              <w:rPr>
                <w:rFonts w:cs="Times New Roman"/>
                <w:b/>
                <w:bCs/>
                <w:sz w:val="24"/>
                <w:szCs w:val="24"/>
              </w:rPr>
            </w:pPr>
            <w:r>
              <w:rPr>
                <w:rFonts w:cs="Times New Roman"/>
                <w:b/>
                <w:bCs/>
                <w:sz w:val="24"/>
                <w:szCs w:val="24"/>
              </w:rPr>
              <w:t>3、地表水环境</w:t>
            </w:r>
          </w:p>
          <w:p>
            <w:pPr>
              <w:spacing w:line="360" w:lineRule="auto"/>
              <w:jc w:val="center"/>
              <w:rPr>
                <w:rFonts w:cs="Times New Roman"/>
                <w:b/>
                <w:bCs/>
                <w:sz w:val="24"/>
                <w:szCs w:val="24"/>
              </w:rPr>
            </w:pPr>
            <w:r>
              <w:rPr>
                <w:rFonts w:cs="Times New Roman"/>
                <w:b/>
                <w:bCs/>
                <w:sz w:val="24"/>
                <w:szCs w:val="24"/>
              </w:rPr>
              <w:t>表3-10  运营期水环境保护目标</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260"/>
              <w:gridCol w:w="1728"/>
              <w:gridCol w:w="856"/>
              <w:gridCol w:w="659"/>
              <w:gridCol w:w="30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tcBorders>
                    <w:tl2br w:val="nil"/>
                    <w:tr2bl w:val="nil"/>
                  </w:tcBorders>
                  <w:shd w:val="clear" w:color="auto" w:fill="auto"/>
                  <w:vAlign w:val="center"/>
                </w:tcPr>
                <w:p>
                  <w:pPr>
                    <w:jc w:val="center"/>
                    <w:rPr>
                      <w:rFonts w:cs="Times New Roman"/>
                      <w:b/>
                      <w:bCs/>
                      <w:szCs w:val="21"/>
                    </w:rPr>
                  </w:pPr>
                  <w:r>
                    <w:rPr>
                      <w:rFonts w:cs="Times New Roman"/>
                      <w:b/>
                      <w:bCs/>
                      <w:szCs w:val="21"/>
                    </w:rPr>
                    <w:t>环境要素</w:t>
                  </w:r>
                </w:p>
              </w:tc>
              <w:tc>
                <w:tcPr>
                  <w:tcW w:w="736" w:type="pct"/>
                  <w:tcBorders>
                    <w:tl2br w:val="nil"/>
                    <w:tr2bl w:val="nil"/>
                  </w:tcBorders>
                  <w:shd w:val="clear" w:color="auto" w:fill="auto"/>
                  <w:vAlign w:val="center"/>
                </w:tcPr>
                <w:p>
                  <w:pPr>
                    <w:jc w:val="center"/>
                    <w:rPr>
                      <w:rFonts w:cs="Times New Roman"/>
                      <w:b/>
                      <w:bCs/>
                      <w:szCs w:val="21"/>
                    </w:rPr>
                  </w:pPr>
                  <w:r>
                    <w:rPr>
                      <w:rFonts w:cs="Times New Roman"/>
                      <w:b/>
                      <w:bCs/>
                      <w:szCs w:val="21"/>
                    </w:rPr>
                    <w:t>名称</w:t>
                  </w:r>
                </w:p>
              </w:tc>
              <w:tc>
                <w:tcPr>
                  <w:tcW w:w="1009" w:type="pct"/>
                  <w:tcBorders>
                    <w:tl2br w:val="nil"/>
                    <w:tr2bl w:val="nil"/>
                  </w:tcBorders>
                  <w:shd w:val="clear" w:color="auto" w:fill="auto"/>
                  <w:vAlign w:val="center"/>
                </w:tcPr>
                <w:p>
                  <w:pPr>
                    <w:jc w:val="center"/>
                    <w:rPr>
                      <w:rFonts w:cs="Times New Roman"/>
                      <w:b/>
                      <w:bCs/>
                      <w:szCs w:val="21"/>
                    </w:rPr>
                  </w:pPr>
                  <w:r>
                    <w:rPr>
                      <w:rFonts w:cs="Times New Roman"/>
                      <w:b/>
                      <w:bCs/>
                      <w:szCs w:val="21"/>
                    </w:rPr>
                    <w:t>方位</w:t>
                  </w:r>
                </w:p>
              </w:tc>
              <w:tc>
                <w:tcPr>
                  <w:tcW w:w="500" w:type="pct"/>
                  <w:tcBorders>
                    <w:tl2br w:val="nil"/>
                    <w:tr2bl w:val="nil"/>
                  </w:tcBorders>
                  <w:shd w:val="clear" w:color="auto" w:fill="auto"/>
                  <w:vAlign w:val="center"/>
                </w:tcPr>
                <w:p>
                  <w:pPr>
                    <w:jc w:val="center"/>
                    <w:rPr>
                      <w:rFonts w:cs="Times New Roman"/>
                      <w:b/>
                      <w:bCs/>
                      <w:szCs w:val="21"/>
                    </w:rPr>
                  </w:pPr>
                  <w:r>
                    <w:rPr>
                      <w:rFonts w:cs="Times New Roman"/>
                      <w:b/>
                      <w:bCs/>
                      <w:szCs w:val="21"/>
                    </w:rPr>
                    <w:t>距离</w:t>
                  </w:r>
                </w:p>
              </w:tc>
              <w:tc>
                <w:tcPr>
                  <w:tcW w:w="385" w:type="pct"/>
                  <w:tcBorders>
                    <w:tl2br w:val="nil"/>
                    <w:tr2bl w:val="nil"/>
                  </w:tcBorders>
                  <w:shd w:val="clear" w:color="auto" w:fill="auto"/>
                  <w:vAlign w:val="center"/>
                </w:tcPr>
                <w:p>
                  <w:pPr>
                    <w:jc w:val="center"/>
                    <w:rPr>
                      <w:rFonts w:cs="Times New Roman"/>
                      <w:b/>
                      <w:bCs/>
                      <w:szCs w:val="21"/>
                    </w:rPr>
                  </w:pPr>
                  <w:r>
                    <w:rPr>
                      <w:rFonts w:cs="Times New Roman"/>
                      <w:b/>
                      <w:bCs/>
                      <w:szCs w:val="21"/>
                    </w:rPr>
                    <w:t>规模</w:t>
                  </w:r>
                </w:p>
              </w:tc>
              <w:tc>
                <w:tcPr>
                  <w:tcW w:w="1794" w:type="pct"/>
                  <w:tcBorders>
                    <w:tl2br w:val="nil"/>
                    <w:tr2bl w:val="nil"/>
                  </w:tcBorders>
                  <w:shd w:val="clear" w:color="auto" w:fill="auto"/>
                  <w:vAlign w:val="center"/>
                </w:tcPr>
                <w:p>
                  <w:pPr>
                    <w:jc w:val="center"/>
                    <w:rPr>
                      <w:rFonts w:cs="Times New Roman"/>
                      <w:b/>
                      <w:bCs/>
                      <w:szCs w:val="21"/>
                    </w:rPr>
                  </w:pPr>
                  <w:r>
                    <w:rPr>
                      <w:rFonts w:cs="Times New Roman"/>
                      <w:b/>
                      <w:bCs/>
                      <w:szCs w:val="21"/>
                    </w:rPr>
                    <w:t>保护要求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Merge w:val="restart"/>
                  <w:tcBorders>
                    <w:tl2br w:val="nil"/>
                    <w:tr2bl w:val="nil"/>
                  </w:tcBorders>
                  <w:shd w:val="clear" w:color="auto" w:fill="auto"/>
                  <w:vAlign w:val="center"/>
                </w:tcPr>
                <w:p>
                  <w:pPr>
                    <w:jc w:val="center"/>
                    <w:rPr>
                      <w:rFonts w:cs="Times New Roman"/>
                      <w:szCs w:val="21"/>
                    </w:rPr>
                  </w:pPr>
                  <w:r>
                    <w:rPr>
                      <w:rFonts w:cs="Times New Roman"/>
                      <w:szCs w:val="21"/>
                    </w:rPr>
                    <w:t>地表水</w:t>
                  </w:r>
                </w:p>
              </w:tc>
              <w:tc>
                <w:tcPr>
                  <w:tcW w:w="736" w:type="pct"/>
                  <w:tcBorders>
                    <w:tl2br w:val="nil"/>
                    <w:tr2bl w:val="nil"/>
                  </w:tcBorders>
                  <w:shd w:val="clear" w:color="auto" w:fill="auto"/>
                  <w:vAlign w:val="center"/>
                </w:tcPr>
                <w:p>
                  <w:pPr>
                    <w:jc w:val="center"/>
                    <w:rPr>
                      <w:rFonts w:cs="Times New Roman"/>
                      <w:szCs w:val="21"/>
                    </w:rPr>
                  </w:pPr>
                  <w:r>
                    <w:rPr>
                      <w:rFonts w:cs="Times New Roman"/>
                      <w:szCs w:val="21"/>
                    </w:rPr>
                    <w:t>新马水库</w:t>
                  </w:r>
                </w:p>
              </w:tc>
              <w:tc>
                <w:tcPr>
                  <w:tcW w:w="1009" w:type="pct"/>
                  <w:tcBorders>
                    <w:tl2br w:val="nil"/>
                    <w:tr2bl w:val="nil"/>
                  </w:tcBorders>
                  <w:shd w:val="clear" w:color="auto" w:fill="auto"/>
                  <w:vAlign w:val="center"/>
                </w:tcPr>
                <w:p>
                  <w:pPr>
                    <w:jc w:val="center"/>
                    <w:rPr>
                      <w:rFonts w:cs="Times New Roman"/>
                      <w:szCs w:val="21"/>
                    </w:rPr>
                  </w:pPr>
                  <w:r>
                    <w:rPr>
                      <w:rFonts w:cs="Times New Roman"/>
                      <w:szCs w:val="21"/>
                    </w:rPr>
                    <w:t>南侧</w:t>
                  </w:r>
                </w:p>
              </w:tc>
              <w:tc>
                <w:tcPr>
                  <w:tcW w:w="500" w:type="pct"/>
                  <w:tcBorders>
                    <w:tl2br w:val="nil"/>
                    <w:tr2bl w:val="nil"/>
                  </w:tcBorders>
                  <w:shd w:val="clear" w:color="auto" w:fill="auto"/>
                  <w:vAlign w:val="center"/>
                </w:tcPr>
                <w:p>
                  <w:pPr>
                    <w:jc w:val="center"/>
                    <w:rPr>
                      <w:rFonts w:cs="Times New Roman"/>
                      <w:szCs w:val="21"/>
                    </w:rPr>
                  </w:pPr>
                  <w:r>
                    <w:rPr>
                      <w:rFonts w:cs="Times New Roman"/>
                      <w:szCs w:val="21"/>
                    </w:rPr>
                    <w:t>30m</w:t>
                  </w:r>
                </w:p>
              </w:tc>
              <w:tc>
                <w:tcPr>
                  <w:tcW w:w="385"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1794" w:type="pct"/>
                  <w:vMerge w:val="restart"/>
                  <w:tcBorders>
                    <w:tl2br w:val="nil"/>
                    <w:tr2bl w:val="nil"/>
                  </w:tcBorders>
                  <w:shd w:val="clear" w:color="auto" w:fill="auto"/>
                  <w:vAlign w:val="center"/>
                </w:tcPr>
                <w:p>
                  <w:pPr>
                    <w:jc w:val="center"/>
                    <w:rPr>
                      <w:rFonts w:cs="Times New Roman"/>
                      <w:szCs w:val="21"/>
                    </w:rPr>
                  </w:pPr>
                  <w:r>
                    <w:rPr>
                      <w:rFonts w:cs="Times New Roman"/>
                      <w:szCs w:val="21"/>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4" w:type="pct"/>
                  <w:vMerge w:val="continue"/>
                  <w:tcBorders>
                    <w:tl2br w:val="nil"/>
                    <w:tr2bl w:val="nil"/>
                  </w:tcBorders>
                  <w:shd w:val="clear" w:color="auto" w:fill="auto"/>
                  <w:vAlign w:val="center"/>
                </w:tcPr>
                <w:p>
                  <w:pPr>
                    <w:jc w:val="center"/>
                    <w:rPr>
                      <w:rFonts w:cs="Times New Roman"/>
                      <w:szCs w:val="21"/>
                    </w:rPr>
                  </w:pPr>
                </w:p>
              </w:tc>
              <w:tc>
                <w:tcPr>
                  <w:tcW w:w="736" w:type="pct"/>
                  <w:tcBorders>
                    <w:tl2br w:val="nil"/>
                    <w:tr2bl w:val="nil"/>
                  </w:tcBorders>
                  <w:shd w:val="clear" w:color="auto" w:fill="auto"/>
                  <w:vAlign w:val="center"/>
                </w:tcPr>
                <w:p>
                  <w:pPr>
                    <w:jc w:val="center"/>
                    <w:rPr>
                      <w:rFonts w:cs="Times New Roman"/>
                      <w:szCs w:val="21"/>
                    </w:rPr>
                  </w:pPr>
                  <w:r>
                    <w:rPr>
                      <w:rFonts w:cs="Times New Roman"/>
                      <w:szCs w:val="21"/>
                    </w:rPr>
                    <w:t>后河</w:t>
                  </w:r>
                </w:p>
              </w:tc>
              <w:tc>
                <w:tcPr>
                  <w:tcW w:w="1009" w:type="pct"/>
                  <w:tcBorders>
                    <w:tl2br w:val="nil"/>
                    <w:tr2bl w:val="nil"/>
                  </w:tcBorders>
                  <w:shd w:val="clear" w:color="auto" w:fill="auto"/>
                  <w:vAlign w:val="center"/>
                </w:tcPr>
                <w:p>
                  <w:pPr>
                    <w:jc w:val="center"/>
                    <w:rPr>
                      <w:rFonts w:cs="Times New Roman"/>
                      <w:szCs w:val="21"/>
                    </w:rPr>
                  </w:pPr>
                  <w:r>
                    <w:rPr>
                      <w:rFonts w:cs="Times New Roman"/>
                      <w:szCs w:val="21"/>
                    </w:rPr>
                    <w:t>东侧</w:t>
                  </w:r>
                </w:p>
              </w:tc>
              <w:tc>
                <w:tcPr>
                  <w:tcW w:w="500" w:type="pct"/>
                  <w:tcBorders>
                    <w:tl2br w:val="nil"/>
                    <w:tr2bl w:val="nil"/>
                  </w:tcBorders>
                  <w:shd w:val="clear" w:color="auto" w:fill="auto"/>
                  <w:vAlign w:val="center"/>
                </w:tcPr>
                <w:p>
                  <w:pPr>
                    <w:jc w:val="center"/>
                    <w:rPr>
                      <w:rFonts w:cs="Times New Roman"/>
                      <w:szCs w:val="21"/>
                    </w:rPr>
                  </w:pPr>
                  <w:r>
                    <w:rPr>
                      <w:rFonts w:cs="Times New Roman"/>
                      <w:szCs w:val="21"/>
                    </w:rPr>
                    <w:t>6.7km</w:t>
                  </w:r>
                </w:p>
              </w:tc>
              <w:tc>
                <w:tcPr>
                  <w:tcW w:w="385" w:type="pct"/>
                  <w:tcBorders>
                    <w:tl2br w:val="nil"/>
                    <w:tr2bl w:val="nil"/>
                  </w:tcBorders>
                  <w:shd w:val="clear" w:color="auto" w:fill="auto"/>
                  <w:vAlign w:val="center"/>
                </w:tcPr>
                <w:p>
                  <w:pPr>
                    <w:jc w:val="center"/>
                    <w:rPr>
                      <w:rFonts w:cs="Times New Roman"/>
                      <w:szCs w:val="21"/>
                    </w:rPr>
                  </w:pPr>
                  <w:r>
                    <w:rPr>
                      <w:rFonts w:cs="Times New Roman"/>
                      <w:szCs w:val="21"/>
                    </w:rPr>
                    <w:t>中河</w:t>
                  </w:r>
                </w:p>
              </w:tc>
              <w:tc>
                <w:tcPr>
                  <w:tcW w:w="1794" w:type="pct"/>
                  <w:vMerge w:val="continue"/>
                  <w:tcBorders>
                    <w:tl2br w:val="nil"/>
                    <w:tr2bl w:val="nil"/>
                  </w:tcBorders>
                  <w:shd w:val="clear" w:color="auto" w:fill="auto"/>
                  <w:vAlign w:val="center"/>
                </w:tcPr>
                <w:p>
                  <w:pPr>
                    <w:jc w:val="center"/>
                    <w:rPr>
                      <w:rFonts w:cs="Times New Roman"/>
                      <w:szCs w:val="21"/>
                    </w:rPr>
                  </w:pPr>
                </w:p>
              </w:tc>
            </w:tr>
          </w:tbl>
          <w:p>
            <w:pPr>
              <w:spacing w:line="360" w:lineRule="auto"/>
              <w:ind w:firstLine="482" w:firstLineChars="200"/>
              <w:rPr>
                <w:rFonts w:cs="Times New Roman"/>
                <w:b/>
                <w:sz w:val="24"/>
                <w:szCs w:val="24"/>
              </w:rPr>
            </w:pPr>
            <w:r>
              <w:rPr>
                <w:rFonts w:cs="Times New Roman"/>
                <w:b/>
                <w:sz w:val="24"/>
                <w:szCs w:val="24"/>
              </w:rPr>
              <w:t>4、地下水环境</w:t>
            </w:r>
          </w:p>
          <w:p>
            <w:pPr>
              <w:spacing w:line="360" w:lineRule="auto"/>
              <w:ind w:firstLine="480" w:firstLineChars="200"/>
              <w:rPr>
                <w:rFonts w:cs="Times New Roman"/>
                <w:sz w:val="24"/>
                <w:szCs w:val="24"/>
              </w:rPr>
            </w:pPr>
            <w:r>
              <w:rPr>
                <w:rFonts w:cs="Times New Roman"/>
                <w:sz w:val="24"/>
                <w:szCs w:val="24"/>
              </w:rPr>
              <w:t>本项目厂界外500m范围内无地下水集中式饮用水水源和热水、矿泉水、温泉等特殊地下水资源。</w:t>
            </w:r>
          </w:p>
          <w:p>
            <w:pPr>
              <w:spacing w:line="360" w:lineRule="auto"/>
              <w:ind w:firstLine="482" w:firstLineChars="200"/>
              <w:rPr>
                <w:rFonts w:cs="Times New Roman"/>
                <w:b/>
                <w:sz w:val="24"/>
                <w:szCs w:val="24"/>
              </w:rPr>
            </w:pPr>
            <w:r>
              <w:rPr>
                <w:rFonts w:cs="Times New Roman"/>
                <w:b/>
                <w:sz w:val="24"/>
                <w:szCs w:val="24"/>
              </w:rPr>
              <w:t>5、生态环境</w:t>
            </w:r>
          </w:p>
          <w:p>
            <w:pPr>
              <w:spacing w:line="360" w:lineRule="auto"/>
              <w:ind w:firstLine="480" w:firstLineChars="200"/>
              <w:rPr>
                <w:rFonts w:cs="Times New Roman"/>
                <w:b/>
                <w:sz w:val="24"/>
                <w:szCs w:val="24"/>
              </w:rPr>
            </w:pPr>
            <w:r>
              <w:rPr>
                <w:rFonts w:cs="Times New Roman"/>
                <w:sz w:val="24"/>
                <w:szCs w:val="24"/>
              </w:rPr>
              <w:t>本项目用地范围内无生态环境保护目标。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jc w:val="center"/>
              <w:rPr>
                <w:rFonts w:cs="Times New Roman"/>
                <w:sz w:val="24"/>
                <w:szCs w:val="24"/>
              </w:rPr>
            </w:pPr>
            <w:r>
              <w:rPr>
                <w:rFonts w:cs="Times New Roman"/>
                <w:sz w:val="24"/>
                <w:szCs w:val="24"/>
              </w:rPr>
              <w:t>污染</w:t>
            </w:r>
          </w:p>
          <w:p>
            <w:pPr>
              <w:jc w:val="center"/>
              <w:rPr>
                <w:rFonts w:cs="Times New Roman"/>
                <w:sz w:val="24"/>
                <w:szCs w:val="24"/>
              </w:rPr>
            </w:pPr>
            <w:r>
              <w:rPr>
                <w:rFonts w:cs="Times New Roman"/>
                <w:sz w:val="24"/>
                <w:szCs w:val="24"/>
              </w:rPr>
              <w:t>物排</w:t>
            </w:r>
          </w:p>
          <w:p>
            <w:pPr>
              <w:jc w:val="center"/>
              <w:rPr>
                <w:rFonts w:cs="Times New Roman"/>
                <w:sz w:val="24"/>
                <w:szCs w:val="24"/>
              </w:rPr>
            </w:pPr>
            <w:r>
              <w:rPr>
                <w:rFonts w:cs="Times New Roman"/>
                <w:sz w:val="24"/>
                <w:szCs w:val="24"/>
              </w:rPr>
              <w:t>放控</w:t>
            </w:r>
          </w:p>
          <w:p>
            <w:pPr>
              <w:jc w:val="center"/>
              <w:rPr>
                <w:rFonts w:cs="Times New Roman"/>
                <w:sz w:val="24"/>
                <w:szCs w:val="24"/>
              </w:rPr>
            </w:pPr>
            <w:r>
              <w:rPr>
                <w:rFonts w:cs="Times New Roman"/>
                <w:sz w:val="24"/>
                <w:szCs w:val="24"/>
              </w:rPr>
              <w:t>制标</w:t>
            </w:r>
          </w:p>
          <w:p>
            <w:pPr>
              <w:jc w:val="center"/>
              <w:rPr>
                <w:rFonts w:cs="Times New Roman"/>
                <w:sz w:val="24"/>
                <w:szCs w:val="24"/>
              </w:rPr>
            </w:pPr>
            <w:r>
              <w:rPr>
                <w:rFonts w:cs="Times New Roman"/>
                <w:sz w:val="24"/>
                <w:szCs w:val="24"/>
              </w:rPr>
              <w:t>准</w:t>
            </w:r>
          </w:p>
        </w:tc>
        <w:tc>
          <w:tcPr>
            <w:tcW w:w="8645" w:type="dxa"/>
            <w:vAlign w:val="center"/>
          </w:tcPr>
          <w:p>
            <w:pPr>
              <w:spacing w:line="360" w:lineRule="auto"/>
              <w:ind w:firstLine="482" w:firstLineChars="200"/>
              <w:rPr>
                <w:rFonts w:cs="Times New Roman"/>
                <w:b/>
                <w:sz w:val="24"/>
                <w:szCs w:val="24"/>
              </w:rPr>
            </w:pPr>
            <w:r>
              <w:rPr>
                <w:rFonts w:cs="Times New Roman"/>
                <w:b/>
                <w:sz w:val="24"/>
                <w:szCs w:val="24"/>
              </w:rPr>
              <w:t>1、废气</w:t>
            </w:r>
          </w:p>
          <w:p>
            <w:pPr>
              <w:spacing w:line="360" w:lineRule="auto"/>
              <w:ind w:firstLine="480" w:firstLineChars="200"/>
              <w:rPr>
                <w:rFonts w:cs="Times New Roman"/>
                <w:sz w:val="24"/>
                <w:szCs w:val="24"/>
              </w:rPr>
            </w:pPr>
            <w:r>
              <w:rPr>
                <w:rFonts w:cs="Times New Roman"/>
                <w:sz w:val="24"/>
                <w:szCs w:val="24"/>
              </w:rPr>
              <w:t>施工期扬尘执行《四川省施工场地扬尘排放标准》（DB51/2682-2020）。</w:t>
            </w:r>
          </w:p>
          <w:p>
            <w:pPr>
              <w:spacing w:line="360" w:lineRule="auto"/>
              <w:jc w:val="center"/>
              <w:rPr>
                <w:rFonts w:cs="Times New Roman"/>
                <w:b/>
                <w:bCs/>
                <w:sz w:val="24"/>
                <w:szCs w:val="24"/>
              </w:rPr>
            </w:pPr>
            <w:r>
              <w:rPr>
                <w:rFonts w:cs="Times New Roman"/>
                <w:b/>
                <w:bCs/>
                <w:sz w:val="24"/>
                <w:szCs w:val="24"/>
              </w:rPr>
              <w:t>表3-11 施工场地扬尘排放限值</w:t>
            </w:r>
          </w:p>
          <w:tbl>
            <w:tblPr>
              <w:tblStyle w:val="26"/>
              <w:tblW w:w="84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536"/>
              <w:gridCol w:w="2127"/>
              <w:gridCol w:w="2696"/>
              <w:gridCol w:w="1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65" w:type="dxa"/>
                  <w:tcBorders>
                    <w:tl2br w:val="nil"/>
                    <w:tr2bl w:val="nil"/>
                  </w:tcBorders>
                  <w:vAlign w:val="center"/>
                </w:tcPr>
                <w:p>
                  <w:pPr>
                    <w:jc w:val="center"/>
                    <w:rPr>
                      <w:rFonts w:cs="Times New Roman"/>
                      <w:b/>
                      <w:bCs/>
                      <w:szCs w:val="21"/>
                    </w:rPr>
                  </w:pPr>
                  <w:r>
                    <w:rPr>
                      <w:rFonts w:cs="Times New Roman"/>
                      <w:b/>
                      <w:bCs/>
                      <w:szCs w:val="21"/>
                    </w:rPr>
                    <w:t>序号</w:t>
                  </w:r>
                </w:p>
              </w:tc>
              <w:tc>
                <w:tcPr>
                  <w:tcW w:w="1536" w:type="dxa"/>
                  <w:tcBorders>
                    <w:tl2br w:val="nil"/>
                    <w:tr2bl w:val="nil"/>
                  </w:tcBorders>
                  <w:vAlign w:val="center"/>
                </w:tcPr>
                <w:p>
                  <w:pPr>
                    <w:jc w:val="center"/>
                    <w:rPr>
                      <w:rFonts w:cs="Times New Roman"/>
                      <w:b/>
                      <w:bCs/>
                      <w:szCs w:val="21"/>
                    </w:rPr>
                  </w:pPr>
                  <w:r>
                    <w:rPr>
                      <w:rFonts w:cs="Times New Roman"/>
                      <w:b/>
                      <w:bCs/>
                      <w:szCs w:val="21"/>
                    </w:rPr>
                    <w:t>污染物</w:t>
                  </w:r>
                </w:p>
              </w:tc>
              <w:tc>
                <w:tcPr>
                  <w:tcW w:w="2127" w:type="dxa"/>
                  <w:tcBorders>
                    <w:tl2br w:val="nil"/>
                    <w:tr2bl w:val="nil"/>
                  </w:tcBorders>
                  <w:vAlign w:val="center"/>
                </w:tcPr>
                <w:p>
                  <w:pPr>
                    <w:jc w:val="center"/>
                    <w:rPr>
                      <w:rFonts w:cs="Times New Roman"/>
                      <w:b/>
                      <w:bCs/>
                      <w:szCs w:val="21"/>
                    </w:rPr>
                  </w:pPr>
                  <w:r>
                    <w:rPr>
                      <w:rFonts w:cs="Times New Roman"/>
                      <w:b/>
                      <w:bCs/>
                      <w:szCs w:val="21"/>
                    </w:rPr>
                    <w:t>施工阶段</w:t>
                  </w:r>
                </w:p>
              </w:tc>
              <w:tc>
                <w:tcPr>
                  <w:tcW w:w="2696" w:type="dxa"/>
                  <w:tcBorders>
                    <w:tl2br w:val="nil"/>
                    <w:tr2bl w:val="nil"/>
                  </w:tcBorders>
                  <w:vAlign w:val="center"/>
                </w:tcPr>
                <w:p>
                  <w:pPr>
                    <w:jc w:val="center"/>
                    <w:rPr>
                      <w:rFonts w:cs="Times New Roman"/>
                      <w:b/>
                      <w:bCs/>
                      <w:szCs w:val="21"/>
                    </w:rPr>
                  </w:pPr>
                  <w:r>
                    <w:rPr>
                      <w:rFonts w:cs="Times New Roman"/>
                      <w:b/>
                      <w:bCs/>
                      <w:szCs w:val="21"/>
                    </w:rPr>
                    <w:t>监测点排放限值（mg/m</w:t>
                  </w:r>
                  <w:r>
                    <w:rPr>
                      <w:rFonts w:cs="Times New Roman"/>
                      <w:b/>
                      <w:bCs/>
                      <w:szCs w:val="21"/>
                      <w:vertAlign w:val="superscript"/>
                    </w:rPr>
                    <w:t>3</w:t>
                  </w:r>
                  <w:r>
                    <w:rPr>
                      <w:rFonts w:cs="Times New Roman"/>
                      <w:b/>
                      <w:bCs/>
                      <w:szCs w:val="21"/>
                    </w:rPr>
                    <w:t>）</w:t>
                  </w:r>
                </w:p>
              </w:tc>
              <w:tc>
                <w:tcPr>
                  <w:tcW w:w="1305" w:type="dxa"/>
                  <w:tcBorders>
                    <w:tl2br w:val="nil"/>
                    <w:tr2bl w:val="nil"/>
                  </w:tcBorders>
                  <w:vAlign w:val="center"/>
                </w:tcPr>
                <w:p>
                  <w:pPr>
                    <w:jc w:val="center"/>
                    <w:rPr>
                      <w:rFonts w:cs="Times New Roman"/>
                      <w:b/>
                      <w:bCs/>
                      <w:szCs w:val="21"/>
                    </w:rPr>
                  </w:pPr>
                  <w:r>
                    <w:rPr>
                      <w:rFonts w:cs="Times New Roman"/>
                      <w:b/>
                      <w:bCs/>
                      <w:szCs w:val="21"/>
                    </w:rPr>
                    <w:t>监测时间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restart"/>
                  <w:tcBorders>
                    <w:tl2br w:val="nil"/>
                    <w:tr2bl w:val="nil"/>
                  </w:tcBorders>
                  <w:vAlign w:val="center"/>
                </w:tcPr>
                <w:p>
                  <w:pPr>
                    <w:jc w:val="center"/>
                    <w:rPr>
                      <w:rFonts w:cs="Times New Roman"/>
                      <w:szCs w:val="21"/>
                    </w:rPr>
                  </w:pPr>
                  <w:r>
                    <w:rPr>
                      <w:rFonts w:cs="Times New Roman"/>
                      <w:szCs w:val="21"/>
                    </w:rPr>
                    <w:t>1</w:t>
                  </w:r>
                </w:p>
              </w:tc>
              <w:tc>
                <w:tcPr>
                  <w:tcW w:w="1536" w:type="dxa"/>
                  <w:vMerge w:val="restart"/>
                  <w:tcBorders>
                    <w:tl2br w:val="nil"/>
                    <w:tr2bl w:val="nil"/>
                  </w:tcBorders>
                  <w:vAlign w:val="center"/>
                </w:tcPr>
                <w:p>
                  <w:pPr>
                    <w:jc w:val="center"/>
                    <w:rPr>
                      <w:rFonts w:cs="Times New Roman"/>
                      <w:szCs w:val="21"/>
                    </w:rPr>
                  </w:pPr>
                  <w:r>
                    <w:rPr>
                      <w:rFonts w:cs="Times New Roman"/>
                      <w:szCs w:val="21"/>
                    </w:rPr>
                    <w:t>总悬浮颗粒物（TSP）</w:t>
                  </w:r>
                </w:p>
              </w:tc>
              <w:tc>
                <w:tcPr>
                  <w:tcW w:w="2127" w:type="dxa"/>
                  <w:tcBorders>
                    <w:tl2br w:val="nil"/>
                    <w:tr2bl w:val="nil"/>
                  </w:tcBorders>
                  <w:vAlign w:val="center"/>
                </w:tcPr>
                <w:p>
                  <w:pPr>
                    <w:jc w:val="center"/>
                    <w:rPr>
                      <w:rFonts w:cs="Times New Roman"/>
                      <w:szCs w:val="21"/>
                    </w:rPr>
                  </w:pPr>
                  <w:r>
                    <w:rPr>
                      <w:rFonts w:cs="Times New Roman"/>
                      <w:szCs w:val="21"/>
                    </w:rPr>
                    <w:t>拆除过程/土方开挖/土方回填</w:t>
                  </w:r>
                </w:p>
              </w:tc>
              <w:tc>
                <w:tcPr>
                  <w:tcW w:w="2696" w:type="dxa"/>
                  <w:tcBorders>
                    <w:tl2br w:val="nil"/>
                    <w:tr2bl w:val="nil"/>
                  </w:tcBorders>
                  <w:vAlign w:val="center"/>
                </w:tcPr>
                <w:p>
                  <w:pPr>
                    <w:jc w:val="center"/>
                    <w:rPr>
                      <w:rFonts w:cs="Times New Roman"/>
                      <w:szCs w:val="21"/>
                    </w:rPr>
                  </w:pPr>
                  <w:r>
                    <w:rPr>
                      <w:rFonts w:cs="Times New Roman"/>
                      <w:szCs w:val="21"/>
                    </w:rPr>
                    <w:t>0.600</w:t>
                  </w:r>
                </w:p>
              </w:tc>
              <w:tc>
                <w:tcPr>
                  <w:tcW w:w="1305" w:type="dxa"/>
                  <w:vMerge w:val="restart"/>
                  <w:tcBorders>
                    <w:tl2br w:val="nil"/>
                    <w:tr2bl w:val="nil"/>
                  </w:tcBorders>
                  <w:vAlign w:val="center"/>
                </w:tcPr>
                <w:p>
                  <w:pPr>
                    <w:jc w:val="center"/>
                    <w:rPr>
                      <w:rFonts w:cs="Times New Roman"/>
                      <w:szCs w:val="21"/>
                    </w:rPr>
                  </w:pPr>
                  <w:r>
                    <w:rPr>
                      <w:rFonts w:cs="Times New Roman"/>
                      <w:szCs w:val="21"/>
                    </w:rPr>
                    <w:t>自监测起持续15min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5" w:type="dxa"/>
                  <w:vMerge w:val="continue"/>
                  <w:tcBorders>
                    <w:tl2br w:val="nil"/>
                    <w:tr2bl w:val="nil"/>
                  </w:tcBorders>
                  <w:vAlign w:val="center"/>
                </w:tcPr>
                <w:p>
                  <w:pPr>
                    <w:jc w:val="center"/>
                    <w:rPr>
                      <w:rFonts w:cs="Times New Roman"/>
                      <w:szCs w:val="21"/>
                    </w:rPr>
                  </w:pPr>
                </w:p>
              </w:tc>
              <w:tc>
                <w:tcPr>
                  <w:tcW w:w="1536" w:type="dxa"/>
                  <w:vMerge w:val="continue"/>
                  <w:tcBorders>
                    <w:tl2br w:val="nil"/>
                    <w:tr2bl w:val="nil"/>
                  </w:tcBorders>
                  <w:vAlign w:val="center"/>
                </w:tcPr>
                <w:p>
                  <w:pPr>
                    <w:jc w:val="center"/>
                    <w:rPr>
                      <w:rFonts w:cs="Times New Roman"/>
                      <w:szCs w:val="21"/>
                    </w:rPr>
                  </w:pPr>
                </w:p>
              </w:tc>
              <w:tc>
                <w:tcPr>
                  <w:tcW w:w="2127" w:type="dxa"/>
                  <w:tcBorders>
                    <w:tl2br w:val="nil"/>
                    <w:tr2bl w:val="nil"/>
                  </w:tcBorders>
                  <w:vAlign w:val="center"/>
                </w:tcPr>
                <w:p>
                  <w:pPr>
                    <w:jc w:val="center"/>
                    <w:rPr>
                      <w:rFonts w:cs="Times New Roman"/>
                      <w:szCs w:val="21"/>
                    </w:rPr>
                  </w:pPr>
                  <w:r>
                    <w:rPr>
                      <w:rFonts w:cs="Times New Roman"/>
                      <w:szCs w:val="21"/>
                    </w:rPr>
                    <w:t>其他过程阶段</w:t>
                  </w:r>
                </w:p>
              </w:tc>
              <w:tc>
                <w:tcPr>
                  <w:tcW w:w="2696" w:type="dxa"/>
                  <w:tcBorders>
                    <w:tl2br w:val="nil"/>
                    <w:tr2bl w:val="nil"/>
                  </w:tcBorders>
                  <w:vAlign w:val="center"/>
                </w:tcPr>
                <w:p>
                  <w:pPr>
                    <w:jc w:val="center"/>
                    <w:rPr>
                      <w:rFonts w:cs="Times New Roman"/>
                      <w:szCs w:val="21"/>
                    </w:rPr>
                  </w:pPr>
                  <w:r>
                    <w:rPr>
                      <w:rFonts w:cs="Times New Roman"/>
                      <w:szCs w:val="21"/>
                    </w:rPr>
                    <w:t>0.250</w:t>
                  </w:r>
                </w:p>
              </w:tc>
              <w:tc>
                <w:tcPr>
                  <w:tcW w:w="1305" w:type="dxa"/>
                  <w:vMerge w:val="continue"/>
                  <w:tcBorders>
                    <w:tl2br w:val="nil"/>
                    <w:tr2bl w:val="nil"/>
                  </w:tcBorders>
                  <w:vAlign w:val="center"/>
                </w:tcPr>
                <w:p>
                  <w:pPr>
                    <w:jc w:val="center"/>
                    <w:rPr>
                      <w:rFonts w:cs="Times New Roman"/>
                      <w:szCs w:val="21"/>
                    </w:rPr>
                  </w:pPr>
                </w:p>
              </w:tc>
            </w:tr>
          </w:tbl>
          <w:p>
            <w:pPr>
              <w:spacing w:line="360" w:lineRule="auto"/>
              <w:ind w:firstLine="480" w:firstLineChars="200"/>
              <w:rPr>
                <w:rFonts w:cs="Times New Roman"/>
                <w:sz w:val="24"/>
                <w:szCs w:val="24"/>
              </w:rPr>
            </w:pPr>
            <w:r>
              <w:rPr>
                <w:rFonts w:cs="Times New Roman"/>
                <w:sz w:val="24"/>
                <w:szCs w:val="24"/>
              </w:rPr>
              <w:t>运营期VOCs有组织排放执行《四川省固定污染源大气挥发性有机物排放标准》（DB51/2377-2017）表3中涉及有机溶剂生产和使用的其它行业的标准；无组织排放执行《四川省固定污染源大气挥发性有机物排放标准》（DB51/2377-2017）表5中的限值；甲醛有组织排放执行《四川省固定污染源大气挥发性有机物排放标准》（DB51/2377-2017）表4中的限值；无组织排放执行《四川省固定污染源大气挥发性有机物排放标准》（DB51/2377-2017）表6中的限值。</w:t>
            </w:r>
          </w:p>
          <w:p>
            <w:pPr>
              <w:spacing w:line="360" w:lineRule="auto"/>
              <w:jc w:val="center"/>
              <w:rPr>
                <w:rFonts w:cs="Times New Roman"/>
                <w:b/>
                <w:bCs/>
                <w:sz w:val="24"/>
                <w:szCs w:val="24"/>
              </w:rPr>
            </w:pPr>
            <w:r>
              <w:rPr>
                <w:rFonts w:cs="Times New Roman"/>
                <w:b/>
                <w:bCs/>
                <w:sz w:val="24"/>
                <w:szCs w:val="24"/>
              </w:rPr>
              <w:t>表3-12 《四川省固定污染源大气挥发性有机物排放标准》（DB51-2377-2017）</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2"/>
              <w:gridCol w:w="1050"/>
              <w:gridCol w:w="1406"/>
              <w:gridCol w:w="1760"/>
              <w:gridCol w:w="1545"/>
              <w:gridCol w:w="13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8" w:type="pct"/>
                  <w:vMerge w:val="restart"/>
                  <w:tcBorders>
                    <w:tl2br w:val="nil"/>
                    <w:tr2bl w:val="nil"/>
                  </w:tcBorders>
                  <w:vAlign w:val="center"/>
                </w:tcPr>
                <w:p>
                  <w:pPr>
                    <w:tabs>
                      <w:tab w:val="left" w:pos="1170"/>
                      <w:tab w:val="left" w:pos="1470"/>
                    </w:tabs>
                    <w:jc w:val="center"/>
                    <w:rPr>
                      <w:rFonts w:cs="Times New Roman"/>
                      <w:b/>
                      <w:bCs/>
                      <w:szCs w:val="21"/>
                    </w:rPr>
                  </w:pPr>
                  <w:r>
                    <w:rPr>
                      <w:rFonts w:cs="Times New Roman"/>
                      <w:b/>
                      <w:bCs/>
                      <w:szCs w:val="21"/>
                    </w:rPr>
                    <w:t>污染物</w:t>
                  </w:r>
                </w:p>
              </w:tc>
              <w:tc>
                <w:tcPr>
                  <w:tcW w:w="613" w:type="pct"/>
                  <w:vMerge w:val="restar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szCs w:val="21"/>
                    </w:rPr>
                    <w:t>最高允许排放浓度(mg/m</w:t>
                  </w:r>
                  <w:r>
                    <w:rPr>
                      <w:rFonts w:cs="Times New Roman"/>
                      <w:b/>
                      <w:szCs w:val="21"/>
                      <w:vertAlign w:val="superscript"/>
                    </w:rPr>
                    <w:t>3</w:t>
                  </w:r>
                  <w:r>
                    <w:rPr>
                      <w:rFonts w:cs="Times New Roman"/>
                      <w:b/>
                      <w:szCs w:val="21"/>
                    </w:rPr>
                    <w:t>)</w:t>
                  </w:r>
                </w:p>
              </w:tc>
              <w:tc>
                <w:tcPr>
                  <w:tcW w:w="1849"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1688"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continue"/>
                  <w:tcBorders>
                    <w:tl2br w:val="nil"/>
                    <w:tr2bl w:val="nil"/>
                  </w:tcBorders>
                  <w:vAlign w:val="center"/>
                </w:tcPr>
                <w:p>
                  <w:pPr>
                    <w:jc w:val="center"/>
                    <w:rPr>
                      <w:rFonts w:cs="Times New Roman"/>
                      <w:b/>
                      <w:szCs w:val="21"/>
                    </w:rPr>
                  </w:pPr>
                </w:p>
              </w:tc>
              <w:tc>
                <w:tcPr>
                  <w:tcW w:w="613" w:type="pct"/>
                  <w:vMerge w:val="continue"/>
                  <w:tcBorders>
                    <w:tl2br w:val="nil"/>
                    <w:tr2bl w:val="nil"/>
                  </w:tcBorders>
                  <w:vAlign w:val="center"/>
                </w:tcPr>
                <w:p>
                  <w:pPr>
                    <w:snapToGrid w:val="0"/>
                    <w:jc w:val="center"/>
                    <w:rPr>
                      <w:rFonts w:cs="Times New Roman"/>
                      <w:b/>
                      <w:szCs w:val="21"/>
                    </w:rPr>
                  </w:pPr>
                </w:p>
              </w:tc>
              <w:tc>
                <w:tcPr>
                  <w:tcW w:w="821"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排气筒高度</w:t>
                  </w:r>
                </w:p>
                <w:p>
                  <w:pPr>
                    <w:tabs>
                      <w:tab w:val="left" w:pos="1170"/>
                      <w:tab w:val="left" w:pos="1470"/>
                    </w:tabs>
                    <w:snapToGrid w:val="0"/>
                    <w:jc w:val="center"/>
                    <w:rPr>
                      <w:rFonts w:cs="Times New Roman"/>
                      <w:b/>
                      <w:bCs/>
                      <w:szCs w:val="21"/>
                    </w:rPr>
                  </w:pPr>
                  <w:r>
                    <w:rPr>
                      <w:rFonts w:cs="Times New Roman"/>
                      <w:b/>
                      <w:bCs/>
                      <w:szCs w:val="21"/>
                    </w:rPr>
                    <w:t>（m）</w:t>
                  </w:r>
                </w:p>
              </w:tc>
              <w:tc>
                <w:tcPr>
                  <w:tcW w:w="1028"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902"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监控点</w:t>
                  </w:r>
                </w:p>
              </w:tc>
              <w:tc>
                <w:tcPr>
                  <w:tcW w:w="786"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浓度</w:t>
                  </w:r>
                </w:p>
                <w:p>
                  <w:pPr>
                    <w:tabs>
                      <w:tab w:val="left" w:pos="1170"/>
                      <w:tab w:val="left" w:pos="1470"/>
                    </w:tabs>
                    <w:snapToGrid w:val="0"/>
                    <w:jc w:val="center"/>
                    <w:rPr>
                      <w:rFonts w:cs="Times New Roman"/>
                      <w:b/>
                      <w:bCs/>
                      <w:szCs w:val="21"/>
                    </w:rPr>
                  </w:pPr>
                  <w:r>
                    <w:rPr>
                      <w:rFonts w:cs="Times New Roman"/>
                      <w:b/>
                      <w:szCs w:val="21"/>
                    </w:rPr>
                    <w:t>(mg/ m</w:t>
                  </w:r>
                  <w:r>
                    <w:rPr>
                      <w:rFonts w:cs="Times New Roman"/>
                      <w:b/>
                      <w:szCs w:val="21"/>
                      <w:vertAlign w:val="superscript"/>
                    </w:rPr>
                    <w:t>3</w:t>
                  </w:r>
                  <w:r>
                    <w:rPr>
                      <w:rFonts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VOCs</w:t>
                  </w:r>
                </w:p>
              </w:tc>
              <w:tc>
                <w:tcPr>
                  <w:tcW w:w="613"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60</w:t>
                  </w:r>
                </w:p>
              </w:tc>
              <w:tc>
                <w:tcPr>
                  <w:tcW w:w="821" w:type="pct"/>
                  <w:tcBorders>
                    <w:tl2br w:val="nil"/>
                    <w:tr2bl w:val="nil"/>
                  </w:tcBorders>
                  <w:vAlign w:val="center"/>
                </w:tcPr>
                <w:p>
                  <w:pPr>
                    <w:jc w:val="center"/>
                    <w:rPr>
                      <w:rFonts w:cs="Times New Roman"/>
                      <w:szCs w:val="21"/>
                    </w:rPr>
                  </w:pPr>
                  <w:r>
                    <w:rPr>
                      <w:rFonts w:cs="Times New Roman"/>
                      <w:szCs w:val="21"/>
                    </w:rPr>
                    <w:t>15</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3.4</w:t>
                  </w:r>
                </w:p>
              </w:tc>
              <w:tc>
                <w:tcPr>
                  <w:tcW w:w="902" w:type="pct"/>
                  <w:vMerge w:val="restart"/>
                  <w:tcBorders>
                    <w:tl2br w:val="nil"/>
                    <w:tr2bl w:val="nil"/>
                  </w:tcBorders>
                  <w:vAlign w:val="center"/>
                </w:tcPr>
                <w:p>
                  <w:pPr>
                    <w:tabs>
                      <w:tab w:val="left" w:pos="1170"/>
                      <w:tab w:val="left" w:pos="1470"/>
                    </w:tabs>
                    <w:jc w:val="center"/>
                    <w:rPr>
                      <w:rFonts w:cs="Times New Roman"/>
                      <w:bCs/>
                      <w:szCs w:val="21"/>
                    </w:rPr>
                  </w:pPr>
                  <w:r>
                    <w:rPr>
                      <w:rFonts w:cs="Times New Roman"/>
                      <w:bCs/>
                      <w:szCs w:val="21"/>
                    </w:rPr>
                    <w:t>周界外浓度最</w:t>
                  </w:r>
                </w:p>
                <w:p>
                  <w:pPr>
                    <w:tabs>
                      <w:tab w:val="left" w:pos="1170"/>
                      <w:tab w:val="left" w:pos="1470"/>
                    </w:tabs>
                    <w:jc w:val="center"/>
                    <w:rPr>
                      <w:rFonts w:cs="Times New Roman"/>
                      <w:bCs/>
                      <w:szCs w:val="21"/>
                    </w:rPr>
                  </w:pPr>
                  <w:r>
                    <w:rPr>
                      <w:rFonts w:cs="Times New Roman"/>
                      <w:bCs/>
                      <w:szCs w:val="21"/>
                    </w:rPr>
                    <w:t>高点</w:t>
                  </w:r>
                </w:p>
              </w:tc>
              <w:tc>
                <w:tcPr>
                  <w:tcW w:w="786"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continue"/>
                  <w:tcBorders>
                    <w:tl2br w:val="nil"/>
                    <w:tr2bl w:val="nil"/>
                  </w:tcBorders>
                  <w:vAlign w:val="center"/>
                </w:tcPr>
                <w:p>
                  <w:pPr>
                    <w:adjustRightInd w:val="0"/>
                    <w:snapToGrid w:val="0"/>
                    <w:spacing w:line="220" w:lineRule="exact"/>
                    <w:jc w:val="center"/>
                    <w:rPr>
                      <w:rFonts w:cs="Times New Roman"/>
                      <w:szCs w:val="21"/>
                    </w:rPr>
                  </w:pPr>
                </w:p>
              </w:tc>
              <w:tc>
                <w:tcPr>
                  <w:tcW w:w="613"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c>
                <w:tcPr>
                  <w:tcW w:w="821" w:type="pct"/>
                  <w:tcBorders>
                    <w:tl2br w:val="nil"/>
                    <w:tr2bl w:val="nil"/>
                  </w:tcBorders>
                  <w:vAlign w:val="center"/>
                </w:tcPr>
                <w:p>
                  <w:pPr>
                    <w:jc w:val="center"/>
                    <w:rPr>
                      <w:rFonts w:cs="Times New Roman"/>
                      <w:szCs w:val="21"/>
                    </w:rPr>
                  </w:pPr>
                  <w:r>
                    <w:rPr>
                      <w:rFonts w:cs="Times New Roman"/>
                      <w:szCs w:val="21"/>
                    </w:rPr>
                    <w:t>18</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5.44</w:t>
                  </w:r>
                </w:p>
              </w:tc>
              <w:tc>
                <w:tcPr>
                  <w:tcW w:w="902" w:type="pct"/>
                  <w:vMerge w:val="continue"/>
                  <w:tcBorders>
                    <w:tl2br w:val="nil"/>
                    <w:tr2bl w:val="nil"/>
                  </w:tcBorders>
                  <w:vAlign w:val="center"/>
                </w:tcPr>
                <w:p>
                  <w:pPr>
                    <w:tabs>
                      <w:tab w:val="left" w:pos="1170"/>
                      <w:tab w:val="left" w:pos="1470"/>
                    </w:tabs>
                    <w:jc w:val="center"/>
                    <w:rPr>
                      <w:rFonts w:cs="Times New Roman"/>
                      <w:bCs/>
                      <w:szCs w:val="21"/>
                    </w:rPr>
                  </w:pPr>
                </w:p>
              </w:tc>
              <w:tc>
                <w:tcPr>
                  <w:tcW w:w="786"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restart"/>
                  <w:tcBorders>
                    <w:tl2br w:val="nil"/>
                    <w:tr2bl w:val="nil"/>
                  </w:tcBorders>
                  <w:vAlign w:val="center"/>
                </w:tcPr>
                <w:p>
                  <w:pPr>
                    <w:adjustRightInd w:val="0"/>
                    <w:snapToGrid w:val="0"/>
                    <w:spacing w:line="220" w:lineRule="exact"/>
                    <w:jc w:val="center"/>
                    <w:rPr>
                      <w:rFonts w:cs="Times New Roman"/>
                      <w:szCs w:val="21"/>
                    </w:rPr>
                  </w:pPr>
                  <w:r>
                    <w:rPr>
                      <w:rFonts w:cs="Times New Roman"/>
                      <w:kern w:val="0"/>
                      <w:szCs w:val="21"/>
                    </w:rPr>
                    <w:t>甲醛</w:t>
                  </w:r>
                </w:p>
              </w:tc>
              <w:tc>
                <w:tcPr>
                  <w:tcW w:w="613"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5</w:t>
                  </w:r>
                </w:p>
              </w:tc>
              <w:tc>
                <w:tcPr>
                  <w:tcW w:w="821" w:type="pct"/>
                  <w:tcBorders>
                    <w:tl2br w:val="nil"/>
                    <w:tr2bl w:val="nil"/>
                  </w:tcBorders>
                  <w:vAlign w:val="center"/>
                </w:tcPr>
                <w:p>
                  <w:pPr>
                    <w:jc w:val="center"/>
                    <w:rPr>
                      <w:rFonts w:cs="Times New Roman"/>
                      <w:szCs w:val="21"/>
                    </w:rPr>
                  </w:pPr>
                  <w:r>
                    <w:rPr>
                      <w:rFonts w:cs="Times New Roman"/>
                      <w:szCs w:val="21"/>
                    </w:rPr>
                    <w:t>15</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0.2</w:t>
                  </w:r>
                </w:p>
              </w:tc>
              <w:tc>
                <w:tcPr>
                  <w:tcW w:w="902" w:type="pct"/>
                  <w:vMerge w:val="continue"/>
                  <w:tcBorders>
                    <w:tl2br w:val="nil"/>
                    <w:tr2bl w:val="nil"/>
                  </w:tcBorders>
                  <w:vAlign w:val="center"/>
                </w:tcPr>
                <w:p>
                  <w:pPr>
                    <w:tabs>
                      <w:tab w:val="left" w:pos="1170"/>
                      <w:tab w:val="left" w:pos="1470"/>
                    </w:tabs>
                    <w:jc w:val="center"/>
                    <w:rPr>
                      <w:rFonts w:cs="Times New Roman"/>
                      <w:bCs/>
                      <w:szCs w:val="21"/>
                    </w:rPr>
                  </w:pPr>
                </w:p>
              </w:tc>
              <w:tc>
                <w:tcPr>
                  <w:tcW w:w="786"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c>
                <w:tcPr>
                  <w:tcW w:w="613"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c>
                <w:tcPr>
                  <w:tcW w:w="821" w:type="pct"/>
                  <w:tcBorders>
                    <w:tl2br w:val="nil"/>
                    <w:tr2bl w:val="nil"/>
                  </w:tcBorders>
                  <w:vAlign w:val="center"/>
                </w:tcPr>
                <w:p>
                  <w:pPr>
                    <w:jc w:val="center"/>
                    <w:rPr>
                      <w:rFonts w:cs="Times New Roman"/>
                      <w:szCs w:val="21"/>
                    </w:rPr>
                  </w:pPr>
                  <w:r>
                    <w:rPr>
                      <w:rFonts w:cs="Times New Roman"/>
                      <w:szCs w:val="21"/>
                    </w:rPr>
                    <w:t>18</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0.26</w:t>
                  </w:r>
                </w:p>
              </w:tc>
              <w:tc>
                <w:tcPr>
                  <w:tcW w:w="902" w:type="pct"/>
                  <w:vMerge w:val="continue"/>
                  <w:tcBorders>
                    <w:tl2br w:val="nil"/>
                    <w:tr2bl w:val="nil"/>
                  </w:tcBorders>
                  <w:vAlign w:val="center"/>
                </w:tcPr>
                <w:p>
                  <w:pPr>
                    <w:tabs>
                      <w:tab w:val="left" w:pos="1170"/>
                      <w:tab w:val="left" w:pos="1470"/>
                    </w:tabs>
                    <w:jc w:val="center"/>
                    <w:rPr>
                      <w:rFonts w:cs="Times New Roman"/>
                      <w:bCs/>
                      <w:szCs w:val="21"/>
                    </w:rPr>
                  </w:pPr>
                </w:p>
              </w:tc>
              <w:tc>
                <w:tcPr>
                  <w:tcW w:w="786"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r>
          </w:tbl>
          <w:p>
            <w:pPr>
              <w:spacing w:line="360" w:lineRule="auto"/>
              <w:ind w:firstLine="480" w:firstLineChars="200"/>
              <w:rPr>
                <w:rFonts w:cs="Times New Roman"/>
                <w:sz w:val="24"/>
                <w:szCs w:val="24"/>
              </w:rPr>
            </w:pPr>
            <w:r>
              <w:rPr>
                <w:rFonts w:cs="Times New Roman"/>
                <w:sz w:val="24"/>
                <w:szCs w:val="24"/>
              </w:rPr>
              <w:t>SO</w:t>
            </w:r>
            <w:r>
              <w:rPr>
                <w:rFonts w:cs="Times New Roman"/>
                <w:sz w:val="24"/>
                <w:szCs w:val="24"/>
                <w:vertAlign w:val="subscript"/>
              </w:rPr>
              <w:t>2</w:t>
            </w:r>
            <w:r>
              <w:rPr>
                <w:rFonts w:cs="Times New Roman"/>
                <w:sz w:val="24"/>
                <w:szCs w:val="24"/>
              </w:rPr>
              <w:t>、NOx、颗粒物有组织排放浓度执行《建材工业大气污染物排放标准》（DB37/2373-2018）表2 玻璃工业重点控制区浓度限值要求；氨的有组织排放浓度执行《恶臭污染物排放标准》（GB14554-93）表2要求；SO</w:t>
            </w:r>
            <w:r>
              <w:rPr>
                <w:rFonts w:cs="Times New Roman"/>
                <w:sz w:val="24"/>
                <w:szCs w:val="24"/>
                <w:vertAlign w:val="subscript"/>
              </w:rPr>
              <w:t>2</w:t>
            </w:r>
            <w:r>
              <w:rPr>
                <w:rFonts w:cs="Times New Roman"/>
                <w:sz w:val="24"/>
                <w:szCs w:val="24"/>
              </w:rPr>
              <w:t>、NOx、颗粒物无组织排放浓度执行《大气污染物综合排放标准》（GB16297-1996）表2中二级标准；氨、臭气浓度无组织排放浓度执行《恶臭污染物排放标准》（GB14554-93）。</w:t>
            </w:r>
          </w:p>
          <w:p>
            <w:pPr>
              <w:spacing w:line="360" w:lineRule="auto"/>
              <w:jc w:val="center"/>
              <w:rPr>
                <w:rFonts w:cs="Times New Roman"/>
                <w:b/>
                <w:bCs/>
                <w:sz w:val="24"/>
                <w:szCs w:val="24"/>
              </w:rPr>
            </w:pPr>
            <w:r>
              <w:rPr>
                <w:rFonts w:cs="Times New Roman"/>
                <w:b/>
                <w:bCs/>
                <w:sz w:val="24"/>
                <w:szCs w:val="24"/>
              </w:rPr>
              <w:t>表3-13  《建材工业大气污染物排放标准》（DB37/2373-2018）</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15"/>
              <w:gridCol w:w="1846"/>
              <w:gridCol w:w="1846"/>
              <w:gridCol w:w="1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0"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污染物项目</w:t>
                  </w:r>
                </w:p>
              </w:tc>
              <w:tc>
                <w:tcPr>
                  <w:tcW w:w="1078"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颗粒物</w:t>
                  </w:r>
                </w:p>
              </w:tc>
              <w:tc>
                <w:tcPr>
                  <w:tcW w:w="1078"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二氧化硫</w:t>
                  </w:r>
                </w:p>
              </w:tc>
              <w:tc>
                <w:tcPr>
                  <w:tcW w:w="1081"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排放浓度（mg/m</w:t>
                  </w:r>
                  <w:r>
                    <w:rPr>
                      <w:rFonts w:ascii="Times New Roman" w:hAnsi="Times New Roman" w:cs="Times New Roman" w:eastAsiaTheme="minorEastAsia"/>
                      <w:b/>
                      <w:bCs/>
                      <w:szCs w:val="21"/>
                      <w:vertAlign w:val="superscript"/>
                    </w:rPr>
                    <w:t>3</w:t>
                  </w:r>
                  <w:r>
                    <w:rPr>
                      <w:rFonts w:ascii="Times New Roman" w:hAnsi="Times New Roman" w:cs="Times New Roman" w:eastAsiaTheme="minorEastAsia"/>
                      <w:b/>
                      <w:bCs/>
                      <w:szCs w:val="21"/>
                    </w:rPr>
                    <w:t>）</w:t>
                  </w:r>
                </w:p>
              </w:tc>
              <w:tc>
                <w:tcPr>
                  <w:tcW w:w="1078" w:type="pct"/>
                  <w:tcBorders>
                    <w:tl2br w:val="nil"/>
                    <w:tr2bl w:val="nil"/>
                  </w:tcBorders>
                  <w:vAlign w:val="center"/>
                </w:tcPr>
                <w:p>
                  <w:pPr>
                    <w:pStyle w:val="16"/>
                    <w:rPr>
                      <w:rFonts w:ascii="Times New Roman" w:hAnsi="Times New Roman" w:cs="Times New Roman" w:eastAsiaTheme="minorEastAsia"/>
                      <w:szCs w:val="21"/>
                    </w:rPr>
                  </w:pPr>
                  <w:r>
                    <w:rPr>
                      <w:rFonts w:ascii="Times New Roman" w:hAnsi="Times New Roman" w:cs="Times New Roman" w:eastAsiaTheme="minorEastAsia"/>
                      <w:szCs w:val="21"/>
                    </w:rPr>
                    <w:t>10</w:t>
                  </w:r>
                </w:p>
              </w:tc>
              <w:tc>
                <w:tcPr>
                  <w:tcW w:w="1078" w:type="pct"/>
                  <w:tcBorders>
                    <w:tl2br w:val="nil"/>
                    <w:tr2bl w:val="nil"/>
                  </w:tcBorders>
                  <w:vAlign w:val="center"/>
                </w:tcPr>
                <w:p>
                  <w:pPr>
                    <w:pStyle w:val="16"/>
                    <w:rPr>
                      <w:rFonts w:ascii="Times New Roman" w:hAnsi="Times New Roman" w:cs="Times New Roman" w:eastAsiaTheme="minorEastAsia"/>
                      <w:szCs w:val="21"/>
                    </w:rPr>
                  </w:pPr>
                  <w:r>
                    <w:rPr>
                      <w:rFonts w:ascii="Times New Roman" w:hAnsi="Times New Roman" w:cs="Times New Roman" w:eastAsiaTheme="minorEastAsia"/>
                      <w:szCs w:val="21"/>
                    </w:rPr>
                    <w:t>50</w:t>
                  </w:r>
                </w:p>
              </w:tc>
              <w:tc>
                <w:tcPr>
                  <w:tcW w:w="1081" w:type="pct"/>
                  <w:tcBorders>
                    <w:tl2br w:val="nil"/>
                    <w:tr2bl w:val="nil"/>
                  </w:tcBorders>
                  <w:vAlign w:val="center"/>
                </w:tcPr>
                <w:p>
                  <w:pPr>
                    <w:pStyle w:val="16"/>
                    <w:rPr>
                      <w:rFonts w:ascii="Times New Roman" w:hAnsi="Times New Roman" w:cs="Times New Roman" w:eastAsiaTheme="minorEastAsia"/>
                      <w:szCs w:val="21"/>
                    </w:rPr>
                  </w:pPr>
                  <w:r>
                    <w:rPr>
                      <w:rFonts w:ascii="Times New Roman" w:hAnsi="Times New Roman" w:cs="Times New Roman" w:eastAsiaTheme="minorEastAsia"/>
                      <w:szCs w:val="21"/>
                    </w:rPr>
                    <w:t>100</w:t>
                  </w:r>
                </w:p>
              </w:tc>
            </w:tr>
          </w:tbl>
          <w:p>
            <w:pPr>
              <w:spacing w:line="360" w:lineRule="auto"/>
              <w:jc w:val="center"/>
              <w:rPr>
                <w:rFonts w:cs="Times New Roman"/>
                <w:b/>
                <w:bCs/>
                <w:sz w:val="24"/>
                <w:szCs w:val="24"/>
              </w:rPr>
            </w:pPr>
          </w:p>
          <w:p>
            <w:pPr>
              <w:spacing w:line="360" w:lineRule="auto"/>
              <w:jc w:val="center"/>
              <w:rPr>
                <w:rFonts w:cs="Times New Roman"/>
                <w:b/>
                <w:bCs/>
                <w:sz w:val="24"/>
                <w:szCs w:val="24"/>
              </w:rPr>
            </w:pPr>
          </w:p>
          <w:p>
            <w:pPr>
              <w:spacing w:line="360" w:lineRule="auto"/>
              <w:jc w:val="center"/>
              <w:rPr>
                <w:rFonts w:cs="Times New Roman"/>
                <w:b/>
                <w:bCs/>
                <w:sz w:val="24"/>
                <w:szCs w:val="24"/>
              </w:rPr>
            </w:pPr>
          </w:p>
          <w:p>
            <w:pPr>
              <w:spacing w:line="360" w:lineRule="auto"/>
              <w:jc w:val="center"/>
              <w:rPr>
                <w:rFonts w:cs="Times New Roman"/>
                <w:b/>
                <w:bCs/>
                <w:sz w:val="24"/>
                <w:szCs w:val="24"/>
              </w:rPr>
            </w:pPr>
            <w:r>
              <w:rPr>
                <w:rFonts w:cs="Times New Roman"/>
                <w:b/>
                <w:bCs/>
                <w:sz w:val="24"/>
                <w:szCs w:val="24"/>
              </w:rPr>
              <w:t>表3-14  《大气污染物综合排放标准》（GB16297-1996）</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63"/>
              <w:gridCol w:w="2808"/>
              <w:gridCol w:w="28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vMerge w:val="restart"/>
                  <w:tcBorders>
                    <w:tl2br w:val="nil"/>
                    <w:tr2bl w:val="nil"/>
                  </w:tcBorders>
                  <w:vAlign w:val="center"/>
                </w:tcPr>
                <w:p>
                  <w:pPr>
                    <w:tabs>
                      <w:tab w:val="left" w:pos="1170"/>
                      <w:tab w:val="left" w:pos="1470"/>
                    </w:tabs>
                    <w:jc w:val="center"/>
                    <w:rPr>
                      <w:rFonts w:cs="Times New Roman"/>
                      <w:b/>
                      <w:bCs/>
                      <w:szCs w:val="21"/>
                    </w:rPr>
                  </w:pPr>
                  <w:r>
                    <w:rPr>
                      <w:rFonts w:cs="Times New Roman"/>
                      <w:b/>
                      <w:bCs/>
                      <w:szCs w:val="21"/>
                    </w:rPr>
                    <w:t>污染物</w:t>
                  </w:r>
                </w:p>
              </w:tc>
              <w:tc>
                <w:tcPr>
                  <w:tcW w:w="3327"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vMerge w:val="continue"/>
                  <w:tcBorders>
                    <w:tl2br w:val="nil"/>
                    <w:tr2bl w:val="nil"/>
                  </w:tcBorders>
                  <w:vAlign w:val="center"/>
                </w:tcPr>
                <w:p>
                  <w:pPr>
                    <w:jc w:val="center"/>
                    <w:rPr>
                      <w:rFonts w:cs="Times New Roman"/>
                      <w:b/>
                      <w:szCs w:val="21"/>
                    </w:rPr>
                  </w:pPr>
                </w:p>
              </w:tc>
              <w:tc>
                <w:tcPr>
                  <w:tcW w:w="1640"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监控点</w:t>
                  </w:r>
                </w:p>
              </w:tc>
              <w:tc>
                <w:tcPr>
                  <w:tcW w:w="1687"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浓度</w:t>
                  </w:r>
                  <w:r>
                    <w:rPr>
                      <w:rFonts w:cs="Times New Roman"/>
                      <w:b/>
                      <w:szCs w:val="21"/>
                    </w:rPr>
                    <w:t>(mg/ m</w:t>
                  </w:r>
                  <w:r>
                    <w:rPr>
                      <w:rFonts w:cs="Times New Roman"/>
                      <w:b/>
                      <w:szCs w:val="21"/>
                      <w:vertAlign w:val="superscript"/>
                    </w:rPr>
                    <w:t>3</w:t>
                  </w:r>
                  <w:r>
                    <w:rPr>
                      <w:rFonts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SO</w:t>
                  </w:r>
                  <w:r>
                    <w:rPr>
                      <w:rFonts w:cs="Times New Roman"/>
                      <w:szCs w:val="21"/>
                      <w:vertAlign w:val="subscript"/>
                    </w:rPr>
                    <w:t>2</w:t>
                  </w:r>
                </w:p>
              </w:tc>
              <w:tc>
                <w:tcPr>
                  <w:tcW w:w="1640" w:type="pct"/>
                  <w:vMerge w:val="restart"/>
                  <w:tcBorders>
                    <w:tl2br w:val="nil"/>
                    <w:tr2bl w:val="nil"/>
                  </w:tcBorders>
                  <w:vAlign w:val="center"/>
                </w:tcPr>
                <w:p>
                  <w:pPr>
                    <w:tabs>
                      <w:tab w:val="left" w:pos="1170"/>
                      <w:tab w:val="left" w:pos="1470"/>
                    </w:tabs>
                    <w:jc w:val="center"/>
                    <w:rPr>
                      <w:rFonts w:cs="Times New Roman"/>
                      <w:bCs/>
                      <w:szCs w:val="21"/>
                    </w:rPr>
                  </w:pPr>
                  <w:r>
                    <w:rPr>
                      <w:rFonts w:cs="Times New Roman"/>
                      <w:bCs/>
                      <w:szCs w:val="21"/>
                    </w:rPr>
                    <w:t>周界外浓度最</w:t>
                  </w:r>
                </w:p>
                <w:p>
                  <w:pPr>
                    <w:tabs>
                      <w:tab w:val="left" w:pos="1170"/>
                      <w:tab w:val="left" w:pos="1470"/>
                    </w:tabs>
                    <w:jc w:val="center"/>
                    <w:rPr>
                      <w:rFonts w:cs="Times New Roman"/>
                      <w:bCs/>
                      <w:szCs w:val="21"/>
                    </w:rPr>
                  </w:pPr>
                  <w:r>
                    <w:rPr>
                      <w:rFonts w:cs="Times New Roman"/>
                      <w:bCs/>
                      <w:szCs w:val="21"/>
                    </w:rPr>
                    <w:t>高点</w:t>
                  </w:r>
                </w:p>
              </w:tc>
              <w:tc>
                <w:tcPr>
                  <w:tcW w:w="168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NO</w:t>
                  </w:r>
                  <w:r>
                    <w:rPr>
                      <w:rFonts w:cs="Times New Roman"/>
                      <w:szCs w:val="21"/>
                      <w:vertAlign w:val="subscript"/>
                    </w:rPr>
                    <w:t>2</w:t>
                  </w:r>
                </w:p>
              </w:tc>
              <w:tc>
                <w:tcPr>
                  <w:tcW w:w="1640" w:type="pct"/>
                  <w:vMerge w:val="continue"/>
                  <w:tcBorders>
                    <w:tl2br w:val="nil"/>
                    <w:tr2bl w:val="nil"/>
                  </w:tcBorders>
                  <w:vAlign w:val="center"/>
                </w:tcPr>
                <w:p>
                  <w:pPr>
                    <w:tabs>
                      <w:tab w:val="left" w:pos="1170"/>
                      <w:tab w:val="left" w:pos="1470"/>
                    </w:tabs>
                    <w:jc w:val="center"/>
                    <w:rPr>
                      <w:rFonts w:cs="Times New Roman"/>
                      <w:bCs/>
                      <w:szCs w:val="21"/>
                    </w:rPr>
                  </w:pPr>
                </w:p>
              </w:tc>
              <w:tc>
                <w:tcPr>
                  <w:tcW w:w="168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tcBorders>
                    <w:tl2br w:val="nil"/>
                    <w:tr2bl w:val="nil"/>
                  </w:tcBorders>
                  <w:vAlign w:val="center"/>
                </w:tcPr>
                <w:p>
                  <w:pPr>
                    <w:tabs>
                      <w:tab w:val="left" w:pos="1170"/>
                      <w:tab w:val="left" w:pos="1470"/>
                    </w:tabs>
                    <w:jc w:val="center"/>
                    <w:rPr>
                      <w:rFonts w:cs="Times New Roman"/>
                      <w:bCs/>
                      <w:szCs w:val="21"/>
                    </w:rPr>
                  </w:pPr>
                  <w:r>
                    <w:rPr>
                      <w:rFonts w:cs="Times New Roman"/>
                      <w:kern w:val="0"/>
                      <w:szCs w:val="21"/>
                    </w:rPr>
                    <w:t>颗粒物</w:t>
                  </w:r>
                </w:p>
              </w:tc>
              <w:tc>
                <w:tcPr>
                  <w:tcW w:w="1640" w:type="pct"/>
                  <w:vMerge w:val="continue"/>
                  <w:tcBorders>
                    <w:tl2br w:val="nil"/>
                    <w:tr2bl w:val="nil"/>
                  </w:tcBorders>
                  <w:vAlign w:val="center"/>
                </w:tcPr>
                <w:p>
                  <w:pPr>
                    <w:tabs>
                      <w:tab w:val="left" w:pos="1170"/>
                      <w:tab w:val="left" w:pos="1470"/>
                    </w:tabs>
                    <w:jc w:val="center"/>
                    <w:rPr>
                      <w:rFonts w:cs="Times New Roman"/>
                      <w:bCs/>
                      <w:szCs w:val="21"/>
                    </w:rPr>
                  </w:pPr>
                </w:p>
              </w:tc>
              <w:tc>
                <w:tcPr>
                  <w:tcW w:w="168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bCs/>
                      <w:szCs w:val="21"/>
                    </w:rPr>
                    <w:t>1.0</w:t>
                  </w:r>
                </w:p>
              </w:tc>
            </w:tr>
          </w:tbl>
          <w:p>
            <w:pPr>
              <w:spacing w:line="360" w:lineRule="auto"/>
              <w:ind w:firstLine="482" w:firstLineChars="200"/>
              <w:jc w:val="center"/>
              <w:rPr>
                <w:rFonts w:cs="Times New Roman"/>
                <w:b/>
                <w:bCs/>
                <w:sz w:val="24"/>
                <w:szCs w:val="24"/>
              </w:rPr>
            </w:pPr>
            <w:r>
              <w:rPr>
                <w:rFonts w:cs="Times New Roman"/>
                <w:b/>
                <w:bCs/>
                <w:sz w:val="24"/>
                <w:szCs w:val="24"/>
              </w:rPr>
              <w:t>表3-15  《恶臭污染物排放标准》（GB14554-93）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3"/>
              <w:gridCol w:w="1601"/>
              <w:gridCol w:w="2007"/>
              <w:gridCol w:w="1760"/>
              <w:gridCol w:w="15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tcBorders>
                    <w:tl2br w:val="nil"/>
                    <w:tr2bl w:val="nil"/>
                  </w:tcBorders>
                  <w:vAlign w:val="center"/>
                </w:tcPr>
                <w:p>
                  <w:pPr>
                    <w:tabs>
                      <w:tab w:val="left" w:pos="1170"/>
                      <w:tab w:val="left" w:pos="1470"/>
                    </w:tabs>
                    <w:jc w:val="center"/>
                    <w:rPr>
                      <w:rFonts w:cs="Times New Roman"/>
                      <w:b/>
                      <w:bCs/>
                      <w:szCs w:val="21"/>
                    </w:rPr>
                  </w:pPr>
                  <w:r>
                    <w:rPr>
                      <w:rFonts w:cs="Times New Roman"/>
                      <w:b/>
                      <w:bCs/>
                      <w:szCs w:val="21"/>
                    </w:rPr>
                    <w:t>污染物</w:t>
                  </w:r>
                </w:p>
              </w:tc>
              <w:tc>
                <w:tcPr>
                  <w:tcW w:w="2107"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1926"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tcBorders>
                    <w:tl2br w:val="nil"/>
                    <w:tr2bl w:val="nil"/>
                  </w:tcBorders>
                  <w:vAlign w:val="center"/>
                </w:tcPr>
                <w:p>
                  <w:pPr>
                    <w:jc w:val="center"/>
                    <w:rPr>
                      <w:rFonts w:cs="Times New Roman"/>
                      <w:b/>
                      <w:szCs w:val="21"/>
                    </w:rPr>
                  </w:pPr>
                </w:p>
              </w:tc>
              <w:tc>
                <w:tcPr>
                  <w:tcW w:w="935"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排气筒高度</w:t>
                  </w:r>
                </w:p>
                <w:p>
                  <w:pPr>
                    <w:tabs>
                      <w:tab w:val="left" w:pos="1170"/>
                      <w:tab w:val="left" w:pos="1470"/>
                    </w:tabs>
                    <w:snapToGrid w:val="0"/>
                    <w:jc w:val="center"/>
                    <w:rPr>
                      <w:rFonts w:cs="Times New Roman"/>
                      <w:b/>
                      <w:bCs/>
                      <w:szCs w:val="21"/>
                    </w:rPr>
                  </w:pPr>
                  <w:r>
                    <w:rPr>
                      <w:rFonts w:cs="Times New Roman"/>
                      <w:b/>
                      <w:bCs/>
                      <w:szCs w:val="21"/>
                    </w:rPr>
                    <w:t>（m）</w:t>
                  </w:r>
                </w:p>
              </w:tc>
              <w:tc>
                <w:tcPr>
                  <w:tcW w:w="1172"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1028"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监控点</w:t>
                  </w:r>
                </w:p>
              </w:tc>
              <w:tc>
                <w:tcPr>
                  <w:tcW w:w="897"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浓度</w:t>
                  </w:r>
                </w:p>
                <w:p>
                  <w:pPr>
                    <w:tabs>
                      <w:tab w:val="left" w:pos="1170"/>
                      <w:tab w:val="left" w:pos="1470"/>
                    </w:tabs>
                    <w:snapToGrid w:val="0"/>
                    <w:jc w:val="center"/>
                    <w:rPr>
                      <w:rFonts w:cs="Times New Roman"/>
                      <w:b/>
                      <w:bCs/>
                      <w:szCs w:val="21"/>
                    </w:rPr>
                  </w:pPr>
                  <w:r>
                    <w:rPr>
                      <w:rFonts w:cs="Times New Roman"/>
                      <w:b/>
                      <w:szCs w:val="21"/>
                    </w:rPr>
                    <w:t>(mg/ m</w:t>
                  </w:r>
                  <w:r>
                    <w:rPr>
                      <w:rFonts w:cs="Times New Roman"/>
                      <w:b/>
                      <w:szCs w:val="21"/>
                      <w:vertAlign w:val="superscript"/>
                    </w:rPr>
                    <w:t>3</w:t>
                  </w:r>
                  <w:r>
                    <w:rPr>
                      <w:rFonts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氨</w:t>
                  </w:r>
                </w:p>
              </w:tc>
              <w:tc>
                <w:tcPr>
                  <w:tcW w:w="935" w:type="pct"/>
                  <w:tcBorders>
                    <w:tl2br w:val="nil"/>
                    <w:tr2bl w:val="nil"/>
                  </w:tcBorders>
                  <w:vAlign w:val="center"/>
                </w:tcPr>
                <w:p>
                  <w:pPr>
                    <w:jc w:val="center"/>
                    <w:rPr>
                      <w:rFonts w:cs="Times New Roman"/>
                      <w:szCs w:val="21"/>
                    </w:rPr>
                  </w:pPr>
                  <w:r>
                    <w:rPr>
                      <w:rFonts w:cs="Times New Roman"/>
                      <w:szCs w:val="21"/>
                    </w:rPr>
                    <w:t>15</w:t>
                  </w:r>
                </w:p>
              </w:tc>
              <w:tc>
                <w:tcPr>
                  <w:tcW w:w="11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4.9</w:t>
                  </w:r>
                </w:p>
              </w:tc>
              <w:tc>
                <w:tcPr>
                  <w:tcW w:w="1028" w:type="pct"/>
                  <w:vMerge w:val="restart"/>
                  <w:tcBorders>
                    <w:tl2br w:val="nil"/>
                    <w:tr2bl w:val="nil"/>
                  </w:tcBorders>
                  <w:vAlign w:val="center"/>
                </w:tcPr>
                <w:p>
                  <w:pPr>
                    <w:tabs>
                      <w:tab w:val="left" w:pos="1170"/>
                      <w:tab w:val="left" w:pos="1470"/>
                    </w:tabs>
                    <w:jc w:val="center"/>
                    <w:rPr>
                      <w:rFonts w:cs="Times New Roman"/>
                      <w:bCs/>
                      <w:szCs w:val="21"/>
                    </w:rPr>
                  </w:pPr>
                  <w:r>
                    <w:rPr>
                      <w:rFonts w:cs="Times New Roman"/>
                      <w:bCs/>
                      <w:szCs w:val="21"/>
                    </w:rPr>
                    <w:t>厂界标准值</w:t>
                  </w:r>
                </w:p>
              </w:tc>
              <w:tc>
                <w:tcPr>
                  <w:tcW w:w="897"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tcBorders>
                    <w:tl2br w:val="nil"/>
                    <w:tr2bl w:val="nil"/>
                  </w:tcBorders>
                  <w:vAlign w:val="center"/>
                </w:tcPr>
                <w:p>
                  <w:pPr>
                    <w:adjustRightInd w:val="0"/>
                    <w:snapToGrid w:val="0"/>
                    <w:spacing w:line="220" w:lineRule="exact"/>
                    <w:jc w:val="center"/>
                    <w:rPr>
                      <w:rFonts w:cs="Times New Roman"/>
                      <w:szCs w:val="21"/>
                    </w:rPr>
                  </w:pPr>
                </w:p>
              </w:tc>
              <w:tc>
                <w:tcPr>
                  <w:tcW w:w="935" w:type="pct"/>
                  <w:tcBorders>
                    <w:tl2br w:val="nil"/>
                    <w:tr2bl w:val="nil"/>
                  </w:tcBorders>
                  <w:vAlign w:val="center"/>
                </w:tcPr>
                <w:p>
                  <w:pPr>
                    <w:jc w:val="center"/>
                    <w:rPr>
                      <w:rFonts w:cs="Times New Roman"/>
                      <w:szCs w:val="21"/>
                    </w:rPr>
                  </w:pPr>
                  <w:r>
                    <w:rPr>
                      <w:rFonts w:cs="Times New Roman"/>
                      <w:szCs w:val="21"/>
                    </w:rPr>
                    <w:t>18</w:t>
                  </w:r>
                </w:p>
              </w:tc>
              <w:tc>
                <w:tcPr>
                  <w:tcW w:w="11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7.18</w:t>
                  </w:r>
                </w:p>
              </w:tc>
              <w:tc>
                <w:tcPr>
                  <w:tcW w:w="1028" w:type="pct"/>
                  <w:vMerge w:val="continue"/>
                  <w:tcBorders>
                    <w:tl2br w:val="nil"/>
                    <w:tr2bl w:val="nil"/>
                  </w:tcBorders>
                  <w:vAlign w:val="center"/>
                </w:tcPr>
                <w:p>
                  <w:pPr>
                    <w:tabs>
                      <w:tab w:val="left" w:pos="1170"/>
                      <w:tab w:val="left" w:pos="1470"/>
                    </w:tabs>
                    <w:jc w:val="center"/>
                    <w:rPr>
                      <w:rFonts w:cs="Times New Roman"/>
                      <w:bCs/>
                      <w:szCs w:val="21"/>
                    </w:rPr>
                  </w:pPr>
                </w:p>
              </w:tc>
              <w:tc>
                <w:tcPr>
                  <w:tcW w:w="897"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tcBorders>
                    <w:tl2br w:val="nil"/>
                    <w:tr2bl w:val="nil"/>
                  </w:tcBorders>
                  <w:vAlign w:val="center"/>
                </w:tcPr>
                <w:p>
                  <w:pPr>
                    <w:jc w:val="center"/>
                    <w:rPr>
                      <w:rFonts w:cs="Times New Roman"/>
                      <w:szCs w:val="21"/>
                    </w:rPr>
                  </w:pPr>
                  <w:r>
                    <w:rPr>
                      <w:rFonts w:cs="Times New Roman"/>
                      <w:szCs w:val="21"/>
                    </w:rPr>
                    <w:t>臭气浓度（无量纲）</w:t>
                  </w:r>
                </w:p>
              </w:tc>
              <w:tc>
                <w:tcPr>
                  <w:tcW w:w="935" w:type="pct"/>
                  <w:tcBorders>
                    <w:tl2br w:val="nil"/>
                    <w:tr2bl w:val="nil"/>
                  </w:tcBorders>
                  <w:vAlign w:val="center"/>
                </w:tcPr>
                <w:p>
                  <w:pPr>
                    <w:jc w:val="center"/>
                    <w:rPr>
                      <w:rFonts w:cs="Times New Roman"/>
                      <w:szCs w:val="21"/>
                    </w:rPr>
                  </w:pPr>
                  <w:r>
                    <w:rPr>
                      <w:rFonts w:cs="Times New Roman"/>
                      <w:szCs w:val="21"/>
                    </w:rPr>
                    <w:t>/</w:t>
                  </w:r>
                </w:p>
              </w:tc>
              <w:tc>
                <w:tcPr>
                  <w:tcW w:w="11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w:t>
                  </w:r>
                </w:p>
              </w:tc>
              <w:tc>
                <w:tcPr>
                  <w:tcW w:w="1028" w:type="pct"/>
                  <w:vMerge w:val="continue"/>
                  <w:tcBorders>
                    <w:tl2br w:val="nil"/>
                    <w:tr2bl w:val="nil"/>
                  </w:tcBorders>
                  <w:vAlign w:val="center"/>
                </w:tcPr>
                <w:p>
                  <w:pPr>
                    <w:tabs>
                      <w:tab w:val="left" w:pos="1170"/>
                      <w:tab w:val="left" w:pos="1470"/>
                    </w:tabs>
                    <w:jc w:val="center"/>
                    <w:rPr>
                      <w:rFonts w:cs="Times New Roman"/>
                      <w:bCs/>
                      <w:szCs w:val="21"/>
                    </w:rPr>
                  </w:pPr>
                </w:p>
              </w:tc>
              <w:tc>
                <w:tcPr>
                  <w:tcW w:w="89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20</w:t>
                  </w:r>
                </w:p>
              </w:tc>
            </w:tr>
          </w:tbl>
          <w:p>
            <w:pPr>
              <w:spacing w:line="360" w:lineRule="auto"/>
              <w:ind w:firstLine="480" w:firstLineChars="200"/>
              <w:jc w:val="left"/>
              <w:rPr>
                <w:rFonts w:cs="Times New Roman"/>
                <w:sz w:val="24"/>
                <w:szCs w:val="24"/>
              </w:rPr>
            </w:pPr>
            <w:r>
              <w:rPr>
                <w:rFonts w:cs="Times New Roman"/>
                <w:sz w:val="24"/>
                <w:szCs w:val="24"/>
              </w:rPr>
              <w:t>运营期食堂油烟执行《饮食业油烟排放标准》（GB18483-2001）小型规模标准。</w:t>
            </w:r>
          </w:p>
          <w:p>
            <w:pPr>
              <w:spacing w:line="360" w:lineRule="auto"/>
              <w:jc w:val="center"/>
              <w:rPr>
                <w:rFonts w:cs="Times New Roman"/>
                <w:b/>
                <w:bCs/>
                <w:sz w:val="24"/>
                <w:szCs w:val="24"/>
              </w:rPr>
            </w:pPr>
            <w:r>
              <w:rPr>
                <w:rFonts w:cs="Times New Roman"/>
                <w:b/>
                <w:bCs/>
                <w:sz w:val="24"/>
                <w:szCs w:val="24"/>
              </w:rPr>
              <w:t>表3-16  饮食业油烟排放标准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73"/>
              <w:gridCol w:w="1825"/>
              <w:gridCol w:w="1825"/>
              <w:gridCol w:w="1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95" w:type="pct"/>
                  <w:tcBorders>
                    <w:tl2br w:val="nil"/>
                    <w:tr2bl w:val="nil"/>
                  </w:tcBorders>
                  <w:vAlign w:val="center"/>
                </w:tcPr>
                <w:p>
                  <w:pPr>
                    <w:jc w:val="center"/>
                    <w:rPr>
                      <w:rFonts w:cs="Times New Roman"/>
                      <w:b/>
                      <w:bCs/>
                      <w:szCs w:val="21"/>
                    </w:rPr>
                  </w:pPr>
                  <w:r>
                    <w:rPr>
                      <w:rFonts w:cs="Times New Roman"/>
                      <w:b/>
                      <w:bCs/>
                      <w:szCs w:val="21"/>
                    </w:rPr>
                    <w:t>规模</w:t>
                  </w:r>
                </w:p>
              </w:tc>
              <w:tc>
                <w:tcPr>
                  <w:tcW w:w="1066" w:type="pct"/>
                  <w:tcBorders>
                    <w:tl2br w:val="nil"/>
                    <w:tr2bl w:val="nil"/>
                  </w:tcBorders>
                  <w:vAlign w:val="center"/>
                </w:tcPr>
                <w:p>
                  <w:pPr>
                    <w:jc w:val="center"/>
                    <w:rPr>
                      <w:rFonts w:cs="Times New Roman"/>
                      <w:b/>
                      <w:bCs/>
                      <w:szCs w:val="21"/>
                    </w:rPr>
                  </w:pPr>
                  <w:r>
                    <w:rPr>
                      <w:rFonts w:cs="Times New Roman"/>
                      <w:b/>
                      <w:bCs/>
                      <w:szCs w:val="21"/>
                    </w:rPr>
                    <w:t>小型</w:t>
                  </w:r>
                </w:p>
              </w:tc>
              <w:tc>
                <w:tcPr>
                  <w:tcW w:w="1066" w:type="pct"/>
                  <w:tcBorders>
                    <w:tl2br w:val="nil"/>
                    <w:tr2bl w:val="nil"/>
                  </w:tcBorders>
                  <w:vAlign w:val="center"/>
                </w:tcPr>
                <w:p>
                  <w:pPr>
                    <w:jc w:val="center"/>
                    <w:rPr>
                      <w:rFonts w:cs="Times New Roman"/>
                      <w:b/>
                      <w:bCs/>
                      <w:szCs w:val="21"/>
                    </w:rPr>
                  </w:pPr>
                  <w:r>
                    <w:rPr>
                      <w:rFonts w:cs="Times New Roman"/>
                      <w:b/>
                      <w:bCs/>
                      <w:szCs w:val="21"/>
                    </w:rPr>
                    <w:t>中型</w:t>
                  </w:r>
                </w:p>
              </w:tc>
              <w:tc>
                <w:tcPr>
                  <w:tcW w:w="1070" w:type="pct"/>
                  <w:tcBorders>
                    <w:tl2br w:val="nil"/>
                    <w:tr2bl w:val="nil"/>
                  </w:tcBorders>
                  <w:vAlign w:val="center"/>
                </w:tcPr>
                <w:p>
                  <w:pPr>
                    <w:jc w:val="center"/>
                    <w:rPr>
                      <w:rFonts w:cs="Times New Roman"/>
                      <w:b/>
                      <w:bCs/>
                      <w:szCs w:val="21"/>
                    </w:rPr>
                  </w:pPr>
                  <w:r>
                    <w:rPr>
                      <w:rFonts w:cs="Times New Roman"/>
                      <w:b/>
                      <w:bCs/>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95" w:type="pct"/>
                  <w:tcBorders>
                    <w:tl2br w:val="nil"/>
                    <w:tr2bl w:val="nil"/>
                  </w:tcBorders>
                  <w:vAlign w:val="center"/>
                </w:tcPr>
                <w:p>
                  <w:pPr>
                    <w:jc w:val="center"/>
                    <w:rPr>
                      <w:rFonts w:cs="Times New Roman"/>
                      <w:szCs w:val="21"/>
                    </w:rPr>
                  </w:pPr>
                  <w:r>
                    <w:rPr>
                      <w:rFonts w:cs="Times New Roman"/>
                      <w:szCs w:val="21"/>
                    </w:rPr>
                    <w:t>最高运行排放浓度（mg/m</w:t>
                  </w:r>
                  <w:r>
                    <w:rPr>
                      <w:rFonts w:cs="Times New Roman"/>
                      <w:szCs w:val="21"/>
                      <w:vertAlign w:val="superscript"/>
                    </w:rPr>
                    <w:t>3</w:t>
                  </w:r>
                  <w:r>
                    <w:rPr>
                      <w:rFonts w:cs="Times New Roman"/>
                      <w:szCs w:val="21"/>
                    </w:rPr>
                    <w:t>）</w:t>
                  </w:r>
                </w:p>
              </w:tc>
              <w:tc>
                <w:tcPr>
                  <w:tcW w:w="3204" w:type="pct"/>
                  <w:gridSpan w:val="3"/>
                  <w:tcBorders>
                    <w:tl2br w:val="nil"/>
                    <w:tr2bl w:val="nil"/>
                  </w:tcBorders>
                  <w:vAlign w:val="center"/>
                </w:tcPr>
                <w:p>
                  <w:pPr>
                    <w:jc w:val="center"/>
                    <w:rPr>
                      <w:rFonts w:cs="Times New Roman"/>
                      <w:szCs w:val="21"/>
                    </w:rPr>
                  </w:pPr>
                  <w:r>
                    <w:rPr>
                      <w:rFonts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95" w:type="pct"/>
                  <w:tcBorders>
                    <w:tl2br w:val="nil"/>
                    <w:tr2bl w:val="nil"/>
                  </w:tcBorders>
                  <w:vAlign w:val="center"/>
                </w:tcPr>
                <w:p>
                  <w:pPr>
                    <w:jc w:val="center"/>
                    <w:rPr>
                      <w:rFonts w:cs="Times New Roman"/>
                      <w:szCs w:val="21"/>
                    </w:rPr>
                  </w:pPr>
                  <w:r>
                    <w:rPr>
                      <w:rFonts w:cs="Times New Roman"/>
                      <w:szCs w:val="21"/>
                    </w:rPr>
                    <w:t>净化设施最低去除效率（%）</w:t>
                  </w:r>
                </w:p>
              </w:tc>
              <w:tc>
                <w:tcPr>
                  <w:tcW w:w="1066" w:type="pct"/>
                  <w:tcBorders>
                    <w:tl2br w:val="nil"/>
                    <w:tr2bl w:val="nil"/>
                  </w:tcBorders>
                  <w:vAlign w:val="center"/>
                </w:tcPr>
                <w:p>
                  <w:pPr>
                    <w:jc w:val="center"/>
                    <w:rPr>
                      <w:rFonts w:cs="Times New Roman"/>
                      <w:szCs w:val="21"/>
                    </w:rPr>
                  </w:pPr>
                  <w:r>
                    <w:rPr>
                      <w:rFonts w:cs="Times New Roman"/>
                      <w:b/>
                      <w:bCs/>
                      <w:szCs w:val="21"/>
                    </w:rPr>
                    <w:t>60</w:t>
                  </w:r>
                </w:p>
              </w:tc>
              <w:tc>
                <w:tcPr>
                  <w:tcW w:w="1066" w:type="pct"/>
                  <w:tcBorders>
                    <w:tl2br w:val="nil"/>
                    <w:tr2bl w:val="nil"/>
                  </w:tcBorders>
                  <w:vAlign w:val="center"/>
                </w:tcPr>
                <w:p>
                  <w:pPr>
                    <w:jc w:val="center"/>
                    <w:rPr>
                      <w:rFonts w:cs="Times New Roman"/>
                      <w:szCs w:val="21"/>
                    </w:rPr>
                  </w:pPr>
                  <w:r>
                    <w:rPr>
                      <w:rFonts w:cs="Times New Roman"/>
                      <w:szCs w:val="21"/>
                    </w:rPr>
                    <w:t>75</w:t>
                  </w:r>
                </w:p>
              </w:tc>
              <w:tc>
                <w:tcPr>
                  <w:tcW w:w="1070" w:type="pct"/>
                  <w:tcBorders>
                    <w:tl2br w:val="nil"/>
                    <w:tr2bl w:val="nil"/>
                  </w:tcBorders>
                  <w:vAlign w:val="center"/>
                </w:tcPr>
                <w:p>
                  <w:pPr>
                    <w:jc w:val="center"/>
                    <w:rPr>
                      <w:rFonts w:cs="Times New Roman"/>
                      <w:szCs w:val="21"/>
                    </w:rPr>
                  </w:pPr>
                  <w:r>
                    <w:rPr>
                      <w:rFonts w:cs="Times New Roman"/>
                      <w:szCs w:val="21"/>
                    </w:rPr>
                    <w:t>85</w:t>
                  </w:r>
                </w:p>
              </w:tc>
            </w:tr>
          </w:tbl>
          <w:p>
            <w:pPr>
              <w:spacing w:line="360" w:lineRule="auto"/>
              <w:ind w:firstLine="482" w:firstLineChars="200"/>
              <w:rPr>
                <w:rFonts w:cs="Times New Roman"/>
                <w:b/>
                <w:sz w:val="24"/>
                <w:szCs w:val="24"/>
              </w:rPr>
            </w:pPr>
            <w:r>
              <w:rPr>
                <w:rFonts w:cs="Times New Roman"/>
                <w:b/>
                <w:sz w:val="24"/>
                <w:szCs w:val="24"/>
              </w:rPr>
              <w:t>2、废水</w:t>
            </w:r>
          </w:p>
          <w:p>
            <w:pPr>
              <w:spacing w:line="360" w:lineRule="auto"/>
              <w:ind w:firstLine="480" w:firstLineChars="200"/>
              <w:rPr>
                <w:rFonts w:cs="Times New Roman"/>
                <w:sz w:val="24"/>
                <w:szCs w:val="24"/>
                <w:lang w:val="zh-CN"/>
              </w:rPr>
            </w:pPr>
            <w:r>
              <w:rPr>
                <w:rFonts w:cs="Times New Roman"/>
                <w:sz w:val="24"/>
                <w:szCs w:val="24"/>
                <w:lang w:val="zh-CN"/>
              </w:rPr>
              <w:t>项目生产废水回用，不外排；生活污水（食堂废水先经隔油池处理）经化粪池处理</w:t>
            </w:r>
            <w:r>
              <w:rPr>
                <w:rFonts w:cs="Times New Roman"/>
                <w:sz w:val="24"/>
                <w:szCs w:val="24"/>
              </w:rPr>
              <w:t>达《污水综合排放标准》（GB8978-1996）三级标准</w:t>
            </w:r>
            <w:r>
              <w:rPr>
                <w:rFonts w:cs="Times New Roman"/>
                <w:sz w:val="24"/>
                <w:szCs w:val="24"/>
                <w:lang w:val="zh-CN"/>
              </w:rPr>
              <w:t>后排入园区管网进入柳池工业园区污水处理厂处理达到《城镇污水处理厂污染物排放标准》（GB18918-2002）一级A标后排入后河。</w:t>
            </w:r>
          </w:p>
          <w:p>
            <w:pPr>
              <w:spacing w:line="360" w:lineRule="auto"/>
              <w:jc w:val="center"/>
              <w:rPr>
                <w:rFonts w:cs="Times New Roman"/>
                <w:b/>
                <w:bCs/>
                <w:sz w:val="24"/>
                <w:szCs w:val="24"/>
              </w:rPr>
            </w:pPr>
            <w:r>
              <w:rPr>
                <w:rFonts w:cs="Times New Roman"/>
                <w:b/>
                <w:bCs/>
                <w:sz w:val="24"/>
                <w:szCs w:val="24"/>
              </w:rPr>
              <w:t>表3-17  《污水综合排放标准》GB8978-1996三级标准</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25"/>
              <w:gridCol w:w="1200"/>
              <w:gridCol w:w="1203"/>
              <w:gridCol w:w="1203"/>
              <w:gridCol w:w="1203"/>
              <w:gridCol w:w="1203"/>
              <w:gridCol w:w="12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774"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污染物</w:t>
                  </w:r>
                </w:p>
              </w:tc>
              <w:tc>
                <w:tcPr>
                  <w:tcW w:w="701"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COD</w:t>
                  </w:r>
                </w:p>
              </w:tc>
              <w:tc>
                <w:tcPr>
                  <w:tcW w:w="703"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BOD</w:t>
                  </w:r>
                  <w:r>
                    <w:rPr>
                      <w:rFonts w:cs="Times New Roman"/>
                      <w:b/>
                      <w:bCs/>
                      <w:szCs w:val="21"/>
                      <w:vertAlign w:val="subscript"/>
                    </w:rPr>
                    <w:t>5</w:t>
                  </w:r>
                </w:p>
              </w:tc>
              <w:tc>
                <w:tcPr>
                  <w:tcW w:w="703"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NH</w:t>
                  </w:r>
                  <w:r>
                    <w:rPr>
                      <w:rFonts w:cs="Times New Roman"/>
                      <w:b/>
                      <w:bCs/>
                      <w:szCs w:val="21"/>
                      <w:vertAlign w:val="subscript"/>
                    </w:rPr>
                    <w:t>3</w:t>
                  </w:r>
                  <w:r>
                    <w:rPr>
                      <w:rFonts w:cs="Times New Roman"/>
                      <w:b/>
                      <w:bCs/>
                      <w:szCs w:val="21"/>
                    </w:rPr>
                    <w:t>-N</w:t>
                  </w:r>
                </w:p>
              </w:tc>
              <w:tc>
                <w:tcPr>
                  <w:tcW w:w="703" w:type="pct"/>
                  <w:tcBorders>
                    <w:tl2br w:val="nil"/>
                    <w:tr2bl w:val="nil"/>
                  </w:tcBorders>
                  <w:noWrap/>
                  <w:vAlign w:val="center"/>
                </w:tcPr>
                <w:p>
                  <w:pPr>
                    <w:jc w:val="center"/>
                    <w:rPr>
                      <w:rFonts w:cs="Times New Roman"/>
                      <w:b/>
                      <w:bCs/>
                      <w:szCs w:val="21"/>
                    </w:rPr>
                  </w:pPr>
                  <w:r>
                    <w:rPr>
                      <w:rFonts w:cs="Times New Roman"/>
                      <w:b/>
                      <w:bCs/>
                      <w:szCs w:val="21"/>
                    </w:rPr>
                    <w:t>TP</w:t>
                  </w:r>
                </w:p>
              </w:tc>
              <w:tc>
                <w:tcPr>
                  <w:tcW w:w="703" w:type="pct"/>
                  <w:tcBorders>
                    <w:tl2br w:val="nil"/>
                    <w:tr2bl w:val="nil"/>
                  </w:tcBorders>
                  <w:noWrap/>
                  <w:vAlign w:val="center"/>
                </w:tcPr>
                <w:p>
                  <w:pPr>
                    <w:jc w:val="center"/>
                    <w:rPr>
                      <w:rFonts w:cs="Times New Roman"/>
                      <w:b/>
                      <w:bCs/>
                      <w:szCs w:val="21"/>
                    </w:rPr>
                  </w:pPr>
                  <w:r>
                    <w:rPr>
                      <w:rFonts w:cs="Times New Roman"/>
                      <w:b/>
                      <w:bCs/>
                      <w:szCs w:val="21"/>
                    </w:rPr>
                    <w:t>SS</w:t>
                  </w:r>
                </w:p>
              </w:tc>
              <w:tc>
                <w:tcPr>
                  <w:tcW w:w="709" w:type="pct"/>
                  <w:tcBorders>
                    <w:tl2br w:val="nil"/>
                    <w:tr2bl w:val="nil"/>
                  </w:tcBorders>
                  <w:noWrap/>
                  <w:vAlign w:val="center"/>
                </w:tcPr>
                <w:p>
                  <w:pPr>
                    <w:jc w:val="center"/>
                    <w:rPr>
                      <w:rFonts w:cs="Times New Roman"/>
                      <w:b/>
                      <w:bCs/>
                      <w:szCs w:val="21"/>
                    </w:rPr>
                  </w:pPr>
                  <w:r>
                    <w:rPr>
                      <w:rFonts w:cs="Times New Roman"/>
                      <w:b/>
                      <w:bCs/>
                      <w:szCs w:val="21"/>
                    </w:rPr>
                    <w:t>甲醛</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774"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kern w:val="0"/>
                      <w:szCs w:val="21"/>
                      <w:lang w:bidi="ar"/>
                    </w:rPr>
                  </w:pPr>
                  <w:r>
                    <w:rPr>
                      <w:rFonts w:cs="Times New Roman"/>
                      <w:kern w:val="0"/>
                      <w:szCs w:val="21"/>
                      <w:lang w:bidi="ar"/>
                    </w:rPr>
                    <w:t>浓度（mg/L）</w:t>
                  </w:r>
                </w:p>
              </w:tc>
              <w:tc>
                <w:tcPr>
                  <w:tcW w:w="701"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500</w:t>
                  </w:r>
                </w:p>
              </w:tc>
              <w:tc>
                <w:tcPr>
                  <w:tcW w:w="703"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300</w:t>
                  </w:r>
                </w:p>
              </w:tc>
              <w:tc>
                <w:tcPr>
                  <w:tcW w:w="703"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45</w:t>
                  </w:r>
                </w:p>
              </w:tc>
              <w:tc>
                <w:tcPr>
                  <w:tcW w:w="703"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8</w:t>
                  </w:r>
                </w:p>
              </w:tc>
              <w:tc>
                <w:tcPr>
                  <w:tcW w:w="703"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400</w:t>
                  </w:r>
                </w:p>
              </w:tc>
              <w:tc>
                <w:tcPr>
                  <w:tcW w:w="709" w:type="pct"/>
                  <w:tcBorders>
                    <w:tl2br w:val="nil"/>
                    <w:tr2bl w:val="nil"/>
                  </w:tcBorders>
                  <w:noWrap/>
                  <w:vAlign w:val="center"/>
                </w:tcPr>
                <w:p>
                  <w:pPr>
                    <w:widowControl/>
                    <w:jc w:val="center"/>
                    <w:textAlignment w:val="center"/>
                    <w:rPr>
                      <w:rFonts w:cs="Times New Roman"/>
                      <w:szCs w:val="21"/>
                    </w:rPr>
                  </w:pPr>
                  <w:r>
                    <w:rPr>
                      <w:rFonts w:cs="Times New Roman"/>
                      <w:szCs w:val="21"/>
                    </w:rPr>
                    <w:t>5</w:t>
                  </w:r>
                </w:p>
              </w:tc>
            </w:tr>
          </w:tbl>
          <w:p>
            <w:pPr>
              <w:spacing w:line="360" w:lineRule="auto"/>
              <w:ind w:firstLine="482" w:firstLineChars="200"/>
              <w:rPr>
                <w:rFonts w:cs="Times New Roman"/>
                <w:b/>
                <w:sz w:val="24"/>
                <w:szCs w:val="24"/>
              </w:rPr>
            </w:pPr>
            <w:r>
              <w:rPr>
                <w:rFonts w:cs="Times New Roman"/>
                <w:b/>
                <w:sz w:val="24"/>
                <w:szCs w:val="24"/>
              </w:rPr>
              <w:t>3、噪声</w:t>
            </w:r>
          </w:p>
          <w:p>
            <w:pPr>
              <w:spacing w:line="360" w:lineRule="auto"/>
              <w:ind w:firstLine="480" w:firstLineChars="200"/>
              <w:rPr>
                <w:rFonts w:cs="Times New Roman"/>
                <w:sz w:val="24"/>
                <w:szCs w:val="24"/>
              </w:rPr>
            </w:pPr>
            <w:r>
              <w:rPr>
                <w:rFonts w:cs="Times New Roman"/>
                <w:sz w:val="24"/>
                <w:szCs w:val="24"/>
              </w:rPr>
              <w:t>施工期执行《建筑施工场界环境噪声排放标准》（GB12523-2011 ）；运营期执行《工业企业厂界环境噪声排放标准》（GB12348-2008）3类标准。</w:t>
            </w:r>
          </w:p>
          <w:p>
            <w:pPr>
              <w:spacing w:line="360" w:lineRule="auto"/>
              <w:jc w:val="center"/>
              <w:rPr>
                <w:rFonts w:cs="Times New Roman"/>
                <w:b/>
                <w:bCs/>
                <w:sz w:val="24"/>
                <w:szCs w:val="24"/>
              </w:rPr>
            </w:pPr>
            <w:r>
              <w:rPr>
                <w:rFonts w:cs="Times New Roman"/>
                <w:b/>
                <w:bCs/>
                <w:sz w:val="24"/>
                <w:szCs w:val="24"/>
              </w:rPr>
              <w:t>表3-18  噪声排放标准限值</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60"/>
              <w:gridCol w:w="2751"/>
              <w:gridCol w:w="27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pPr>
                    <w:jc w:val="center"/>
                    <w:rPr>
                      <w:rFonts w:cs="Times New Roman"/>
                      <w:b/>
                      <w:bCs/>
                      <w:szCs w:val="21"/>
                    </w:rPr>
                  </w:pPr>
                  <w:r>
                    <w:rPr>
                      <w:rFonts w:cs="Times New Roman"/>
                      <w:b/>
                      <w:bCs/>
                      <w:szCs w:val="21"/>
                    </w:rPr>
                    <w:t>项目</w:t>
                  </w:r>
                </w:p>
              </w:tc>
              <w:tc>
                <w:tcPr>
                  <w:tcW w:w="1606" w:type="pct"/>
                  <w:tcBorders>
                    <w:tl2br w:val="nil"/>
                    <w:tr2bl w:val="nil"/>
                  </w:tcBorders>
                  <w:shd w:val="clear" w:color="auto" w:fill="auto"/>
                  <w:vAlign w:val="center"/>
                </w:tcPr>
                <w:p>
                  <w:pPr>
                    <w:jc w:val="center"/>
                    <w:rPr>
                      <w:rFonts w:cs="Times New Roman"/>
                      <w:b/>
                      <w:bCs/>
                      <w:szCs w:val="21"/>
                    </w:rPr>
                  </w:pPr>
                  <w:r>
                    <w:rPr>
                      <w:rFonts w:cs="Times New Roman"/>
                      <w:b/>
                      <w:bCs/>
                      <w:szCs w:val="21"/>
                    </w:rPr>
                    <w:t>昼间</w:t>
                  </w:r>
                </w:p>
              </w:tc>
              <w:tc>
                <w:tcPr>
                  <w:tcW w:w="1606" w:type="pct"/>
                  <w:tcBorders>
                    <w:tl2br w:val="nil"/>
                    <w:tr2bl w:val="nil"/>
                  </w:tcBorders>
                  <w:shd w:val="clear" w:color="auto" w:fill="auto"/>
                  <w:vAlign w:val="center"/>
                </w:tcPr>
                <w:p>
                  <w:pPr>
                    <w:jc w:val="center"/>
                    <w:rPr>
                      <w:rFonts w:cs="Times New Roman"/>
                      <w:b/>
                      <w:bCs/>
                      <w:szCs w:val="21"/>
                    </w:rPr>
                  </w:pPr>
                  <w:r>
                    <w:rPr>
                      <w:rFonts w:cs="Times New Roman"/>
                      <w:b/>
                      <w:bCs/>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pPr>
                    <w:jc w:val="center"/>
                    <w:rPr>
                      <w:rFonts w:cs="Times New Roman"/>
                      <w:szCs w:val="21"/>
                    </w:rPr>
                  </w:pPr>
                  <w:r>
                    <w:rPr>
                      <w:rFonts w:cs="Times New Roman"/>
                      <w:szCs w:val="21"/>
                    </w:rPr>
                    <w:t>施工期排放限值</w:t>
                  </w:r>
                  <w:r>
                    <w:rPr>
                      <w:rFonts w:eastAsia="仿宋" w:cs="Times New Roman"/>
                      <w:szCs w:val="21"/>
                    </w:rPr>
                    <w:t>[</w:t>
                  </w:r>
                  <w:r>
                    <w:rPr>
                      <w:rFonts w:cs="Times New Roman"/>
                      <w:szCs w:val="21"/>
                    </w:rPr>
                    <w:t>dB（A）</w:t>
                  </w:r>
                  <w:r>
                    <w:rPr>
                      <w:rFonts w:eastAsia="仿宋" w:cs="Times New Roman"/>
                      <w:szCs w:val="21"/>
                    </w:rPr>
                    <w:t>]</w:t>
                  </w:r>
                </w:p>
              </w:tc>
              <w:tc>
                <w:tcPr>
                  <w:tcW w:w="1606" w:type="pct"/>
                  <w:tcBorders>
                    <w:tl2br w:val="nil"/>
                    <w:tr2bl w:val="nil"/>
                  </w:tcBorders>
                  <w:shd w:val="clear" w:color="auto" w:fill="auto"/>
                  <w:vAlign w:val="center"/>
                </w:tcPr>
                <w:p>
                  <w:pPr>
                    <w:jc w:val="center"/>
                    <w:rPr>
                      <w:rFonts w:cs="Times New Roman"/>
                      <w:szCs w:val="21"/>
                    </w:rPr>
                  </w:pPr>
                  <w:r>
                    <w:rPr>
                      <w:rFonts w:cs="Times New Roman"/>
                      <w:szCs w:val="21"/>
                    </w:rPr>
                    <w:t>70</w:t>
                  </w:r>
                </w:p>
              </w:tc>
              <w:tc>
                <w:tcPr>
                  <w:tcW w:w="1606" w:type="pct"/>
                  <w:tcBorders>
                    <w:tl2br w:val="nil"/>
                    <w:tr2bl w:val="nil"/>
                  </w:tcBorders>
                  <w:shd w:val="clear" w:color="auto" w:fill="auto"/>
                  <w:vAlign w:val="center"/>
                </w:tcPr>
                <w:p>
                  <w:pPr>
                    <w:jc w:val="center"/>
                    <w:rPr>
                      <w:rFonts w:cs="Times New Roman"/>
                      <w:szCs w:val="21"/>
                    </w:rPr>
                  </w:pPr>
                  <w:r>
                    <w:rPr>
                      <w:rFonts w:cs="Times New Roman"/>
                      <w:szCs w:val="21"/>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787" w:type="pct"/>
                  <w:tcBorders>
                    <w:tl2br w:val="nil"/>
                    <w:tr2bl w:val="nil"/>
                  </w:tcBorders>
                  <w:shd w:val="clear" w:color="auto" w:fill="auto"/>
                  <w:vAlign w:val="center"/>
                </w:tcPr>
                <w:p>
                  <w:pPr>
                    <w:jc w:val="center"/>
                    <w:rPr>
                      <w:rFonts w:cs="Times New Roman"/>
                      <w:szCs w:val="21"/>
                    </w:rPr>
                  </w:pPr>
                  <w:r>
                    <w:rPr>
                      <w:rFonts w:cs="Times New Roman"/>
                      <w:szCs w:val="21"/>
                    </w:rPr>
                    <w:t>运营期排放限值</w:t>
                  </w:r>
                  <w:r>
                    <w:rPr>
                      <w:rFonts w:eastAsia="仿宋" w:cs="Times New Roman"/>
                      <w:szCs w:val="21"/>
                    </w:rPr>
                    <w:t>[</w:t>
                  </w:r>
                  <w:r>
                    <w:rPr>
                      <w:rFonts w:cs="Times New Roman"/>
                      <w:szCs w:val="21"/>
                    </w:rPr>
                    <w:t>dB（A）</w:t>
                  </w:r>
                  <w:r>
                    <w:rPr>
                      <w:rFonts w:eastAsia="仿宋" w:cs="Times New Roman"/>
                      <w:szCs w:val="21"/>
                    </w:rPr>
                    <w:t>]</w:t>
                  </w:r>
                </w:p>
              </w:tc>
              <w:tc>
                <w:tcPr>
                  <w:tcW w:w="1606" w:type="pct"/>
                  <w:tcBorders>
                    <w:tl2br w:val="nil"/>
                    <w:tr2bl w:val="nil"/>
                  </w:tcBorders>
                  <w:shd w:val="clear" w:color="auto" w:fill="auto"/>
                  <w:vAlign w:val="center"/>
                </w:tcPr>
                <w:p>
                  <w:pPr>
                    <w:jc w:val="center"/>
                    <w:rPr>
                      <w:rFonts w:cs="Times New Roman"/>
                      <w:szCs w:val="21"/>
                    </w:rPr>
                  </w:pPr>
                  <w:r>
                    <w:rPr>
                      <w:rFonts w:cs="Times New Roman"/>
                      <w:szCs w:val="21"/>
                    </w:rPr>
                    <w:t>65</w:t>
                  </w:r>
                </w:p>
              </w:tc>
              <w:tc>
                <w:tcPr>
                  <w:tcW w:w="1606" w:type="pct"/>
                  <w:tcBorders>
                    <w:tl2br w:val="nil"/>
                    <w:tr2bl w:val="nil"/>
                  </w:tcBorders>
                  <w:shd w:val="clear" w:color="auto" w:fill="auto"/>
                  <w:vAlign w:val="center"/>
                </w:tcPr>
                <w:p>
                  <w:pPr>
                    <w:jc w:val="center"/>
                    <w:rPr>
                      <w:rFonts w:cs="Times New Roman"/>
                      <w:szCs w:val="21"/>
                    </w:rPr>
                  </w:pPr>
                  <w:r>
                    <w:rPr>
                      <w:rFonts w:cs="Times New Roman"/>
                      <w:szCs w:val="21"/>
                    </w:rPr>
                    <w:t>55</w:t>
                  </w:r>
                </w:p>
              </w:tc>
            </w:tr>
          </w:tbl>
          <w:p>
            <w:pPr>
              <w:spacing w:line="360" w:lineRule="auto"/>
              <w:ind w:firstLine="482" w:firstLineChars="200"/>
              <w:rPr>
                <w:rFonts w:cs="Times New Roman"/>
                <w:b/>
                <w:sz w:val="24"/>
                <w:szCs w:val="24"/>
              </w:rPr>
            </w:pPr>
            <w:r>
              <w:rPr>
                <w:rFonts w:cs="Times New Roman"/>
                <w:b/>
                <w:sz w:val="24"/>
                <w:szCs w:val="24"/>
              </w:rPr>
              <w:t>4、固体废物</w:t>
            </w:r>
          </w:p>
          <w:p>
            <w:pPr>
              <w:spacing w:line="360" w:lineRule="auto"/>
              <w:ind w:firstLine="480" w:firstLineChars="200"/>
              <w:rPr>
                <w:rFonts w:cs="Times New Roman"/>
                <w:sz w:val="24"/>
                <w:szCs w:val="24"/>
              </w:rPr>
            </w:pPr>
            <w:r>
              <w:rPr>
                <w:rFonts w:cs="Times New Roman"/>
                <w:sz w:val="24"/>
                <w:szCs w:val="24"/>
              </w:rPr>
              <w:t>按照《中华人民共和国固体废弃物防治法》的要求，固体废物要妥善处置，不得形成二次污染。营运期固废贮存执行《一般工业固体废物贮存和填埋污染控制标准》（GB 18599-2020）、《危险废物贮存污染控制标准》（GB18597-2023）。</w:t>
            </w:r>
          </w:p>
          <w:p>
            <w:pPr>
              <w:spacing w:line="360" w:lineRule="auto"/>
              <w:ind w:firstLine="480" w:firstLineChars="200"/>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jc w:val="center"/>
              <w:rPr>
                <w:rFonts w:cs="Times New Roman"/>
                <w:sz w:val="24"/>
                <w:szCs w:val="24"/>
              </w:rPr>
            </w:pPr>
            <w:r>
              <w:rPr>
                <w:rFonts w:cs="Times New Roman"/>
                <w:sz w:val="24"/>
                <w:szCs w:val="24"/>
              </w:rPr>
              <w:t>总量</w:t>
            </w:r>
          </w:p>
          <w:p>
            <w:pPr>
              <w:jc w:val="center"/>
              <w:rPr>
                <w:rFonts w:cs="Times New Roman"/>
                <w:sz w:val="24"/>
                <w:szCs w:val="24"/>
              </w:rPr>
            </w:pPr>
            <w:r>
              <w:rPr>
                <w:rFonts w:cs="Times New Roman"/>
                <w:sz w:val="24"/>
                <w:szCs w:val="24"/>
              </w:rPr>
              <w:t>控制</w:t>
            </w:r>
          </w:p>
          <w:p>
            <w:pPr>
              <w:jc w:val="center"/>
              <w:rPr>
                <w:rFonts w:cs="Times New Roman"/>
                <w:sz w:val="24"/>
                <w:szCs w:val="24"/>
              </w:rPr>
            </w:pPr>
            <w:r>
              <w:rPr>
                <w:rFonts w:cs="Times New Roman"/>
                <w:sz w:val="24"/>
                <w:szCs w:val="24"/>
              </w:rPr>
              <w:t>指标</w:t>
            </w:r>
          </w:p>
        </w:tc>
        <w:tc>
          <w:tcPr>
            <w:tcW w:w="8645" w:type="dxa"/>
            <w:vAlign w:val="center"/>
          </w:tcPr>
          <w:p>
            <w:pPr>
              <w:spacing w:line="360" w:lineRule="auto"/>
              <w:ind w:firstLine="480" w:firstLineChars="200"/>
              <w:rPr>
                <w:rFonts w:cs="Times New Roman"/>
                <w:sz w:val="24"/>
                <w:szCs w:val="24"/>
              </w:rPr>
            </w:pPr>
            <w:r>
              <w:rPr>
                <w:rFonts w:cs="Times New Roman"/>
                <w:sz w:val="24"/>
                <w:szCs w:val="24"/>
              </w:rPr>
              <w:t>本项目涉及总量控制指标为颗粒物、SO</w:t>
            </w:r>
            <w:r>
              <w:rPr>
                <w:rFonts w:cs="Times New Roman"/>
                <w:sz w:val="24"/>
                <w:szCs w:val="24"/>
                <w:vertAlign w:val="subscript"/>
              </w:rPr>
              <w:t>2</w:t>
            </w:r>
            <w:r>
              <w:rPr>
                <w:rFonts w:cs="Times New Roman"/>
                <w:sz w:val="24"/>
                <w:szCs w:val="24"/>
              </w:rPr>
              <w:t>、NOx、VOCs，主要污染物计算如下：</w:t>
            </w:r>
          </w:p>
          <w:p>
            <w:pPr>
              <w:spacing w:line="360" w:lineRule="auto"/>
              <w:ind w:firstLine="482" w:firstLineChars="200"/>
              <w:rPr>
                <w:rFonts w:cs="Times New Roman"/>
                <w:b/>
                <w:bCs/>
                <w:sz w:val="24"/>
                <w:szCs w:val="24"/>
              </w:rPr>
            </w:pPr>
            <w:r>
              <w:rPr>
                <w:rFonts w:cs="Times New Roman"/>
                <w:b/>
                <w:bCs/>
                <w:sz w:val="24"/>
                <w:szCs w:val="24"/>
              </w:rPr>
              <w:t>1、废水总量控制</w:t>
            </w:r>
          </w:p>
          <w:p>
            <w:pPr>
              <w:spacing w:line="360" w:lineRule="auto"/>
              <w:ind w:firstLine="480" w:firstLineChars="200"/>
              <w:rPr>
                <w:rFonts w:cs="Times New Roman"/>
                <w:sz w:val="24"/>
                <w:szCs w:val="24"/>
              </w:rPr>
            </w:pPr>
            <w:r>
              <w:rPr>
                <w:rFonts w:cs="Times New Roman"/>
                <w:sz w:val="24"/>
                <w:szCs w:val="24"/>
                <w:lang w:val="zh-CN"/>
              </w:rPr>
              <w:t>项目生产废水回用，不外排；生活污水（食堂废水先经隔油池处理）经化粪池处理后排入园区管网进入柳池工业园区污水处理厂处理达到《城镇污水处理厂污染物排放标准》（GB18918-2002）一级A标后排入后河。项目废水将占用污水处理厂指标，因此本项目不单独申请废水总量控制指标</w:t>
            </w:r>
            <w:r>
              <w:rPr>
                <w:rFonts w:cs="Times New Roman"/>
                <w:sz w:val="24"/>
                <w:szCs w:val="24"/>
              </w:rPr>
              <w:t>。</w:t>
            </w:r>
          </w:p>
          <w:p>
            <w:pPr>
              <w:spacing w:line="360" w:lineRule="auto"/>
              <w:ind w:firstLine="482" w:firstLineChars="200"/>
              <w:rPr>
                <w:rFonts w:cs="Times New Roman"/>
                <w:b/>
                <w:bCs/>
                <w:sz w:val="24"/>
                <w:szCs w:val="24"/>
              </w:rPr>
            </w:pPr>
            <w:r>
              <w:rPr>
                <w:rFonts w:cs="Times New Roman"/>
                <w:b/>
                <w:bCs/>
                <w:sz w:val="24"/>
                <w:szCs w:val="24"/>
              </w:rPr>
              <w:t>2、大气污染物总量控制</w:t>
            </w:r>
          </w:p>
          <w:p>
            <w:pPr>
              <w:pStyle w:val="80"/>
              <w:tabs>
                <w:tab w:val="left" w:pos="8789"/>
              </w:tabs>
              <w:ind w:firstLine="0" w:firstLineChars="0"/>
              <w:jc w:val="center"/>
              <w:rPr>
                <w:rFonts w:cs="Times New Roman"/>
                <w:b/>
                <w:bCs/>
                <w:color w:val="auto"/>
                <w:szCs w:val="24"/>
              </w:rPr>
            </w:pPr>
            <w:r>
              <w:rPr>
                <w:rFonts w:cs="Times New Roman"/>
                <w:b/>
                <w:bCs/>
                <w:color w:val="auto"/>
                <w:szCs w:val="24"/>
              </w:rPr>
              <w:t>表3-19 废气总量控制指标</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2139"/>
              <w:gridCol w:w="1043"/>
              <w:gridCol w:w="1096"/>
              <w:gridCol w:w="21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restart"/>
                  <w:vAlign w:val="center"/>
                </w:tcPr>
                <w:p>
                  <w:pPr>
                    <w:snapToGrid w:val="0"/>
                    <w:jc w:val="center"/>
                    <w:rPr>
                      <w:rFonts w:cs="Times New Roman"/>
                      <w:b/>
                      <w:bCs/>
                      <w:szCs w:val="21"/>
                    </w:rPr>
                  </w:pPr>
                  <w:r>
                    <w:rPr>
                      <w:rFonts w:cs="Times New Roman"/>
                      <w:b/>
                      <w:bCs/>
                      <w:szCs w:val="21"/>
                    </w:rPr>
                    <w:t>指标名称</w:t>
                  </w:r>
                </w:p>
              </w:tc>
              <w:tc>
                <w:tcPr>
                  <w:tcW w:w="1249" w:type="pct"/>
                  <w:vMerge w:val="restart"/>
                  <w:vAlign w:val="center"/>
                </w:tcPr>
                <w:p>
                  <w:pPr>
                    <w:snapToGrid w:val="0"/>
                    <w:jc w:val="center"/>
                    <w:rPr>
                      <w:rFonts w:cs="Times New Roman"/>
                      <w:b/>
                      <w:bCs/>
                      <w:szCs w:val="21"/>
                    </w:rPr>
                  </w:pPr>
                  <w:r>
                    <w:rPr>
                      <w:rFonts w:cs="Times New Roman"/>
                      <w:b/>
                      <w:bCs/>
                      <w:szCs w:val="21"/>
                    </w:rPr>
                    <w:t>扩建前（t/a）</w:t>
                  </w:r>
                </w:p>
              </w:tc>
              <w:tc>
                <w:tcPr>
                  <w:tcW w:w="1249" w:type="pct"/>
                  <w:gridSpan w:val="2"/>
                  <w:vAlign w:val="center"/>
                </w:tcPr>
                <w:p>
                  <w:pPr>
                    <w:snapToGrid w:val="0"/>
                    <w:jc w:val="center"/>
                    <w:rPr>
                      <w:rFonts w:cs="Times New Roman"/>
                      <w:b/>
                      <w:bCs/>
                      <w:szCs w:val="21"/>
                    </w:rPr>
                  </w:pPr>
                  <w:r>
                    <w:rPr>
                      <w:rFonts w:cs="Times New Roman"/>
                      <w:b/>
                      <w:bCs/>
                      <w:szCs w:val="21"/>
                    </w:rPr>
                    <w:t>本次新增（t/a）</w:t>
                  </w:r>
                </w:p>
              </w:tc>
              <w:tc>
                <w:tcPr>
                  <w:tcW w:w="1252" w:type="pct"/>
                  <w:vMerge w:val="restart"/>
                  <w:vAlign w:val="center"/>
                </w:tcPr>
                <w:p>
                  <w:pPr>
                    <w:snapToGrid w:val="0"/>
                    <w:jc w:val="center"/>
                    <w:rPr>
                      <w:rFonts w:cs="Times New Roman"/>
                      <w:b/>
                      <w:bCs/>
                      <w:szCs w:val="21"/>
                    </w:rPr>
                  </w:pPr>
                  <w:r>
                    <w:rPr>
                      <w:rFonts w:cs="Times New Roman"/>
                      <w:b/>
                      <w:bCs/>
                      <w:szCs w:val="21"/>
                    </w:rPr>
                    <w:t>全厂（t/a）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Merge w:val="continue"/>
                  <w:vAlign w:val="center"/>
                </w:tcPr>
                <w:p>
                  <w:pPr>
                    <w:snapToGrid w:val="0"/>
                    <w:jc w:val="center"/>
                    <w:rPr>
                      <w:rFonts w:cs="Times New Roman"/>
                      <w:b/>
                      <w:bCs/>
                      <w:szCs w:val="21"/>
                    </w:rPr>
                  </w:pPr>
                </w:p>
              </w:tc>
              <w:tc>
                <w:tcPr>
                  <w:tcW w:w="1249" w:type="pct"/>
                  <w:vMerge w:val="continue"/>
                  <w:vAlign w:val="center"/>
                </w:tcPr>
                <w:p>
                  <w:pPr>
                    <w:snapToGrid w:val="0"/>
                    <w:jc w:val="center"/>
                    <w:rPr>
                      <w:rFonts w:cs="Times New Roman"/>
                      <w:b/>
                      <w:bCs/>
                      <w:szCs w:val="21"/>
                    </w:rPr>
                  </w:pPr>
                </w:p>
              </w:tc>
              <w:tc>
                <w:tcPr>
                  <w:tcW w:w="609" w:type="pct"/>
                  <w:vAlign w:val="center"/>
                </w:tcPr>
                <w:p>
                  <w:pPr>
                    <w:snapToGrid w:val="0"/>
                    <w:jc w:val="center"/>
                    <w:rPr>
                      <w:rFonts w:cs="Times New Roman"/>
                      <w:b/>
                      <w:bCs/>
                      <w:szCs w:val="21"/>
                    </w:rPr>
                  </w:pPr>
                  <w:r>
                    <w:rPr>
                      <w:rFonts w:cs="Times New Roman"/>
                      <w:b/>
                      <w:bCs/>
                      <w:szCs w:val="21"/>
                    </w:rPr>
                    <w:t>一期</w:t>
                  </w:r>
                </w:p>
              </w:tc>
              <w:tc>
                <w:tcPr>
                  <w:tcW w:w="639" w:type="pct"/>
                  <w:vAlign w:val="center"/>
                </w:tcPr>
                <w:p>
                  <w:pPr>
                    <w:snapToGrid w:val="0"/>
                    <w:jc w:val="center"/>
                    <w:rPr>
                      <w:rFonts w:cs="Times New Roman"/>
                      <w:b/>
                      <w:bCs/>
                      <w:szCs w:val="21"/>
                    </w:rPr>
                  </w:pPr>
                  <w:r>
                    <w:rPr>
                      <w:rFonts w:cs="Times New Roman"/>
                      <w:b/>
                      <w:bCs/>
                      <w:szCs w:val="21"/>
                    </w:rPr>
                    <w:t>二期</w:t>
                  </w:r>
                </w:p>
              </w:tc>
              <w:tc>
                <w:tcPr>
                  <w:tcW w:w="1252" w:type="pct"/>
                  <w:vMerge w:val="continue"/>
                  <w:vAlign w:val="center"/>
                </w:tcPr>
                <w:p>
                  <w:pPr>
                    <w:snapToGrid w:val="0"/>
                    <w:jc w:val="center"/>
                    <w:rPr>
                      <w:rFonts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Align w:val="center"/>
                </w:tcPr>
                <w:p>
                  <w:pPr>
                    <w:snapToGrid w:val="0"/>
                    <w:jc w:val="center"/>
                    <w:rPr>
                      <w:rFonts w:cs="Times New Roman"/>
                      <w:szCs w:val="21"/>
                    </w:rPr>
                  </w:pPr>
                  <w:r>
                    <w:rPr>
                      <w:rFonts w:cs="Times New Roman"/>
                      <w:szCs w:val="21"/>
                    </w:rPr>
                    <w:t>颗粒物</w:t>
                  </w:r>
                </w:p>
              </w:tc>
              <w:tc>
                <w:tcPr>
                  <w:tcW w:w="1249" w:type="pct"/>
                  <w:vAlign w:val="center"/>
                </w:tcPr>
                <w:p>
                  <w:pPr>
                    <w:jc w:val="center"/>
                    <w:rPr>
                      <w:rFonts w:cs="Times New Roman"/>
                      <w:szCs w:val="21"/>
                    </w:rPr>
                  </w:pPr>
                  <w:r>
                    <w:rPr>
                      <w:rFonts w:cs="Times New Roman"/>
                      <w:szCs w:val="21"/>
                      <w:lang w:bidi="ar"/>
                    </w:rPr>
                    <w:t>0.0821</w:t>
                  </w:r>
                </w:p>
              </w:tc>
              <w:tc>
                <w:tcPr>
                  <w:tcW w:w="609" w:type="pct"/>
                  <w:vAlign w:val="center"/>
                </w:tcPr>
                <w:p>
                  <w:pPr>
                    <w:widowControl/>
                    <w:jc w:val="center"/>
                    <w:textAlignment w:val="center"/>
                    <w:rPr>
                      <w:rFonts w:cs="Times New Roman"/>
                      <w:szCs w:val="21"/>
                    </w:rPr>
                  </w:pPr>
                  <w:r>
                    <w:rPr>
                      <w:rFonts w:hint="eastAsia" w:cs="Times New Roman"/>
                      <w:szCs w:val="21"/>
                    </w:rPr>
                    <w:t>0.162</w:t>
                  </w:r>
                </w:p>
              </w:tc>
              <w:tc>
                <w:tcPr>
                  <w:tcW w:w="639" w:type="pct"/>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0.2</w:t>
                  </w:r>
                </w:p>
              </w:tc>
              <w:tc>
                <w:tcPr>
                  <w:tcW w:w="1252" w:type="pct"/>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0.4</w:t>
                  </w:r>
                  <w:r>
                    <w:rPr>
                      <w:rFonts w:hint="eastAsia" w:cs="Times New Roman"/>
                      <w:color w:val="000000" w:themeColor="text1"/>
                      <w:szCs w:val="21"/>
                      <w:lang w:val="en-US" w:eastAsia="zh-CN"/>
                      <w14:textFill>
                        <w14:solidFill>
                          <w14:schemeClr w14:val="tx1"/>
                        </w14:solidFill>
                      </w14:textFill>
                    </w:rPr>
                    <w:t>441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Align w:val="center"/>
                </w:tcPr>
                <w:p>
                  <w:pPr>
                    <w:snapToGrid w:val="0"/>
                    <w:jc w:val="center"/>
                    <w:rPr>
                      <w:rFonts w:cs="Times New Roman"/>
                      <w:szCs w:val="21"/>
                    </w:rPr>
                  </w:pPr>
                  <w:r>
                    <w:rPr>
                      <w:rFonts w:cs="Times New Roman"/>
                      <w:szCs w:val="21"/>
                    </w:rPr>
                    <w:t>SO</w:t>
                  </w:r>
                  <w:r>
                    <w:rPr>
                      <w:rFonts w:cs="Times New Roman"/>
                      <w:szCs w:val="21"/>
                      <w:vertAlign w:val="subscript"/>
                    </w:rPr>
                    <w:t>2</w:t>
                  </w:r>
                </w:p>
              </w:tc>
              <w:tc>
                <w:tcPr>
                  <w:tcW w:w="1249" w:type="pct"/>
                  <w:vAlign w:val="center"/>
                </w:tcPr>
                <w:p>
                  <w:pPr>
                    <w:jc w:val="center"/>
                    <w:rPr>
                      <w:rFonts w:cs="Times New Roman"/>
                      <w:szCs w:val="21"/>
                    </w:rPr>
                  </w:pPr>
                  <w:r>
                    <w:rPr>
                      <w:rFonts w:cs="Times New Roman"/>
                      <w:szCs w:val="21"/>
                      <w:lang w:bidi="ar"/>
                    </w:rPr>
                    <w:t>0.0264</w:t>
                  </w:r>
                </w:p>
              </w:tc>
              <w:tc>
                <w:tcPr>
                  <w:tcW w:w="609" w:type="pct"/>
                  <w:vAlign w:val="center"/>
                </w:tcPr>
                <w:p>
                  <w:pPr>
                    <w:widowControl/>
                    <w:jc w:val="center"/>
                    <w:textAlignment w:val="center"/>
                    <w:rPr>
                      <w:rFonts w:cs="Times New Roman"/>
                      <w:szCs w:val="21"/>
                    </w:rPr>
                  </w:pPr>
                  <w:r>
                    <w:rPr>
                      <w:rFonts w:cs="Times New Roman"/>
                      <w:szCs w:val="21"/>
                    </w:rPr>
                    <w:t>0.046</w:t>
                  </w:r>
                </w:p>
              </w:tc>
              <w:tc>
                <w:tcPr>
                  <w:tcW w:w="639" w:type="pct"/>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0.057</w:t>
                  </w:r>
                </w:p>
              </w:tc>
              <w:tc>
                <w:tcPr>
                  <w:tcW w:w="1252" w:type="pct"/>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0.1294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Align w:val="center"/>
                </w:tcPr>
                <w:p>
                  <w:pPr>
                    <w:snapToGrid w:val="0"/>
                    <w:jc w:val="center"/>
                    <w:rPr>
                      <w:rFonts w:cs="Times New Roman"/>
                      <w:szCs w:val="21"/>
                    </w:rPr>
                  </w:pPr>
                  <w:r>
                    <w:rPr>
                      <w:rFonts w:cs="Times New Roman"/>
                      <w:szCs w:val="21"/>
                    </w:rPr>
                    <w:t>NOx</w:t>
                  </w:r>
                </w:p>
              </w:tc>
              <w:tc>
                <w:tcPr>
                  <w:tcW w:w="1249" w:type="pct"/>
                  <w:vAlign w:val="center"/>
                </w:tcPr>
                <w:p>
                  <w:pPr>
                    <w:jc w:val="center"/>
                    <w:rPr>
                      <w:rFonts w:cs="Times New Roman"/>
                      <w:szCs w:val="21"/>
                    </w:rPr>
                  </w:pPr>
                  <w:r>
                    <w:rPr>
                      <w:rFonts w:cs="Times New Roman"/>
                      <w:szCs w:val="21"/>
                      <w:lang w:bidi="ar"/>
                    </w:rPr>
                    <w:t>0.2153</w:t>
                  </w:r>
                </w:p>
              </w:tc>
              <w:tc>
                <w:tcPr>
                  <w:tcW w:w="609" w:type="pct"/>
                  <w:vAlign w:val="center"/>
                </w:tcPr>
                <w:p>
                  <w:pPr>
                    <w:widowControl/>
                    <w:jc w:val="center"/>
                    <w:textAlignment w:val="center"/>
                    <w:rPr>
                      <w:rFonts w:cs="Times New Roman"/>
                      <w:szCs w:val="21"/>
                    </w:rPr>
                  </w:pPr>
                  <w:r>
                    <w:rPr>
                      <w:rFonts w:cs="Times New Roman"/>
                      <w:szCs w:val="21"/>
                    </w:rPr>
                    <w:t>1.833</w:t>
                  </w:r>
                </w:p>
              </w:tc>
              <w:tc>
                <w:tcPr>
                  <w:tcW w:w="639" w:type="pct"/>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2.261</w:t>
                  </w:r>
                </w:p>
              </w:tc>
              <w:tc>
                <w:tcPr>
                  <w:tcW w:w="1252" w:type="pct"/>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4.3093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49" w:type="pct"/>
                  <w:vAlign w:val="center"/>
                </w:tcPr>
                <w:p>
                  <w:pPr>
                    <w:snapToGrid w:val="0"/>
                    <w:jc w:val="center"/>
                    <w:rPr>
                      <w:rFonts w:cs="Times New Roman"/>
                      <w:szCs w:val="21"/>
                    </w:rPr>
                  </w:pPr>
                  <w:r>
                    <w:rPr>
                      <w:rFonts w:cs="Times New Roman"/>
                      <w:szCs w:val="21"/>
                    </w:rPr>
                    <w:t>有机废气</w:t>
                  </w:r>
                </w:p>
              </w:tc>
              <w:tc>
                <w:tcPr>
                  <w:tcW w:w="1249" w:type="pct"/>
                  <w:vAlign w:val="center"/>
                </w:tcPr>
                <w:p>
                  <w:pPr>
                    <w:jc w:val="center"/>
                    <w:rPr>
                      <w:rFonts w:cs="Times New Roman"/>
                      <w:szCs w:val="21"/>
                    </w:rPr>
                  </w:pPr>
                  <w:r>
                    <w:rPr>
                      <w:rFonts w:cs="Times New Roman"/>
                      <w:szCs w:val="21"/>
                      <w:lang w:bidi="ar"/>
                    </w:rPr>
                    <w:t>0.0035</w:t>
                  </w:r>
                </w:p>
              </w:tc>
              <w:tc>
                <w:tcPr>
                  <w:tcW w:w="609" w:type="pct"/>
                  <w:vAlign w:val="center"/>
                </w:tcPr>
                <w:p>
                  <w:pPr>
                    <w:widowControl/>
                    <w:jc w:val="center"/>
                    <w:textAlignment w:val="center"/>
                    <w:rPr>
                      <w:rFonts w:cs="Times New Roman"/>
                      <w:szCs w:val="21"/>
                    </w:rPr>
                  </w:pPr>
                  <w:r>
                    <w:rPr>
                      <w:rFonts w:cs="Times New Roman"/>
                      <w:kern w:val="0"/>
                      <w:szCs w:val="21"/>
                      <w:lang w:bidi="ar"/>
                    </w:rPr>
                    <w:t>0.454</w:t>
                  </w:r>
                </w:p>
              </w:tc>
              <w:tc>
                <w:tcPr>
                  <w:tcW w:w="639" w:type="pct"/>
                  <w:vAlign w:val="center"/>
                </w:tcPr>
                <w:p>
                  <w:pPr>
                    <w:widowControl/>
                    <w:jc w:val="center"/>
                    <w:textAlignment w:val="center"/>
                    <w:rPr>
                      <w:rFonts w:cs="Times New Roman"/>
                      <w:szCs w:val="21"/>
                    </w:rPr>
                  </w:pPr>
                  <w:r>
                    <w:rPr>
                      <w:rFonts w:cs="Times New Roman"/>
                      <w:kern w:val="0"/>
                      <w:szCs w:val="21"/>
                      <w:lang w:bidi="ar"/>
                    </w:rPr>
                    <w:t>0.119</w:t>
                  </w:r>
                </w:p>
              </w:tc>
              <w:tc>
                <w:tcPr>
                  <w:tcW w:w="1252" w:type="pct"/>
                  <w:vAlign w:val="center"/>
                </w:tcPr>
                <w:p>
                  <w:pPr>
                    <w:widowControl/>
                    <w:jc w:val="center"/>
                    <w:textAlignment w:val="center"/>
                    <w:rPr>
                      <w:rFonts w:cs="Times New Roman"/>
                      <w:szCs w:val="21"/>
                    </w:rPr>
                  </w:pPr>
                  <w:r>
                    <w:rPr>
                      <w:rFonts w:cs="Times New Roman"/>
                      <w:kern w:val="0"/>
                      <w:szCs w:val="21"/>
                      <w:lang w:bidi="ar"/>
                    </w:rPr>
                    <w:t>0.5765</w:t>
                  </w:r>
                </w:p>
              </w:tc>
            </w:tr>
          </w:tbl>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spacing w:line="360" w:lineRule="auto"/>
        <w:rPr>
          <w:rFonts w:cs="Times New Roman"/>
          <w:b/>
          <w:sz w:val="28"/>
          <w:szCs w:val="24"/>
        </w:rPr>
        <w:sectPr>
          <w:pgSz w:w="11906" w:h="16838"/>
          <w:pgMar w:top="1134" w:right="1134" w:bottom="1134" w:left="1418" w:header="851" w:footer="992" w:gutter="0"/>
          <w:cols w:space="720" w:num="1"/>
          <w:docGrid w:type="lines" w:linePitch="312" w:charSpace="0"/>
        </w:sectPr>
      </w:pPr>
    </w:p>
    <w:p>
      <w:pPr>
        <w:pStyle w:val="59"/>
        <w:jc w:val="center"/>
        <w:rPr>
          <w:rFonts w:eastAsia="黑体" w:cs="Times New Roman"/>
          <w:b w:val="0"/>
          <w:sz w:val="30"/>
          <w:szCs w:val="30"/>
        </w:rPr>
      </w:pPr>
      <w:r>
        <w:rPr>
          <w:rFonts w:eastAsia="黑体" w:cs="Times New Roman"/>
          <w:b w:val="0"/>
          <w:sz w:val="30"/>
          <w:szCs w:val="30"/>
        </w:rPr>
        <w:t>四、主要环境影响和保护措施</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8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4" w:type="dxa"/>
            <w:vAlign w:val="center"/>
          </w:tcPr>
          <w:p>
            <w:pPr>
              <w:spacing w:line="360" w:lineRule="auto"/>
              <w:jc w:val="center"/>
              <w:rPr>
                <w:rFonts w:cs="Times New Roman"/>
                <w:sz w:val="24"/>
                <w:szCs w:val="24"/>
              </w:rPr>
            </w:pPr>
            <w:r>
              <w:rPr>
                <w:rFonts w:cs="Times New Roman"/>
                <w:sz w:val="24"/>
                <w:szCs w:val="24"/>
              </w:rPr>
              <w:t>施工期环境保护措施</w:t>
            </w:r>
          </w:p>
        </w:tc>
        <w:tc>
          <w:tcPr>
            <w:tcW w:w="8645" w:type="dxa"/>
            <w:vAlign w:val="center"/>
          </w:tcPr>
          <w:p>
            <w:pPr>
              <w:spacing w:line="360" w:lineRule="auto"/>
              <w:ind w:firstLine="482" w:firstLineChars="200"/>
              <w:rPr>
                <w:rFonts w:cs="Times New Roman"/>
                <w:b/>
                <w:sz w:val="24"/>
                <w:szCs w:val="24"/>
              </w:rPr>
            </w:pPr>
            <w:r>
              <w:rPr>
                <w:rFonts w:cs="Times New Roman"/>
                <w:b/>
                <w:sz w:val="24"/>
                <w:szCs w:val="24"/>
              </w:rPr>
              <w:t>1、废气</w:t>
            </w:r>
          </w:p>
          <w:p>
            <w:pPr>
              <w:spacing w:line="360" w:lineRule="auto"/>
              <w:ind w:firstLine="480" w:firstLineChars="200"/>
              <w:rPr>
                <w:rFonts w:cs="Times New Roman"/>
                <w:bCs/>
                <w:sz w:val="24"/>
                <w:szCs w:val="24"/>
              </w:rPr>
            </w:pPr>
            <w:r>
              <w:rPr>
                <w:rFonts w:cs="Times New Roman"/>
                <w:bCs/>
                <w:sz w:val="24"/>
                <w:szCs w:val="24"/>
              </w:rPr>
              <w:t>项目设备安装过程和房屋改造修建过程中会产生扬尘、装修废气等，其作业点位于室内相对集中，扩散性较差，若不采取有效控制措施，将对周围环境造成一定的影响。为此，本环评要求施工单位采取以下扬尘治理措施：</w:t>
            </w:r>
          </w:p>
          <w:p>
            <w:pPr>
              <w:spacing w:line="360" w:lineRule="auto"/>
              <w:ind w:firstLine="480" w:firstLineChars="200"/>
              <w:rPr>
                <w:rFonts w:cs="Times New Roman"/>
                <w:bCs/>
                <w:sz w:val="24"/>
                <w:szCs w:val="24"/>
              </w:rPr>
            </w:pPr>
            <w:r>
              <w:rPr>
                <w:rFonts w:cs="Times New Roman"/>
                <w:bCs/>
                <w:sz w:val="24"/>
                <w:szCs w:val="24"/>
              </w:rPr>
              <w:t>a.施工单位应制定科学、文明的施工时段和施工工艺。</w:t>
            </w:r>
          </w:p>
          <w:p>
            <w:pPr>
              <w:spacing w:line="360" w:lineRule="auto"/>
              <w:ind w:firstLine="480" w:firstLineChars="200"/>
              <w:rPr>
                <w:rFonts w:cs="Times New Roman"/>
                <w:bCs/>
                <w:sz w:val="24"/>
                <w:szCs w:val="24"/>
              </w:rPr>
            </w:pPr>
            <w:r>
              <w:rPr>
                <w:rFonts w:cs="Times New Roman"/>
                <w:bCs/>
                <w:sz w:val="24"/>
                <w:szCs w:val="24"/>
              </w:rPr>
              <w:t>b.施工期及时对撒落在地面的渣土及时清除，清理阶段严格做到先洒水后清除，减少扬尘产生。</w:t>
            </w:r>
          </w:p>
          <w:p>
            <w:pPr>
              <w:spacing w:line="360" w:lineRule="auto"/>
              <w:ind w:firstLine="480" w:firstLineChars="200"/>
              <w:rPr>
                <w:rFonts w:cs="Times New Roman"/>
                <w:bCs/>
                <w:sz w:val="24"/>
                <w:szCs w:val="24"/>
              </w:rPr>
            </w:pPr>
            <w:r>
              <w:rPr>
                <w:rFonts w:cs="Times New Roman"/>
                <w:bCs/>
                <w:sz w:val="24"/>
                <w:szCs w:val="24"/>
              </w:rPr>
              <w:t>c.合理安排施工时间，加快施工进度。考虑到周围以企业和居民区为主，施工期昼间应尽可能减少材料运输、扬尘作业，减少对周围居住环境和企业办公的影响。</w:t>
            </w:r>
          </w:p>
          <w:p>
            <w:pPr>
              <w:spacing w:line="360" w:lineRule="auto"/>
              <w:ind w:firstLine="482" w:firstLineChars="200"/>
              <w:rPr>
                <w:rFonts w:cs="Times New Roman"/>
                <w:b/>
                <w:sz w:val="24"/>
                <w:szCs w:val="24"/>
              </w:rPr>
            </w:pPr>
            <w:r>
              <w:rPr>
                <w:rFonts w:cs="Times New Roman"/>
                <w:b/>
                <w:sz w:val="24"/>
                <w:szCs w:val="24"/>
              </w:rPr>
              <w:t>2、废水</w:t>
            </w:r>
          </w:p>
          <w:p>
            <w:pPr>
              <w:spacing w:line="360" w:lineRule="auto"/>
              <w:ind w:firstLine="480" w:firstLineChars="200"/>
              <w:rPr>
                <w:rFonts w:cs="Times New Roman"/>
                <w:sz w:val="24"/>
                <w:szCs w:val="24"/>
              </w:rPr>
            </w:pPr>
            <w:r>
              <w:rPr>
                <w:rFonts w:cs="Times New Roman"/>
                <w:sz w:val="24"/>
                <w:szCs w:val="24"/>
              </w:rPr>
              <w:t>本项目施工期废水主要为施工人员产生的生活污水，施工高峰期施工人员预计约10人，施工人员生活用水量按0.1m</w:t>
            </w:r>
            <w:r>
              <w:rPr>
                <w:rFonts w:cs="Times New Roman"/>
                <w:sz w:val="24"/>
                <w:szCs w:val="24"/>
                <w:vertAlign w:val="superscript"/>
              </w:rPr>
              <w:t>3</w:t>
            </w:r>
            <w:r>
              <w:rPr>
                <w:rFonts w:cs="Times New Roman"/>
                <w:sz w:val="24"/>
                <w:szCs w:val="24"/>
              </w:rPr>
              <w:t>/d，生活污水产生系数取0.85，则生活污水产生量为0.85m</w:t>
            </w:r>
            <w:r>
              <w:rPr>
                <w:rFonts w:cs="Times New Roman"/>
                <w:sz w:val="24"/>
                <w:szCs w:val="24"/>
                <w:vertAlign w:val="superscript"/>
              </w:rPr>
              <w:t>3</w:t>
            </w:r>
            <w:r>
              <w:rPr>
                <w:rFonts w:cs="Times New Roman"/>
                <w:sz w:val="24"/>
                <w:szCs w:val="24"/>
              </w:rPr>
              <w:t>/d，生活污水依托现有</w:t>
            </w:r>
            <w:r>
              <w:rPr>
                <w:rFonts w:cs="Times New Roman"/>
                <w:kern w:val="24"/>
                <w:sz w:val="24"/>
                <w:szCs w:val="24"/>
              </w:rPr>
              <w:t>化粪池</w:t>
            </w:r>
            <w:r>
              <w:rPr>
                <w:rFonts w:cs="Times New Roman"/>
                <w:sz w:val="24"/>
                <w:szCs w:val="24"/>
              </w:rPr>
              <w:t>处理后排入园区管网。</w:t>
            </w:r>
          </w:p>
          <w:p>
            <w:pPr>
              <w:spacing w:line="360" w:lineRule="auto"/>
              <w:ind w:firstLine="482" w:firstLineChars="200"/>
              <w:rPr>
                <w:rFonts w:cs="Times New Roman"/>
                <w:b/>
                <w:sz w:val="24"/>
                <w:szCs w:val="24"/>
              </w:rPr>
            </w:pPr>
            <w:r>
              <w:rPr>
                <w:rFonts w:cs="Times New Roman"/>
                <w:b/>
                <w:sz w:val="24"/>
                <w:szCs w:val="24"/>
              </w:rPr>
              <w:t>3、噪声</w:t>
            </w:r>
          </w:p>
          <w:p>
            <w:pPr>
              <w:spacing w:line="360" w:lineRule="auto"/>
              <w:ind w:firstLine="480" w:firstLineChars="200"/>
              <w:rPr>
                <w:rFonts w:cs="Times New Roman"/>
                <w:sz w:val="24"/>
                <w:szCs w:val="24"/>
              </w:rPr>
            </w:pPr>
            <w:r>
              <w:rPr>
                <w:rFonts w:cs="Times New Roman"/>
                <w:sz w:val="24"/>
                <w:szCs w:val="24"/>
              </w:rPr>
              <w:t>1）施工噪声</w:t>
            </w:r>
          </w:p>
          <w:p>
            <w:pPr>
              <w:spacing w:line="360" w:lineRule="auto"/>
              <w:ind w:firstLine="480" w:firstLineChars="200"/>
              <w:rPr>
                <w:rFonts w:cs="Times New Roman"/>
                <w:sz w:val="24"/>
                <w:szCs w:val="24"/>
              </w:rPr>
            </w:pPr>
            <w:r>
              <w:rPr>
                <w:rFonts w:cs="Times New Roman"/>
                <w:sz w:val="24"/>
                <w:szCs w:val="24"/>
              </w:rPr>
              <w:t>施工期装修过程使用的机械（如电钻、手工钻等）噪声值在75dB（A）以上，将对外环境带来一定的影响。为实现施工噪声达标排放，本环评要求施工期采取以下噪声防治措施：</w:t>
            </w:r>
          </w:p>
          <w:p>
            <w:pPr>
              <w:spacing w:line="360" w:lineRule="auto"/>
              <w:ind w:firstLine="480" w:firstLineChars="200"/>
              <w:rPr>
                <w:rFonts w:cs="Times New Roman"/>
                <w:sz w:val="24"/>
                <w:szCs w:val="24"/>
              </w:rPr>
            </w:pPr>
            <w:r>
              <w:rPr>
                <w:rFonts w:cs="Times New Roman"/>
                <w:sz w:val="24"/>
                <w:szCs w:val="24"/>
              </w:rPr>
              <w:t>①选用低噪设备，定期对设备进行检修，触地设备合理布局并采取基础减震措施，降低噪声的排放。</w:t>
            </w:r>
          </w:p>
          <w:p>
            <w:pPr>
              <w:spacing w:line="360" w:lineRule="auto"/>
              <w:ind w:firstLine="480" w:firstLineChars="200"/>
              <w:rPr>
                <w:rFonts w:cs="Times New Roman"/>
                <w:sz w:val="24"/>
                <w:szCs w:val="24"/>
              </w:rPr>
            </w:pPr>
            <w:r>
              <w:rPr>
                <w:rFonts w:cs="Times New Roman"/>
                <w:sz w:val="24"/>
                <w:szCs w:val="24"/>
              </w:rPr>
              <w:t>②严格做到文明施工，装卸、搬运材料等严禁抛掷，做到轻拿轻放；材料运输车辆进场要专人指挥，场内运输车辆实施限速、禁止鸣笛。</w:t>
            </w:r>
          </w:p>
          <w:p>
            <w:pPr>
              <w:spacing w:line="360" w:lineRule="auto"/>
              <w:ind w:firstLine="480" w:firstLineChars="200"/>
              <w:rPr>
                <w:rFonts w:cs="Times New Roman"/>
                <w:sz w:val="24"/>
                <w:szCs w:val="24"/>
              </w:rPr>
            </w:pPr>
            <w:r>
              <w:rPr>
                <w:rFonts w:cs="Times New Roman"/>
                <w:sz w:val="24"/>
                <w:szCs w:val="24"/>
              </w:rPr>
              <w:t>③合理安排施工时间，加快施工进度，缩短施工周期。</w:t>
            </w:r>
          </w:p>
          <w:p>
            <w:pPr>
              <w:spacing w:line="360" w:lineRule="auto"/>
              <w:ind w:firstLine="480" w:firstLineChars="200"/>
              <w:rPr>
                <w:rFonts w:cs="Times New Roman"/>
                <w:sz w:val="24"/>
                <w:szCs w:val="24"/>
              </w:rPr>
            </w:pPr>
            <w:r>
              <w:rPr>
                <w:rFonts w:cs="Times New Roman"/>
                <w:sz w:val="24"/>
                <w:szCs w:val="24"/>
              </w:rPr>
              <w:t>2）设备调试噪声</w:t>
            </w:r>
          </w:p>
          <w:p>
            <w:pPr>
              <w:spacing w:line="360" w:lineRule="auto"/>
              <w:ind w:firstLine="480" w:firstLineChars="200"/>
              <w:rPr>
                <w:rFonts w:cs="Times New Roman"/>
                <w:sz w:val="24"/>
                <w:szCs w:val="24"/>
              </w:rPr>
            </w:pPr>
            <w:r>
              <w:rPr>
                <w:rFonts w:cs="Times New Roman"/>
                <w:sz w:val="24"/>
                <w:szCs w:val="24"/>
              </w:rPr>
              <w:t>施工期设备调试阶段由于调试时间短，且设备底部进行基础减振处理，因此可实现达标排放。</w:t>
            </w:r>
          </w:p>
          <w:p>
            <w:pPr>
              <w:spacing w:line="360" w:lineRule="auto"/>
              <w:ind w:firstLine="482" w:firstLineChars="200"/>
              <w:rPr>
                <w:rFonts w:cs="Times New Roman"/>
                <w:b/>
                <w:sz w:val="24"/>
                <w:szCs w:val="24"/>
              </w:rPr>
            </w:pPr>
            <w:r>
              <w:rPr>
                <w:rFonts w:cs="Times New Roman"/>
                <w:b/>
                <w:sz w:val="24"/>
                <w:szCs w:val="24"/>
              </w:rPr>
              <w:t>4、固废</w:t>
            </w:r>
          </w:p>
          <w:p>
            <w:pPr>
              <w:spacing w:line="360" w:lineRule="auto"/>
              <w:ind w:firstLine="482" w:firstLineChars="200"/>
              <w:rPr>
                <w:rFonts w:cs="Times New Roman"/>
                <w:b/>
                <w:sz w:val="24"/>
                <w:szCs w:val="24"/>
              </w:rPr>
            </w:pPr>
            <w:r>
              <w:rPr>
                <w:rFonts w:cs="Times New Roman"/>
                <w:b/>
                <w:sz w:val="24"/>
                <w:szCs w:val="24"/>
              </w:rPr>
              <w:t>（1）建筑废物</w:t>
            </w:r>
          </w:p>
          <w:p>
            <w:pPr>
              <w:spacing w:line="360" w:lineRule="auto"/>
              <w:ind w:firstLine="480" w:firstLineChars="200"/>
              <w:rPr>
                <w:rFonts w:cs="Times New Roman"/>
                <w:sz w:val="24"/>
                <w:szCs w:val="24"/>
              </w:rPr>
            </w:pPr>
            <w:r>
              <w:rPr>
                <w:rFonts w:cs="Times New Roman"/>
                <w:sz w:val="24"/>
                <w:szCs w:val="24"/>
              </w:rPr>
              <w:t>施工期建筑废物主要包括装修垃圾，预计产生量约0.5t，本环评要求：施工期建筑废物应分类收集、及时清运；对装修垃圾不能随意倾倒，而应用编织袋包装后堆放在指定地点，由环卫部门统一清运处理，装修中用到的废弃涂料容器、环氧树脂等属于危险废物，应单独设置收集后暂存于危废间，交由具有资质的单位进行处置。</w:t>
            </w:r>
          </w:p>
          <w:p>
            <w:pPr>
              <w:spacing w:line="360" w:lineRule="auto"/>
              <w:ind w:firstLine="482" w:firstLineChars="200"/>
              <w:rPr>
                <w:rFonts w:cs="Times New Roman"/>
                <w:b/>
                <w:sz w:val="24"/>
                <w:szCs w:val="24"/>
              </w:rPr>
            </w:pPr>
            <w:r>
              <w:rPr>
                <w:rFonts w:cs="Times New Roman"/>
                <w:b/>
                <w:sz w:val="24"/>
                <w:szCs w:val="24"/>
              </w:rPr>
              <w:t>（2）废包装材料</w:t>
            </w:r>
          </w:p>
          <w:p>
            <w:pPr>
              <w:spacing w:line="360" w:lineRule="auto"/>
              <w:ind w:firstLine="480" w:firstLineChars="200"/>
              <w:rPr>
                <w:rFonts w:cs="Times New Roman"/>
                <w:bCs/>
                <w:sz w:val="24"/>
                <w:szCs w:val="24"/>
              </w:rPr>
            </w:pPr>
            <w:r>
              <w:rPr>
                <w:rFonts w:cs="Times New Roman"/>
                <w:bCs/>
                <w:sz w:val="24"/>
                <w:szCs w:val="24"/>
              </w:rPr>
              <w:t>施工期设备安装过程废包装材料以塑料、纸板、木板等为主，预计产生量约0.5t，应分类收集后统一外售至废旧资源回收站。</w:t>
            </w:r>
          </w:p>
          <w:p>
            <w:pPr>
              <w:spacing w:line="360" w:lineRule="auto"/>
              <w:ind w:firstLine="482" w:firstLineChars="200"/>
              <w:rPr>
                <w:rFonts w:cs="Times New Roman"/>
                <w:b/>
                <w:sz w:val="24"/>
                <w:szCs w:val="24"/>
              </w:rPr>
            </w:pPr>
            <w:r>
              <w:rPr>
                <w:rFonts w:cs="Times New Roman"/>
                <w:b/>
                <w:sz w:val="24"/>
                <w:szCs w:val="24"/>
              </w:rPr>
              <w:t>（3）生活垃圾</w:t>
            </w:r>
          </w:p>
          <w:p>
            <w:pPr>
              <w:spacing w:line="360" w:lineRule="auto"/>
              <w:ind w:firstLine="480" w:firstLineChars="200"/>
              <w:rPr>
                <w:rFonts w:cs="Times New Roman"/>
                <w:sz w:val="24"/>
                <w:szCs w:val="24"/>
              </w:rPr>
            </w:pPr>
            <w:r>
              <w:rPr>
                <w:rFonts w:cs="Times New Roman"/>
                <w:sz w:val="24"/>
                <w:szCs w:val="24"/>
              </w:rPr>
              <w:t>项目施工人员约10人，生活垃圾产生量按0.5kg/人·d计，预计产生量为5.0kg/d，生活垃圾经袋装收集后，由环卫部门统一运送到垃圾处理场集中处理。</w:t>
            </w:r>
          </w:p>
          <w:p>
            <w:pPr>
              <w:spacing w:line="360" w:lineRule="auto"/>
              <w:ind w:firstLine="480" w:firstLineChars="200"/>
              <w:rPr>
                <w:rFonts w:cs="Times New Roman"/>
                <w:sz w:val="24"/>
                <w:szCs w:val="24"/>
              </w:rPr>
            </w:pPr>
            <w:r>
              <w:rPr>
                <w:rFonts w:cs="Times New Roman"/>
                <w:sz w:val="24"/>
                <w:szCs w:val="24"/>
              </w:rPr>
              <w:t>施工期的环境管理是控制施工期环境影响的关键，要求建设单位按照国家有关规定，并采取本环评所提出的防治措施进行后施工建设，以控制、减少施工期对环境的影响。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4" w:type="dxa"/>
            <w:vAlign w:val="center"/>
          </w:tcPr>
          <w:p>
            <w:pPr>
              <w:spacing w:line="360" w:lineRule="auto"/>
              <w:jc w:val="center"/>
              <w:rPr>
                <w:rFonts w:cs="Times New Roman"/>
                <w:sz w:val="24"/>
                <w:szCs w:val="24"/>
              </w:rPr>
            </w:pPr>
            <w:r>
              <w:rPr>
                <w:rFonts w:cs="Times New Roman"/>
                <w:sz w:val="24"/>
                <w:szCs w:val="24"/>
              </w:rPr>
              <w:t>运营</w:t>
            </w:r>
          </w:p>
          <w:p>
            <w:pPr>
              <w:spacing w:line="360" w:lineRule="auto"/>
              <w:jc w:val="center"/>
              <w:rPr>
                <w:rFonts w:cs="Times New Roman"/>
                <w:sz w:val="24"/>
                <w:szCs w:val="24"/>
              </w:rPr>
            </w:pPr>
            <w:r>
              <w:rPr>
                <w:rFonts w:cs="Times New Roman"/>
                <w:sz w:val="24"/>
                <w:szCs w:val="24"/>
              </w:rPr>
              <w:t>期环</w:t>
            </w:r>
          </w:p>
          <w:p>
            <w:pPr>
              <w:spacing w:line="360" w:lineRule="auto"/>
              <w:jc w:val="center"/>
              <w:rPr>
                <w:rFonts w:cs="Times New Roman"/>
                <w:sz w:val="24"/>
                <w:szCs w:val="24"/>
              </w:rPr>
            </w:pPr>
            <w:r>
              <w:rPr>
                <w:rFonts w:cs="Times New Roman"/>
                <w:sz w:val="24"/>
                <w:szCs w:val="24"/>
              </w:rPr>
              <w:t>境影响和保护措施</w:t>
            </w:r>
          </w:p>
        </w:tc>
        <w:tc>
          <w:tcPr>
            <w:tcW w:w="8645" w:type="dxa"/>
            <w:vAlign w:val="center"/>
          </w:tcPr>
          <w:p>
            <w:pPr>
              <w:spacing w:line="360" w:lineRule="auto"/>
              <w:ind w:firstLine="482" w:firstLineChars="200"/>
              <w:rPr>
                <w:rFonts w:cs="Times New Roman"/>
                <w:b/>
                <w:sz w:val="24"/>
                <w:szCs w:val="24"/>
              </w:rPr>
            </w:pPr>
            <w:r>
              <w:rPr>
                <w:rFonts w:cs="Times New Roman"/>
                <w:b/>
                <w:sz w:val="24"/>
                <w:szCs w:val="24"/>
              </w:rPr>
              <w:t>1、废气</w:t>
            </w:r>
          </w:p>
          <w:p>
            <w:pPr>
              <w:spacing w:line="360" w:lineRule="auto"/>
              <w:ind w:firstLine="482" w:firstLineChars="200"/>
              <w:rPr>
                <w:rFonts w:cs="Times New Roman"/>
                <w:b/>
                <w:sz w:val="24"/>
                <w:szCs w:val="24"/>
              </w:rPr>
            </w:pPr>
            <w:r>
              <w:rPr>
                <w:rFonts w:cs="Times New Roman"/>
                <w:b/>
                <w:sz w:val="24"/>
                <w:szCs w:val="24"/>
              </w:rPr>
              <w:t>（1）产排污环节、污染物种类、产生量核算</w:t>
            </w:r>
          </w:p>
          <w:p>
            <w:pPr>
              <w:spacing w:line="360" w:lineRule="auto"/>
              <w:ind w:firstLine="480" w:firstLineChars="200"/>
              <w:rPr>
                <w:rFonts w:cs="Times New Roman"/>
                <w:sz w:val="24"/>
                <w:szCs w:val="24"/>
              </w:rPr>
            </w:pPr>
            <w:r>
              <w:rPr>
                <w:rFonts w:cs="Times New Roman"/>
                <w:sz w:val="24"/>
                <w:szCs w:val="24"/>
              </w:rPr>
              <w:t>本项目产生的废气主要是2100/2600湿法薄毡生产线浸胶工序产生的VOCs和甲醛以及烘干工序产生的废气（甲醛、VOCs、氨、SO</w:t>
            </w:r>
            <w:r>
              <w:rPr>
                <w:rFonts w:cs="Times New Roman"/>
                <w:sz w:val="24"/>
                <w:szCs w:val="24"/>
                <w:vertAlign w:val="subscript"/>
              </w:rPr>
              <w:t>2</w:t>
            </w:r>
            <w:r>
              <w:rPr>
                <w:rFonts w:cs="Times New Roman"/>
                <w:sz w:val="24"/>
                <w:szCs w:val="24"/>
              </w:rPr>
              <w:t>、NOx）、油烟废气。</w:t>
            </w:r>
          </w:p>
          <w:p>
            <w:pPr>
              <w:spacing w:line="360" w:lineRule="auto"/>
              <w:ind w:firstLine="482" w:firstLineChars="200"/>
              <w:rPr>
                <w:rFonts w:cs="Times New Roman"/>
                <w:b/>
                <w:bCs/>
                <w:sz w:val="24"/>
                <w:szCs w:val="24"/>
              </w:rPr>
            </w:pPr>
            <w:r>
              <w:rPr>
                <w:rFonts w:cs="Times New Roman"/>
                <w:b/>
                <w:bCs/>
                <w:sz w:val="24"/>
                <w:szCs w:val="24"/>
              </w:rPr>
              <w:t>①2100湿法薄毡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sz w:val="24"/>
                <w:szCs w:val="24"/>
              </w:rPr>
              <w:t>项目使用粘结剂均为水基型胶粘剂，该生产线</w:t>
            </w:r>
            <w:r>
              <w:rPr>
                <w:rFonts w:hint="eastAsia" w:cs="Times New Roman"/>
                <w:color w:val="000000" w:themeColor="text1"/>
                <w:sz w:val="24"/>
                <w:szCs w:val="24"/>
                <w:lang w:val="en-US" w:eastAsia="zh-CN"/>
                <w14:textFill>
                  <w14:solidFill>
                    <w14:schemeClr w14:val="tx1"/>
                  </w14:solidFill>
                </w14:textFill>
              </w:rPr>
              <w:t>水性功能乳液</w:t>
            </w:r>
            <w:r>
              <w:rPr>
                <w:rFonts w:cs="Times New Roman"/>
                <w:color w:val="000000" w:themeColor="text1"/>
                <w:sz w:val="24"/>
                <w:szCs w:val="24"/>
                <w14:textFill>
                  <w14:solidFill>
                    <w14:schemeClr w14:val="tx1"/>
                  </w14:solidFill>
                </w14:textFill>
              </w:rPr>
              <w:t>年用量为455t/a，脲醛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年用量为845t/a。在浸胶与烘干环节，均有废气产生。（330d，24h）</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hint="eastAsia" w:cs="Times New Roman"/>
                <w:b/>
                <w:bCs/>
                <w:color w:val="000000" w:themeColor="text1"/>
                <w:sz w:val="24"/>
                <w:szCs w:val="24"/>
                <w14:textFill>
                  <w14:solidFill>
                    <w14:schemeClr w14:val="tx1"/>
                  </w14:solidFill>
                </w14:textFill>
              </w:rPr>
              <w:t>甲</w:t>
            </w:r>
            <w:r>
              <w:rPr>
                <w:rFonts w:cs="Times New Roman"/>
                <w:b/>
                <w:bCs/>
                <w:color w:val="000000" w:themeColor="text1"/>
                <w:sz w:val="24"/>
                <w:szCs w:val="24"/>
                <w14:textFill>
                  <w14:solidFill>
                    <w14:schemeClr w14:val="tx1"/>
                  </w14:solidFill>
                </w14:textFill>
              </w:rPr>
              <w:t>醛</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该生产线使用脲醛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用量为845t/a，根据企业提供成分可知，项目使用的脲醛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中游离甲醛的含量≤0.3%，按最不利情况游离甲醛完全挥发，按0.3%计算，脲醛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中游离甲醛的年最大产生量为2.535t/a，产生速率为0.320kg/h</w:t>
            </w:r>
            <w:r>
              <w:rPr>
                <w:rFonts w:hint="eastAsia" w:cs="Times New Roman"/>
                <w:color w:val="000000" w:themeColor="text1"/>
                <w:sz w:val="24"/>
                <w:szCs w:val="24"/>
                <w14:textFill>
                  <w14:solidFill>
                    <w14:schemeClr w14:val="tx1"/>
                  </w14:solidFill>
                </w14:textFill>
              </w:rPr>
              <w:t>。</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氨</w:t>
            </w:r>
          </w:p>
          <w:p>
            <w:pPr>
              <w:spacing w:line="360" w:lineRule="auto"/>
              <w:ind w:firstLine="480" w:firstLineChars="200"/>
              <w:rPr>
                <w:rFonts w:cs="Times New Roman"/>
                <w:sz w:val="24"/>
                <w:szCs w:val="24"/>
              </w:rPr>
            </w:pPr>
            <w:r>
              <w:rPr>
                <w:rFonts w:cs="Times New Roman"/>
                <w:color w:val="000000" w:themeColor="text1"/>
                <w:sz w:val="24"/>
                <w:szCs w:val="24"/>
                <w14:textFill>
                  <w14:solidFill>
                    <w14:schemeClr w14:val="tx1"/>
                  </w14:solidFill>
                </w14:textFill>
              </w:rPr>
              <w:t>考虑脲醛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加热到200摄氏度以上，可能分解产生的污染物会有氨，</w:t>
            </w:r>
            <w:r>
              <w:rPr>
                <w:rFonts w:hint="eastAsia" w:cs="Times New Roman"/>
                <w:color w:val="000000" w:themeColor="text1"/>
                <w:sz w:val="24"/>
                <w:szCs w:val="24"/>
                <w14:textFill>
                  <w14:solidFill>
                    <w14:schemeClr w14:val="tx1"/>
                  </w14:solidFill>
                </w14:textFill>
              </w:rPr>
              <w:t>根据泰山玻璃纤维有限公司《湿法毡生产线扩产项目建设项目环境影响报告表》</w:t>
            </w:r>
            <w:r>
              <w:rPr>
                <w:rFonts w:hint="eastAsia" w:cs="Times New Roman"/>
                <w:color w:val="0000FF"/>
                <w:sz w:val="24"/>
                <w:szCs w:val="24"/>
              </w:rPr>
              <w:t>，</w:t>
            </w:r>
            <w:r>
              <w:rPr>
                <w:rFonts w:cs="Times New Roman"/>
                <w:sz w:val="24"/>
                <w:szCs w:val="24"/>
              </w:rPr>
              <w:t>产生量按照脲醛</w:t>
            </w:r>
            <w:r>
              <w:rPr>
                <w:rFonts w:hint="eastAsia" w:cs="Times New Roman"/>
                <w:sz w:val="24"/>
                <w:szCs w:val="24"/>
                <w:lang w:val="en-US" w:eastAsia="zh-CN"/>
              </w:rPr>
              <w:t>胶</w:t>
            </w:r>
            <w:r>
              <w:rPr>
                <w:rFonts w:cs="Times New Roman"/>
                <w:sz w:val="24"/>
                <w:szCs w:val="24"/>
              </w:rPr>
              <w:t>用量的万分之一考虑，则氨的产生量为0.085t/a，产生速率为0.011kg/h。</w:t>
            </w:r>
          </w:p>
          <w:p>
            <w:pPr>
              <w:spacing w:line="360" w:lineRule="auto"/>
              <w:ind w:firstLine="482" w:firstLineChars="200"/>
              <w:rPr>
                <w:rFonts w:cs="Times New Roman"/>
                <w:b/>
                <w:bCs/>
                <w:sz w:val="24"/>
                <w:szCs w:val="24"/>
              </w:rPr>
            </w:pPr>
            <w:r>
              <w:rPr>
                <w:rFonts w:cs="Times New Roman"/>
                <w:b/>
                <w:bCs/>
                <w:sz w:val="24"/>
                <w:szCs w:val="24"/>
              </w:rPr>
              <w:t>VOCs</w:t>
            </w:r>
          </w:p>
          <w:p>
            <w:pPr>
              <w:spacing w:line="360" w:lineRule="auto"/>
              <w:ind w:firstLine="480" w:firstLineChars="200"/>
              <w:rPr>
                <w:rFonts w:cs="Times New Roman"/>
                <w:color w:val="0000FF"/>
                <w:sz w:val="24"/>
                <w:szCs w:val="24"/>
              </w:rPr>
            </w:pPr>
            <w:r>
              <w:rPr>
                <w:rFonts w:cs="Times New Roman"/>
                <w:sz w:val="24"/>
                <w:szCs w:val="24"/>
              </w:rPr>
              <w:t>该生产线使用</w:t>
            </w:r>
            <w:r>
              <w:rPr>
                <w:rFonts w:hint="eastAsia" w:cs="Times New Roman"/>
                <w:sz w:val="24"/>
                <w:szCs w:val="24"/>
                <w:lang w:val="en-US" w:eastAsia="zh-CN"/>
              </w:rPr>
              <w:t>水性功能乳液</w:t>
            </w:r>
            <w:r>
              <w:rPr>
                <w:rFonts w:cs="Times New Roman"/>
                <w:sz w:val="24"/>
                <w:szCs w:val="24"/>
              </w:rPr>
              <w:t>用量为455t/a，根据企业提供成分可知，</w:t>
            </w:r>
            <w:r>
              <w:rPr>
                <w:rFonts w:cs="Times New Roman"/>
                <w:kern w:val="0"/>
                <w:sz w:val="24"/>
                <w:szCs w:val="24"/>
              </w:rPr>
              <w:t>VOC含量为75mg/kg（0.075g/L），</w:t>
            </w:r>
            <w:r>
              <w:rPr>
                <w:rFonts w:cs="Times New Roman"/>
                <w:sz w:val="24"/>
                <w:szCs w:val="24"/>
              </w:rPr>
              <w:t>按最不利情况完全挥发，则</w:t>
            </w:r>
            <w:r>
              <w:rPr>
                <w:rFonts w:hint="eastAsia" w:cs="Times New Roman"/>
                <w:sz w:val="24"/>
                <w:szCs w:val="24"/>
                <w:lang w:val="en-US" w:eastAsia="zh-CN"/>
              </w:rPr>
              <w:t>水性功能乳液</w:t>
            </w:r>
            <w:r>
              <w:rPr>
                <w:rFonts w:cs="Times New Roman"/>
                <w:sz w:val="24"/>
                <w:szCs w:val="24"/>
              </w:rPr>
              <w:t>中VOCs的年最大产生量为0.034t/a，产生速率为0.004kg/h</w:t>
            </w:r>
            <w:r>
              <w:rPr>
                <w:rFonts w:hint="eastAsia" w:cs="Times New Roman"/>
                <w:sz w:val="24"/>
                <w:szCs w:val="24"/>
              </w:rPr>
              <w:t>。</w:t>
            </w:r>
          </w:p>
          <w:p>
            <w:pPr>
              <w:spacing w:line="360" w:lineRule="auto"/>
              <w:ind w:firstLine="482" w:firstLineChars="200"/>
              <w:rPr>
                <w:rFonts w:cs="Times New Roman"/>
                <w:b/>
                <w:bCs/>
                <w:sz w:val="24"/>
                <w:szCs w:val="24"/>
              </w:rPr>
            </w:pPr>
            <w:r>
              <w:rPr>
                <w:rFonts w:cs="Times New Roman"/>
                <w:b/>
                <w:bCs/>
                <w:sz w:val="24"/>
                <w:szCs w:val="24"/>
              </w:rPr>
              <w:t>2）烘干工序产生的天然气燃烧废气</w:t>
            </w:r>
          </w:p>
          <w:p>
            <w:pPr>
              <w:spacing w:line="360" w:lineRule="auto"/>
              <w:ind w:firstLine="480" w:firstLineChars="200"/>
              <w:rPr>
                <w:rFonts w:cs="Times New Roman"/>
                <w:sz w:val="24"/>
                <w:szCs w:val="24"/>
              </w:rPr>
            </w:pPr>
            <w:r>
              <w:rPr>
                <w:rFonts w:cs="Times New Roman"/>
                <w:sz w:val="24"/>
                <w:szCs w:val="24"/>
              </w:rPr>
              <w:t>项目烘干过程使用天然气作为燃料，天然气是一种清洁能源，废气中主要污染物为SO</w:t>
            </w:r>
            <w:r>
              <w:rPr>
                <w:rFonts w:cs="Times New Roman"/>
                <w:sz w:val="24"/>
                <w:szCs w:val="24"/>
                <w:vertAlign w:val="subscript"/>
              </w:rPr>
              <w:t>2</w:t>
            </w:r>
            <w:r>
              <w:rPr>
                <w:rFonts w:cs="Times New Roman"/>
                <w:sz w:val="24"/>
                <w:szCs w:val="24"/>
              </w:rPr>
              <w:t>和NO</w:t>
            </w:r>
            <w:r>
              <w:rPr>
                <w:rFonts w:cs="Times New Roman"/>
                <w:sz w:val="24"/>
                <w:szCs w:val="24"/>
                <w:vertAlign w:val="subscript"/>
              </w:rPr>
              <w:t>X</w:t>
            </w:r>
            <w:r>
              <w:rPr>
                <w:rFonts w:cs="Times New Roman"/>
                <w:sz w:val="24"/>
                <w:szCs w:val="24"/>
              </w:rPr>
              <w:t>，本项目天然气用量为115.5万</w:t>
            </w:r>
            <w:r>
              <w:rPr>
                <w:rFonts w:cs="Times New Roman"/>
                <w:bCs/>
                <w:sz w:val="24"/>
                <w:szCs w:val="24"/>
              </w:rPr>
              <w:t>m</w:t>
            </w:r>
            <w:r>
              <w:rPr>
                <w:rFonts w:cs="Times New Roman"/>
                <w:bCs/>
                <w:sz w:val="24"/>
                <w:szCs w:val="24"/>
                <w:vertAlign w:val="superscript"/>
              </w:rPr>
              <w:t>3</w:t>
            </w:r>
            <w:r>
              <w:rPr>
                <w:rFonts w:cs="Times New Roman"/>
                <w:sz w:val="24"/>
                <w:szCs w:val="24"/>
              </w:rPr>
              <w:t>/a，项目运行时间为7920h。</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sz w:val="24"/>
                <w:szCs w:val="24"/>
              </w:rPr>
              <w:t>根据《排放源统计调查产排污核算方法和系数手册》工业行业产排污系数手册中4430 工业锅炉（热力生产和供应行业）产排污系数表-燃气工业锅炉的排污系数表以及经验系数可知燃烧天然气情况下污染物产排污系数</w:t>
            </w:r>
            <w:r>
              <w:rPr>
                <w:rFonts w:hint="eastAsia" w:cs="Times New Roman"/>
                <w:sz w:val="24"/>
                <w:szCs w:val="24"/>
              </w:rPr>
              <w:t>见表4-1；</w:t>
            </w:r>
            <w:r>
              <w:rPr>
                <w:rFonts w:hint="eastAsia" w:cs="Times New Roman"/>
                <w:color w:val="000000" w:themeColor="text1"/>
                <w:sz w:val="24"/>
                <w:szCs w:val="24"/>
                <w14:textFill>
                  <w14:solidFill>
                    <w14:schemeClr w14:val="tx1"/>
                  </w14:solidFill>
                </w14:textFill>
              </w:rPr>
              <w:t>烟尘</w:t>
            </w:r>
            <w:r>
              <w:rPr>
                <w:rFonts w:cs="Times New Roman"/>
                <w:color w:val="000000" w:themeColor="text1"/>
                <w:sz w:val="24"/>
                <w:szCs w:val="24"/>
                <w14:textFill>
                  <w14:solidFill>
                    <w14:schemeClr w14:val="tx1"/>
                  </w14:solidFill>
                </w14:textFill>
              </w:rPr>
              <w:t>产污系数参照《环境影响评价工程师职业资格登记培训教材社会区域类》（中国环境科学出版社出版）中天然气产污系数中烟尘产污系数</w:t>
            </w:r>
            <w:r>
              <w:rPr>
                <w:rFonts w:hint="eastAsia" w:cs="Times New Roman"/>
                <w:color w:val="000000" w:themeColor="text1"/>
                <w:sz w:val="24"/>
                <w:szCs w:val="24"/>
                <w14:textFill>
                  <w14:solidFill>
                    <w14:schemeClr w14:val="tx1"/>
                  </w14:solidFill>
                </w14:textFill>
              </w:rPr>
              <w:t>。</w:t>
            </w:r>
          </w:p>
          <w:p>
            <w:pPr>
              <w:spacing w:line="360" w:lineRule="auto"/>
              <w:jc w:val="center"/>
              <w:rPr>
                <w:rFonts w:cs="Times New Roman"/>
                <w:b/>
                <w:sz w:val="24"/>
                <w:szCs w:val="24"/>
              </w:rPr>
            </w:pPr>
            <w:r>
              <w:rPr>
                <w:rFonts w:cs="Times New Roman"/>
                <w:b/>
                <w:sz w:val="24"/>
                <w:szCs w:val="24"/>
              </w:rPr>
              <w:t>表4-1  天然气燃烧污染物产生系数</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2799"/>
              <w:gridCol w:w="2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污染物指标</w:t>
                  </w:r>
                </w:p>
              </w:tc>
              <w:tc>
                <w:tcPr>
                  <w:tcW w:w="166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单位</w:t>
                  </w:r>
                </w:p>
              </w:tc>
              <w:tc>
                <w:tcPr>
                  <w:tcW w:w="1686"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废气量</w:t>
                  </w:r>
                </w:p>
              </w:tc>
              <w:tc>
                <w:tcPr>
                  <w:tcW w:w="1661" w:type="pct"/>
                  <w:vAlign w:val="center"/>
                </w:tcPr>
                <w:p>
                  <w:pPr>
                    <w:autoSpaceDE w:val="0"/>
                    <w:autoSpaceDN w:val="0"/>
                    <w:adjustRightInd w:val="0"/>
                    <w:snapToGrid w:val="0"/>
                    <w:jc w:val="center"/>
                    <w:rPr>
                      <w:rFonts w:cs="Times New Roman"/>
                      <w:kern w:val="0"/>
                      <w:szCs w:val="21"/>
                    </w:rPr>
                  </w:pPr>
                  <w:r>
                    <w:rPr>
                      <w:rFonts w:cs="Times New Roman"/>
                      <w:bCs/>
                      <w:szCs w:val="21"/>
                    </w:rPr>
                    <w:t>Nm</w:t>
                  </w:r>
                  <w:r>
                    <w:rPr>
                      <w:rFonts w:cs="Times New Roman"/>
                      <w:bCs/>
                      <w:szCs w:val="21"/>
                      <w:vertAlign w:val="superscript"/>
                    </w:rPr>
                    <w:t>3</w:t>
                  </w:r>
                  <w:r>
                    <w:rPr>
                      <w:rFonts w:cs="Times New Roman"/>
                      <w:bCs/>
                      <w:szCs w:val="21"/>
                    </w:rPr>
                    <w:t>/万m</w:t>
                  </w:r>
                  <w:r>
                    <w:rPr>
                      <w:rFonts w:cs="Times New Roman"/>
                      <w:bCs/>
                      <w:szCs w:val="21"/>
                      <w:vertAlign w:val="superscript"/>
                    </w:rPr>
                    <w:t>3</w:t>
                  </w:r>
                  <w:r>
                    <w:rPr>
                      <w:rFonts w:cs="Times New Roman"/>
                      <w:bCs/>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107753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二氧化硫</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kern w:val="0"/>
                      <w:szCs w:val="21"/>
                    </w:rPr>
                    <w:t>0.02S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氮氧化物</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15.87</w:t>
                  </w:r>
                  <w:r>
                    <w:rPr>
                      <w:rFonts w:cs="Times New Roman"/>
                      <w:kern w:val="0"/>
                      <w:szCs w:val="21"/>
                    </w:rPr>
                    <w:t>（低氮燃烧）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烟尘</w:t>
                  </w:r>
                </w:p>
              </w:tc>
              <w:tc>
                <w:tcPr>
                  <w:tcW w:w="166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kg/万m</w:t>
                  </w:r>
                  <w:r>
                    <w:rPr>
                      <w:rFonts w:cs="Times New Roman"/>
                      <w:color w:val="000000" w:themeColor="text1"/>
                      <w:kern w:val="0"/>
                      <w:szCs w:val="21"/>
                      <w:vertAlign w:val="superscript"/>
                      <w14:textFill>
                        <w14:solidFill>
                          <w14:schemeClr w14:val="tx1"/>
                        </w14:solidFill>
                      </w14:textFill>
                    </w:rPr>
                    <w:t>3</w:t>
                  </w:r>
                  <w:r>
                    <w:rPr>
                      <w:rFonts w:cs="Times New Roman"/>
                      <w:color w:val="000000" w:themeColor="text1"/>
                      <w:kern w:val="0"/>
                      <w:szCs w:val="21"/>
                      <w14:textFill>
                        <w14:solidFill>
                          <w14:schemeClr w14:val="tx1"/>
                        </w14:solidFill>
                      </w14:textFill>
                    </w:rPr>
                    <w:t>-原料</w:t>
                  </w:r>
                </w:p>
              </w:tc>
              <w:tc>
                <w:tcPr>
                  <w:tcW w:w="1686"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53"/>
                    <w:spacing w:line="240" w:lineRule="auto"/>
                    <w:ind w:firstLine="360"/>
                    <w:rPr>
                      <w:rFonts w:ascii="Times New Roman" w:hAnsi="Times New Roman"/>
                      <w:kern w:val="0"/>
                      <w:sz w:val="21"/>
                      <w:szCs w:val="21"/>
                    </w:rPr>
                  </w:pPr>
                  <w:r>
                    <w:rPr>
                      <w:rFonts w:ascii="Times New Roman" w:hAnsi="Times New Roman"/>
                      <w:sz w:val="18"/>
                      <w:szCs w:val="18"/>
                    </w:rPr>
                    <w:t>注：二氧化硫的产排污系数是以含硫量（S）的形式表示的，其中含硫量（S）是指燃气收到基硫分含量，单位为mg/m</w:t>
                  </w:r>
                  <w:r>
                    <w:rPr>
                      <w:rFonts w:ascii="Times New Roman" w:hAnsi="Times New Roman"/>
                      <w:sz w:val="18"/>
                      <w:szCs w:val="18"/>
                      <w:vertAlign w:val="superscript"/>
                    </w:rPr>
                    <w:t>3</w:t>
                  </w:r>
                  <w:r>
                    <w:rPr>
                      <w:rFonts w:ascii="Times New Roman" w:hAnsi="Times New Roman"/>
                      <w:sz w:val="18"/>
                      <w:szCs w:val="18"/>
                    </w:rPr>
                    <w:t>，根据《国家天然气标准》（GB17820-2018）中的规定，一类天然气技术指标中的含硫量为20mg/m</w:t>
                  </w:r>
                  <w:r>
                    <w:rPr>
                      <w:rFonts w:ascii="Times New Roman" w:hAnsi="Times New Roman"/>
                      <w:sz w:val="18"/>
                      <w:szCs w:val="18"/>
                      <w:vertAlign w:val="superscript"/>
                    </w:rPr>
                    <w:t>3</w:t>
                  </w:r>
                  <w:r>
                    <w:rPr>
                      <w:rFonts w:ascii="Times New Roman" w:hAnsi="Times New Roman"/>
                      <w:sz w:val="18"/>
                      <w:szCs w:val="18"/>
                    </w:rPr>
                    <w:t>，则本项目取值S=20</w:t>
                  </w:r>
                </w:p>
              </w:tc>
            </w:tr>
          </w:tbl>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sz w:val="24"/>
                <w:szCs w:val="24"/>
              </w:rPr>
              <w:t>根据上表产污系数，计算得废气产生量约为1244.54万</w:t>
            </w:r>
            <w:r>
              <w:rPr>
                <w:rFonts w:cs="Times New Roman"/>
                <w:bCs/>
                <w:sz w:val="24"/>
                <w:szCs w:val="24"/>
              </w:rPr>
              <w:t>m</w:t>
            </w:r>
            <w:r>
              <w:rPr>
                <w:rFonts w:cs="Times New Roman"/>
                <w:bCs/>
                <w:sz w:val="24"/>
                <w:szCs w:val="24"/>
                <w:vertAlign w:val="superscript"/>
              </w:rPr>
              <w:t>3</w:t>
            </w:r>
            <w:r>
              <w:rPr>
                <w:rFonts w:cs="Times New Roman"/>
                <w:sz w:val="24"/>
                <w:szCs w:val="24"/>
              </w:rPr>
              <w:t>、SO</w:t>
            </w:r>
            <w:r>
              <w:rPr>
                <w:rFonts w:cs="Times New Roman"/>
                <w:sz w:val="24"/>
                <w:szCs w:val="24"/>
                <w:vertAlign w:val="subscript"/>
              </w:rPr>
              <w:t>2</w:t>
            </w:r>
            <w:r>
              <w:rPr>
                <w:rFonts w:cs="Times New Roman"/>
                <w:sz w:val="24"/>
                <w:szCs w:val="24"/>
              </w:rPr>
              <w:t>产生量约为0.046t/a（0.006kg/h）、氮氧化物产生量约为1.833t/a（0.231kg/h）</w:t>
            </w:r>
            <w:r>
              <w:rPr>
                <w:rFonts w:hint="eastAsia" w:cs="Times New Roman"/>
                <w:sz w:val="24"/>
                <w:szCs w:val="24"/>
              </w:rPr>
              <w:t>；</w:t>
            </w:r>
            <w:r>
              <w:rPr>
                <w:rFonts w:hint="eastAsia" w:cs="Times New Roman"/>
                <w:color w:val="000000" w:themeColor="text1"/>
                <w:sz w:val="24"/>
                <w:szCs w:val="24"/>
                <w14:textFill>
                  <w14:solidFill>
                    <w14:schemeClr w14:val="tx1"/>
                  </w14:solidFill>
                </w14:textFill>
              </w:rPr>
              <w:t>烟尘</w:t>
            </w:r>
            <w:r>
              <w:rPr>
                <w:rFonts w:cs="Times New Roman"/>
                <w:color w:val="000000" w:themeColor="text1"/>
                <w:sz w:val="24"/>
                <w:szCs w:val="24"/>
                <w14:textFill>
                  <w14:solidFill>
                    <w14:schemeClr w14:val="tx1"/>
                  </w14:solidFill>
                </w14:textFill>
              </w:rPr>
              <w:t>产生量约为</w:t>
            </w:r>
            <w:r>
              <w:rPr>
                <w:rFonts w:hint="eastAsia" w:cs="Times New Roman"/>
                <w:color w:val="000000" w:themeColor="text1"/>
                <w:sz w:val="24"/>
                <w:szCs w:val="24"/>
                <w14:textFill>
                  <w14:solidFill>
                    <w14:schemeClr w14:val="tx1"/>
                  </w14:solidFill>
                </w14:textFill>
              </w:rPr>
              <w:t>0.162</w:t>
            </w:r>
            <w:r>
              <w:rPr>
                <w:rFonts w:cs="Times New Roman"/>
                <w:color w:val="000000" w:themeColor="text1"/>
                <w:sz w:val="24"/>
                <w:szCs w:val="24"/>
                <w14:textFill>
                  <w14:solidFill>
                    <w14:schemeClr w14:val="tx1"/>
                  </w14:solidFill>
                </w14:textFill>
              </w:rPr>
              <w:t>t/a（</w:t>
            </w:r>
            <w:r>
              <w:rPr>
                <w:rFonts w:hint="eastAsia" w:cs="Times New Roman"/>
                <w:color w:val="000000" w:themeColor="text1"/>
                <w:sz w:val="24"/>
                <w:szCs w:val="24"/>
                <w14:textFill>
                  <w14:solidFill>
                    <w14:schemeClr w14:val="tx1"/>
                  </w14:solidFill>
                </w14:textFill>
              </w:rPr>
              <w:t>0.020</w:t>
            </w:r>
            <w:r>
              <w:rPr>
                <w:rFonts w:cs="Times New Roman"/>
                <w:color w:val="000000" w:themeColor="text1"/>
                <w:sz w:val="24"/>
                <w:szCs w:val="24"/>
                <w14:textFill>
                  <w14:solidFill>
                    <w14:schemeClr w14:val="tx1"/>
                  </w14:solidFill>
                </w14:textFill>
              </w:rPr>
              <w:t>kg/h）。</w:t>
            </w:r>
          </w:p>
          <w:p>
            <w:pPr>
              <w:spacing w:line="360" w:lineRule="auto"/>
              <w:ind w:firstLine="482" w:firstLineChars="200"/>
              <w:rPr>
                <w:rFonts w:cs="Times New Roman"/>
                <w:b/>
                <w:bCs/>
                <w:sz w:val="24"/>
                <w:szCs w:val="24"/>
              </w:rPr>
            </w:pPr>
            <w:r>
              <w:rPr>
                <w:rFonts w:cs="Times New Roman"/>
                <w:b/>
                <w:bCs/>
                <w:sz w:val="24"/>
                <w:szCs w:val="24"/>
              </w:rPr>
              <w:t>3）食堂油烟</w:t>
            </w:r>
          </w:p>
          <w:p>
            <w:pPr>
              <w:spacing w:line="360" w:lineRule="auto"/>
              <w:ind w:firstLine="480" w:firstLineChars="200"/>
              <w:rPr>
                <w:rFonts w:cs="Times New Roman"/>
                <w:sz w:val="24"/>
                <w:szCs w:val="24"/>
              </w:rPr>
            </w:pPr>
            <w:r>
              <w:rPr>
                <w:rFonts w:cs="Times New Roman"/>
                <w:bCs/>
                <w:sz w:val="24"/>
                <w:szCs w:val="24"/>
              </w:rPr>
              <w:t>项目提供员工食堂供工作人员就餐，项目食堂就餐人数为10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0.0085kg/d，0.0028t/a（0.0064kg/h）。（以330d</w:t>
            </w:r>
            <w:r>
              <w:rPr>
                <w:rFonts w:cs="Times New Roman"/>
                <w:sz w:val="24"/>
                <w:szCs w:val="24"/>
              </w:rPr>
              <w:t>，</w:t>
            </w:r>
            <w:r>
              <w:rPr>
                <w:rFonts w:cs="Times New Roman"/>
                <w:bCs/>
                <w:sz w:val="24"/>
                <w:szCs w:val="24"/>
              </w:rPr>
              <w:t>4h计）</w:t>
            </w:r>
          </w:p>
          <w:p>
            <w:pPr>
              <w:spacing w:line="360" w:lineRule="auto"/>
              <w:ind w:firstLine="480" w:firstLineChars="200"/>
              <w:rPr>
                <w:rFonts w:cs="Times New Roman"/>
                <w:sz w:val="24"/>
                <w:szCs w:val="24"/>
              </w:rPr>
            </w:pPr>
            <w:r>
              <w:rPr>
                <w:rFonts w:cs="Times New Roman"/>
                <w:sz w:val="24"/>
                <w:szCs w:val="24"/>
              </w:rPr>
              <w:t>综上所述，项目废气产排污环节、污染物种类及产生量见下表：</w:t>
            </w:r>
          </w:p>
          <w:p>
            <w:pPr>
              <w:spacing w:line="360" w:lineRule="auto"/>
              <w:jc w:val="center"/>
              <w:rPr>
                <w:rFonts w:cs="Times New Roman"/>
                <w:b/>
                <w:sz w:val="24"/>
                <w:szCs w:val="24"/>
              </w:rPr>
            </w:pPr>
            <w:r>
              <w:rPr>
                <w:rFonts w:cs="Times New Roman"/>
                <w:b/>
                <w:sz w:val="24"/>
                <w:szCs w:val="24"/>
              </w:rPr>
              <w:t>表4-2  废气产排污环节、污染物种类及产生量表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014"/>
              <w:gridCol w:w="1398"/>
              <w:gridCol w:w="1703"/>
              <w:gridCol w:w="1081"/>
              <w:gridCol w:w="1130"/>
              <w:gridCol w:w="1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tcBorders>
                    <w:tl2br w:val="nil"/>
                    <w:tr2bl w:val="nil"/>
                  </w:tcBorders>
                  <w:vAlign w:val="center"/>
                </w:tcPr>
                <w:p>
                  <w:pPr>
                    <w:jc w:val="center"/>
                    <w:rPr>
                      <w:rFonts w:cs="Times New Roman"/>
                      <w:b/>
                      <w:bCs/>
                      <w:szCs w:val="21"/>
                    </w:rPr>
                  </w:pPr>
                  <w:r>
                    <w:rPr>
                      <w:rFonts w:cs="Times New Roman"/>
                      <w:b/>
                      <w:bCs/>
                      <w:szCs w:val="21"/>
                    </w:rPr>
                    <w:t>生产单元</w:t>
                  </w:r>
                </w:p>
              </w:tc>
              <w:tc>
                <w:tcPr>
                  <w:tcW w:w="601" w:type="pct"/>
                  <w:vMerge w:val="restart"/>
                  <w:tcBorders>
                    <w:tl2br w:val="nil"/>
                    <w:tr2bl w:val="nil"/>
                  </w:tcBorders>
                  <w:vAlign w:val="center"/>
                </w:tcPr>
                <w:p>
                  <w:pPr>
                    <w:jc w:val="center"/>
                    <w:rPr>
                      <w:rFonts w:cs="Times New Roman"/>
                      <w:b/>
                      <w:bCs/>
                      <w:szCs w:val="21"/>
                    </w:rPr>
                  </w:pPr>
                  <w:r>
                    <w:rPr>
                      <w:rFonts w:cs="Times New Roman"/>
                      <w:b/>
                      <w:bCs/>
                      <w:szCs w:val="21"/>
                    </w:rPr>
                    <w:t>主要生产工艺</w:t>
                  </w:r>
                </w:p>
              </w:tc>
              <w:tc>
                <w:tcPr>
                  <w:tcW w:w="829" w:type="pct"/>
                  <w:vMerge w:val="restart"/>
                  <w:tcBorders>
                    <w:tl2br w:val="nil"/>
                    <w:tr2bl w:val="nil"/>
                  </w:tcBorders>
                  <w:vAlign w:val="center"/>
                </w:tcPr>
                <w:p>
                  <w:pPr>
                    <w:jc w:val="center"/>
                    <w:rPr>
                      <w:rFonts w:cs="Times New Roman"/>
                      <w:b/>
                      <w:bCs/>
                      <w:szCs w:val="21"/>
                    </w:rPr>
                  </w:pPr>
                  <w:r>
                    <w:rPr>
                      <w:rFonts w:cs="Times New Roman"/>
                      <w:b/>
                      <w:bCs/>
                      <w:szCs w:val="21"/>
                    </w:rPr>
                    <w:t>废气产污环节</w:t>
                  </w:r>
                </w:p>
              </w:tc>
              <w:tc>
                <w:tcPr>
                  <w:tcW w:w="1010" w:type="pct"/>
                  <w:vMerge w:val="restart"/>
                  <w:tcBorders>
                    <w:tl2br w:val="nil"/>
                    <w:tr2bl w:val="nil"/>
                  </w:tcBorders>
                  <w:vAlign w:val="center"/>
                </w:tcPr>
                <w:p>
                  <w:pPr>
                    <w:jc w:val="center"/>
                    <w:rPr>
                      <w:rFonts w:cs="Times New Roman"/>
                      <w:b/>
                      <w:bCs/>
                      <w:szCs w:val="21"/>
                    </w:rPr>
                  </w:pPr>
                  <w:r>
                    <w:rPr>
                      <w:rFonts w:cs="Times New Roman"/>
                      <w:b/>
                      <w:bCs/>
                      <w:szCs w:val="21"/>
                    </w:rPr>
                    <w:t>废气类别</w:t>
                  </w:r>
                </w:p>
              </w:tc>
              <w:tc>
                <w:tcPr>
                  <w:tcW w:w="641"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395" w:type="pct"/>
                  <w:gridSpan w:val="2"/>
                  <w:tcBorders>
                    <w:tl2br w:val="nil"/>
                    <w:tr2bl w:val="nil"/>
                  </w:tcBorders>
                  <w:vAlign w:val="center"/>
                </w:tcPr>
                <w:p>
                  <w:pPr>
                    <w:jc w:val="center"/>
                    <w:rPr>
                      <w:rFonts w:cs="Times New Roman"/>
                      <w:b/>
                      <w:bCs/>
                      <w:szCs w:val="21"/>
                    </w:rPr>
                  </w:pPr>
                  <w:r>
                    <w:rPr>
                      <w:rFonts w:cs="Times New Roman"/>
                      <w:b/>
                      <w:bCs/>
                      <w:szCs w:val="21"/>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b/>
                      <w:bCs/>
                      <w:szCs w:val="21"/>
                    </w:rPr>
                  </w:pPr>
                </w:p>
              </w:tc>
              <w:tc>
                <w:tcPr>
                  <w:tcW w:w="601" w:type="pct"/>
                  <w:vMerge w:val="continue"/>
                  <w:tcBorders>
                    <w:tl2br w:val="nil"/>
                    <w:tr2bl w:val="nil"/>
                  </w:tcBorders>
                  <w:vAlign w:val="center"/>
                </w:tcPr>
                <w:p>
                  <w:pPr>
                    <w:jc w:val="center"/>
                    <w:rPr>
                      <w:rFonts w:cs="Times New Roman"/>
                      <w:b/>
                      <w:bCs/>
                      <w:szCs w:val="21"/>
                    </w:rPr>
                  </w:pPr>
                </w:p>
              </w:tc>
              <w:tc>
                <w:tcPr>
                  <w:tcW w:w="829" w:type="pct"/>
                  <w:vMerge w:val="continue"/>
                  <w:tcBorders>
                    <w:tl2br w:val="nil"/>
                    <w:tr2bl w:val="nil"/>
                  </w:tcBorders>
                  <w:vAlign w:val="center"/>
                </w:tcPr>
                <w:p>
                  <w:pPr>
                    <w:jc w:val="center"/>
                    <w:rPr>
                      <w:rFonts w:cs="Times New Roman"/>
                      <w:b/>
                      <w:bCs/>
                      <w:szCs w:val="21"/>
                    </w:rPr>
                  </w:pPr>
                </w:p>
              </w:tc>
              <w:tc>
                <w:tcPr>
                  <w:tcW w:w="1010" w:type="pct"/>
                  <w:vMerge w:val="continue"/>
                  <w:tcBorders>
                    <w:tl2br w:val="nil"/>
                    <w:tr2bl w:val="nil"/>
                  </w:tcBorders>
                  <w:vAlign w:val="center"/>
                </w:tcPr>
                <w:p>
                  <w:pPr>
                    <w:jc w:val="center"/>
                    <w:rPr>
                      <w:rFonts w:cs="Times New Roman"/>
                      <w:b/>
                      <w:bCs/>
                      <w:szCs w:val="21"/>
                    </w:rPr>
                  </w:pPr>
                </w:p>
              </w:tc>
              <w:tc>
                <w:tcPr>
                  <w:tcW w:w="641" w:type="pct"/>
                  <w:vMerge w:val="continue"/>
                  <w:tcBorders>
                    <w:tl2br w:val="nil"/>
                    <w:tr2bl w:val="nil"/>
                  </w:tcBorders>
                  <w:vAlign w:val="center"/>
                </w:tcPr>
                <w:p>
                  <w:pPr>
                    <w:jc w:val="center"/>
                    <w:rPr>
                      <w:rFonts w:cs="Times New Roman"/>
                      <w:b/>
                      <w:bCs/>
                      <w:szCs w:val="21"/>
                    </w:rPr>
                  </w:pPr>
                </w:p>
              </w:tc>
              <w:tc>
                <w:tcPr>
                  <w:tcW w:w="670" w:type="pct"/>
                  <w:tcBorders>
                    <w:tl2br w:val="nil"/>
                    <w:tr2bl w:val="nil"/>
                  </w:tcBorders>
                  <w:vAlign w:val="center"/>
                </w:tcPr>
                <w:p>
                  <w:pPr>
                    <w:jc w:val="center"/>
                    <w:rPr>
                      <w:rFonts w:cs="Times New Roman"/>
                      <w:b/>
                      <w:bCs/>
                      <w:szCs w:val="21"/>
                    </w:rPr>
                  </w:pPr>
                  <w:r>
                    <w:rPr>
                      <w:rFonts w:cs="Times New Roman"/>
                      <w:b/>
                      <w:bCs/>
                      <w:szCs w:val="21"/>
                    </w:rPr>
                    <w:t>t/a</w:t>
                  </w:r>
                </w:p>
              </w:tc>
              <w:tc>
                <w:tcPr>
                  <w:tcW w:w="724" w:type="pct"/>
                  <w:tcBorders>
                    <w:tl2br w:val="nil"/>
                    <w:tr2bl w:val="nil"/>
                  </w:tcBorders>
                  <w:vAlign w:val="center"/>
                </w:tcPr>
                <w:p>
                  <w:pPr>
                    <w:jc w:val="center"/>
                    <w:rPr>
                      <w:rFonts w:cs="Times New Roman"/>
                      <w:b/>
                      <w:bCs/>
                      <w:szCs w:val="21"/>
                    </w:rPr>
                  </w:pPr>
                  <w:r>
                    <w:rPr>
                      <w:rFonts w:cs="Times New Roman"/>
                      <w:b/>
                      <w:bCs/>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tcBorders>
                    <w:tl2br w:val="nil"/>
                    <w:tr2bl w:val="nil"/>
                  </w:tcBorders>
                  <w:vAlign w:val="center"/>
                </w:tcPr>
                <w:p>
                  <w:pPr>
                    <w:jc w:val="center"/>
                    <w:rPr>
                      <w:rFonts w:cs="Times New Roman"/>
                      <w:szCs w:val="21"/>
                    </w:rPr>
                  </w:pPr>
                  <w:r>
                    <w:rPr>
                      <w:rFonts w:cs="Times New Roman"/>
                      <w:szCs w:val="21"/>
                    </w:rPr>
                    <w:t>本项目</w:t>
                  </w:r>
                </w:p>
              </w:tc>
              <w:tc>
                <w:tcPr>
                  <w:tcW w:w="601"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829"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1010" w:type="pct"/>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641" w:type="pct"/>
                  <w:tcBorders>
                    <w:tl2br w:val="nil"/>
                    <w:tr2bl w:val="nil"/>
                  </w:tcBorders>
                  <w:vAlign w:val="center"/>
                </w:tcPr>
                <w:p>
                  <w:pPr>
                    <w:jc w:val="center"/>
                    <w:rPr>
                      <w:rFonts w:cs="Times New Roman"/>
                      <w:szCs w:val="21"/>
                    </w:rPr>
                  </w:pPr>
                  <w:r>
                    <w:rPr>
                      <w:rFonts w:cs="Times New Roman"/>
                      <w:szCs w:val="21"/>
                    </w:rPr>
                    <w:t>甲醛</w:t>
                  </w:r>
                </w:p>
              </w:tc>
              <w:tc>
                <w:tcPr>
                  <w:tcW w:w="670" w:type="pct"/>
                  <w:tcBorders>
                    <w:tl2br w:val="nil"/>
                    <w:tr2bl w:val="nil"/>
                  </w:tcBorders>
                  <w:vAlign w:val="center"/>
                </w:tcPr>
                <w:p>
                  <w:pPr>
                    <w:jc w:val="center"/>
                    <w:rPr>
                      <w:rFonts w:cs="Times New Roman"/>
                      <w:szCs w:val="21"/>
                    </w:rPr>
                  </w:pPr>
                  <w:r>
                    <w:rPr>
                      <w:rFonts w:cs="Times New Roman"/>
                      <w:szCs w:val="21"/>
                    </w:rPr>
                    <w:t>2.535</w:t>
                  </w:r>
                </w:p>
              </w:tc>
              <w:tc>
                <w:tcPr>
                  <w:tcW w:w="724" w:type="pct"/>
                  <w:tcBorders>
                    <w:tl2br w:val="nil"/>
                    <w:tr2bl w:val="nil"/>
                  </w:tcBorders>
                  <w:vAlign w:val="center"/>
                </w:tcPr>
                <w:p>
                  <w:pPr>
                    <w:jc w:val="center"/>
                    <w:rPr>
                      <w:rFonts w:cs="Times New Roman"/>
                      <w:szCs w:val="21"/>
                    </w:rPr>
                  </w:pPr>
                  <w:r>
                    <w:rPr>
                      <w:rFonts w:cs="Times New Roman"/>
                      <w:szCs w:val="21"/>
                    </w:rPr>
                    <w:t>0.320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VOCs</w:t>
                  </w:r>
                </w:p>
              </w:tc>
              <w:tc>
                <w:tcPr>
                  <w:tcW w:w="670" w:type="pct"/>
                  <w:tcBorders>
                    <w:tl2br w:val="nil"/>
                    <w:tr2bl w:val="nil"/>
                  </w:tcBorders>
                  <w:vAlign w:val="center"/>
                </w:tcPr>
                <w:p>
                  <w:pPr>
                    <w:jc w:val="center"/>
                    <w:rPr>
                      <w:rFonts w:cs="Times New Roman"/>
                      <w:szCs w:val="21"/>
                    </w:rPr>
                  </w:pPr>
                  <w:r>
                    <w:rPr>
                      <w:rFonts w:cs="Times New Roman"/>
                      <w:szCs w:val="21"/>
                    </w:rPr>
                    <w:t>0.034</w:t>
                  </w:r>
                </w:p>
              </w:tc>
              <w:tc>
                <w:tcPr>
                  <w:tcW w:w="724" w:type="pct"/>
                  <w:tcBorders>
                    <w:tl2br w:val="nil"/>
                    <w:tr2bl w:val="nil"/>
                  </w:tcBorders>
                  <w:vAlign w:val="center"/>
                </w:tcPr>
                <w:p>
                  <w:pPr>
                    <w:jc w:val="center"/>
                    <w:rPr>
                      <w:rFonts w:cs="Times New Roman"/>
                      <w:szCs w:val="21"/>
                    </w:rPr>
                  </w:pPr>
                  <w:r>
                    <w:rPr>
                      <w:rFonts w:cs="Times New Roman"/>
                      <w:szCs w:val="21"/>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氨</w:t>
                  </w:r>
                </w:p>
              </w:tc>
              <w:tc>
                <w:tcPr>
                  <w:tcW w:w="670" w:type="pct"/>
                  <w:tcBorders>
                    <w:tl2br w:val="nil"/>
                    <w:tr2bl w:val="nil"/>
                  </w:tcBorders>
                  <w:vAlign w:val="center"/>
                </w:tcPr>
                <w:p>
                  <w:pPr>
                    <w:jc w:val="center"/>
                    <w:rPr>
                      <w:rFonts w:cs="Times New Roman"/>
                      <w:szCs w:val="21"/>
                    </w:rPr>
                  </w:pPr>
                  <w:r>
                    <w:rPr>
                      <w:rFonts w:cs="Times New Roman"/>
                      <w:szCs w:val="21"/>
                    </w:rPr>
                    <w:t>0.085</w:t>
                  </w:r>
                </w:p>
              </w:tc>
              <w:tc>
                <w:tcPr>
                  <w:tcW w:w="724" w:type="pct"/>
                  <w:tcBorders>
                    <w:tl2br w:val="nil"/>
                    <w:tr2bl w:val="nil"/>
                  </w:tcBorders>
                  <w:vAlign w:val="center"/>
                </w:tcPr>
                <w:p>
                  <w:pPr>
                    <w:jc w:val="center"/>
                    <w:rPr>
                      <w:rFonts w:cs="Times New Roman"/>
                      <w:szCs w:val="21"/>
                    </w:rPr>
                  </w:pPr>
                  <w:r>
                    <w:rPr>
                      <w:rFonts w:cs="Times New Roman"/>
                      <w:szCs w:val="21"/>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22" w:type="pct"/>
                  <w:vMerge w:val="continue"/>
                  <w:tcBorders>
                    <w:tl2br w:val="nil"/>
                    <w:tr2bl w:val="nil"/>
                  </w:tcBorders>
                  <w:vAlign w:val="center"/>
                </w:tcPr>
                <w:p>
                  <w:pPr>
                    <w:jc w:val="center"/>
                    <w:rPr>
                      <w:rFonts w:cs="Times New Roman"/>
                      <w:szCs w:val="21"/>
                    </w:rPr>
                  </w:pPr>
                </w:p>
              </w:tc>
              <w:tc>
                <w:tcPr>
                  <w:tcW w:w="601" w:type="pct"/>
                  <w:vMerge w:val="restart"/>
                  <w:tcBorders>
                    <w:tl2br w:val="nil"/>
                    <w:tr2bl w:val="nil"/>
                  </w:tcBorders>
                  <w:vAlign w:val="center"/>
                </w:tcPr>
                <w:p>
                  <w:pPr>
                    <w:jc w:val="center"/>
                    <w:rPr>
                      <w:rFonts w:cs="Times New Roman"/>
                      <w:szCs w:val="21"/>
                    </w:rPr>
                  </w:pPr>
                  <w:r>
                    <w:rPr>
                      <w:rFonts w:cs="Times New Roman"/>
                      <w:szCs w:val="21"/>
                    </w:rPr>
                    <w:t>烘干</w:t>
                  </w:r>
                </w:p>
              </w:tc>
              <w:tc>
                <w:tcPr>
                  <w:tcW w:w="829" w:type="pct"/>
                  <w:vMerge w:val="restart"/>
                  <w:tcBorders>
                    <w:tl2br w:val="nil"/>
                    <w:tr2bl w:val="nil"/>
                  </w:tcBorders>
                  <w:vAlign w:val="center"/>
                </w:tcPr>
                <w:p>
                  <w:pPr>
                    <w:jc w:val="center"/>
                    <w:rPr>
                      <w:rFonts w:cs="Times New Roman"/>
                      <w:szCs w:val="21"/>
                    </w:rPr>
                  </w:pPr>
                  <w:r>
                    <w:rPr>
                      <w:rFonts w:cs="Times New Roman"/>
                      <w:szCs w:val="21"/>
                    </w:rPr>
                    <w:t>天然气燃烧</w:t>
                  </w:r>
                </w:p>
              </w:tc>
              <w:tc>
                <w:tcPr>
                  <w:tcW w:w="1010" w:type="pct"/>
                  <w:vMerge w:val="restart"/>
                  <w:tcBorders>
                    <w:tl2br w:val="nil"/>
                    <w:tr2bl w:val="nil"/>
                  </w:tcBorders>
                  <w:vAlign w:val="center"/>
                </w:tcPr>
                <w:p>
                  <w:pPr>
                    <w:jc w:val="center"/>
                    <w:rPr>
                      <w:rFonts w:cs="Times New Roman"/>
                      <w:szCs w:val="21"/>
                    </w:rPr>
                  </w:pPr>
                  <w:r>
                    <w:rPr>
                      <w:rFonts w:cs="Times New Roman"/>
                      <w:szCs w:val="21"/>
                    </w:rPr>
                    <w:t>天然气燃烧废气</w:t>
                  </w:r>
                </w:p>
              </w:tc>
              <w:tc>
                <w:tcPr>
                  <w:tcW w:w="641" w:type="pc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670" w:type="pct"/>
                  <w:tcBorders>
                    <w:tl2br w:val="nil"/>
                    <w:tr2bl w:val="nil"/>
                  </w:tcBorders>
                  <w:vAlign w:val="center"/>
                </w:tcPr>
                <w:p>
                  <w:pPr>
                    <w:jc w:val="center"/>
                    <w:rPr>
                      <w:rFonts w:cs="Times New Roman"/>
                      <w:szCs w:val="21"/>
                    </w:rPr>
                  </w:pPr>
                  <w:r>
                    <w:rPr>
                      <w:rFonts w:cs="Times New Roman"/>
                      <w:szCs w:val="21"/>
                    </w:rPr>
                    <w:t>0.046</w:t>
                  </w:r>
                </w:p>
              </w:tc>
              <w:tc>
                <w:tcPr>
                  <w:tcW w:w="724" w:type="pct"/>
                  <w:tcBorders>
                    <w:tl2br w:val="nil"/>
                    <w:tr2bl w:val="nil"/>
                  </w:tcBorders>
                  <w:vAlign w:val="center"/>
                </w:tcPr>
                <w:p>
                  <w:pPr>
                    <w:jc w:val="center"/>
                    <w:rPr>
                      <w:rFonts w:cs="Times New Roman"/>
                      <w:szCs w:val="21"/>
                    </w:rPr>
                  </w:pPr>
                  <w:r>
                    <w:rPr>
                      <w:rFonts w:cs="Times New Roman"/>
                      <w:szCs w:val="21"/>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NOx</w:t>
                  </w:r>
                </w:p>
              </w:tc>
              <w:tc>
                <w:tcPr>
                  <w:tcW w:w="670" w:type="pct"/>
                  <w:tcBorders>
                    <w:tl2br w:val="nil"/>
                    <w:tr2bl w:val="nil"/>
                  </w:tcBorders>
                  <w:vAlign w:val="center"/>
                </w:tcPr>
                <w:p>
                  <w:pPr>
                    <w:jc w:val="center"/>
                    <w:rPr>
                      <w:rFonts w:cs="Times New Roman"/>
                      <w:szCs w:val="21"/>
                    </w:rPr>
                  </w:pPr>
                  <w:r>
                    <w:rPr>
                      <w:rFonts w:cs="Times New Roman"/>
                      <w:szCs w:val="21"/>
                    </w:rPr>
                    <w:t>1.833</w:t>
                  </w:r>
                </w:p>
              </w:tc>
              <w:tc>
                <w:tcPr>
                  <w:tcW w:w="724" w:type="pct"/>
                  <w:tcBorders>
                    <w:tl2br w:val="nil"/>
                    <w:tr2bl w:val="nil"/>
                  </w:tcBorders>
                  <w:vAlign w:val="center"/>
                </w:tcPr>
                <w:p>
                  <w:pPr>
                    <w:jc w:val="center"/>
                    <w:rPr>
                      <w:rFonts w:cs="Times New Roman"/>
                      <w:szCs w:val="21"/>
                    </w:rPr>
                  </w:pPr>
                  <w:r>
                    <w:rPr>
                      <w:rFonts w:cs="Times New Roman"/>
                      <w:szCs w:val="21"/>
                    </w:rPr>
                    <w:t>0.231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670"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0.162</w:t>
                  </w:r>
                </w:p>
              </w:tc>
              <w:tc>
                <w:tcPr>
                  <w:tcW w:w="724"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tcBorders>
                    <w:tl2br w:val="nil"/>
                    <w:tr2bl w:val="nil"/>
                  </w:tcBorders>
                  <w:vAlign w:val="center"/>
                </w:tcPr>
                <w:p>
                  <w:pPr>
                    <w:jc w:val="center"/>
                    <w:rPr>
                      <w:rFonts w:cs="Times New Roman"/>
                      <w:szCs w:val="21"/>
                    </w:rPr>
                  </w:pPr>
                  <w:r>
                    <w:rPr>
                      <w:rFonts w:cs="Times New Roman"/>
                      <w:szCs w:val="21"/>
                    </w:rPr>
                    <w:t>食堂</w:t>
                  </w:r>
                </w:p>
              </w:tc>
              <w:tc>
                <w:tcPr>
                  <w:tcW w:w="829" w:type="pct"/>
                  <w:tcBorders>
                    <w:tl2br w:val="nil"/>
                    <w:tr2bl w:val="nil"/>
                  </w:tcBorders>
                  <w:vAlign w:val="center"/>
                </w:tcPr>
                <w:p>
                  <w:pPr>
                    <w:jc w:val="center"/>
                    <w:rPr>
                      <w:rFonts w:cs="Times New Roman"/>
                      <w:szCs w:val="21"/>
                    </w:rPr>
                  </w:pPr>
                  <w:r>
                    <w:rPr>
                      <w:rFonts w:cs="Times New Roman"/>
                      <w:szCs w:val="21"/>
                    </w:rPr>
                    <w:t>食堂</w:t>
                  </w:r>
                </w:p>
              </w:tc>
              <w:tc>
                <w:tcPr>
                  <w:tcW w:w="1010" w:type="pct"/>
                  <w:tcBorders>
                    <w:tl2br w:val="nil"/>
                    <w:tr2bl w:val="nil"/>
                  </w:tcBorders>
                  <w:vAlign w:val="center"/>
                </w:tcPr>
                <w:p>
                  <w:pPr>
                    <w:jc w:val="center"/>
                    <w:rPr>
                      <w:rFonts w:cs="Times New Roman"/>
                      <w:szCs w:val="21"/>
                    </w:rPr>
                  </w:pPr>
                  <w:r>
                    <w:rPr>
                      <w:rFonts w:cs="Times New Roman"/>
                      <w:szCs w:val="21"/>
                    </w:rPr>
                    <w:t>食堂油烟</w:t>
                  </w:r>
                </w:p>
              </w:tc>
              <w:tc>
                <w:tcPr>
                  <w:tcW w:w="641" w:type="pct"/>
                  <w:tcBorders>
                    <w:tl2br w:val="nil"/>
                    <w:tr2bl w:val="nil"/>
                  </w:tcBorders>
                  <w:vAlign w:val="center"/>
                </w:tcPr>
                <w:p>
                  <w:pPr>
                    <w:jc w:val="center"/>
                    <w:rPr>
                      <w:rFonts w:cs="Times New Roman"/>
                      <w:szCs w:val="21"/>
                    </w:rPr>
                  </w:pPr>
                  <w:r>
                    <w:rPr>
                      <w:rFonts w:cs="Times New Roman"/>
                      <w:szCs w:val="21"/>
                    </w:rPr>
                    <w:t>油烟</w:t>
                  </w:r>
                </w:p>
              </w:tc>
              <w:tc>
                <w:tcPr>
                  <w:tcW w:w="670" w:type="pct"/>
                  <w:tcBorders>
                    <w:tl2br w:val="nil"/>
                    <w:tr2bl w:val="nil"/>
                  </w:tcBorders>
                  <w:vAlign w:val="center"/>
                </w:tcPr>
                <w:p>
                  <w:pPr>
                    <w:jc w:val="center"/>
                    <w:rPr>
                      <w:rFonts w:cs="Times New Roman"/>
                      <w:szCs w:val="21"/>
                    </w:rPr>
                  </w:pPr>
                  <w:r>
                    <w:rPr>
                      <w:rFonts w:cs="Times New Roman"/>
                      <w:bCs/>
                      <w:szCs w:val="21"/>
                    </w:rPr>
                    <w:t>0.0028</w:t>
                  </w:r>
                </w:p>
              </w:tc>
              <w:tc>
                <w:tcPr>
                  <w:tcW w:w="724" w:type="pct"/>
                  <w:tcBorders>
                    <w:tl2br w:val="nil"/>
                    <w:tr2bl w:val="nil"/>
                  </w:tcBorders>
                  <w:vAlign w:val="center"/>
                </w:tcPr>
                <w:p>
                  <w:pPr>
                    <w:jc w:val="center"/>
                    <w:rPr>
                      <w:rFonts w:cs="Times New Roman"/>
                      <w:szCs w:val="21"/>
                    </w:rPr>
                  </w:pPr>
                  <w:r>
                    <w:rPr>
                      <w:rFonts w:cs="Times New Roman"/>
                      <w:szCs w:val="21"/>
                    </w:rPr>
                    <w:t>0.0064</w:t>
                  </w:r>
                </w:p>
              </w:tc>
            </w:tr>
          </w:tbl>
          <w:p>
            <w:pPr>
              <w:spacing w:line="360" w:lineRule="auto"/>
              <w:ind w:firstLine="482" w:firstLineChars="200"/>
              <w:rPr>
                <w:rFonts w:cs="Times New Roman"/>
                <w:b/>
                <w:bCs/>
                <w:sz w:val="24"/>
                <w:szCs w:val="24"/>
              </w:rPr>
            </w:pPr>
            <w:r>
              <w:rPr>
                <w:rFonts w:cs="Times New Roman"/>
                <w:b/>
                <w:bCs/>
                <w:sz w:val="24"/>
                <w:szCs w:val="24"/>
              </w:rPr>
              <w:t>②2600湿法薄毡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sz w:val="24"/>
                <w:szCs w:val="24"/>
              </w:rPr>
            </w:pPr>
            <w:r>
              <w:rPr>
                <w:rFonts w:cs="Times New Roman"/>
                <w:sz w:val="24"/>
                <w:szCs w:val="24"/>
              </w:rPr>
              <w:t>项目使用粘结剂均为水基型胶粘剂，该生产线</w:t>
            </w:r>
            <w:r>
              <w:rPr>
                <w:rFonts w:hint="eastAsia" w:cs="Times New Roman"/>
                <w:color w:val="000000" w:themeColor="text1"/>
                <w:sz w:val="24"/>
                <w:szCs w:val="24"/>
                <w:lang w:val="en-US" w:eastAsia="zh-CN"/>
                <w14:textFill>
                  <w14:solidFill>
                    <w14:schemeClr w14:val="tx1"/>
                  </w14:solidFill>
                </w14:textFill>
              </w:rPr>
              <w:t>水性功能乳液</w:t>
            </w:r>
            <w:r>
              <w:rPr>
                <w:rFonts w:cs="Times New Roman"/>
                <w:color w:val="000000" w:themeColor="text1"/>
                <w:sz w:val="24"/>
                <w:szCs w:val="24"/>
                <w14:textFill>
                  <w14:solidFill>
                    <w14:schemeClr w14:val="tx1"/>
                  </w14:solidFill>
                </w14:textFill>
              </w:rPr>
              <w:t>年用量为525t/a，脲醛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年用量为975t/a。在浸胶与烘干环节，均有废</w:t>
            </w:r>
            <w:r>
              <w:rPr>
                <w:rFonts w:cs="Times New Roman"/>
                <w:sz w:val="24"/>
                <w:szCs w:val="24"/>
              </w:rPr>
              <w:t>气产生。（330d，24h）</w:t>
            </w:r>
          </w:p>
          <w:p>
            <w:pPr>
              <w:spacing w:line="360" w:lineRule="auto"/>
              <w:ind w:firstLine="482" w:firstLineChars="200"/>
              <w:rPr>
                <w:rFonts w:cs="Times New Roman"/>
                <w:b/>
                <w:bCs/>
                <w:sz w:val="24"/>
                <w:szCs w:val="24"/>
              </w:rPr>
            </w:pPr>
            <w:r>
              <w:rPr>
                <w:rFonts w:cs="Times New Roman"/>
                <w:b/>
                <w:bCs/>
                <w:sz w:val="24"/>
                <w:szCs w:val="24"/>
              </w:rPr>
              <w:t>甲醛</w:t>
            </w:r>
          </w:p>
          <w:p>
            <w:pPr>
              <w:spacing w:line="360" w:lineRule="auto"/>
              <w:ind w:firstLine="480" w:firstLineChars="200"/>
              <w:rPr>
                <w:rFonts w:cs="Times New Roman"/>
                <w:sz w:val="24"/>
                <w:szCs w:val="24"/>
              </w:rPr>
            </w:pPr>
            <w:r>
              <w:rPr>
                <w:rFonts w:cs="Times New Roman"/>
                <w:sz w:val="24"/>
                <w:szCs w:val="24"/>
              </w:rPr>
              <w:t>该生产线使用</w:t>
            </w:r>
            <w:r>
              <w:rPr>
                <w:rFonts w:cs="Times New Roman"/>
                <w:color w:val="000000" w:themeColor="text1"/>
                <w:sz w:val="24"/>
                <w:szCs w:val="24"/>
                <w14:textFill>
                  <w14:solidFill>
                    <w14:schemeClr w14:val="tx1"/>
                  </w14:solidFill>
                </w14:textFill>
              </w:rPr>
              <w:t>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用量为975t/a，根据企业提供成分可知，项目使用的脲醛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中游离甲醛的含量≤0.3%，按最不利情况游离甲醛完全挥发，按0.3%计算</w:t>
            </w:r>
            <w:r>
              <w:rPr>
                <w:rFonts w:hint="eastAsia" w:cs="Times New Roman"/>
                <w:color w:val="000000" w:themeColor="text1"/>
                <w:sz w:val="24"/>
                <w:szCs w:val="24"/>
                <w:lang w:eastAsia="zh-CN"/>
                <w14:textFill>
                  <w14:solidFill>
                    <w14:schemeClr w14:val="tx1"/>
                  </w14:solidFill>
                </w14:textFill>
              </w:rPr>
              <w:t>，</w:t>
            </w:r>
            <w:r>
              <w:rPr>
                <w:rFonts w:cs="Times New Roman"/>
                <w:color w:val="000000" w:themeColor="text1"/>
                <w:sz w:val="24"/>
                <w:szCs w:val="24"/>
                <w14:textFill>
                  <w14:solidFill>
                    <w14:schemeClr w14:val="tx1"/>
                  </w14:solidFill>
                </w14:textFill>
              </w:rPr>
              <w:t>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中游离甲醛的年最大产生量为</w:t>
            </w:r>
            <w:r>
              <w:rPr>
                <w:rFonts w:cs="Times New Roman"/>
                <w:sz w:val="24"/>
                <w:szCs w:val="24"/>
              </w:rPr>
              <w:t>2.925t/a，产生速率为0.369kg/h。</w:t>
            </w:r>
          </w:p>
          <w:p>
            <w:pPr>
              <w:spacing w:line="360" w:lineRule="auto"/>
              <w:ind w:firstLine="482" w:firstLineChars="200"/>
              <w:rPr>
                <w:rFonts w:cs="Times New Roman"/>
                <w:b/>
                <w:bCs/>
                <w:sz w:val="24"/>
                <w:szCs w:val="24"/>
              </w:rPr>
            </w:pPr>
            <w:r>
              <w:rPr>
                <w:rFonts w:cs="Times New Roman"/>
                <w:b/>
                <w:bCs/>
                <w:sz w:val="24"/>
                <w:szCs w:val="24"/>
              </w:rPr>
              <w:t>氨</w:t>
            </w:r>
          </w:p>
          <w:p>
            <w:pPr>
              <w:spacing w:line="360" w:lineRule="auto"/>
              <w:ind w:firstLine="480" w:firstLineChars="200"/>
              <w:rPr>
                <w:rFonts w:cs="Times New Roman"/>
                <w:sz w:val="24"/>
                <w:szCs w:val="24"/>
              </w:rPr>
            </w:pPr>
            <w:r>
              <w:rPr>
                <w:rFonts w:cs="Times New Roman"/>
                <w:sz w:val="24"/>
                <w:szCs w:val="24"/>
              </w:rPr>
              <w:t>考虑脲醛树脂加热到200摄氏度以上，可能分解产生的污染物会有氨，</w:t>
            </w:r>
            <w:r>
              <w:rPr>
                <w:rFonts w:hint="eastAsia" w:cs="Times New Roman"/>
                <w:color w:val="000000" w:themeColor="text1"/>
                <w:sz w:val="24"/>
                <w:szCs w:val="24"/>
                <w14:textFill>
                  <w14:solidFill>
                    <w14:schemeClr w14:val="tx1"/>
                  </w14:solidFill>
                </w14:textFill>
              </w:rPr>
              <w:t>根据泰山玻璃纤维有限公司《湿法毡生产线扩产项目建设项目环境影响报告表》，</w:t>
            </w:r>
            <w:r>
              <w:rPr>
                <w:rFonts w:cs="Times New Roman"/>
                <w:color w:val="000000" w:themeColor="text1"/>
                <w:sz w:val="24"/>
                <w:szCs w:val="24"/>
                <w14:textFill>
                  <w14:solidFill>
                    <w14:schemeClr w14:val="tx1"/>
                  </w14:solidFill>
                </w14:textFill>
              </w:rPr>
              <w:t>产生量按照脲醛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用量的万分之一考虑，则氨的产生量为0.098t/a，产生速</w:t>
            </w:r>
            <w:r>
              <w:rPr>
                <w:rFonts w:cs="Times New Roman"/>
                <w:sz w:val="24"/>
                <w:szCs w:val="24"/>
              </w:rPr>
              <w:t>率为0.012kg/h。</w:t>
            </w:r>
          </w:p>
          <w:p>
            <w:pPr>
              <w:spacing w:line="360" w:lineRule="auto"/>
              <w:ind w:firstLine="482" w:firstLineChars="200"/>
              <w:rPr>
                <w:rFonts w:cs="Times New Roman"/>
                <w:b/>
                <w:bCs/>
                <w:sz w:val="24"/>
                <w:szCs w:val="24"/>
              </w:rPr>
            </w:pPr>
            <w:r>
              <w:rPr>
                <w:rFonts w:cs="Times New Roman"/>
                <w:b/>
                <w:bCs/>
                <w:sz w:val="24"/>
                <w:szCs w:val="24"/>
              </w:rPr>
              <w:t>VOCs</w:t>
            </w:r>
          </w:p>
          <w:p>
            <w:pPr>
              <w:spacing w:line="360" w:lineRule="auto"/>
              <w:ind w:firstLine="480" w:firstLineChars="200"/>
              <w:rPr>
                <w:rFonts w:cs="Times New Roman"/>
                <w:sz w:val="24"/>
                <w:szCs w:val="24"/>
              </w:rPr>
            </w:pPr>
            <w:r>
              <w:rPr>
                <w:rFonts w:cs="Times New Roman"/>
                <w:sz w:val="24"/>
                <w:szCs w:val="24"/>
              </w:rPr>
              <w:t>该生产线使用</w:t>
            </w:r>
            <w:r>
              <w:rPr>
                <w:rFonts w:hint="eastAsia" w:cs="Times New Roman"/>
                <w:color w:val="000000" w:themeColor="text1"/>
                <w:sz w:val="24"/>
                <w:szCs w:val="24"/>
                <w:lang w:val="en-US" w:eastAsia="zh-CN"/>
                <w14:textFill>
                  <w14:solidFill>
                    <w14:schemeClr w14:val="tx1"/>
                  </w14:solidFill>
                </w14:textFill>
              </w:rPr>
              <w:t>水性功能乳液</w:t>
            </w:r>
            <w:r>
              <w:rPr>
                <w:rFonts w:cs="Times New Roman"/>
                <w:sz w:val="24"/>
                <w:szCs w:val="24"/>
              </w:rPr>
              <w:t>用量为525t/a，根据企业提供成分可知，</w:t>
            </w:r>
            <w:r>
              <w:rPr>
                <w:rFonts w:cs="Times New Roman"/>
                <w:kern w:val="0"/>
                <w:sz w:val="24"/>
                <w:szCs w:val="24"/>
              </w:rPr>
              <w:t>VOC含量为75mg/kg（0.075g/L），</w:t>
            </w:r>
            <w:r>
              <w:rPr>
                <w:rFonts w:cs="Times New Roman"/>
                <w:sz w:val="24"/>
                <w:szCs w:val="24"/>
              </w:rPr>
              <w:t>按最不利情况完全挥发，则</w:t>
            </w:r>
            <w:r>
              <w:rPr>
                <w:rFonts w:hint="eastAsia" w:cs="Times New Roman"/>
                <w:sz w:val="24"/>
                <w:szCs w:val="24"/>
                <w:lang w:val="en-US" w:eastAsia="zh-CN"/>
              </w:rPr>
              <w:t>水性功能乳液</w:t>
            </w:r>
            <w:r>
              <w:rPr>
                <w:rFonts w:cs="Times New Roman"/>
                <w:sz w:val="24"/>
                <w:szCs w:val="24"/>
              </w:rPr>
              <w:t>中VOCs的年最大产生量为0.039t/a，产生速率为0.005kg/h。</w:t>
            </w:r>
          </w:p>
          <w:p>
            <w:pPr>
              <w:spacing w:line="360" w:lineRule="auto"/>
              <w:ind w:firstLine="482" w:firstLineChars="200"/>
              <w:rPr>
                <w:rFonts w:cs="Times New Roman"/>
                <w:b/>
                <w:bCs/>
                <w:sz w:val="24"/>
                <w:szCs w:val="24"/>
              </w:rPr>
            </w:pPr>
            <w:r>
              <w:rPr>
                <w:rFonts w:cs="Times New Roman"/>
                <w:b/>
                <w:bCs/>
                <w:sz w:val="24"/>
                <w:szCs w:val="24"/>
              </w:rPr>
              <w:t>2）烘干工序产生的天然气燃烧废气</w:t>
            </w:r>
          </w:p>
          <w:p>
            <w:pPr>
              <w:spacing w:line="360" w:lineRule="auto"/>
              <w:ind w:firstLine="480" w:firstLineChars="200"/>
              <w:rPr>
                <w:rFonts w:cs="Times New Roman"/>
                <w:sz w:val="24"/>
                <w:szCs w:val="24"/>
              </w:rPr>
            </w:pPr>
            <w:r>
              <w:rPr>
                <w:rFonts w:cs="Times New Roman"/>
                <w:sz w:val="24"/>
                <w:szCs w:val="24"/>
              </w:rPr>
              <w:t>项目烘干过程使用天然气作为燃料，天然气是一种清洁能源，废气中主要污染物为SO</w:t>
            </w:r>
            <w:r>
              <w:rPr>
                <w:rFonts w:cs="Times New Roman"/>
                <w:sz w:val="24"/>
                <w:szCs w:val="24"/>
                <w:vertAlign w:val="subscript"/>
              </w:rPr>
              <w:t>2</w:t>
            </w:r>
            <w:r>
              <w:rPr>
                <w:rFonts w:cs="Times New Roman"/>
                <w:sz w:val="24"/>
                <w:szCs w:val="24"/>
              </w:rPr>
              <w:t>和NO</w:t>
            </w:r>
            <w:r>
              <w:rPr>
                <w:rFonts w:cs="Times New Roman"/>
                <w:sz w:val="24"/>
                <w:szCs w:val="24"/>
                <w:vertAlign w:val="subscript"/>
              </w:rPr>
              <w:t>X</w:t>
            </w:r>
            <w:r>
              <w:rPr>
                <w:rFonts w:cs="Times New Roman"/>
                <w:sz w:val="24"/>
                <w:szCs w:val="24"/>
              </w:rPr>
              <w:t>，本项目天然气用量为</w:t>
            </w:r>
            <w:r>
              <w:rPr>
                <w:rFonts w:hint="eastAsia" w:cs="Times New Roman"/>
                <w:color w:val="000000" w:themeColor="text1"/>
                <w:sz w:val="24"/>
                <w:szCs w:val="24"/>
                <w:lang w:val="en-US" w:eastAsia="zh-CN"/>
                <w14:textFill>
                  <w14:solidFill>
                    <w14:schemeClr w14:val="tx1"/>
                  </w14:solidFill>
                </w14:textFill>
              </w:rPr>
              <w:t>142.5</w:t>
            </w:r>
            <w:r>
              <w:rPr>
                <w:rFonts w:cs="Times New Roman"/>
                <w:color w:val="000000" w:themeColor="text1"/>
                <w:sz w:val="24"/>
                <w:szCs w:val="24"/>
                <w14:textFill>
                  <w14:solidFill>
                    <w14:schemeClr w14:val="tx1"/>
                  </w14:solidFill>
                </w14:textFill>
              </w:rPr>
              <w:t>万</w:t>
            </w:r>
            <w:r>
              <w:rPr>
                <w:rFonts w:cs="Times New Roman"/>
                <w:bCs/>
                <w:sz w:val="24"/>
                <w:szCs w:val="24"/>
              </w:rPr>
              <w:t>m</w:t>
            </w:r>
            <w:r>
              <w:rPr>
                <w:rFonts w:cs="Times New Roman"/>
                <w:bCs/>
                <w:sz w:val="24"/>
                <w:szCs w:val="24"/>
                <w:vertAlign w:val="superscript"/>
              </w:rPr>
              <w:t>3</w:t>
            </w:r>
            <w:r>
              <w:rPr>
                <w:rFonts w:cs="Times New Roman"/>
                <w:sz w:val="24"/>
                <w:szCs w:val="24"/>
              </w:rPr>
              <w:t>/a，项目运行时间为7920h。</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sz w:val="24"/>
                <w:szCs w:val="24"/>
              </w:rPr>
              <w:t>根据《排放源统计调查产排污核算方法和系数手册》工业行业产排污系数手册中4430 工业锅炉（热力生产和供应行业）产排污系数表-燃气工业锅炉的排污系数表以及经验系数可知燃烧天然气情况下污染物产排污系数</w:t>
            </w:r>
            <w:r>
              <w:rPr>
                <w:rFonts w:hint="eastAsia" w:cs="Times New Roman"/>
                <w:sz w:val="24"/>
                <w:szCs w:val="24"/>
              </w:rPr>
              <w:t>见表4-1；</w:t>
            </w:r>
            <w:r>
              <w:rPr>
                <w:rFonts w:hint="eastAsia" w:cs="Times New Roman"/>
                <w:color w:val="000000" w:themeColor="text1"/>
                <w:sz w:val="24"/>
                <w:szCs w:val="24"/>
                <w14:textFill>
                  <w14:solidFill>
                    <w14:schemeClr w14:val="tx1"/>
                  </w14:solidFill>
                </w14:textFill>
              </w:rPr>
              <w:t>烟尘</w:t>
            </w:r>
            <w:r>
              <w:rPr>
                <w:rFonts w:cs="Times New Roman"/>
                <w:color w:val="000000" w:themeColor="text1"/>
                <w:sz w:val="24"/>
                <w:szCs w:val="24"/>
                <w14:textFill>
                  <w14:solidFill>
                    <w14:schemeClr w14:val="tx1"/>
                  </w14:solidFill>
                </w14:textFill>
              </w:rPr>
              <w:t>产污系数参照《环境影响评价工程师职业资格登记培训教材社会区域类》（中国环境科学出版社出版）中天然气产污系数中烟尘产污系数</w:t>
            </w:r>
            <w:r>
              <w:rPr>
                <w:rFonts w:hint="eastAsia" w:cs="Times New Roman"/>
                <w:color w:val="000000" w:themeColor="text1"/>
                <w:sz w:val="24"/>
                <w:szCs w:val="24"/>
                <w14:textFill>
                  <w14:solidFill>
                    <w14:schemeClr w14:val="tx1"/>
                  </w14:solidFill>
                </w14:textFill>
              </w:rPr>
              <w:t>。</w:t>
            </w:r>
          </w:p>
          <w:p>
            <w:pPr>
              <w:spacing w:line="360" w:lineRule="auto"/>
              <w:jc w:val="center"/>
              <w:rPr>
                <w:rFonts w:cs="Times New Roman"/>
                <w:b/>
                <w:sz w:val="24"/>
                <w:szCs w:val="24"/>
              </w:rPr>
            </w:pPr>
            <w:r>
              <w:rPr>
                <w:rFonts w:cs="Times New Roman"/>
                <w:b/>
                <w:sz w:val="24"/>
                <w:szCs w:val="24"/>
              </w:rPr>
              <w:t>表4-</w:t>
            </w:r>
            <w:r>
              <w:rPr>
                <w:rFonts w:hint="eastAsia" w:cs="Times New Roman"/>
                <w:b/>
                <w:sz w:val="24"/>
                <w:szCs w:val="24"/>
                <w:lang w:val="en-US" w:eastAsia="zh-CN"/>
              </w:rPr>
              <w:t>3</w:t>
            </w:r>
            <w:r>
              <w:rPr>
                <w:rFonts w:cs="Times New Roman"/>
                <w:b/>
                <w:sz w:val="24"/>
                <w:szCs w:val="24"/>
              </w:rPr>
              <w:t xml:space="preserve">  天然气燃烧污染物产生系数</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82"/>
              <w:gridCol w:w="2799"/>
              <w:gridCol w:w="28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污染物指标</w:t>
                  </w:r>
                </w:p>
              </w:tc>
              <w:tc>
                <w:tcPr>
                  <w:tcW w:w="166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单位</w:t>
                  </w:r>
                </w:p>
              </w:tc>
              <w:tc>
                <w:tcPr>
                  <w:tcW w:w="1686"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废气量</w:t>
                  </w:r>
                </w:p>
              </w:tc>
              <w:tc>
                <w:tcPr>
                  <w:tcW w:w="1661" w:type="pct"/>
                  <w:vAlign w:val="center"/>
                </w:tcPr>
                <w:p>
                  <w:pPr>
                    <w:autoSpaceDE w:val="0"/>
                    <w:autoSpaceDN w:val="0"/>
                    <w:adjustRightInd w:val="0"/>
                    <w:snapToGrid w:val="0"/>
                    <w:jc w:val="center"/>
                    <w:rPr>
                      <w:rFonts w:cs="Times New Roman"/>
                      <w:kern w:val="0"/>
                      <w:szCs w:val="21"/>
                    </w:rPr>
                  </w:pPr>
                  <w:r>
                    <w:rPr>
                      <w:rFonts w:cs="Times New Roman"/>
                      <w:bCs/>
                      <w:szCs w:val="21"/>
                    </w:rPr>
                    <w:t>Nm</w:t>
                  </w:r>
                  <w:r>
                    <w:rPr>
                      <w:rFonts w:cs="Times New Roman"/>
                      <w:bCs/>
                      <w:szCs w:val="21"/>
                      <w:vertAlign w:val="superscript"/>
                    </w:rPr>
                    <w:t>3</w:t>
                  </w:r>
                  <w:r>
                    <w:rPr>
                      <w:rFonts w:cs="Times New Roman"/>
                      <w:bCs/>
                      <w:szCs w:val="21"/>
                    </w:rPr>
                    <w:t>/万m</w:t>
                  </w:r>
                  <w:r>
                    <w:rPr>
                      <w:rFonts w:cs="Times New Roman"/>
                      <w:bCs/>
                      <w:szCs w:val="21"/>
                      <w:vertAlign w:val="superscript"/>
                    </w:rPr>
                    <w:t>3</w:t>
                  </w:r>
                  <w:r>
                    <w:rPr>
                      <w:rFonts w:cs="Times New Roman"/>
                      <w:bCs/>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107753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二氧化硫</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kern w:val="0"/>
                      <w:szCs w:val="21"/>
                    </w:rPr>
                    <w:t>0.02S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氮氧化物</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15.87</w:t>
                  </w:r>
                  <w:r>
                    <w:rPr>
                      <w:rFonts w:cs="Times New Roman"/>
                      <w:kern w:val="0"/>
                      <w:szCs w:val="21"/>
                    </w:rPr>
                    <w:t>（低氮燃烧）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烟尘</w:t>
                  </w:r>
                </w:p>
              </w:tc>
              <w:tc>
                <w:tcPr>
                  <w:tcW w:w="166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kg/万m</w:t>
                  </w:r>
                  <w:r>
                    <w:rPr>
                      <w:rFonts w:cs="Times New Roman"/>
                      <w:color w:val="000000" w:themeColor="text1"/>
                      <w:kern w:val="0"/>
                      <w:szCs w:val="21"/>
                      <w:vertAlign w:val="superscript"/>
                      <w14:textFill>
                        <w14:solidFill>
                          <w14:schemeClr w14:val="tx1"/>
                        </w14:solidFill>
                      </w14:textFill>
                    </w:rPr>
                    <w:t>3</w:t>
                  </w:r>
                  <w:r>
                    <w:rPr>
                      <w:rFonts w:cs="Times New Roman"/>
                      <w:color w:val="000000" w:themeColor="text1"/>
                      <w:kern w:val="0"/>
                      <w:szCs w:val="21"/>
                      <w14:textFill>
                        <w14:solidFill>
                          <w14:schemeClr w14:val="tx1"/>
                        </w14:solidFill>
                      </w14:textFill>
                    </w:rPr>
                    <w:t>-原料</w:t>
                  </w:r>
                </w:p>
              </w:tc>
              <w:tc>
                <w:tcPr>
                  <w:tcW w:w="1686"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53"/>
                    <w:spacing w:line="240" w:lineRule="auto"/>
                    <w:ind w:firstLine="360"/>
                    <w:rPr>
                      <w:rFonts w:ascii="Times New Roman" w:hAnsi="Times New Roman"/>
                      <w:color w:val="000000" w:themeColor="text1"/>
                      <w:kern w:val="0"/>
                      <w:sz w:val="21"/>
                      <w:szCs w:val="21"/>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注：二氧化硫的产排污系数是以含硫量（S）的形式表示的，其中含硫量（S）是指燃气收到基硫分含量，单位为mg/m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，根据《国家天然气标准》（GB17820-2018）中的规定，一类天然气技术指标中的含硫量为20mg/m</w:t>
                  </w:r>
                  <w:r>
                    <w:rPr>
                      <w:rFonts w:ascii="Times New Roman" w:hAnsi="Times New Roman"/>
                      <w:color w:val="000000" w:themeColor="text1"/>
                      <w:sz w:val="18"/>
                      <w:szCs w:val="18"/>
                      <w:vertAlign w:val="superscript"/>
                      <w14:textFill>
                        <w14:solidFill>
                          <w14:schemeClr w14:val="tx1"/>
                        </w14:solidFill>
                      </w14:textFill>
                    </w:rPr>
                    <w:t>3</w:t>
                  </w:r>
                  <w:r>
                    <w:rPr>
                      <w:rFonts w:ascii="Times New Roman" w:hAnsi="Times New Roman"/>
                      <w:color w:val="000000" w:themeColor="text1"/>
                      <w:sz w:val="18"/>
                      <w:szCs w:val="18"/>
                      <w14:textFill>
                        <w14:solidFill>
                          <w14:schemeClr w14:val="tx1"/>
                        </w14:solidFill>
                      </w14:textFill>
                    </w:rPr>
                    <w:t>，则本项目取值S=20</w:t>
                  </w:r>
                </w:p>
              </w:tc>
            </w:tr>
          </w:tbl>
          <w:p>
            <w:pPr>
              <w:spacing w:line="360" w:lineRule="auto"/>
              <w:ind w:firstLine="480" w:firstLineChars="200"/>
              <w:rPr>
                <w:rFonts w:cs="Times New Roman"/>
                <w:color w:val="FF0000"/>
                <w:sz w:val="24"/>
                <w:szCs w:val="24"/>
              </w:rPr>
            </w:pPr>
            <w:r>
              <w:rPr>
                <w:rFonts w:cs="Times New Roman"/>
                <w:color w:val="000000" w:themeColor="text1"/>
                <w:sz w:val="24"/>
                <w:szCs w:val="24"/>
                <w14:textFill>
                  <w14:solidFill>
                    <w14:schemeClr w14:val="tx1"/>
                  </w14:solidFill>
                </w14:textFill>
              </w:rPr>
              <w:t>根据上表产污系数，计算得废气产生量约为</w:t>
            </w:r>
            <w:r>
              <w:rPr>
                <w:rFonts w:hint="eastAsia" w:cs="Times New Roman"/>
                <w:color w:val="000000" w:themeColor="text1"/>
                <w:sz w:val="24"/>
                <w:szCs w:val="24"/>
                <w:lang w:val="en-US" w:eastAsia="zh-CN"/>
                <w14:textFill>
                  <w14:solidFill>
                    <w14:schemeClr w14:val="tx1"/>
                  </w14:solidFill>
                </w14:textFill>
              </w:rPr>
              <w:t>1535.48</w:t>
            </w:r>
            <w:r>
              <w:rPr>
                <w:rFonts w:cs="Times New Roman"/>
                <w:color w:val="000000" w:themeColor="text1"/>
                <w:sz w:val="24"/>
                <w:szCs w:val="24"/>
                <w14:textFill>
                  <w14:solidFill>
                    <w14:schemeClr w14:val="tx1"/>
                  </w14:solidFill>
                </w14:textFill>
              </w:rPr>
              <w:t>万</w:t>
            </w:r>
            <w:r>
              <w:rPr>
                <w:rFonts w:cs="Times New Roman"/>
                <w:bCs/>
                <w:color w:val="000000" w:themeColor="text1"/>
                <w:sz w:val="24"/>
                <w:szCs w:val="24"/>
                <w14:textFill>
                  <w14:solidFill>
                    <w14:schemeClr w14:val="tx1"/>
                  </w14:solidFill>
                </w14:textFill>
              </w:rPr>
              <w:t>m</w:t>
            </w:r>
            <w:r>
              <w:rPr>
                <w:rFonts w:cs="Times New Roman"/>
                <w:bCs/>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、SO</w:t>
            </w:r>
            <w:r>
              <w:rPr>
                <w:rFonts w:cs="Times New Roman"/>
                <w:color w:val="000000" w:themeColor="text1"/>
                <w:sz w:val="24"/>
                <w:szCs w:val="24"/>
                <w:vertAlign w:val="subscript"/>
                <w14:textFill>
                  <w14:solidFill>
                    <w14:schemeClr w14:val="tx1"/>
                  </w14:solidFill>
                </w14:textFill>
              </w:rPr>
              <w:t>2</w:t>
            </w:r>
            <w:r>
              <w:rPr>
                <w:rFonts w:cs="Times New Roman"/>
                <w:color w:val="000000" w:themeColor="text1"/>
                <w:sz w:val="24"/>
                <w:szCs w:val="24"/>
                <w14:textFill>
                  <w14:solidFill>
                    <w14:schemeClr w14:val="tx1"/>
                  </w14:solidFill>
                </w14:textFill>
              </w:rPr>
              <w:t>产生量约为0.0</w:t>
            </w:r>
            <w:r>
              <w:rPr>
                <w:rFonts w:hint="eastAsia" w:cs="Times New Roman"/>
                <w:color w:val="000000" w:themeColor="text1"/>
                <w:sz w:val="24"/>
                <w:szCs w:val="24"/>
                <w:lang w:val="en-US" w:eastAsia="zh-CN"/>
                <w14:textFill>
                  <w14:solidFill>
                    <w14:schemeClr w14:val="tx1"/>
                  </w14:solidFill>
                </w14:textFill>
              </w:rPr>
              <w:t>57</w:t>
            </w:r>
            <w:r>
              <w:rPr>
                <w:rFonts w:cs="Times New Roman"/>
                <w:color w:val="000000" w:themeColor="text1"/>
                <w:sz w:val="24"/>
                <w:szCs w:val="24"/>
                <w14:textFill>
                  <w14:solidFill>
                    <w14:schemeClr w14:val="tx1"/>
                  </w14:solidFill>
                </w14:textFill>
              </w:rPr>
              <w:t>t/a（0.00</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kg/h）、氮氧化物产生量约为</w:t>
            </w:r>
            <w:r>
              <w:rPr>
                <w:rFonts w:hint="eastAsia" w:cs="Times New Roman"/>
                <w:color w:val="000000" w:themeColor="text1"/>
                <w:sz w:val="24"/>
                <w:szCs w:val="24"/>
                <w:lang w:val="en-US" w:eastAsia="zh-CN"/>
                <w14:textFill>
                  <w14:solidFill>
                    <w14:schemeClr w14:val="tx1"/>
                  </w14:solidFill>
                </w14:textFill>
              </w:rPr>
              <w:t>2.261</w:t>
            </w:r>
            <w:r>
              <w:rPr>
                <w:rFonts w:cs="Times New Roman"/>
                <w:color w:val="000000" w:themeColor="text1"/>
                <w:sz w:val="24"/>
                <w:szCs w:val="24"/>
                <w14:textFill>
                  <w14:solidFill>
                    <w14:schemeClr w14:val="tx1"/>
                  </w14:solidFill>
                </w14:textFill>
              </w:rPr>
              <w:t>t/a（0.</w:t>
            </w:r>
            <w:r>
              <w:rPr>
                <w:rFonts w:hint="eastAsia" w:cs="Times New Roman"/>
                <w:color w:val="000000" w:themeColor="text1"/>
                <w:sz w:val="24"/>
                <w:szCs w:val="24"/>
                <w:lang w:val="en-US" w:eastAsia="zh-CN"/>
                <w14:textFill>
                  <w14:solidFill>
                    <w14:schemeClr w14:val="tx1"/>
                  </w14:solidFill>
                </w14:textFill>
              </w:rPr>
              <w:t>285</w:t>
            </w:r>
            <w:r>
              <w:rPr>
                <w:rFonts w:cs="Times New Roman"/>
                <w:color w:val="000000" w:themeColor="text1"/>
                <w:sz w:val="24"/>
                <w:szCs w:val="24"/>
                <w14:textFill>
                  <w14:solidFill>
                    <w14:schemeClr w14:val="tx1"/>
                  </w14:solidFill>
                </w14:textFill>
              </w:rPr>
              <w:t>kg/h）</w:t>
            </w:r>
            <w:r>
              <w:rPr>
                <w:rFonts w:hint="eastAsia" w:cs="Times New Roman"/>
                <w:color w:val="000000" w:themeColor="text1"/>
                <w:sz w:val="24"/>
                <w:szCs w:val="24"/>
                <w14:textFill>
                  <w14:solidFill>
                    <w14:schemeClr w14:val="tx1"/>
                  </w14:solidFill>
                </w14:textFill>
              </w:rPr>
              <w:t>；烟尘</w:t>
            </w:r>
            <w:r>
              <w:rPr>
                <w:rFonts w:cs="Times New Roman"/>
                <w:color w:val="000000" w:themeColor="text1"/>
                <w:sz w:val="24"/>
                <w:szCs w:val="24"/>
                <w14:textFill>
                  <w14:solidFill>
                    <w14:schemeClr w14:val="tx1"/>
                  </w14:solidFill>
                </w14:textFill>
              </w:rPr>
              <w:t>产生量约为</w:t>
            </w:r>
            <w:r>
              <w:rPr>
                <w:rFonts w:hint="eastAsia" w:cs="Times New Roman"/>
                <w:color w:val="000000" w:themeColor="text1"/>
                <w:sz w:val="24"/>
                <w:szCs w:val="24"/>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t/a（</w:t>
            </w:r>
            <w:r>
              <w:rPr>
                <w:rFonts w:hint="eastAsia" w:cs="Times New Roman"/>
                <w:color w:val="000000" w:themeColor="text1"/>
                <w:sz w:val="24"/>
                <w:szCs w:val="24"/>
                <w14:textFill>
                  <w14:solidFill>
                    <w14:schemeClr w14:val="tx1"/>
                  </w14:solidFill>
                </w14:textFill>
              </w:rPr>
              <w:t>0.02</w:t>
            </w:r>
            <w:r>
              <w:rPr>
                <w:rFonts w:hint="eastAsia" w:cs="Times New Roman"/>
                <w:color w:val="000000" w:themeColor="text1"/>
                <w:sz w:val="24"/>
                <w:szCs w:val="24"/>
                <w:lang w:val="en-US" w:eastAsia="zh-CN"/>
                <w14:textFill>
                  <w14:solidFill>
                    <w14:schemeClr w14:val="tx1"/>
                  </w14:solidFill>
                </w14:textFill>
              </w:rPr>
              <w:t>5</w:t>
            </w:r>
            <w:r>
              <w:rPr>
                <w:rFonts w:cs="Times New Roman"/>
                <w:color w:val="000000" w:themeColor="text1"/>
                <w:sz w:val="24"/>
                <w:szCs w:val="24"/>
                <w14:textFill>
                  <w14:solidFill>
                    <w14:schemeClr w14:val="tx1"/>
                  </w14:solidFill>
                </w14:textFill>
              </w:rPr>
              <w:t>kg/h）。</w:t>
            </w:r>
          </w:p>
          <w:p>
            <w:pPr>
              <w:spacing w:line="360" w:lineRule="auto"/>
              <w:ind w:firstLine="482" w:firstLineChars="200"/>
              <w:rPr>
                <w:rFonts w:cs="Times New Roman"/>
                <w:b/>
                <w:bCs/>
                <w:sz w:val="24"/>
                <w:szCs w:val="24"/>
              </w:rPr>
            </w:pPr>
            <w:r>
              <w:rPr>
                <w:rFonts w:cs="Times New Roman"/>
                <w:b/>
                <w:bCs/>
                <w:sz w:val="24"/>
                <w:szCs w:val="24"/>
              </w:rPr>
              <w:t>3）食堂油烟</w:t>
            </w:r>
          </w:p>
          <w:p>
            <w:pPr>
              <w:spacing w:line="360" w:lineRule="auto"/>
              <w:ind w:firstLine="480" w:firstLineChars="200"/>
              <w:rPr>
                <w:rFonts w:cs="Times New Roman"/>
                <w:sz w:val="24"/>
                <w:szCs w:val="24"/>
              </w:rPr>
            </w:pPr>
            <w:r>
              <w:rPr>
                <w:rFonts w:cs="Times New Roman"/>
                <w:bCs/>
                <w:sz w:val="24"/>
                <w:szCs w:val="24"/>
              </w:rPr>
              <w:t>项目提供员工食堂供工作人员就餐，项目食堂就餐人数为10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0.0085kg/d，0.0028t/a（0.0064kg/h）。（以330d</w:t>
            </w:r>
            <w:r>
              <w:rPr>
                <w:rFonts w:cs="Times New Roman"/>
                <w:sz w:val="24"/>
                <w:szCs w:val="24"/>
              </w:rPr>
              <w:t>，</w:t>
            </w:r>
            <w:r>
              <w:rPr>
                <w:rFonts w:cs="Times New Roman"/>
                <w:bCs/>
                <w:sz w:val="24"/>
                <w:szCs w:val="24"/>
              </w:rPr>
              <w:t>4h计）</w:t>
            </w:r>
          </w:p>
          <w:p>
            <w:pPr>
              <w:spacing w:line="360" w:lineRule="auto"/>
              <w:ind w:firstLine="480" w:firstLineChars="200"/>
              <w:rPr>
                <w:rFonts w:cs="Times New Roman"/>
                <w:sz w:val="24"/>
                <w:szCs w:val="24"/>
              </w:rPr>
            </w:pPr>
            <w:r>
              <w:rPr>
                <w:rFonts w:cs="Times New Roman"/>
                <w:sz w:val="24"/>
                <w:szCs w:val="24"/>
              </w:rPr>
              <w:t>综上所述，项目废气产排污环节、污染物种类及产生量见下表：</w:t>
            </w:r>
          </w:p>
          <w:p>
            <w:pPr>
              <w:spacing w:line="360" w:lineRule="auto"/>
              <w:jc w:val="center"/>
              <w:rPr>
                <w:rFonts w:cs="Times New Roman"/>
                <w:b/>
                <w:sz w:val="24"/>
                <w:szCs w:val="24"/>
              </w:rPr>
            </w:pPr>
            <w:r>
              <w:rPr>
                <w:rFonts w:cs="Times New Roman"/>
                <w:b/>
                <w:sz w:val="24"/>
                <w:szCs w:val="24"/>
              </w:rPr>
              <w:t>表4-4  废气产排污环节、污染物种类及产生量表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1014"/>
              <w:gridCol w:w="1398"/>
              <w:gridCol w:w="1703"/>
              <w:gridCol w:w="1081"/>
              <w:gridCol w:w="1130"/>
              <w:gridCol w:w="1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tcBorders>
                    <w:tl2br w:val="nil"/>
                    <w:tr2bl w:val="nil"/>
                  </w:tcBorders>
                  <w:vAlign w:val="center"/>
                </w:tcPr>
                <w:p>
                  <w:pPr>
                    <w:jc w:val="center"/>
                    <w:rPr>
                      <w:rFonts w:cs="Times New Roman"/>
                      <w:b/>
                      <w:bCs/>
                      <w:szCs w:val="21"/>
                    </w:rPr>
                  </w:pPr>
                  <w:r>
                    <w:rPr>
                      <w:rFonts w:cs="Times New Roman"/>
                      <w:b/>
                      <w:bCs/>
                      <w:szCs w:val="21"/>
                    </w:rPr>
                    <w:t>生产单元</w:t>
                  </w:r>
                </w:p>
              </w:tc>
              <w:tc>
                <w:tcPr>
                  <w:tcW w:w="601" w:type="pct"/>
                  <w:vMerge w:val="restart"/>
                  <w:tcBorders>
                    <w:tl2br w:val="nil"/>
                    <w:tr2bl w:val="nil"/>
                  </w:tcBorders>
                  <w:vAlign w:val="center"/>
                </w:tcPr>
                <w:p>
                  <w:pPr>
                    <w:jc w:val="center"/>
                    <w:rPr>
                      <w:rFonts w:cs="Times New Roman"/>
                      <w:b/>
                      <w:bCs/>
                      <w:szCs w:val="21"/>
                    </w:rPr>
                  </w:pPr>
                  <w:r>
                    <w:rPr>
                      <w:rFonts w:cs="Times New Roman"/>
                      <w:b/>
                      <w:bCs/>
                      <w:szCs w:val="21"/>
                    </w:rPr>
                    <w:t>主要生产工艺</w:t>
                  </w:r>
                </w:p>
              </w:tc>
              <w:tc>
                <w:tcPr>
                  <w:tcW w:w="829" w:type="pct"/>
                  <w:vMerge w:val="restart"/>
                  <w:tcBorders>
                    <w:tl2br w:val="nil"/>
                    <w:tr2bl w:val="nil"/>
                  </w:tcBorders>
                  <w:vAlign w:val="center"/>
                </w:tcPr>
                <w:p>
                  <w:pPr>
                    <w:jc w:val="center"/>
                    <w:rPr>
                      <w:rFonts w:cs="Times New Roman"/>
                      <w:b/>
                      <w:bCs/>
                      <w:szCs w:val="21"/>
                    </w:rPr>
                  </w:pPr>
                  <w:r>
                    <w:rPr>
                      <w:rFonts w:cs="Times New Roman"/>
                      <w:b/>
                      <w:bCs/>
                      <w:szCs w:val="21"/>
                    </w:rPr>
                    <w:t>废气产污环节</w:t>
                  </w:r>
                </w:p>
              </w:tc>
              <w:tc>
                <w:tcPr>
                  <w:tcW w:w="1010" w:type="pct"/>
                  <w:vMerge w:val="restart"/>
                  <w:tcBorders>
                    <w:tl2br w:val="nil"/>
                    <w:tr2bl w:val="nil"/>
                  </w:tcBorders>
                  <w:vAlign w:val="center"/>
                </w:tcPr>
                <w:p>
                  <w:pPr>
                    <w:jc w:val="center"/>
                    <w:rPr>
                      <w:rFonts w:cs="Times New Roman"/>
                      <w:b/>
                      <w:bCs/>
                      <w:szCs w:val="21"/>
                    </w:rPr>
                  </w:pPr>
                  <w:r>
                    <w:rPr>
                      <w:rFonts w:cs="Times New Roman"/>
                      <w:b/>
                      <w:bCs/>
                      <w:szCs w:val="21"/>
                    </w:rPr>
                    <w:t>废气类别</w:t>
                  </w:r>
                </w:p>
              </w:tc>
              <w:tc>
                <w:tcPr>
                  <w:tcW w:w="641"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395" w:type="pct"/>
                  <w:gridSpan w:val="2"/>
                  <w:tcBorders>
                    <w:tl2br w:val="nil"/>
                    <w:tr2bl w:val="nil"/>
                  </w:tcBorders>
                  <w:vAlign w:val="center"/>
                </w:tcPr>
                <w:p>
                  <w:pPr>
                    <w:jc w:val="center"/>
                    <w:rPr>
                      <w:rFonts w:cs="Times New Roman"/>
                      <w:b/>
                      <w:bCs/>
                      <w:szCs w:val="21"/>
                    </w:rPr>
                  </w:pPr>
                  <w:r>
                    <w:rPr>
                      <w:rFonts w:cs="Times New Roman"/>
                      <w:b/>
                      <w:bCs/>
                      <w:szCs w:val="21"/>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b/>
                      <w:bCs/>
                      <w:szCs w:val="21"/>
                    </w:rPr>
                  </w:pPr>
                </w:p>
              </w:tc>
              <w:tc>
                <w:tcPr>
                  <w:tcW w:w="601" w:type="pct"/>
                  <w:vMerge w:val="continue"/>
                  <w:tcBorders>
                    <w:tl2br w:val="nil"/>
                    <w:tr2bl w:val="nil"/>
                  </w:tcBorders>
                  <w:vAlign w:val="center"/>
                </w:tcPr>
                <w:p>
                  <w:pPr>
                    <w:jc w:val="center"/>
                    <w:rPr>
                      <w:rFonts w:cs="Times New Roman"/>
                      <w:b/>
                      <w:bCs/>
                      <w:szCs w:val="21"/>
                    </w:rPr>
                  </w:pPr>
                </w:p>
              </w:tc>
              <w:tc>
                <w:tcPr>
                  <w:tcW w:w="829" w:type="pct"/>
                  <w:vMerge w:val="continue"/>
                  <w:tcBorders>
                    <w:tl2br w:val="nil"/>
                    <w:tr2bl w:val="nil"/>
                  </w:tcBorders>
                  <w:vAlign w:val="center"/>
                </w:tcPr>
                <w:p>
                  <w:pPr>
                    <w:jc w:val="center"/>
                    <w:rPr>
                      <w:rFonts w:cs="Times New Roman"/>
                      <w:b/>
                      <w:bCs/>
                      <w:szCs w:val="21"/>
                    </w:rPr>
                  </w:pPr>
                </w:p>
              </w:tc>
              <w:tc>
                <w:tcPr>
                  <w:tcW w:w="1010" w:type="pct"/>
                  <w:vMerge w:val="continue"/>
                  <w:tcBorders>
                    <w:tl2br w:val="nil"/>
                    <w:tr2bl w:val="nil"/>
                  </w:tcBorders>
                  <w:vAlign w:val="center"/>
                </w:tcPr>
                <w:p>
                  <w:pPr>
                    <w:jc w:val="center"/>
                    <w:rPr>
                      <w:rFonts w:cs="Times New Roman"/>
                      <w:b/>
                      <w:bCs/>
                      <w:szCs w:val="21"/>
                    </w:rPr>
                  </w:pPr>
                </w:p>
              </w:tc>
              <w:tc>
                <w:tcPr>
                  <w:tcW w:w="641" w:type="pct"/>
                  <w:vMerge w:val="continue"/>
                  <w:tcBorders>
                    <w:tl2br w:val="nil"/>
                    <w:tr2bl w:val="nil"/>
                  </w:tcBorders>
                  <w:vAlign w:val="center"/>
                </w:tcPr>
                <w:p>
                  <w:pPr>
                    <w:jc w:val="center"/>
                    <w:rPr>
                      <w:rFonts w:cs="Times New Roman"/>
                      <w:b/>
                      <w:bCs/>
                      <w:szCs w:val="21"/>
                    </w:rPr>
                  </w:pPr>
                </w:p>
              </w:tc>
              <w:tc>
                <w:tcPr>
                  <w:tcW w:w="670" w:type="pct"/>
                  <w:tcBorders>
                    <w:tl2br w:val="nil"/>
                    <w:tr2bl w:val="nil"/>
                  </w:tcBorders>
                  <w:vAlign w:val="center"/>
                </w:tcPr>
                <w:p>
                  <w:pPr>
                    <w:jc w:val="center"/>
                    <w:rPr>
                      <w:rFonts w:cs="Times New Roman"/>
                      <w:b/>
                      <w:bCs/>
                      <w:szCs w:val="21"/>
                    </w:rPr>
                  </w:pPr>
                  <w:r>
                    <w:rPr>
                      <w:rFonts w:cs="Times New Roman"/>
                      <w:b/>
                      <w:bCs/>
                      <w:szCs w:val="21"/>
                    </w:rPr>
                    <w:t>t/a</w:t>
                  </w:r>
                </w:p>
              </w:tc>
              <w:tc>
                <w:tcPr>
                  <w:tcW w:w="724" w:type="pct"/>
                  <w:tcBorders>
                    <w:tl2br w:val="nil"/>
                    <w:tr2bl w:val="nil"/>
                  </w:tcBorders>
                  <w:vAlign w:val="center"/>
                </w:tcPr>
                <w:p>
                  <w:pPr>
                    <w:jc w:val="center"/>
                    <w:rPr>
                      <w:rFonts w:cs="Times New Roman"/>
                      <w:b/>
                      <w:bCs/>
                      <w:szCs w:val="21"/>
                    </w:rPr>
                  </w:pPr>
                  <w:r>
                    <w:rPr>
                      <w:rFonts w:cs="Times New Roman"/>
                      <w:b/>
                      <w:bCs/>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tcBorders>
                    <w:tl2br w:val="nil"/>
                    <w:tr2bl w:val="nil"/>
                  </w:tcBorders>
                  <w:vAlign w:val="center"/>
                </w:tcPr>
                <w:p>
                  <w:pPr>
                    <w:jc w:val="center"/>
                    <w:rPr>
                      <w:rFonts w:cs="Times New Roman"/>
                      <w:szCs w:val="21"/>
                    </w:rPr>
                  </w:pPr>
                  <w:r>
                    <w:rPr>
                      <w:rFonts w:cs="Times New Roman"/>
                      <w:szCs w:val="21"/>
                    </w:rPr>
                    <w:t>本项目</w:t>
                  </w:r>
                </w:p>
              </w:tc>
              <w:tc>
                <w:tcPr>
                  <w:tcW w:w="601"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829"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1010" w:type="pct"/>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641" w:type="pct"/>
                  <w:tcBorders>
                    <w:tl2br w:val="nil"/>
                    <w:tr2bl w:val="nil"/>
                  </w:tcBorders>
                  <w:vAlign w:val="center"/>
                </w:tcPr>
                <w:p>
                  <w:pPr>
                    <w:jc w:val="center"/>
                    <w:rPr>
                      <w:rFonts w:cs="Times New Roman"/>
                      <w:szCs w:val="21"/>
                    </w:rPr>
                  </w:pPr>
                  <w:r>
                    <w:rPr>
                      <w:rFonts w:cs="Times New Roman"/>
                      <w:szCs w:val="21"/>
                    </w:rPr>
                    <w:t>甲醛</w:t>
                  </w:r>
                </w:p>
              </w:tc>
              <w:tc>
                <w:tcPr>
                  <w:tcW w:w="670" w:type="pct"/>
                  <w:tcBorders>
                    <w:tl2br w:val="nil"/>
                    <w:tr2bl w:val="nil"/>
                  </w:tcBorders>
                  <w:vAlign w:val="center"/>
                </w:tcPr>
                <w:p>
                  <w:pPr>
                    <w:jc w:val="center"/>
                    <w:rPr>
                      <w:rFonts w:cs="Times New Roman"/>
                      <w:szCs w:val="21"/>
                    </w:rPr>
                  </w:pPr>
                  <w:r>
                    <w:rPr>
                      <w:rFonts w:cs="Times New Roman"/>
                      <w:szCs w:val="21"/>
                    </w:rPr>
                    <w:t>2.925</w:t>
                  </w:r>
                </w:p>
              </w:tc>
              <w:tc>
                <w:tcPr>
                  <w:tcW w:w="724" w:type="pct"/>
                  <w:tcBorders>
                    <w:tl2br w:val="nil"/>
                    <w:tr2bl w:val="nil"/>
                  </w:tcBorders>
                  <w:vAlign w:val="center"/>
                </w:tcPr>
                <w:p>
                  <w:pPr>
                    <w:jc w:val="center"/>
                    <w:rPr>
                      <w:rFonts w:cs="Times New Roman"/>
                      <w:szCs w:val="21"/>
                    </w:rPr>
                  </w:pPr>
                  <w:r>
                    <w:rPr>
                      <w:rFonts w:cs="Times New Roman"/>
                      <w:szCs w:val="21"/>
                    </w:rPr>
                    <w:t>0.369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VOCs</w:t>
                  </w:r>
                </w:p>
              </w:tc>
              <w:tc>
                <w:tcPr>
                  <w:tcW w:w="670" w:type="pct"/>
                  <w:tcBorders>
                    <w:tl2br w:val="nil"/>
                    <w:tr2bl w:val="nil"/>
                  </w:tcBorders>
                  <w:vAlign w:val="center"/>
                </w:tcPr>
                <w:p>
                  <w:pPr>
                    <w:jc w:val="center"/>
                    <w:rPr>
                      <w:rFonts w:cs="Times New Roman"/>
                      <w:szCs w:val="21"/>
                    </w:rPr>
                  </w:pPr>
                  <w:r>
                    <w:rPr>
                      <w:rFonts w:cs="Times New Roman"/>
                      <w:szCs w:val="21"/>
                    </w:rPr>
                    <w:t>0.039</w:t>
                  </w:r>
                </w:p>
              </w:tc>
              <w:tc>
                <w:tcPr>
                  <w:tcW w:w="724" w:type="pct"/>
                  <w:tcBorders>
                    <w:tl2br w:val="nil"/>
                    <w:tr2bl w:val="nil"/>
                  </w:tcBorders>
                  <w:vAlign w:val="center"/>
                </w:tcPr>
                <w:p>
                  <w:pPr>
                    <w:jc w:val="center"/>
                    <w:rPr>
                      <w:rFonts w:cs="Times New Roman"/>
                      <w:szCs w:val="21"/>
                    </w:rPr>
                  </w:pPr>
                  <w:r>
                    <w:rPr>
                      <w:rFonts w:cs="Times New Roman"/>
                      <w:szCs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氨</w:t>
                  </w:r>
                </w:p>
              </w:tc>
              <w:tc>
                <w:tcPr>
                  <w:tcW w:w="670" w:type="pct"/>
                  <w:tcBorders>
                    <w:tl2br w:val="nil"/>
                    <w:tr2bl w:val="nil"/>
                  </w:tcBorders>
                  <w:vAlign w:val="center"/>
                </w:tcPr>
                <w:p>
                  <w:pPr>
                    <w:jc w:val="center"/>
                    <w:rPr>
                      <w:rFonts w:cs="Times New Roman"/>
                      <w:szCs w:val="21"/>
                    </w:rPr>
                  </w:pPr>
                  <w:r>
                    <w:rPr>
                      <w:rFonts w:cs="Times New Roman"/>
                      <w:szCs w:val="21"/>
                    </w:rPr>
                    <w:t>0.098</w:t>
                  </w:r>
                </w:p>
              </w:tc>
              <w:tc>
                <w:tcPr>
                  <w:tcW w:w="724" w:type="pct"/>
                  <w:tcBorders>
                    <w:tl2br w:val="nil"/>
                    <w:tr2bl w:val="nil"/>
                  </w:tcBorders>
                  <w:vAlign w:val="center"/>
                </w:tcPr>
                <w:p>
                  <w:pPr>
                    <w:jc w:val="center"/>
                    <w:rPr>
                      <w:rFonts w:cs="Times New Roman"/>
                      <w:szCs w:val="21"/>
                    </w:rPr>
                  </w:pPr>
                  <w:r>
                    <w:rPr>
                      <w:rFonts w:cs="Times New Roman"/>
                      <w:szCs w:val="21"/>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restart"/>
                  <w:tcBorders>
                    <w:tl2br w:val="nil"/>
                    <w:tr2bl w:val="nil"/>
                  </w:tcBorders>
                  <w:vAlign w:val="center"/>
                </w:tcPr>
                <w:p>
                  <w:pPr>
                    <w:jc w:val="center"/>
                    <w:rPr>
                      <w:rFonts w:cs="Times New Roman"/>
                      <w:szCs w:val="21"/>
                    </w:rPr>
                  </w:pPr>
                  <w:r>
                    <w:rPr>
                      <w:rFonts w:cs="Times New Roman"/>
                      <w:szCs w:val="21"/>
                    </w:rPr>
                    <w:t>烘干</w:t>
                  </w:r>
                </w:p>
              </w:tc>
              <w:tc>
                <w:tcPr>
                  <w:tcW w:w="829" w:type="pct"/>
                  <w:vMerge w:val="restart"/>
                  <w:tcBorders>
                    <w:tl2br w:val="nil"/>
                    <w:tr2bl w:val="nil"/>
                  </w:tcBorders>
                  <w:vAlign w:val="center"/>
                </w:tcPr>
                <w:p>
                  <w:pPr>
                    <w:jc w:val="center"/>
                    <w:rPr>
                      <w:rFonts w:cs="Times New Roman"/>
                      <w:szCs w:val="21"/>
                    </w:rPr>
                  </w:pPr>
                  <w:r>
                    <w:rPr>
                      <w:rFonts w:cs="Times New Roman"/>
                      <w:szCs w:val="21"/>
                    </w:rPr>
                    <w:t>天然气燃烧</w:t>
                  </w:r>
                </w:p>
              </w:tc>
              <w:tc>
                <w:tcPr>
                  <w:tcW w:w="1010" w:type="pct"/>
                  <w:vMerge w:val="restar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天然气燃烧废气</w:t>
                  </w:r>
                </w:p>
              </w:tc>
              <w:tc>
                <w:tcPr>
                  <w:tcW w:w="64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670"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57</w:t>
                  </w:r>
                </w:p>
              </w:tc>
              <w:tc>
                <w:tcPr>
                  <w:tcW w:w="724"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4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NOx</w:t>
                  </w:r>
                </w:p>
              </w:tc>
              <w:tc>
                <w:tcPr>
                  <w:tcW w:w="670"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2.261</w:t>
                  </w:r>
                </w:p>
              </w:tc>
              <w:tc>
                <w:tcPr>
                  <w:tcW w:w="724"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285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color w:val="000000" w:themeColor="text1"/>
                      <w:szCs w:val="21"/>
                      <w14:textFill>
                        <w14:solidFill>
                          <w14:schemeClr w14:val="tx1"/>
                        </w14:solidFill>
                      </w14:textFill>
                    </w:rPr>
                  </w:pPr>
                </w:p>
              </w:tc>
              <w:tc>
                <w:tcPr>
                  <w:tcW w:w="64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670"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2</w:t>
                  </w:r>
                </w:p>
              </w:tc>
              <w:tc>
                <w:tcPr>
                  <w:tcW w:w="724"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14:textFill>
                        <w14:solidFill>
                          <w14:schemeClr w14:val="tx1"/>
                        </w14:solidFill>
                      </w14:textFill>
                    </w:rPr>
                    <w:t>0.02</w:t>
                  </w:r>
                  <w:r>
                    <w:rPr>
                      <w:rFonts w:hint="eastAsia" w:cs="Times New Roman"/>
                      <w:color w:val="000000" w:themeColor="text1"/>
                      <w:szCs w:val="21"/>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tcBorders>
                    <w:tl2br w:val="nil"/>
                    <w:tr2bl w:val="nil"/>
                  </w:tcBorders>
                  <w:vAlign w:val="center"/>
                </w:tcPr>
                <w:p>
                  <w:pPr>
                    <w:jc w:val="center"/>
                    <w:rPr>
                      <w:rFonts w:cs="Times New Roman"/>
                      <w:szCs w:val="21"/>
                    </w:rPr>
                  </w:pPr>
                  <w:r>
                    <w:rPr>
                      <w:rFonts w:cs="Times New Roman"/>
                      <w:szCs w:val="21"/>
                    </w:rPr>
                    <w:t>食堂</w:t>
                  </w:r>
                </w:p>
              </w:tc>
              <w:tc>
                <w:tcPr>
                  <w:tcW w:w="829" w:type="pct"/>
                  <w:tcBorders>
                    <w:tl2br w:val="nil"/>
                    <w:tr2bl w:val="nil"/>
                  </w:tcBorders>
                  <w:vAlign w:val="center"/>
                </w:tcPr>
                <w:p>
                  <w:pPr>
                    <w:jc w:val="center"/>
                    <w:rPr>
                      <w:rFonts w:cs="Times New Roman"/>
                      <w:szCs w:val="21"/>
                    </w:rPr>
                  </w:pPr>
                  <w:r>
                    <w:rPr>
                      <w:rFonts w:cs="Times New Roman"/>
                      <w:szCs w:val="21"/>
                    </w:rPr>
                    <w:t>食堂</w:t>
                  </w:r>
                </w:p>
              </w:tc>
              <w:tc>
                <w:tcPr>
                  <w:tcW w:w="1010" w:type="pct"/>
                  <w:tcBorders>
                    <w:tl2br w:val="nil"/>
                    <w:tr2bl w:val="nil"/>
                  </w:tcBorders>
                  <w:vAlign w:val="center"/>
                </w:tcPr>
                <w:p>
                  <w:pPr>
                    <w:jc w:val="center"/>
                    <w:rPr>
                      <w:rFonts w:cs="Times New Roman"/>
                      <w:szCs w:val="21"/>
                    </w:rPr>
                  </w:pPr>
                  <w:r>
                    <w:rPr>
                      <w:rFonts w:cs="Times New Roman"/>
                      <w:szCs w:val="21"/>
                    </w:rPr>
                    <w:t>食堂油烟</w:t>
                  </w:r>
                </w:p>
              </w:tc>
              <w:tc>
                <w:tcPr>
                  <w:tcW w:w="641" w:type="pct"/>
                  <w:tcBorders>
                    <w:tl2br w:val="nil"/>
                    <w:tr2bl w:val="nil"/>
                  </w:tcBorders>
                  <w:vAlign w:val="center"/>
                </w:tcPr>
                <w:p>
                  <w:pPr>
                    <w:jc w:val="center"/>
                    <w:rPr>
                      <w:rFonts w:cs="Times New Roman"/>
                      <w:szCs w:val="21"/>
                    </w:rPr>
                  </w:pPr>
                  <w:r>
                    <w:rPr>
                      <w:rFonts w:cs="Times New Roman"/>
                      <w:szCs w:val="21"/>
                    </w:rPr>
                    <w:t>油烟</w:t>
                  </w:r>
                </w:p>
              </w:tc>
              <w:tc>
                <w:tcPr>
                  <w:tcW w:w="670" w:type="pct"/>
                  <w:tcBorders>
                    <w:tl2br w:val="nil"/>
                    <w:tr2bl w:val="nil"/>
                  </w:tcBorders>
                  <w:vAlign w:val="center"/>
                </w:tcPr>
                <w:p>
                  <w:pPr>
                    <w:jc w:val="center"/>
                    <w:rPr>
                      <w:rFonts w:cs="Times New Roman"/>
                      <w:szCs w:val="21"/>
                    </w:rPr>
                  </w:pPr>
                  <w:r>
                    <w:rPr>
                      <w:rFonts w:cs="Times New Roman"/>
                      <w:bCs/>
                      <w:szCs w:val="21"/>
                    </w:rPr>
                    <w:t>0.0028</w:t>
                  </w:r>
                </w:p>
              </w:tc>
              <w:tc>
                <w:tcPr>
                  <w:tcW w:w="724" w:type="pct"/>
                  <w:tcBorders>
                    <w:tl2br w:val="nil"/>
                    <w:tr2bl w:val="nil"/>
                  </w:tcBorders>
                  <w:vAlign w:val="center"/>
                </w:tcPr>
                <w:p>
                  <w:pPr>
                    <w:jc w:val="center"/>
                    <w:rPr>
                      <w:rFonts w:cs="Times New Roman"/>
                      <w:szCs w:val="21"/>
                    </w:rPr>
                  </w:pPr>
                  <w:r>
                    <w:rPr>
                      <w:rFonts w:cs="Times New Roman"/>
                      <w:szCs w:val="21"/>
                    </w:rPr>
                    <w:t>0.0064</w:t>
                  </w:r>
                </w:p>
              </w:tc>
            </w:tr>
          </w:tbl>
          <w:p>
            <w:pPr>
              <w:spacing w:line="360" w:lineRule="auto"/>
              <w:ind w:firstLine="482" w:firstLineChars="200"/>
              <w:rPr>
                <w:rFonts w:cs="Times New Roman"/>
                <w:b/>
                <w:sz w:val="24"/>
                <w:szCs w:val="24"/>
              </w:rPr>
            </w:pPr>
            <w:r>
              <w:rPr>
                <w:rFonts w:cs="Times New Roman"/>
                <w:b/>
                <w:sz w:val="24"/>
                <w:szCs w:val="24"/>
              </w:rPr>
              <w:t>（2）治理设施、排放形式、排放口基本信息</w:t>
            </w:r>
          </w:p>
          <w:p>
            <w:pPr>
              <w:spacing w:line="360" w:lineRule="auto"/>
              <w:ind w:firstLine="482" w:firstLineChars="200"/>
              <w:rPr>
                <w:rFonts w:cs="Times New Roman"/>
                <w:b/>
                <w:bCs/>
                <w:sz w:val="24"/>
                <w:szCs w:val="24"/>
              </w:rPr>
            </w:pPr>
            <w:r>
              <w:rPr>
                <w:rFonts w:cs="Times New Roman"/>
                <w:b/>
                <w:bCs/>
                <w:sz w:val="24"/>
                <w:szCs w:val="24"/>
              </w:rPr>
              <w:t>①2100湿法薄毡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bCs/>
                <w:sz w:val="24"/>
                <w:szCs w:val="24"/>
              </w:rPr>
            </w:pPr>
            <w:r>
              <w:rPr>
                <w:rFonts w:cs="Times New Roman"/>
                <w:bCs/>
                <w:sz w:val="24"/>
                <w:szCs w:val="24"/>
              </w:rPr>
              <w:t>在浸胶与烘干环节，均有废气产生，浸胶与烘干设备为密闭设备，废气经密闭设备顶部排气口管道收集，收集效率以98%计，设计风机风量25000</w:t>
            </w:r>
            <w:r>
              <w:rPr>
                <w:rFonts w:cs="Times New Roman"/>
                <w:sz w:val="24"/>
                <w:szCs w:val="24"/>
              </w:rPr>
              <w:t>m</w:t>
            </w:r>
            <w:r>
              <w:rPr>
                <w:rFonts w:cs="Times New Roman"/>
                <w:sz w:val="24"/>
                <w:szCs w:val="24"/>
                <w:vertAlign w:val="superscript"/>
              </w:rPr>
              <w:t>3</w:t>
            </w:r>
            <w:r>
              <w:rPr>
                <w:rFonts w:cs="Times New Roman"/>
                <w:bCs/>
                <w:sz w:val="24"/>
                <w:szCs w:val="24"/>
              </w:rPr>
              <w:t>/h，收集后的废气共经一套“二级活性炭吸附”设施处理，甲醛、有机废气处理效率按8</w:t>
            </w:r>
            <w:r>
              <w:rPr>
                <w:rFonts w:hint="eastAsia" w:cs="Times New Roman"/>
                <w:bCs/>
                <w:sz w:val="24"/>
                <w:szCs w:val="24"/>
                <w:lang w:val="en-US" w:eastAsia="zh-CN"/>
              </w:rPr>
              <w:t>4</w:t>
            </w:r>
            <w:r>
              <w:rPr>
                <w:rFonts w:cs="Times New Roman"/>
                <w:bCs/>
                <w:sz w:val="24"/>
                <w:szCs w:val="24"/>
              </w:rPr>
              <w:t>%计，氨处理效率按20%计，处理后由18m高的排气筒DA005排放。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经过上述工艺处理后，甲醛有组织排放量为</w:t>
            </w:r>
            <w:r>
              <w:rPr>
                <w:rFonts w:cs="Times New Roman"/>
                <w:color w:val="000000" w:themeColor="text1"/>
                <w:sz w:val="24"/>
                <w:szCs w:val="24"/>
                <w14:textFill>
                  <w14:solidFill>
                    <w14:schemeClr w14:val="tx1"/>
                  </w14:solidFill>
                </w14:textFill>
              </w:rPr>
              <w:t>0.397t/a，排放速率为0.050kg/h，排放浓度为2.0mg/m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0.051t/a，排放速率为0.006kg/h；</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氨</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0.06</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t/a，排放速率为0.008kg/h，排放浓度为0.3</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0.002t/a，排放速率为0.0002kg/h；</w:t>
            </w:r>
          </w:p>
          <w:p>
            <w:pPr>
              <w:spacing w:line="360" w:lineRule="auto"/>
              <w:ind w:firstLine="480" w:firstLineChars="200"/>
              <w:rPr>
                <w:rFonts w:cs="Times New Roman"/>
                <w:bCs/>
                <w:color w:val="FF0000"/>
                <w:sz w:val="24"/>
                <w:szCs w:val="24"/>
              </w:rPr>
            </w:pPr>
            <w:r>
              <w:rPr>
                <w:rFonts w:cs="Times New Roman"/>
                <w:color w:val="000000" w:themeColor="text1"/>
                <w:sz w:val="24"/>
                <w:szCs w:val="24"/>
                <w14:textFill>
                  <w14:solidFill>
                    <w14:schemeClr w14:val="tx1"/>
                  </w14:solidFill>
                </w14:textFill>
              </w:rPr>
              <w:t>VOCs</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0.005t/a，排放速率为0.001kg/h，排放浓度为0.0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0.001t/a，排放速率为0.0001kg/h。</w:t>
            </w:r>
          </w:p>
          <w:p>
            <w:pPr>
              <w:spacing w:line="360" w:lineRule="auto"/>
              <w:ind w:firstLine="482" w:firstLineChars="200"/>
              <w:rPr>
                <w:rFonts w:cs="Times New Roman"/>
                <w:bCs/>
                <w:sz w:val="24"/>
                <w:szCs w:val="24"/>
              </w:rPr>
            </w:pPr>
            <w:r>
              <w:rPr>
                <w:rFonts w:cs="Times New Roman"/>
                <w:b/>
                <w:sz w:val="24"/>
                <w:szCs w:val="24"/>
              </w:rPr>
              <w:t>活性炭吸附处理装置：</w:t>
            </w:r>
            <w:r>
              <w:rPr>
                <w:rFonts w:cs="Times New Roman"/>
                <w:bCs/>
                <w:sz w:val="24"/>
                <w:szCs w:val="24"/>
              </w:rPr>
              <w:t>根据刘芬、刘品华《活性炭纤维在挥发性有机废气处理中应用》的实验结果表明：“每公斤活性炭可吸附0.22kg~0.25kg有机废气”（本次环评取0.25kg）。本项目有机废气产生量为2.569t/a，因此，活性炭使用量为10.277t。环评要求活性炭至少每三个月更换一次，活性炭填充量为2.6t。废活性炭产生量为12.969t。</w:t>
            </w:r>
          </w:p>
          <w:p>
            <w:pPr>
              <w:spacing w:line="360" w:lineRule="auto"/>
              <w:ind w:firstLine="482" w:firstLineChars="200"/>
              <w:rPr>
                <w:rFonts w:cs="Times New Roman"/>
                <w:b/>
                <w:sz w:val="24"/>
                <w:szCs w:val="24"/>
              </w:rPr>
            </w:pPr>
            <w:r>
              <w:rPr>
                <w:rFonts w:cs="Times New Roman"/>
                <w:b/>
                <w:sz w:val="24"/>
                <w:szCs w:val="24"/>
              </w:rPr>
              <w:t>2）烘干工序产生的天然气燃烧废气</w:t>
            </w:r>
          </w:p>
          <w:p>
            <w:pPr>
              <w:spacing w:line="360" w:lineRule="auto"/>
              <w:ind w:firstLine="480" w:firstLineChars="200"/>
              <w:rPr>
                <w:rFonts w:cs="Times New Roman"/>
                <w:bCs/>
                <w:sz w:val="24"/>
                <w:szCs w:val="24"/>
              </w:rPr>
            </w:pPr>
            <w:r>
              <w:rPr>
                <w:rFonts w:cs="Times New Roman"/>
                <w:bCs/>
                <w:sz w:val="24"/>
                <w:szCs w:val="24"/>
              </w:rPr>
              <w:t>环评建议企业安装低氮燃烧装置，烘干炉产生的废气由18m高排气筒（DA005）排放。项目设计风机风量为25000m</w:t>
            </w:r>
            <w:r>
              <w:rPr>
                <w:rFonts w:cs="Times New Roman"/>
                <w:bCs/>
                <w:sz w:val="24"/>
                <w:szCs w:val="24"/>
                <w:vertAlign w:val="superscript"/>
              </w:rPr>
              <w:t>3</w:t>
            </w:r>
            <w:r>
              <w:rPr>
                <w:rFonts w:cs="Times New Roman"/>
                <w:bCs/>
                <w:sz w:val="24"/>
                <w:szCs w:val="24"/>
              </w:rPr>
              <w:t>/h（烟气量716.7m</w:t>
            </w:r>
            <w:r>
              <w:rPr>
                <w:rFonts w:cs="Times New Roman"/>
                <w:bCs/>
                <w:sz w:val="24"/>
                <w:szCs w:val="24"/>
                <w:vertAlign w:val="superscript"/>
              </w:rPr>
              <w:t>3</w:t>
            </w:r>
            <w:r>
              <w:rPr>
                <w:rFonts w:cs="Times New Roman"/>
                <w:bCs/>
                <w:sz w:val="24"/>
                <w:szCs w:val="24"/>
              </w:rPr>
              <w:t>/h）。</w:t>
            </w:r>
          </w:p>
          <w:p>
            <w:pPr>
              <w:spacing w:line="360" w:lineRule="auto"/>
              <w:jc w:val="center"/>
              <w:rPr>
                <w:rFonts w:cs="Times New Roman"/>
                <w:b/>
                <w:sz w:val="24"/>
                <w:szCs w:val="24"/>
              </w:rPr>
            </w:pPr>
            <w:r>
              <w:rPr>
                <w:rFonts w:cs="Times New Roman"/>
                <w:b/>
                <w:sz w:val="24"/>
                <w:szCs w:val="24"/>
              </w:rPr>
              <w:t>表4-5 天然气燃烧废气产排情况</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069"/>
              <w:gridCol w:w="1762"/>
              <w:gridCol w:w="1767"/>
              <w:gridCol w:w="1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b/>
                      <w:bCs/>
                      <w:szCs w:val="21"/>
                    </w:rPr>
                  </w:pPr>
                  <w:r>
                    <w:rPr>
                      <w:rFonts w:cs="Times New Roman"/>
                      <w:szCs w:val="21"/>
                    </w:rPr>
                    <w:t>内容</w:t>
                  </w:r>
                </w:p>
              </w:tc>
              <w:tc>
                <w:tcPr>
                  <w:tcW w:w="1046" w:type="pct"/>
                  <w:tcBorders>
                    <w:tl2br w:val="nil"/>
                    <w:tr2bl w:val="nil"/>
                  </w:tcBorders>
                  <w:shd w:val="clear" w:color="auto" w:fill="auto"/>
                  <w:noWrap/>
                  <w:vAlign w:val="center"/>
                </w:tcPr>
                <w:p>
                  <w:pPr>
                    <w:widowControl/>
                    <w:jc w:val="center"/>
                    <w:rPr>
                      <w:rFonts w:cs="Times New Roman"/>
                      <w:b/>
                      <w:bCs/>
                      <w:szCs w:val="21"/>
                    </w:rPr>
                  </w:pPr>
                  <w:r>
                    <w:rPr>
                      <w:rFonts w:cs="Times New Roman"/>
                      <w:szCs w:val="21"/>
                    </w:rPr>
                    <w:t>SO</w:t>
                  </w:r>
                  <w:r>
                    <w:rPr>
                      <w:rFonts w:cs="Times New Roman"/>
                      <w:szCs w:val="21"/>
                      <w:vertAlign w:val="subscript"/>
                    </w:rPr>
                    <w:t>2</w:t>
                  </w:r>
                </w:p>
              </w:tc>
              <w:tc>
                <w:tcPr>
                  <w:tcW w:w="1048" w:type="pct"/>
                  <w:tcBorders>
                    <w:tl2br w:val="nil"/>
                    <w:tr2bl w:val="nil"/>
                  </w:tcBorders>
                  <w:shd w:val="clear" w:color="auto" w:fill="auto"/>
                  <w:noWrap/>
                  <w:vAlign w:val="center"/>
                </w:tcPr>
                <w:p>
                  <w:pPr>
                    <w:widowControl/>
                    <w:jc w:val="center"/>
                    <w:rPr>
                      <w:rFonts w:cs="Times New Roman"/>
                      <w:szCs w:val="21"/>
                    </w:rPr>
                  </w:pPr>
                  <w:r>
                    <w:rPr>
                      <w:rFonts w:cs="Times New Roman"/>
                      <w:szCs w:val="21"/>
                    </w:rPr>
                    <w:t>NO</w:t>
                  </w:r>
                  <w:r>
                    <w:rPr>
                      <w:rFonts w:cs="Times New Roman"/>
                      <w:szCs w:val="21"/>
                      <w:vertAlign w:val="subscript"/>
                    </w:rPr>
                    <w:t>2</w:t>
                  </w:r>
                </w:p>
              </w:tc>
              <w:tc>
                <w:tcPr>
                  <w:tcW w:w="1050" w:type="pct"/>
                  <w:tcBorders>
                    <w:tl2br w:val="nil"/>
                    <w:tr2bl w:val="nil"/>
                  </w:tcBorders>
                  <w:shd w:val="clear" w:color="auto" w:fill="auto"/>
                  <w:noWrap/>
                  <w:vAlign w:val="center"/>
                </w:tcPr>
                <w:p>
                  <w:pPr>
                    <w:widowControl/>
                    <w:jc w:val="center"/>
                    <w:rPr>
                      <w:rFonts w:cs="Times New Roman"/>
                      <w:szCs w:val="21"/>
                    </w:rPr>
                  </w:pPr>
                  <w:r>
                    <w:rPr>
                      <w:rFonts w:hint="eastAsia" w:cs="Times New Roman"/>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排气总量m</w:t>
                  </w:r>
                  <w:r>
                    <w:rPr>
                      <w:rFonts w:cs="Times New Roman"/>
                      <w:szCs w:val="21"/>
                      <w:vertAlign w:val="superscript"/>
                    </w:rPr>
                    <w:t>3</w:t>
                  </w:r>
                  <w:r>
                    <w:rPr>
                      <w:rFonts w:cs="Times New Roman"/>
                      <w:szCs w:val="21"/>
                    </w:rPr>
                    <w:t>/h</w:t>
                  </w:r>
                </w:p>
              </w:tc>
              <w:tc>
                <w:tcPr>
                  <w:tcW w:w="3145" w:type="pct"/>
                  <w:gridSpan w:val="3"/>
                  <w:tcBorders>
                    <w:tl2br w:val="nil"/>
                    <w:tr2bl w:val="nil"/>
                  </w:tcBorders>
                  <w:shd w:val="clear" w:color="auto" w:fill="auto"/>
                  <w:noWrap/>
                  <w:vAlign w:val="center"/>
                </w:tcPr>
                <w:p>
                  <w:pPr>
                    <w:widowControl/>
                    <w:jc w:val="center"/>
                    <w:rPr>
                      <w:rFonts w:cs="Times New Roman"/>
                      <w:szCs w:val="21"/>
                    </w:rPr>
                  </w:pPr>
                  <w:r>
                    <w:rPr>
                      <w:rFonts w:cs="Times New Roman"/>
                      <w:szCs w:val="21"/>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内径m</w:t>
                  </w:r>
                </w:p>
              </w:tc>
              <w:tc>
                <w:tcPr>
                  <w:tcW w:w="3145" w:type="pct"/>
                  <w:gridSpan w:val="3"/>
                  <w:tcBorders>
                    <w:tl2br w:val="nil"/>
                    <w:tr2bl w:val="nil"/>
                  </w:tcBorders>
                  <w:shd w:val="clear" w:color="auto" w:fill="auto"/>
                  <w:noWrap/>
                  <w:vAlign w:val="center"/>
                </w:tcPr>
                <w:p>
                  <w:pPr>
                    <w:widowControl/>
                    <w:jc w:val="center"/>
                    <w:rPr>
                      <w:rFonts w:cs="Times New Roman"/>
                      <w:szCs w:val="21"/>
                    </w:rPr>
                  </w:pPr>
                  <w:r>
                    <w:rPr>
                      <w:rFonts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处理措施</w:t>
                  </w:r>
                </w:p>
              </w:tc>
              <w:tc>
                <w:tcPr>
                  <w:tcW w:w="3145" w:type="pct"/>
                  <w:gridSpan w:val="3"/>
                  <w:tcBorders>
                    <w:tl2br w:val="nil"/>
                    <w:tr2bl w:val="nil"/>
                  </w:tcBorders>
                  <w:shd w:val="clear" w:color="auto" w:fill="auto"/>
                  <w:noWrap/>
                  <w:vAlign w:val="center"/>
                </w:tcPr>
                <w:p>
                  <w:pPr>
                    <w:widowControl/>
                    <w:jc w:val="center"/>
                    <w:rPr>
                      <w:rFonts w:cs="Times New Roman"/>
                      <w:szCs w:val="21"/>
                    </w:rPr>
                  </w:pPr>
                  <w:r>
                    <w:rPr>
                      <w:rFonts w:cs="Times New Roman"/>
                      <w:szCs w:val="21"/>
                    </w:rPr>
                    <w:t>低氮燃烧器+排气筒（DA005）排放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restart"/>
                  <w:tcBorders>
                    <w:tl2br w:val="nil"/>
                    <w:tr2bl w:val="nil"/>
                  </w:tcBorders>
                  <w:shd w:val="clear" w:color="auto" w:fill="auto"/>
                  <w:noWrap/>
                  <w:vAlign w:val="center"/>
                </w:tcPr>
                <w:p>
                  <w:pPr>
                    <w:widowControl/>
                    <w:jc w:val="center"/>
                    <w:rPr>
                      <w:rFonts w:hint="eastAsia" w:eastAsia="宋体" w:cs="Times New Roman"/>
                      <w:szCs w:val="21"/>
                      <w:lang w:eastAsia="zh-CN"/>
                    </w:rPr>
                  </w:pPr>
                  <w:r>
                    <w:rPr>
                      <w:rFonts w:hint="eastAsia" w:cs="Times New Roman"/>
                      <w:szCs w:val="21"/>
                      <w:lang w:val="en-US" w:eastAsia="zh-CN"/>
                    </w:rPr>
                    <w:t>排放量</w:t>
                  </w: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排放量t/a</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0.046</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1.833</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0.162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continue"/>
                  <w:tcBorders>
                    <w:tl2br w:val="nil"/>
                    <w:tr2bl w:val="nil"/>
                  </w:tcBorders>
                  <w:shd w:val="clear" w:color="auto" w:fill="auto"/>
                  <w:noWrap/>
                  <w:vAlign w:val="center"/>
                </w:tcPr>
                <w:p>
                  <w:pPr>
                    <w:widowControl/>
                    <w:jc w:val="center"/>
                    <w:rPr>
                      <w:rFonts w:cs="Times New Roman"/>
                      <w:szCs w:val="21"/>
                    </w:rPr>
                  </w:pP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0.006</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0.231</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continue"/>
                  <w:tcBorders>
                    <w:tl2br w:val="nil"/>
                    <w:tr2bl w:val="nil"/>
                  </w:tcBorders>
                  <w:shd w:val="clear" w:color="auto" w:fill="auto"/>
                  <w:noWrap/>
                  <w:vAlign w:val="center"/>
                </w:tcPr>
                <w:p>
                  <w:pPr>
                    <w:widowControl/>
                    <w:jc w:val="center"/>
                    <w:rPr>
                      <w:rFonts w:cs="Times New Roman"/>
                      <w:szCs w:val="21"/>
                    </w:rPr>
                  </w:pP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0.233</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9.258</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0.817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restart"/>
                  <w:tcBorders>
                    <w:tl2br w:val="nil"/>
                    <w:tr2bl w:val="nil"/>
                  </w:tcBorders>
                  <w:shd w:val="clear" w:color="auto" w:fill="auto"/>
                  <w:noWrap/>
                  <w:vAlign w:val="center"/>
                </w:tcPr>
                <w:p>
                  <w:pPr>
                    <w:widowControl/>
                    <w:jc w:val="center"/>
                    <w:rPr>
                      <w:rFonts w:cs="Times New Roman"/>
                      <w:szCs w:val="21"/>
                    </w:rPr>
                  </w:pPr>
                  <w:r>
                    <w:rPr>
                      <w:rFonts w:cs="Times New Roman"/>
                      <w:szCs w:val="21"/>
                    </w:rPr>
                    <w:t>评价标准</w:t>
                  </w: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continue"/>
                  <w:tcBorders>
                    <w:tl2br w:val="nil"/>
                    <w:tr2bl w:val="nil"/>
                  </w:tcBorders>
                  <w:shd w:val="clear" w:color="auto" w:fill="auto"/>
                  <w:noWrap/>
                  <w:vAlign w:val="center"/>
                </w:tcPr>
                <w:p>
                  <w:pPr>
                    <w:widowControl/>
                    <w:jc w:val="left"/>
                    <w:rPr>
                      <w:rFonts w:cs="Times New Roman"/>
                      <w:szCs w:val="21"/>
                    </w:rPr>
                  </w:pP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50</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100</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达标情况</w:t>
                  </w:r>
                </w:p>
              </w:tc>
              <w:tc>
                <w:tcPr>
                  <w:tcW w:w="1046"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c>
                <w:tcPr>
                  <w:tcW w:w="1048"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c>
                <w:tcPr>
                  <w:tcW w:w="1050"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r>
          </w:tbl>
          <w:p>
            <w:pPr>
              <w:spacing w:line="360" w:lineRule="auto"/>
              <w:ind w:firstLine="482" w:firstLineChars="200"/>
              <w:rPr>
                <w:rFonts w:cs="Times New Roman"/>
                <w:bCs/>
                <w:sz w:val="24"/>
                <w:szCs w:val="24"/>
              </w:rPr>
            </w:pPr>
            <w:r>
              <w:rPr>
                <w:rFonts w:cs="Times New Roman"/>
                <w:b/>
                <w:sz w:val="24"/>
                <w:szCs w:val="24"/>
              </w:rPr>
              <w:t>3）</w:t>
            </w:r>
            <w:r>
              <w:rPr>
                <w:rFonts w:cs="Times New Roman"/>
                <w:b/>
                <w:bCs/>
                <w:sz w:val="24"/>
                <w:szCs w:val="24"/>
              </w:rPr>
              <w:t>食堂油烟</w:t>
            </w:r>
          </w:p>
          <w:p>
            <w:pPr>
              <w:spacing w:line="360" w:lineRule="auto"/>
              <w:ind w:firstLine="480" w:firstLineChars="200"/>
              <w:rPr>
                <w:rFonts w:cs="Times New Roman"/>
                <w:sz w:val="24"/>
                <w:szCs w:val="24"/>
              </w:rPr>
            </w:pPr>
            <w:r>
              <w:rPr>
                <w:rFonts w:cs="Times New Roman"/>
                <w:bCs/>
                <w:sz w:val="24"/>
                <w:szCs w:val="24"/>
              </w:rPr>
              <w:t>食堂安装了1台油烟净化器（风量为3000m</w:t>
            </w:r>
            <w:r>
              <w:rPr>
                <w:rFonts w:cs="Times New Roman"/>
                <w:bCs/>
                <w:sz w:val="24"/>
                <w:szCs w:val="24"/>
                <w:vertAlign w:val="superscript"/>
              </w:rPr>
              <w:t>3</w:t>
            </w:r>
            <w:r>
              <w:rPr>
                <w:rFonts w:cs="Times New Roman"/>
                <w:bCs/>
                <w:sz w:val="24"/>
                <w:szCs w:val="24"/>
              </w:rPr>
              <w:t>/h），食堂油烟经处理后通过油烟管道（DA004）外排，处理效率按60%计。</w:t>
            </w:r>
          </w:p>
          <w:p>
            <w:pPr>
              <w:spacing w:line="360" w:lineRule="auto"/>
              <w:ind w:firstLine="480" w:firstLineChars="200"/>
              <w:rPr>
                <w:rFonts w:cs="Times New Roman"/>
                <w:b/>
                <w:bCs/>
                <w:sz w:val="24"/>
                <w:szCs w:val="24"/>
              </w:rPr>
            </w:pPr>
            <w:r>
              <w:rPr>
                <w:rFonts w:cs="Times New Roman"/>
                <w:sz w:val="24"/>
                <w:szCs w:val="24"/>
              </w:rPr>
              <w:t>食堂油烟经上述治理措施后，食堂油烟排放量为0.0011t/a，排放速率为0.0008kg/h，排放浓度为0.283mg/m</w:t>
            </w:r>
            <w:r>
              <w:rPr>
                <w:rFonts w:cs="Times New Roman"/>
                <w:sz w:val="24"/>
                <w:szCs w:val="24"/>
                <w:vertAlign w:val="superscript"/>
              </w:rPr>
              <w:t>3</w:t>
            </w:r>
            <w:r>
              <w:rPr>
                <w:rFonts w:cs="Times New Roman"/>
                <w:sz w:val="24"/>
                <w:szCs w:val="24"/>
              </w:rPr>
              <w:t>。因此，</w:t>
            </w:r>
            <w:r>
              <w:rPr>
                <w:rFonts w:cs="Times New Roman"/>
                <w:bCs/>
                <w:sz w:val="24"/>
                <w:szCs w:val="24"/>
              </w:rPr>
              <w:t>本项目</w:t>
            </w:r>
            <w:r>
              <w:rPr>
                <w:rFonts w:cs="Times New Roman"/>
                <w:sz w:val="24"/>
                <w:szCs w:val="24"/>
              </w:rPr>
              <w:t>食堂油烟经处理后排放浓度能满足《饮食业油烟排放标准（试行）》（GB18483-2001）中相关标准（2.0mg/m</w:t>
            </w:r>
            <w:r>
              <w:rPr>
                <w:rFonts w:cs="Times New Roman"/>
                <w:sz w:val="24"/>
                <w:szCs w:val="24"/>
                <w:vertAlign w:val="superscript"/>
              </w:rPr>
              <w:t>3</w:t>
            </w:r>
            <w:r>
              <w:rPr>
                <w:rFonts w:cs="Times New Roman"/>
                <w:sz w:val="24"/>
                <w:szCs w:val="24"/>
              </w:rPr>
              <w:t>），可以实现达标排放。</w:t>
            </w:r>
          </w:p>
          <w:p>
            <w:pPr>
              <w:spacing w:line="360" w:lineRule="auto"/>
              <w:ind w:firstLine="480" w:firstLineChars="200"/>
              <w:rPr>
                <w:rFonts w:cs="Times New Roman"/>
                <w:sz w:val="24"/>
                <w:szCs w:val="24"/>
              </w:rPr>
            </w:pPr>
            <w:r>
              <w:rPr>
                <w:rFonts w:cs="Times New Roman"/>
                <w:sz w:val="24"/>
                <w:szCs w:val="24"/>
              </w:rPr>
              <w:t>综上所述，项目治理设施、排放形式表4-6。</w:t>
            </w:r>
          </w:p>
          <w:p>
            <w:pPr>
              <w:spacing w:line="360" w:lineRule="auto"/>
              <w:jc w:val="center"/>
              <w:rPr>
                <w:rFonts w:cs="Times New Roman"/>
                <w:b/>
                <w:sz w:val="24"/>
                <w:szCs w:val="24"/>
              </w:rPr>
            </w:pPr>
            <w:r>
              <w:rPr>
                <w:rFonts w:cs="Times New Roman"/>
                <w:b/>
                <w:sz w:val="24"/>
                <w:szCs w:val="24"/>
              </w:rPr>
              <w:t>表4-6 项目废气治理设施、排放形式一览表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08"/>
              <w:gridCol w:w="919"/>
              <w:gridCol w:w="993"/>
              <w:gridCol w:w="2696"/>
              <w:gridCol w:w="993"/>
              <w:gridCol w:w="850"/>
              <w:gridCol w:w="1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restart"/>
                  <w:tcBorders>
                    <w:tl2br w:val="nil"/>
                    <w:tr2bl w:val="nil"/>
                  </w:tcBorders>
                  <w:vAlign w:val="center"/>
                </w:tcPr>
                <w:p>
                  <w:pPr>
                    <w:jc w:val="center"/>
                    <w:rPr>
                      <w:rFonts w:cs="Times New Roman"/>
                      <w:b/>
                      <w:bCs/>
                      <w:szCs w:val="21"/>
                    </w:rPr>
                  </w:pPr>
                  <w:r>
                    <w:rPr>
                      <w:rFonts w:cs="Times New Roman"/>
                      <w:b/>
                      <w:bCs/>
                      <w:szCs w:val="21"/>
                    </w:rPr>
                    <w:t>废气类型</w:t>
                  </w:r>
                </w:p>
              </w:tc>
              <w:tc>
                <w:tcPr>
                  <w:tcW w:w="545"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589" w:type="pct"/>
                  <w:vMerge w:val="restart"/>
                  <w:tcBorders>
                    <w:tl2br w:val="nil"/>
                    <w:tr2bl w:val="nil"/>
                  </w:tcBorders>
                  <w:vAlign w:val="center"/>
                </w:tcPr>
                <w:p>
                  <w:pPr>
                    <w:jc w:val="center"/>
                    <w:rPr>
                      <w:rFonts w:cs="Times New Roman"/>
                      <w:b/>
                      <w:bCs/>
                      <w:szCs w:val="21"/>
                    </w:rPr>
                  </w:pPr>
                  <w:r>
                    <w:rPr>
                      <w:rFonts w:cs="Times New Roman"/>
                      <w:b/>
                      <w:bCs/>
                      <w:szCs w:val="21"/>
                    </w:rPr>
                    <w:t>排放形式</w:t>
                  </w:r>
                </w:p>
              </w:tc>
              <w:tc>
                <w:tcPr>
                  <w:tcW w:w="3384" w:type="pct"/>
                  <w:gridSpan w:val="4"/>
                  <w:tcBorders>
                    <w:tl2br w:val="nil"/>
                    <w:tr2bl w:val="nil"/>
                  </w:tcBorders>
                  <w:vAlign w:val="center"/>
                </w:tcPr>
                <w:p>
                  <w:pPr>
                    <w:jc w:val="center"/>
                    <w:rPr>
                      <w:rFonts w:cs="Times New Roman"/>
                      <w:b/>
                      <w:bCs/>
                      <w:szCs w:val="21"/>
                    </w:rPr>
                  </w:pPr>
                  <w:r>
                    <w:rPr>
                      <w:rFonts w:cs="Times New Roman"/>
                      <w:b/>
                      <w:bCs/>
                      <w:szCs w:val="21"/>
                    </w:rPr>
                    <w:t>污染物治理设施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tcBorders>
                    <w:tl2br w:val="nil"/>
                    <w:tr2bl w:val="nil"/>
                  </w:tcBorders>
                  <w:vAlign w:val="center"/>
                </w:tcPr>
                <w:p>
                  <w:pPr>
                    <w:jc w:val="center"/>
                    <w:rPr>
                      <w:rFonts w:cs="Times New Roman"/>
                      <w:b/>
                      <w:bCs/>
                      <w:szCs w:val="21"/>
                    </w:rPr>
                  </w:pPr>
                </w:p>
              </w:tc>
              <w:tc>
                <w:tcPr>
                  <w:tcW w:w="545" w:type="pct"/>
                  <w:vMerge w:val="continue"/>
                  <w:tcBorders>
                    <w:tl2br w:val="nil"/>
                    <w:tr2bl w:val="nil"/>
                  </w:tcBorders>
                  <w:vAlign w:val="center"/>
                </w:tcPr>
                <w:p>
                  <w:pPr>
                    <w:jc w:val="center"/>
                    <w:rPr>
                      <w:rFonts w:cs="Times New Roman"/>
                      <w:b/>
                      <w:bCs/>
                      <w:szCs w:val="21"/>
                    </w:rPr>
                  </w:pPr>
                </w:p>
              </w:tc>
              <w:tc>
                <w:tcPr>
                  <w:tcW w:w="589" w:type="pct"/>
                  <w:vMerge w:val="continue"/>
                  <w:tcBorders>
                    <w:tl2br w:val="nil"/>
                    <w:tr2bl w:val="nil"/>
                  </w:tcBorders>
                  <w:vAlign w:val="center"/>
                </w:tcPr>
                <w:p>
                  <w:pPr>
                    <w:jc w:val="center"/>
                    <w:rPr>
                      <w:rFonts w:cs="Times New Roman"/>
                      <w:b/>
                      <w:bCs/>
                      <w:szCs w:val="21"/>
                    </w:rPr>
                  </w:pPr>
                </w:p>
              </w:tc>
              <w:tc>
                <w:tcPr>
                  <w:tcW w:w="1599" w:type="pct"/>
                  <w:tcBorders>
                    <w:tl2br w:val="nil"/>
                    <w:tr2bl w:val="nil"/>
                  </w:tcBorders>
                  <w:vAlign w:val="center"/>
                </w:tcPr>
                <w:p>
                  <w:pPr>
                    <w:jc w:val="center"/>
                    <w:rPr>
                      <w:rFonts w:cs="Times New Roman"/>
                      <w:b/>
                      <w:bCs/>
                      <w:szCs w:val="21"/>
                    </w:rPr>
                  </w:pPr>
                  <w:r>
                    <w:rPr>
                      <w:rFonts w:cs="Times New Roman"/>
                      <w:b/>
                      <w:bCs/>
                      <w:szCs w:val="21"/>
                    </w:rPr>
                    <w:t>治理设施名称及工艺</w:t>
                  </w:r>
                </w:p>
              </w:tc>
              <w:tc>
                <w:tcPr>
                  <w:tcW w:w="589" w:type="pct"/>
                  <w:tcBorders>
                    <w:tl2br w:val="nil"/>
                    <w:tr2bl w:val="nil"/>
                  </w:tcBorders>
                  <w:vAlign w:val="center"/>
                </w:tcPr>
                <w:p>
                  <w:pPr>
                    <w:jc w:val="center"/>
                    <w:rPr>
                      <w:rFonts w:cs="Times New Roman"/>
                      <w:b/>
                      <w:bCs/>
                      <w:szCs w:val="21"/>
                    </w:rPr>
                  </w:pPr>
                  <w:r>
                    <w:rPr>
                      <w:rFonts w:cs="Times New Roman"/>
                      <w:b/>
                      <w:bCs/>
                      <w:szCs w:val="21"/>
                    </w:rPr>
                    <w:t>收集效率（%）</w:t>
                  </w:r>
                </w:p>
              </w:tc>
              <w:tc>
                <w:tcPr>
                  <w:tcW w:w="504" w:type="pct"/>
                  <w:tcBorders>
                    <w:tl2br w:val="nil"/>
                    <w:tr2bl w:val="nil"/>
                  </w:tcBorders>
                  <w:vAlign w:val="center"/>
                </w:tcPr>
                <w:p>
                  <w:pPr>
                    <w:jc w:val="center"/>
                    <w:rPr>
                      <w:rFonts w:cs="Times New Roman"/>
                      <w:b/>
                      <w:bCs/>
                      <w:szCs w:val="21"/>
                    </w:rPr>
                  </w:pPr>
                  <w:r>
                    <w:rPr>
                      <w:rFonts w:cs="Times New Roman"/>
                      <w:b/>
                      <w:bCs/>
                      <w:szCs w:val="21"/>
                    </w:rPr>
                    <w:t>去除率（%）</w:t>
                  </w:r>
                </w:p>
              </w:tc>
              <w:tc>
                <w:tcPr>
                  <w:tcW w:w="691" w:type="pct"/>
                  <w:tcBorders>
                    <w:tl2br w:val="nil"/>
                    <w:tr2bl w:val="nil"/>
                  </w:tcBorders>
                  <w:vAlign w:val="center"/>
                </w:tcPr>
                <w:p>
                  <w:pPr>
                    <w:jc w:val="center"/>
                    <w:rPr>
                      <w:rFonts w:cs="Times New Roman"/>
                      <w:b/>
                      <w:bCs/>
                      <w:szCs w:val="21"/>
                    </w:rPr>
                  </w:pPr>
                  <w:r>
                    <w:rPr>
                      <w:rFonts w:cs="Times New Roman"/>
                      <w:b/>
                      <w:bCs/>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545" w:type="pct"/>
                  <w:tcBorders>
                    <w:tl2br w:val="nil"/>
                    <w:tr2bl w:val="nil"/>
                  </w:tcBorders>
                  <w:vAlign w:val="center"/>
                </w:tcPr>
                <w:p>
                  <w:pPr>
                    <w:jc w:val="center"/>
                    <w:rPr>
                      <w:rFonts w:cs="Times New Roman"/>
                      <w:szCs w:val="21"/>
                    </w:rPr>
                  </w:pPr>
                  <w:r>
                    <w:rPr>
                      <w:rFonts w:cs="Times New Roman"/>
                      <w:szCs w:val="21"/>
                    </w:rPr>
                    <w:t>甲醛</w:t>
                  </w:r>
                </w:p>
              </w:tc>
              <w:tc>
                <w:tcPr>
                  <w:tcW w:w="589" w:type="pct"/>
                  <w:tcBorders>
                    <w:tl2br w:val="nil"/>
                    <w:tr2bl w:val="nil"/>
                  </w:tcBorders>
                  <w:vAlign w:val="center"/>
                </w:tcPr>
                <w:p>
                  <w:pPr>
                    <w:jc w:val="center"/>
                    <w:rPr>
                      <w:rFonts w:cs="Times New Roman"/>
                      <w:szCs w:val="21"/>
                    </w:rPr>
                  </w:pPr>
                  <w:r>
                    <w:rPr>
                      <w:rFonts w:cs="Times New Roman"/>
                      <w:szCs w:val="21"/>
                    </w:rPr>
                    <w:t>有组织</w:t>
                  </w:r>
                </w:p>
              </w:tc>
              <w:tc>
                <w:tcPr>
                  <w:tcW w:w="1599" w:type="pct"/>
                  <w:vMerge w:val="restart"/>
                  <w:tcBorders>
                    <w:tl2br w:val="nil"/>
                    <w:tr2bl w:val="nil"/>
                  </w:tcBorders>
                  <w:vAlign w:val="center"/>
                </w:tcPr>
                <w:p>
                  <w:pPr>
                    <w:jc w:val="center"/>
                    <w:rPr>
                      <w:rFonts w:cs="Times New Roman"/>
                      <w:szCs w:val="21"/>
                    </w:rPr>
                  </w:pPr>
                  <w:r>
                    <w:rPr>
                      <w:rFonts w:cs="Times New Roman"/>
                      <w:szCs w:val="21"/>
                    </w:rPr>
                    <w:t>经一套二级活性炭吸附装置处理后由18m高排气筒（DA005）排放</w:t>
                  </w:r>
                </w:p>
              </w:tc>
              <w:tc>
                <w:tcPr>
                  <w:tcW w:w="589" w:type="pct"/>
                  <w:tcBorders>
                    <w:tl2br w:val="nil"/>
                    <w:tr2bl w:val="nil"/>
                  </w:tcBorders>
                  <w:vAlign w:val="center"/>
                </w:tcPr>
                <w:p>
                  <w:pPr>
                    <w:jc w:val="center"/>
                    <w:rPr>
                      <w:rFonts w:cs="Times New Roman"/>
                      <w:szCs w:val="21"/>
                    </w:rPr>
                  </w:pPr>
                  <w:r>
                    <w:rPr>
                      <w:rFonts w:cs="Times New Roman"/>
                      <w:szCs w:val="21"/>
                    </w:rPr>
                    <w:t>98</w:t>
                  </w:r>
                </w:p>
              </w:tc>
              <w:tc>
                <w:tcPr>
                  <w:tcW w:w="504" w:type="pct"/>
                  <w:tcBorders>
                    <w:tl2br w:val="nil"/>
                    <w:tr2bl w:val="nil"/>
                  </w:tcBorders>
                  <w:vAlign w:val="center"/>
                </w:tcPr>
                <w:p>
                  <w:pPr>
                    <w:jc w:val="center"/>
                    <w:rPr>
                      <w:rFonts w:cs="Times New Roman"/>
                      <w:szCs w:val="21"/>
                    </w:rPr>
                  </w:pPr>
                  <w:r>
                    <w:rPr>
                      <w:rFonts w:cs="Times New Roman"/>
                      <w:szCs w:val="21"/>
                    </w:rPr>
                    <w:t>84</w:t>
                  </w:r>
                </w:p>
              </w:tc>
              <w:tc>
                <w:tcPr>
                  <w:tcW w:w="691" w:type="pct"/>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0" w:type="pct"/>
                  <w:vMerge w:val="continue"/>
                  <w:tcBorders>
                    <w:tl2br w:val="nil"/>
                    <w:tr2bl w:val="nil"/>
                  </w:tcBorders>
                  <w:vAlign w:val="center"/>
                </w:tcPr>
                <w:p>
                  <w:pPr>
                    <w:jc w:val="center"/>
                    <w:rPr>
                      <w:rFonts w:cs="Times New Roman"/>
                      <w:szCs w:val="21"/>
                    </w:rPr>
                  </w:pPr>
                </w:p>
              </w:tc>
              <w:tc>
                <w:tcPr>
                  <w:tcW w:w="545" w:type="pct"/>
                  <w:tcBorders>
                    <w:tl2br w:val="nil"/>
                    <w:tr2bl w:val="nil"/>
                  </w:tcBorders>
                  <w:vAlign w:val="center"/>
                </w:tcPr>
                <w:p>
                  <w:pPr>
                    <w:jc w:val="center"/>
                    <w:rPr>
                      <w:rFonts w:cs="Times New Roman"/>
                      <w:szCs w:val="21"/>
                    </w:rPr>
                  </w:pPr>
                  <w:r>
                    <w:rPr>
                      <w:rFonts w:cs="Times New Roman"/>
                      <w:szCs w:val="21"/>
                    </w:rPr>
                    <w:t>氨</w:t>
                  </w:r>
                </w:p>
              </w:tc>
              <w:tc>
                <w:tcPr>
                  <w:tcW w:w="589" w:type="pct"/>
                  <w:tcBorders>
                    <w:tl2br w:val="nil"/>
                    <w:tr2bl w:val="nil"/>
                  </w:tcBorders>
                  <w:vAlign w:val="center"/>
                </w:tcPr>
                <w:p>
                  <w:pPr>
                    <w:jc w:val="center"/>
                    <w:rPr>
                      <w:rFonts w:cs="Times New Roman"/>
                      <w:szCs w:val="21"/>
                    </w:rPr>
                  </w:pPr>
                  <w:r>
                    <w:rPr>
                      <w:rFonts w:cs="Times New Roman"/>
                      <w:szCs w:val="21"/>
                    </w:rPr>
                    <w:t>有组织</w:t>
                  </w:r>
                </w:p>
              </w:tc>
              <w:tc>
                <w:tcPr>
                  <w:tcW w:w="1599" w:type="pct"/>
                  <w:vMerge w:val="continue"/>
                  <w:tcBorders>
                    <w:tl2br w:val="nil"/>
                    <w:tr2bl w:val="nil"/>
                  </w:tcBorders>
                  <w:vAlign w:val="center"/>
                </w:tcPr>
                <w:p>
                  <w:pPr>
                    <w:jc w:val="center"/>
                    <w:rPr>
                      <w:rFonts w:cs="Times New Roman"/>
                      <w:szCs w:val="21"/>
                    </w:rPr>
                  </w:pPr>
                </w:p>
              </w:tc>
              <w:tc>
                <w:tcPr>
                  <w:tcW w:w="589" w:type="pct"/>
                  <w:tcBorders>
                    <w:tl2br w:val="nil"/>
                    <w:tr2bl w:val="nil"/>
                  </w:tcBorders>
                  <w:vAlign w:val="center"/>
                </w:tcPr>
                <w:p>
                  <w:pPr>
                    <w:jc w:val="center"/>
                    <w:rPr>
                      <w:rFonts w:cs="Times New Roman"/>
                      <w:szCs w:val="21"/>
                    </w:rPr>
                  </w:pPr>
                  <w:r>
                    <w:rPr>
                      <w:rFonts w:cs="Times New Roman"/>
                      <w:szCs w:val="21"/>
                    </w:rPr>
                    <w:t>98</w:t>
                  </w:r>
                </w:p>
              </w:tc>
              <w:tc>
                <w:tcPr>
                  <w:tcW w:w="504" w:type="pct"/>
                  <w:tcBorders>
                    <w:tl2br w:val="nil"/>
                    <w:tr2bl w:val="nil"/>
                  </w:tcBorders>
                  <w:vAlign w:val="center"/>
                </w:tcPr>
                <w:p>
                  <w:pPr>
                    <w:jc w:val="center"/>
                    <w:rPr>
                      <w:rFonts w:cs="Times New Roman"/>
                      <w:szCs w:val="21"/>
                    </w:rPr>
                  </w:pPr>
                  <w:r>
                    <w:rPr>
                      <w:rFonts w:cs="Times New Roman"/>
                      <w:szCs w:val="21"/>
                    </w:rPr>
                    <w:t>20</w:t>
                  </w:r>
                </w:p>
              </w:tc>
              <w:tc>
                <w:tcPr>
                  <w:tcW w:w="691" w:type="pct"/>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tcBorders>
                    <w:tl2br w:val="nil"/>
                    <w:tr2bl w:val="nil"/>
                  </w:tcBorders>
                  <w:vAlign w:val="center"/>
                </w:tcPr>
                <w:p>
                  <w:pPr>
                    <w:jc w:val="center"/>
                    <w:rPr>
                      <w:rFonts w:cs="Times New Roman"/>
                      <w:szCs w:val="21"/>
                    </w:rPr>
                  </w:pPr>
                </w:p>
              </w:tc>
              <w:tc>
                <w:tcPr>
                  <w:tcW w:w="545" w:type="pct"/>
                  <w:tcBorders>
                    <w:tl2br w:val="nil"/>
                    <w:tr2bl w:val="nil"/>
                  </w:tcBorders>
                  <w:vAlign w:val="center"/>
                </w:tcPr>
                <w:p>
                  <w:pPr>
                    <w:jc w:val="center"/>
                    <w:rPr>
                      <w:rFonts w:cs="Times New Roman"/>
                      <w:szCs w:val="21"/>
                    </w:rPr>
                  </w:pPr>
                  <w:r>
                    <w:rPr>
                      <w:rFonts w:cs="Times New Roman"/>
                      <w:szCs w:val="21"/>
                    </w:rPr>
                    <w:t>VOCs</w:t>
                  </w:r>
                </w:p>
              </w:tc>
              <w:tc>
                <w:tcPr>
                  <w:tcW w:w="589" w:type="pct"/>
                  <w:tcBorders>
                    <w:tl2br w:val="nil"/>
                    <w:tr2bl w:val="nil"/>
                  </w:tcBorders>
                  <w:vAlign w:val="center"/>
                </w:tcPr>
                <w:p>
                  <w:pPr>
                    <w:jc w:val="center"/>
                    <w:rPr>
                      <w:rFonts w:cs="Times New Roman"/>
                      <w:szCs w:val="21"/>
                    </w:rPr>
                  </w:pPr>
                  <w:r>
                    <w:rPr>
                      <w:rFonts w:cs="Times New Roman"/>
                      <w:szCs w:val="21"/>
                    </w:rPr>
                    <w:t>有组织</w:t>
                  </w:r>
                </w:p>
              </w:tc>
              <w:tc>
                <w:tcPr>
                  <w:tcW w:w="1599" w:type="pct"/>
                  <w:vMerge w:val="continue"/>
                  <w:tcBorders>
                    <w:tl2br w:val="nil"/>
                    <w:tr2bl w:val="nil"/>
                  </w:tcBorders>
                  <w:vAlign w:val="center"/>
                </w:tcPr>
                <w:p>
                  <w:pPr>
                    <w:jc w:val="center"/>
                    <w:rPr>
                      <w:rFonts w:cs="Times New Roman"/>
                      <w:szCs w:val="21"/>
                    </w:rPr>
                  </w:pPr>
                </w:p>
              </w:tc>
              <w:tc>
                <w:tcPr>
                  <w:tcW w:w="589" w:type="pct"/>
                  <w:tcBorders>
                    <w:tl2br w:val="nil"/>
                    <w:tr2bl w:val="nil"/>
                  </w:tcBorders>
                  <w:vAlign w:val="center"/>
                </w:tcPr>
                <w:p>
                  <w:pPr>
                    <w:jc w:val="center"/>
                    <w:rPr>
                      <w:rFonts w:cs="Times New Roman"/>
                      <w:szCs w:val="21"/>
                    </w:rPr>
                  </w:pPr>
                  <w:r>
                    <w:rPr>
                      <w:rFonts w:cs="Times New Roman"/>
                      <w:szCs w:val="21"/>
                    </w:rPr>
                    <w:t>98</w:t>
                  </w:r>
                </w:p>
              </w:tc>
              <w:tc>
                <w:tcPr>
                  <w:tcW w:w="504" w:type="pct"/>
                  <w:tcBorders>
                    <w:tl2br w:val="nil"/>
                    <w:tr2bl w:val="nil"/>
                  </w:tcBorders>
                  <w:vAlign w:val="center"/>
                </w:tcPr>
                <w:p>
                  <w:pPr>
                    <w:jc w:val="center"/>
                    <w:rPr>
                      <w:rFonts w:cs="Times New Roman"/>
                      <w:szCs w:val="21"/>
                    </w:rPr>
                  </w:pPr>
                  <w:r>
                    <w:rPr>
                      <w:rFonts w:cs="Times New Roman"/>
                      <w:szCs w:val="21"/>
                    </w:rPr>
                    <w:t>84</w:t>
                  </w:r>
                </w:p>
              </w:tc>
              <w:tc>
                <w:tcPr>
                  <w:tcW w:w="691" w:type="pct"/>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restart"/>
                  <w:vAlign w:val="center"/>
                </w:tcPr>
                <w:p>
                  <w:pPr>
                    <w:jc w:val="center"/>
                    <w:rPr>
                      <w:rFonts w:cs="Times New Roman"/>
                      <w:szCs w:val="21"/>
                    </w:rPr>
                  </w:pPr>
                  <w:r>
                    <w:rPr>
                      <w:rFonts w:cs="Times New Roman"/>
                      <w:szCs w:val="21"/>
                    </w:rPr>
                    <w:t>天然气燃烧废气</w:t>
                  </w:r>
                </w:p>
              </w:tc>
              <w:tc>
                <w:tcPr>
                  <w:tcW w:w="0" w:type="auto"/>
                  <w:vAlign w:val="center"/>
                </w:tcPr>
                <w:p>
                  <w:pPr>
                    <w:jc w:val="center"/>
                    <w:rPr>
                      <w:rFonts w:cs="Times New Roman"/>
                      <w:szCs w:val="21"/>
                    </w:rPr>
                  </w:pPr>
                  <w:r>
                    <w:rPr>
                      <w:rFonts w:cs="Times New Roman"/>
                      <w:szCs w:val="21"/>
                    </w:rPr>
                    <w:t>SO</w:t>
                  </w:r>
                  <w:r>
                    <w:rPr>
                      <w:rFonts w:cs="Times New Roman"/>
                      <w:szCs w:val="21"/>
                      <w:vertAlign w:val="subscript"/>
                    </w:rPr>
                    <w:t>2</w:t>
                  </w:r>
                </w:p>
              </w:tc>
              <w:tc>
                <w:tcPr>
                  <w:tcW w:w="0" w:type="auto"/>
                  <w:vAlign w:val="center"/>
                </w:tcPr>
                <w:p>
                  <w:pPr>
                    <w:jc w:val="center"/>
                    <w:rPr>
                      <w:rFonts w:cs="Times New Roman"/>
                      <w:szCs w:val="21"/>
                    </w:rPr>
                  </w:pPr>
                  <w:r>
                    <w:rPr>
                      <w:rFonts w:cs="Times New Roman"/>
                      <w:szCs w:val="21"/>
                    </w:rPr>
                    <w:t>有组织</w:t>
                  </w:r>
                </w:p>
              </w:tc>
              <w:tc>
                <w:tcPr>
                  <w:tcW w:w="1599" w:type="pct"/>
                  <w:vMerge w:val="restart"/>
                  <w:vAlign w:val="center"/>
                </w:tcPr>
                <w:p>
                  <w:pPr>
                    <w:jc w:val="center"/>
                    <w:rPr>
                      <w:rFonts w:cs="Times New Roman"/>
                      <w:szCs w:val="21"/>
                    </w:rPr>
                  </w:pPr>
                  <w:r>
                    <w:rPr>
                      <w:rFonts w:cs="Times New Roman"/>
                      <w:szCs w:val="21"/>
                    </w:rPr>
                    <w:t>安装低氮燃烧器，废气通过18m高排气筒（DA005）排放</w:t>
                  </w:r>
                </w:p>
              </w:tc>
              <w:tc>
                <w:tcPr>
                  <w:tcW w:w="589" w:type="pct"/>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vAlign w:val="center"/>
                </w:tcPr>
                <w:p>
                  <w:pPr>
                    <w:jc w:val="center"/>
                    <w:rPr>
                      <w:rFonts w:cs="Times New Roman"/>
                      <w:szCs w:val="21"/>
                    </w:rPr>
                  </w:pPr>
                </w:p>
              </w:tc>
              <w:tc>
                <w:tcPr>
                  <w:tcW w:w="0" w:type="auto"/>
                  <w:vAlign w:val="center"/>
                </w:tcPr>
                <w:p>
                  <w:pPr>
                    <w:jc w:val="center"/>
                    <w:rPr>
                      <w:rFonts w:cs="Times New Roman"/>
                      <w:szCs w:val="21"/>
                    </w:rPr>
                  </w:pPr>
                  <w:r>
                    <w:rPr>
                      <w:rFonts w:cs="Times New Roman"/>
                      <w:szCs w:val="21"/>
                    </w:rPr>
                    <w:t>NOx</w:t>
                  </w:r>
                </w:p>
              </w:tc>
              <w:tc>
                <w:tcPr>
                  <w:tcW w:w="0" w:type="auto"/>
                  <w:vAlign w:val="center"/>
                </w:tcPr>
                <w:p>
                  <w:pPr>
                    <w:jc w:val="center"/>
                    <w:rPr>
                      <w:rFonts w:cs="Times New Roman"/>
                      <w:szCs w:val="21"/>
                    </w:rPr>
                  </w:pPr>
                  <w:r>
                    <w:rPr>
                      <w:rFonts w:cs="Times New Roman"/>
                      <w:szCs w:val="21"/>
                    </w:rPr>
                    <w:t>有组织</w:t>
                  </w:r>
                </w:p>
              </w:tc>
              <w:tc>
                <w:tcPr>
                  <w:tcW w:w="1599" w:type="pct"/>
                  <w:vMerge w:val="continue"/>
                  <w:vAlign w:val="center"/>
                </w:tcPr>
                <w:p>
                  <w:pPr>
                    <w:jc w:val="center"/>
                    <w:rPr>
                      <w:rFonts w:cs="Times New Roman"/>
                      <w:szCs w:val="21"/>
                    </w:rPr>
                  </w:pPr>
                </w:p>
              </w:tc>
              <w:tc>
                <w:tcPr>
                  <w:tcW w:w="589" w:type="pct"/>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vAlign w:val="center"/>
                </w:tcPr>
                <w:p>
                  <w:pPr>
                    <w:jc w:val="center"/>
                    <w:rPr>
                      <w:rFonts w:cs="Times New Roman"/>
                      <w:szCs w:val="21"/>
                    </w:rPr>
                  </w:pPr>
                </w:p>
              </w:tc>
              <w:tc>
                <w:tcPr>
                  <w:tcW w:w="0" w:type="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0" w:type="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1599" w:type="pct"/>
                  <w:vMerge w:val="continue"/>
                  <w:vAlign w:val="center"/>
                </w:tcPr>
                <w:p>
                  <w:pPr>
                    <w:jc w:val="center"/>
                    <w:rPr>
                      <w:rFonts w:cs="Times New Roman"/>
                      <w:color w:val="000000" w:themeColor="text1"/>
                      <w:szCs w:val="21"/>
                      <w14:textFill>
                        <w14:solidFill>
                          <w14:schemeClr w14:val="tx1"/>
                        </w14:solidFill>
                      </w14:textFill>
                    </w:rPr>
                  </w:pPr>
                </w:p>
              </w:tc>
              <w:tc>
                <w:tcPr>
                  <w:tcW w:w="589" w:type="pct"/>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0" w:type="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0" w:type="auto"/>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pPr>
                    <w:jc w:val="center"/>
                    <w:rPr>
                      <w:rFonts w:cs="Times New Roman"/>
                      <w:szCs w:val="21"/>
                    </w:rPr>
                  </w:pPr>
                  <w:r>
                    <w:rPr>
                      <w:rFonts w:cs="Times New Roman"/>
                      <w:szCs w:val="21"/>
                    </w:rPr>
                    <w:t>食堂油烟</w:t>
                  </w:r>
                </w:p>
              </w:tc>
              <w:tc>
                <w:tcPr>
                  <w:tcW w:w="0" w:type="auto"/>
                  <w:vAlign w:val="center"/>
                </w:tcPr>
                <w:p>
                  <w:pPr>
                    <w:jc w:val="center"/>
                    <w:rPr>
                      <w:rFonts w:cs="Times New Roman"/>
                      <w:szCs w:val="21"/>
                    </w:rPr>
                  </w:pPr>
                  <w:r>
                    <w:rPr>
                      <w:rFonts w:cs="Times New Roman"/>
                      <w:szCs w:val="21"/>
                    </w:rPr>
                    <w:t>油烟</w:t>
                  </w:r>
                </w:p>
              </w:tc>
              <w:tc>
                <w:tcPr>
                  <w:tcW w:w="0" w:type="auto"/>
                  <w:vAlign w:val="center"/>
                </w:tcPr>
                <w:p>
                  <w:pPr>
                    <w:jc w:val="center"/>
                    <w:rPr>
                      <w:rFonts w:cs="Times New Roman"/>
                      <w:szCs w:val="21"/>
                    </w:rPr>
                  </w:pPr>
                  <w:r>
                    <w:rPr>
                      <w:rFonts w:cs="Times New Roman"/>
                      <w:szCs w:val="21"/>
                    </w:rPr>
                    <w:t>无组织</w:t>
                  </w:r>
                </w:p>
              </w:tc>
              <w:tc>
                <w:tcPr>
                  <w:tcW w:w="1599" w:type="pct"/>
                  <w:vAlign w:val="center"/>
                </w:tcPr>
                <w:p>
                  <w:pPr>
                    <w:jc w:val="center"/>
                    <w:rPr>
                      <w:rFonts w:cs="Times New Roman"/>
                      <w:szCs w:val="21"/>
                    </w:rPr>
                  </w:pPr>
                  <w:r>
                    <w:rPr>
                      <w:rFonts w:cs="Times New Roman"/>
                      <w:szCs w:val="21"/>
                      <w:lang w:bidi="ar"/>
                    </w:rPr>
                    <w:t>经油烟净化器处理后外排</w:t>
                  </w:r>
                </w:p>
              </w:tc>
              <w:tc>
                <w:tcPr>
                  <w:tcW w:w="589" w:type="pct"/>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60</w:t>
                  </w:r>
                </w:p>
              </w:tc>
              <w:tc>
                <w:tcPr>
                  <w:tcW w:w="0" w:type="auto"/>
                  <w:vAlign w:val="center"/>
                </w:tcPr>
                <w:p>
                  <w:pPr>
                    <w:jc w:val="center"/>
                    <w:rPr>
                      <w:rFonts w:cs="Times New Roman"/>
                      <w:szCs w:val="21"/>
                    </w:rPr>
                  </w:pPr>
                  <w:r>
                    <w:rPr>
                      <w:rFonts w:cs="Times New Roman"/>
                      <w:szCs w:val="21"/>
                    </w:rPr>
                    <w:t>是</w:t>
                  </w:r>
                </w:p>
              </w:tc>
            </w:tr>
          </w:tbl>
          <w:p>
            <w:pPr>
              <w:spacing w:line="360" w:lineRule="auto"/>
              <w:ind w:firstLine="482" w:firstLineChars="200"/>
              <w:rPr>
                <w:rFonts w:cs="Times New Roman"/>
                <w:b/>
                <w:bCs/>
                <w:sz w:val="24"/>
                <w:szCs w:val="24"/>
              </w:rPr>
            </w:pPr>
            <w:r>
              <w:rPr>
                <w:rFonts w:cs="Times New Roman"/>
                <w:b/>
                <w:bCs/>
                <w:sz w:val="24"/>
                <w:szCs w:val="24"/>
              </w:rPr>
              <w:t>②2600湿法薄毡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bCs/>
                <w:sz w:val="24"/>
                <w:szCs w:val="24"/>
              </w:rPr>
            </w:pPr>
            <w:r>
              <w:rPr>
                <w:rFonts w:cs="Times New Roman"/>
                <w:bCs/>
                <w:sz w:val="24"/>
                <w:szCs w:val="24"/>
              </w:rPr>
              <w:t>在浸胶与烘干环节，均有废气产生，浸胶与烘干设备为密闭设备，废气经密闭设备顶部排气口管道收集，收集效率以98%计，设计风机风量25000</w:t>
            </w:r>
            <w:r>
              <w:rPr>
                <w:rFonts w:cs="Times New Roman"/>
                <w:sz w:val="24"/>
                <w:szCs w:val="24"/>
              </w:rPr>
              <w:t>m</w:t>
            </w:r>
            <w:r>
              <w:rPr>
                <w:rFonts w:cs="Times New Roman"/>
                <w:sz w:val="24"/>
                <w:szCs w:val="24"/>
                <w:vertAlign w:val="superscript"/>
              </w:rPr>
              <w:t>3</w:t>
            </w:r>
            <w:r>
              <w:rPr>
                <w:rFonts w:cs="Times New Roman"/>
                <w:bCs/>
                <w:sz w:val="24"/>
                <w:szCs w:val="24"/>
              </w:rPr>
              <w:t>/h，收集后的废气共经一套“二级活性炭吸附”设施处理，甲醛、有机废气处理效率按8</w:t>
            </w:r>
            <w:r>
              <w:rPr>
                <w:rFonts w:hint="eastAsia" w:cs="Times New Roman"/>
                <w:bCs/>
                <w:sz w:val="24"/>
                <w:szCs w:val="24"/>
                <w:lang w:val="en-US" w:eastAsia="zh-CN"/>
              </w:rPr>
              <w:t>4</w:t>
            </w:r>
            <w:r>
              <w:rPr>
                <w:rFonts w:cs="Times New Roman"/>
                <w:bCs/>
                <w:sz w:val="24"/>
                <w:szCs w:val="24"/>
              </w:rPr>
              <w:t>%计，氨处理效率按20%计，处理后由18m高的排气筒DA006排放。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经过上述工艺处理后，甲醛有组织排放量为</w:t>
            </w:r>
            <w:r>
              <w:rPr>
                <w:rFonts w:cs="Times New Roman"/>
                <w:color w:val="000000" w:themeColor="text1"/>
                <w:sz w:val="24"/>
                <w:szCs w:val="24"/>
                <w14:textFill>
                  <w14:solidFill>
                    <w14:schemeClr w14:val="tx1"/>
                  </w14:solidFill>
                </w14:textFill>
              </w:rPr>
              <w:t>0.4</w:t>
            </w:r>
            <w:r>
              <w:rPr>
                <w:rFonts w:hint="eastAsia" w:cs="Times New Roman"/>
                <w:color w:val="000000" w:themeColor="text1"/>
                <w:sz w:val="24"/>
                <w:szCs w:val="24"/>
                <w:lang w:val="en-US" w:eastAsia="zh-CN"/>
                <w14:textFill>
                  <w14:solidFill>
                    <w14:schemeClr w14:val="tx1"/>
                  </w14:solidFill>
                </w14:textFill>
              </w:rPr>
              <w:t>59</w:t>
            </w:r>
            <w:r>
              <w:rPr>
                <w:rFonts w:cs="Times New Roman"/>
                <w:color w:val="000000" w:themeColor="text1"/>
                <w:sz w:val="24"/>
                <w:szCs w:val="24"/>
                <w14:textFill>
                  <w14:solidFill>
                    <w14:schemeClr w14:val="tx1"/>
                  </w14:solidFill>
                </w14:textFill>
              </w:rPr>
              <w:t>t/a，排放速率为0.058kg/h，排放浓度为2.3</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0.059t/a，排放速率为0.007kg/h；</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氨</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0.076t/a，排放速率为0.010kg/h，排放浓度为0.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0.002t/a，排放速率为0.000</w:t>
            </w:r>
            <w:r>
              <w:rPr>
                <w:rFonts w:hint="eastAsia" w:cs="Times New Roman"/>
                <w:color w:val="000000" w:themeColor="text1"/>
                <w:sz w:val="24"/>
                <w:szCs w:val="24"/>
                <w:lang w:val="en-US" w:eastAsia="zh-CN"/>
                <w14:textFill>
                  <w14:solidFill>
                    <w14:schemeClr w14:val="tx1"/>
                  </w14:solidFill>
                </w14:textFill>
              </w:rPr>
              <w:t>3</w:t>
            </w:r>
            <w:r>
              <w:rPr>
                <w:rFonts w:cs="Times New Roman"/>
                <w:color w:val="000000" w:themeColor="text1"/>
                <w:sz w:val="24"/>
                <w:szCs w:val="24"/>
                <w14:textFill>
                  <w14:solidFill>
                    <w14:schemeClr w14:val="tx1"/>
                  </w14:solidFill>
                </w14:textFill>
              </w:rPr>
              <w:t>kg/h；</w:t>
            </w:r>
          </w:p>
          <w:p>
            <w:pPr>
              <w:spacing w:line="360" w:lineRule="auto"/>
              <w:ind w:firstLine="480" w:firstLineChars="200"/>
              <w:rPr>
                <w:rFonts w:cs="Times New Roman"/>
                <w:bCs/>
                <w:color w:val="FF0000"/>
                <w:sz w:val="24"/>
                <w:szCs w:val="24"/>
              </w:rPr>
            </w:pPr>
            <w:r>
              <w:rPr>
                <w:rFonts w:cs="Times New Roman"/>
                <w:color w:val="000000" w:themeColor="text1"/>
                <w:sz w:val="24"/>
                <w:szCs w:val="24"/>
                <w14:textFill>
                  <w14:solidFill>
                    <w14:schemeClr w14:val="tx1"/>
                  </w14:solidFill>
                </w14:textFill>
              </w:rPr>
              <w:t>VOCs</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0.006t/a，排放速率为0.001kg/h，排放浓度为0.0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0.001t/a，排放速率为0.0001kg/h。</w:t>
            </w:r>
          </w:p>
          <w:p>
            <w:pPr>
              <w:spacing w:line="360" w:lineRule="auto"/>
              <w:ind w:firstLine="482" w:firstLineChars="200"/>
              <w:rPr>
                <w:rFonts w:cs="Times New Roman"/>
                <w:bCs/>
                <w:sz w:val="24"/>
                <w:szCs w:val="24"/>
              </w:rPr>
            </w:pPr>
            <w:r>
              <w:rPr>
                <w:rFonts w:cs="Times New Roman"/>
                <w:b/>
                <w:sz w:val="24"/>
                <w:szCs w:val="24"/>
              </w:rPr>
              <w:t>活性炭吸附处理装置：</w:t>
            </w:r>
            <w:r>
              <w:rPr>
                <w:rFonts w:cs="Times New Roman"/>
                <w:bCs/>
                <w:sz w:val="24"/>
                <w:szCs w:val="24"/>
              </w:rPr>
              <w:t>根据刘芬、刘品华《活性炭纤维在挥发性有机废气处理中应用》的实验结果表明：“每公斤活性炭可吸附0.22kg~0.25kg有机废气”（本次环评取0.25kg）。本项目有机废气产生量为2.964t/a，因此，活性炭使用量为11.858t。环评要求活性炭至少每三个月更换一次，活性炭填充量为3t。废活性炭产生量为14.964t。</w:t>
            </w:r>
          </w:p>
          <w:p>
            <w:pPr>
              <w:spacing w:line="360" w:lineRule="auto"/>
              <w:ind w:firstLine="482" w:firstLineChars="200"/>
              <w:rPr>
                <w:rFonts w:cs="Times New Roman"/>
                <w:b/>
                <w:sz w:val="24"/>
                <w:szCs w:val="24"/>
              </w:rPr>
            </w:pPr>
            <w:r>
              <w:rPr>
                <w:rFonts w:cs="Times New Roman"/>
                <w:b/>
                <w:sz w:val="24"/>
                <w:szCs w:val="24"/>
              </w:rPr>
              <w:t>2）烘干工序产生的天然气燃烧废气</w:t>
            </w:r>
          </w:p>
          <w:p>
            <w:pPr>
              <w:spacing w:line="360" w:lineRule="auto"/>
              <w:ind w:firstLine="480" w:firstLineChars="200"/>
              <w:rPr>
                <w:rFonts w:cs="Times New Roman"/>
                <w:bCs/>
                <w:sz w:val="24"/>
                <w:szCs w:val="24"/>
              </w:rPr>
            </w:pPr>
            <w:r>
              <w:rPr>
                <w:rFonts w:cs="Times New Roman"/>
                <w:bCs/>
                <w:sz w:val="24"/>
                <w:szCs w:val="24"/>
              </w:rPr>
              <w:t>环评建议企业安装低氮燃烧装置，烘干炉产生的废气由18m高排气筒（DA006）排放。项目设计风机风量为25000m</w:t>
            </w:r>
            <w:r>
              <w:rPr>
                <w:rFonts w:cs="Times New Roman"/>
                <w:bCs/>
                <w:sz w:val="24"/>
                <w:szCs w:val="24"/>
                <w:vertAlign w:val="superscript"/>
              </w:rPr>
              <w:t>3</w:t>
            </w:r>
            <w:r>
              <w:rPr>
                <w:rFonts w:cs="Times New Roman"/>
                <w:bCs/>
                <w:sz w:val="24"/>
                <w:szCs w:val="24"/>
              </w:rPr>
              <w:t>/h（烟气量716.7m</w:t>
            </w:r>
            <w:r>
              <w:rPr>
                <w:rFonts w:cs="Times New Roman"/>
                <w:bCs/>
                <w:sz w:val="24"/>
                <w:szCs w:val="24"/>
                <w:vertAlign w:val="superscript"/>
              </w:rPr>
              <w:t>3</w:t>
            </w:r>
            <w:r>
              <w:rPr>
                <w:rFonts w:cs="Times New Roman"/>
                <w:bCs/>
                <w:sz w:val="24"/>
                <w:szCs w:val="24"/>
              </w:rPr>
              <w:t>/h）。</w:t>
            </w:r>
          </w:p>
          <w:p>
            <w:pPr>
              <w:spacing w:line="360" w:lineRule="auto"/>
              <w:jc w:val="center"/>
              <w:rPr>
                <w:rFonts w:cs="Times New Roman"/>
                <w:b/>
                <w:sz w:val="24"/>
                <w:szCs w:val="24"/>
              </w:rPr>
            </w:pPr>
            <w:r>
              <w:rPr>
                <w:rFonts w:cs="Times New Roman"/>
                <w:b/>
                <w:sz w:val="24"/>
                <w:szCs w:val="24"/>
              </w:rPr>
              <w:t>表4-7 天然气燃烧废气产排情况</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2069"/>
              <w:gridCol w:w="1762"/>
              <w:gridCol w:w="1767"/>
              <w:gridCol w:w="1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b/>
                      <w:bCs/>
                      <w:szCs w:val="21"/>
                    </w:rPr>
                  </w:pPr>
                  <w:r>
                    <w:rPr>
                      <w:rFonts w:cs="Times New Roman"/>
                      <w:szCs w:val="21"/>
                    </w:rPr>
                    <w:t>内容</w:t>
                  </w:r>
                </w:p>
              </w:tc>
              <w:tc>
                <w:tcPr>
                  <w:tcW w:w="1046" w:type="pct"/>
                  <w:tcBorders>
                    <w:tl2br w:val="nil"/>
                    <w:tr2bl w:val="nil"/>
                  </w:tcBorders>
                  <w:shd w:val="clear" w:color="auto" w:fill="auto"/>
                  <w:noWrap/>
                  <w:vAlign w:val="center"/>
                </w:tcPr>
                <w:p>
                  <w:pPr>
                    <w:widowControl/>
                    <w:jc w:val="center"/>
                    <w:rPr>
                      <w:rFonts w:cs="Times New Roman"/>
                      <w:b/>
                      <w:bCs/>
                      <w:szCs w:val="21"/>
                    </w:rPr>
                  </w:pPr>
                  <w:r>
                    <w:rPr>
                      <w:rFonts w:cs="Times New Roman"/>
                      <w:szCs w:val="21"/>
                    </w:rPr>
                    <w:t>SO</w:t>
                  </w:r>
                  <w:r>
                    <w:rPr>
                      <w:rFonts w:cs="Times New Roman"/>
                      <w:szCs w:val="21"/>
                      <w:vertAlign w:val="subscript"/>
                    </w:rPr>
                    <w:t>2</w:t>
                  </w:r>
                </w:p>
              </w:tc>
              <w:tc>
                <w:tcPr>
                  <w:tcW w:w="1048" w:type="pct"/>
                  <w:tcBorders>
                    <w:tl2br w:val="nil"/>
                    <w:tr2bl w:val="nil"/>
                  </w:tcBorders>
                  <w:shd w:val="clear" w:color="auto" w:fill="auto"/>
                  <w:noWrap/>
                  <w:vAlign w:val="center"/>
                </w:tcPr>
                <w:p>
                  <w:pPr>
                    <w:widowControl/>
                    <w:jc w:val="center"/>
                    <w:rPr>
                      <w:rFonts w:cs="Times New Roman"/>
                      <w:szCs w:val="21"/>
                    </w:rPr>
                  </w:pPr>
                  <w:r>
                    <w:rPr>
                      <w:rFonts w:cs="Times New Roman"/>
                      <w:szCs w:val="21"/>
                    </w:rPr>
                    <w:t>NO</w:t>
                  </w:r>
                  <w:r>
                    <w:rPr>
                      <w:rFonts w:cs="Times New Roman"/>
                      <w:szCs w:val="21"/>
                      <w:vertAlign w:val="subscript"/>
                    </w:rPr>
                    <w:t>2</w:t>
                  </w:r>
                </w:p>
              </w:tc>
              <w:tc>
                <w:tcPr>
                  <w:tcW w:w="1050" w:type="pct"/>
                  <w:tcBorders>
                    <w:tl2br w:val="nil"/>
                    <w:tr2bl w:val="nil"/>
                  </w:tcBorders>
                  <w:shd w:val="clear" w:color="auto" w:fill="auto"/>
                  <w:noWrap/>
                  <w:vAlign w:val="center"/>
                </w:tcPr>
                <w:p>
                  <w:pPr>
                    <w:widowControl/>
                    <w:jc w:val="center"/>
                    <w:rPr>
                      <w:rFonts w:cs="Times New Roman"/>
                      <w:szCs w:val="21"/>
                    </w:rPr>
                  </w:pPr>
                  <w:r>
                    <w:rPr>
                      <w:rFonts w:hint="eastAsia" w:cs="Times New Roman"/>
                      <w:szCs w:val="21"/>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排气总量m</w:t>
                  </w:r>
                  <w:r>
                    <w:rPr>
                      <w:rFonts w:cs="Times New Roman"/>
                      <w:szCs w:val="21"/>
                      <w:vertAlign w:val="superscript"/>
                    </w:rPr>
                    <w:t>3</w:t>
                  </w:r>
                  <w:r>
                    <w:rPr>
                      <w:rFonts w:cs="Times New Roman"/>
                      <w:szCs w:val="21"/>
                    </w:rPr>
                    <w:t>/h</w:t>
                  </w:r>
                </w:p>
              </w:tc>
              <w:tc>
                <w:tcPr>
                  <w:tcW w:w="3145" w:type="pct"/>
                  <w:gridSpan w:val="3"/>
                  <w:tcBorders>
                    <w:tl2br w:val="nil"/>
                    <w:tr2bl w:val="nil"/>
                  </w:tcBorders>
                  <w:shd w:val="clear" w:color="auto" w:fill="auto"/>
                  <w:noWrap/>
                  <w:vAlign w:val="center"/>
                </w:tcPr>
                <w:p>
                  <w:pPr>
                    <w:widowControl/>
                    <w:jc w:val="center"/>
                    <w:rPr>
                      <w:rFonts w:cs="Times New Roman"/>
                      <w:szCs w:val="21"/>
                    </w:rPr>
                  </w:pPr>
                  <w:r>
                    <w:rPr>
                      <w:rFonts w:cs="Times New Roman"/>
                      <w:szCs w:val="21"/>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内径m</w:t>
                  </w:r>
                </w:p>
              </w:tc>
              <w:tc>
                <w:tcPr>
                  <w:tcW w:w="3145" w:type="pct"/>
                  <w:gridSpan w:val="3"/>
                  <w:tcBorders>
                    <w:tl2br w:val="nil"/>
                    <w:tr2bl w:val="nil"/>
                  </w:tcBorders>
                  <w:shd w:val="clear" w:color="auto" w:fill="auto"/>
                  <w:noWrap/>
                  <w:vAlign w:val="center"/>
                </w:tcPr>
                <w:p>
                  <w:pPr>
                    <w:widowControl/>
                    <w:jc w:val="center"/>
                    <w:rPr>
                      <w:rFonts w:cs="Times New Roman"/>
                      <w:szCs w:val="21"/>
                    </w:rPr>
                  </w:pPr>
                  <w:r>
                    <w:rPr>
                      <w:rFonts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处理措施</w:t>
                  </w:r>
                </w:p>
              </w:tc>
              <w:tc>
                <w:tcPr>
                  <w:tcW w:w="3145" w:type="pct"/>
                  <w:gridSpan w:val="3"/>
                  <w:tcBorders>
                    <w:tl2br w:val="nil"/>
                    <w:tr2bl w:val="nil"/>
                  </w:tcBorders>
                  <w:shd w:val="clear" w:color="auto" w:fill="auto"/>
                  <w:noWrap/>
                  <w:vAlign w:val="center"/>
                </w:tcPr>
                <w:p>
                  <w:pPr>
                    <w:widowControl/>
                    <w:jc w:val="center"/>
                    <w:rPr>
                      <w:rFonts w:cs="Times New Roman"/>
                      <w:szCs w:val="21"/>
                    </w:rPr>
                  </w:pPr>
                  <w:r>
                    <w:rPr>
                      <w:rFonts w:cs="Times New Roman"/>
                      <w:szCs w:val="21"/>
                    </w:rPr>
                    <w:t>低氮燃烧器+排气筒（DA005）排放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restart"/>
                  <w:tcBorders>
                    <w:tl2br w:val="nil"/>
                    <w:tr2bl w:val="nil"/>
                  </w:tcBorders>
                  <w:shd w:val="clear" w:color="auto" w:fill="auto"/>
                  <w:noWrap/>
                  <w:vAlign w:val="center"/>
                </w:tcPr>
                <w:p>
                  <w:pPr>
                    <w:widowControl/>
                    <w:jc w:val="center"/>
                    <w:rPr>
                      <w:rFonts w:hint="eastAsia" w:eastAsia="宋体" w:cs="Times New Roman"/>
                      <w:szCs w:val="21"/>
                      <w:lang w:eastAsia="zh-CN"/>
                    </w:rPr>
                  </w:pPr>
                  <w:r>
                    <w:rPr>
                      <w:rFonts w:hint="eastAsia" w:cs="Times New Roman"/>
                      <w:szCs w:val="21"/>
                      <w:lang w:val="en-US" w:eastAsia="zh-CN"/>
                    </w:rPr>
                    <w:t>排放量</w:t>
                  </w: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排放量t/a</w:t>
                  </w:r>
                </w:p>
              </w:tc>
              <w:tc>
                <w:tcPr>
                  <w:tcW w:w="1046" w:type="pct"/>
                  <w:tcBorders>
                    <w:tl2br w:val="nil"/>
                    <w:tr2bl w:val="nil"/>
                  </w:tcBorders>
                  <w:shd w:val="clear" w:color="auto" w:fill="auto"/>
                  <w:noWrap/>
                  <w:vAlign w:val="center"/>
                </w:tcPr>
                <w:p>
                  <w:pPr>
                    <w:widowControl/>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0.057</w:t>
                  </w:r>
                </w:p>
              </w:tc>
              <w:tc>
                <w:tcPr>
                  <w:tcW w:w="1048" w:type="pct"/>
                  <w:tcBorders>
                    <w:tl2br w:val="nil"/>
                    <w:tr2bl w:val="nil"/>
                  </w:tcBorders>
                  <w:shd w:val="clear" w:color="auto" w:fill="auto"/>
                  <w:noWrap/>
                  <w:vAlign w:val="center"/>
                </w:tcPr>
                <w:p>
                  <w:pPr>
                    <w:widowControl/>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2.261</w:t>
                  </w:r>
                </w:p>
              </w:tc>
              <w:tc>
                <w:tcPr>
                  <w:tcW w:w="1050" w:type="pct"/>
                  <w:tcBorders>
                    <w:tl2br w:val="nil"/>
                    <w:tr2bl w:val="nil"/>
                  </w:tcBorders>
                  <w:shd w:val="clear" w:color="auto" w:fill="auto"/>
                  <w:noWrap/>
                  <w:vAlign w:val="center"/>
                </w:tcPr>
                <w:p>
                  <w:pPr>
                    <w:widowControl/>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continue"/>
                  <w:tcBorders>
                    <w:tl2br w:val="nil"/>
                    <w:tr2bl w:val="nil"/>
                  </w:tcBorders>
                  <w:shd w:val="clear" w:color="auto" w:fill="auto"/>
                  <w:noWrap/>
                  <w:vAlign w:val="center"/>
                </w:tcPr>
                <w:p>
                  <w:pPr>
                    <w:widowControl/>
                    <w:jc w:val="center"/>
                    <w:rPr>
                      <w:rFonts w:cs="Times New Roman"/>
                      <w:szCs w:val="21"/>
                    </w:rPr>
                  </w:pP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0.006</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0.231</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continue"/>
                  <w:tcBorders>
                    <w:tl2br w:val="nil"/>
                    <w:tr2bl w:val="nil"/>
                  </w:tcBorders>
                  <w:shd w:val="clear" w:color="auto" w:fill="auto"/>
                  <w:noWrap/>
                  <w:vAlign w:val="center"/>
                </w:tcPr>
                <w:p>
                  <w:pPr>
                    <w:widowControl/>
                    <w:jc w:val="center"/>
                    <w:rPr>
                      <w:rFonts w:cs="Times New Roman"/>
                      <w:szCs w:val="21"/>
                    </w:rPr>
                  </w:pP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0.233</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9.258</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0.817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restart"/>
                  <w:tcBorders>
                    <w:tl2br w:val="nil"/>
                    <w:tr2bl w:val="nil"/>
                  </w:tcBorders>
                  <w:shd w:val="clear" w:color="auto" w:fill="auto"/>
                  <w:noWrap/>
                  <w:vAlign w:val="center"/>
                </w:tcPr>
                <w:p>
                  <w:pPr>
                    <w:widowControl/>
                    <w:jc w:val="center"/>
                    <w:rPr>
                      <w:rFonts w:cs="Times New Roman"/>
                      <w:szCs w:val="21"/>
                    </w:rPr>
                  </w:pPr>
                  <w:r>
                    <w:rPr>
                      <w:rFonts w:cs="Times New Roman"/>
                      <w:szCs w:val="21"/>
                    </w:rPr>
                    <w:t>评价标准</w:t>
                  </w: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26" w:type="pct"/>
                  <w:vMerge w:val="continue"/>
                  <w:tcBorders>
                    <w:tl2br w:val="nil"/>
                    <w:tr2bl w:val="nil"/>
                  </w:tcBorders>
                  <w:shd w:val="clear" w:color="auto" w:fill="auto"/>
                  <w:noWrap/>
                  <w:vAlign w:val="center"/>
                </w:tcPr>
                <w:p>
                  <w:pPr>
                    <w:widowControl/>
                    <w:jc w:val="left"/>
                    <w:rPr>
                      <w:rFonts w:cs="Times New Roman"/>
                      <w:szCs w:val="21"/>
                    </w:rPr>
                  </w:pPr>
                </w:p>
              </w:tc>
              <w:tc>
                <w:tcPr>
                  <w:tcW w:w="1227"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046"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50</w:t>
                  </w:r>
                </w:p>
              </w:tc>
              <w:tc>
                <w:tcPr>
                  <w:tcW w:w="1048"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100</w:t>
                  </w:r>
                </w:p>
              </w:tc>
              <w:tc>
                <w:tcPr>
                  <w:tcW w:w="1050" w:type="pct"/>
                  <w:tcBorders>
                    <w:tl2br w:val="nil"/>
                    <w:tr2bl w:val="nil"/>
                  </w:tcBorders>
                  <w:shd w:val="clear" w:color="auto" w:fill="auto"/>
                  <w:noWrap/>
                  <w:vAlign w:val="center"/>
                </w:tcPr>
                <w:p>
                  <w:pPr>
                    <w:widowControl/>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5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达标情况</w:t>
                  </w:r>
                </w:p>
              </w:tc>
              <w:tc>
                <w:tcPr>
                  <w:tcW w:w="1046"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c>
                <w:tcPr>
                  <w:tcW w:w="1048"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c>
                <w:tcPr>
                  <w:tcW w:w="1050"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r>
          </w:tbl>
          <w:p>
            <w:pPr>
              <w:spacing w:line="360" w:lineRule="auto"/>
              <w:ind w:firstLine="482" w:firstLineChars="200"/>
              <w:rPr>
                <w:rFonts w:cs="Times New Roman"/>
                <w:bCs/>
                <w:sz w:val="24"/>
                <w:szCs w:val="24"/>
              </w:rPr>
            </w:pPr>
            <w:r>
              <w:rPr>
                <w:rFonts w:cs="Times New Roman"/>
                <w:b/>
                <w:sz w:val="24"/>
                <w:szCs w:val="24"/>
              </w:rPr>
              <w:t>3）</w:t>
            </w:r>
            <w:r>
              <w:rPr>
                <w:rFonts w:cs="Times New Roman"/>
                <w:b/>
                <w:bCs/>
                <w:sz w:val="24"/>
                <w:szCs w:val="24"/>
              </w:rPr>
              <w:t>食堂油烟</w:t>
            </w:r>
          </w:p>
          <w:p>
            <w:pPr>
              <w:spacing w:line="360" w:lineRule="auto"/>
              <w:ind w:firstLine="480" w:firstLineChars="200"/>
              <w:rPr>
                <w:rFonts w:cs="Times New Roman"/>
                <w:sz w:val="24"/>
                <w:szCs w:val="24"/>
              </w:rPr>
            </w:pPr>
            <w:r>
              <w:rPr>
                <w:rFonts w:cs="Times New Roman"/>
                <w:bCs/>
                <w:sz w:val="24"/>
                <w:szCs w:val="24"/>
              </w:rPr>
              <w:t>食堂安装了1台油烟净化器（风量为3000m</w:t>
            </w:r>
            <w:r>
              <w:rPr>
                <w:rFonts w:cs="Times New Roman"/>
                <w:bCs/>
                <w:sz w:val="24"/>
                <w:szCs w:val="24"/>
                <w:vertAlign w:val="superscript"/>
              </w:rPr>
              <w:t>3</w:t>
            </w:r>
            <w:r>
              <w:rPr>
                <w:rFonts w:cs="Times New Roman"/>
                <w:bCs/>
                <w:sz w:val="24"/>
                <w:szCs w:val="24"/>
              </w:rPr>
              <w:t>/h），食堂油烟经处理后通过油烟管道（DA004）外排，处理效率按60%计。</w:t>
            </w:r>
          </w:p>
          <w:p>
            <w:pPr>
              <w:spacing w:line="360" w:lineRule="auto"/>
              <w:ind w:firstLine="480" w:firstLineChars="200"/>
              <w:rPr>
                <w:rFonts w:cs="Times New Roman"/>
                <w:b/>
                <w:bCs/>
                <w:sz w:val="24"/>
                <w:szCs w:val="24"/>
              </w:rPr>
            </w:pPr>
            <w:r>
              <w:rPr>
                <w:rFonts w:cs="Times New Roman"/>
                <w:sz w:val="24"/>
                <w:szCs w:val="24"/>
              </w:rPr>
              <w:t>食堂油烟经上述治理措施后，食堂油烟排放量为0.0011t/a，排放速率为0.0008kg/h，排放浓度为0.283mg/m</w:t>
            </w:r>
            <w:r>
              <w:rPr>
                <w:rFonts w:cs="Times New Roman"/>
                <w:sz w:val="24"/>
                <w:szCs w:val="24"/>
                <w:vertAlign w:val="superscript"/>
              </w:rPr>
              <w:t>3</w:t>
            </w:r>
            <w:r>
              <w:rPr>
                <w:rFonts w:cs="Times New Roman"/>
                <w:sz w:val="24"/>
                <w:szCs w:val="24"/>
              </w:rPr>
              <w:t>。因此，</w:t>
            </w:r>
            <w:r>
              <w:rPr>
                <w:rFonts w:cs="Times New Roman"/>
                <w:bCs/>
                <w:sz w:val="24"/>
                <w:szCs w:val="24"/>
              </w:rPr>
              <w:t>本项目</w:t>
            </w:r>
            <w:r>
              <w:rPr>
                <w:rFonts w:cs="Times New Roman"/>
                <w:sz w:val="24"/>
                <w:szCs w:val="24"/>
              </w:rPr>
              <w:t>食堂油烟经处理后排放浓度能满足《饮食业油烟排放标准（试行）》（GB18483-2001）中相关标准（2.0mg/m</w:t>
            </w:r>
            <w:r>
              <w:rPr>
                <w:rFonts w:cs="Times New Roman"/>
                <w:sz w:val="24"/>
                <w:szCs w:val="24"/>
                <w:vertAlign w:val="superscript"/>
              </w:rPr>
              <w:t>3</w:t>
            </w:r>
            <w:r>
              <w:rPr>
                <w:rFonts w:cs="Times New Roman"/>
                <w:sz w:val="24"/>
                <w:szCs w:val="24"/>
              </w:rPr>
              <w:t>），可以实现达标排放。</w:t>
            </w:r>
          </w:p>
          <w:p>
            <w:pPr>
              <w:spacing w:line="360" w:lineRule="auto"/>
              <w:ind w:firstLine="480" w:firstLineChars="200"/>
              <w:rPr>
                <w:rFonts w:cs="Times New Roman"/>
                <w:sz w:val="24"/>
                <w:szCs w:val="24"/>
              </w:rPr>
            </w:pPr>
            <w:r>
              <w:rPr>
                <w:rFonts w:cs="Times New Roman"/>
                <w:sz w:val="24"/>
                <w:szCs w:val="24"/>
              </w:rPr>
              <w:t>综上所述，项目治理设施、排放形式表4-8。</w:t>
            </w:r>
          </w:p>
          <w:p>
            <w:pPr>
              <w:spacing w:line="360" w:lineRule="auto"/>
              <w:jc w:val="center"/>
              <w:rPr>
                <w:rFonts w:cs="Times New Roman"/>
                <w:b/>
                <w:sz w:val="24"/>
                <w:szCs w:val="24"/>
              </w:rPr>
            </w:pPr>
            <w:r>
              <w:rPr>
                <w:rFonts w:cs="Times New Roman"/>
                <w:b/>
                <w:sz w:val="24"/>
                <w:szCs w:val="24"/>
              </w:rPr>
              <w:t>表4-8 项目废气治理设施、排放形式一览表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08"/>
              <w:gridCol w:w="919"/>
              <w:gridCol w:w="993"/>
              <w:gridCol w:w="2696"/>
              <w:gridCol w:w="993"/>
              <w:gridCol w:w="850"/>
              <w:gridCol w:w="11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restart"/>
                  <w:tcBorders>
                    <w:tl2br w:val="nil"/>
                    <w:tr2bl w:val="nil"/>
                  </w:tcBorders>
                  <w:vAlign w:val="center"/>
                </w:tcPr>
                <w:p>
                  <w:pPr>
                    <w:jc w:val="center"/>
                    <w:rPr>
                      <w:rFonts w:cs="Times New Roman"/>
                      <w:b/>
                      <w:bCs/>
                      <w:szCs w:val="21"/>
                    </w:rPr>
                  </w:pPr>
                  <w:r>
                    <w:rPr>
                      <w:rFonts w:cs="Times New Roman"/>
                      <w:b/>
                      <w:bCs/>
                      <w:szCs w:val="21"/>
                    </w:rPr>
                    <w:t>废气类型</w:t>
                  </w:r>
                </w:p>
              </w:tc>
              <w:tc>
                <w:tcPr>
                  <w:tcW w:w="545"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589" w:type="pct"/>
                  <w:vMerge w:val="restart"/>
                  <w:tcBorders>
                    <w:tl2br w:val="nil"/>
                    <w:tr2bl w:val="nil"/>
                  </w:tcBorders>
                  <w:vAlign w:val="center"/>
                </w:tcPr>
                <w:p>
                  <w:pPr>
                    <w:jc w:val="center"/>
                    <w:rPr>
                      <w:rFonts w:cs="Times New Roman"/>
                      <w:b/>
                      <w:bCs/>
                      <w:szCs w:val="21"/>
                    </w:rPr>
                  </w:pPr>
                  <w:r>
                    <w:rPr>
                      <w:rFonts w:cs="Times New Roman"/>
                      <w:b/>
                      <w:bCs/>
                      <w:szCs w:val="21"/>
                    </w:rPr>
                    <w:t>排放形式</w:t>
                  </w:r>
                </w:p>
              </w:tc>
              <w:tc>
                <w:tcPr>
                  <w:tcW w:w="3384" w:type="pct"/>
                  <w:gridSpan w:val="4"/>
                  <w:tcBorders>
                    <w:tl2br w:val="nil"/>
                    <w:tr2bl w:val="nil"/>
                  </w:tcBorders>
                  <w:vAlign w:val="center"/>
                </w:tcPr>
                <w:p>
                  <w:pPr>
                    <w:jc w:val="center"/>
                    <w:rPr>
                      <w:rFonts w:cs="Times New Roman"/>
                      <w:b/>
                      <w:bCs/>
                      <w:szCs w:val="21"/>
                    </w:rPr>
                  </w:pPr>
                  <w:r>
                    <w:rPr>
                      <w:rFonts w:cs="Times New Roman"/>
                      <w:b/>
                      <w:bCs/>
                      <w:szCs w:val="21"/>
                    </w:rPr>
                    <w:t>污染物治理设施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tcBorders>
                    <w:tl2br w:val="nil"/>
                    <w:tr2bl w:val="nil"/>
                  </w:tcBorders>
                  <w:vAlign w:val="center"/>
                </w:tcPr>
                <w:p>
                  <w:pPr>
                    <w:jc w:val="center"/>
                    <w:rPr>
                      <w:rFonts w:cs="Times New Roman"/>
                      <w:b/>
                      <w:bCs/>
                      <w:szCs w:val="21"/>
                    </w:rPr>
                  </w:pPr>
                </w:p>
              </w:tc>
              <w:tc>
                <w:tcPr>
                  <w:tcW w:w="545" w:type="pct"/>
                  <w:vMerge w:val="continue"/>
                  <w:tcBorders>
                    <w:tl2br w:val="nil"/>
                    <w:tr2bl w:val="nil"/>
                  </w:tcBorders>
                  <w:vAlign w:val="center"/>
                </w:tcPr>
                <w:p>
                  <w:pPr>
                    <w:jc w:val="center"/>
                    <w:rPr>
                      <w:rFonts w:cs="Times New Roman"/>
                      <w:b/>
                      <w:bCs/>
                      <w:szCs w:val="21"/>
                    </w:rPr>
                  </w:pPr>
                </w:p>
              </w:tc>
              <w:tc>
                <w:tcPr>
                  <w:tcW w:w="589" w:type="pct"/>
                  <w:vMerge w:val="continue"/>
                  <w:tcBorders>
                    <w:tl2br w:val="nil"/>
                    <w:tr2bl w:val="nil"/>
                  </w:tcBorders>
                  <w:vAlign w:val="center"/>
                </w:tcPr>
                <w:p>
                  <w:pPr>
                    <w:jc w:val="center"/>
                    <w:rPr>
                      <w:rFonts w:cs="Times New Roman"/>
                      <w:b/>
                      <w:bCs/>
                      <w:szCs w:val="21"/>
                    </w:rPr>
                  </w:pPr>
                </w:p>
              </w:tc>
              <w:tc>
                <w:tcPr>
                  <w:tcW w:w="1599" w:type="pct"/>
                  <w:tcBorders>
                    <w:tl2br w:val="nil"/>
                    <w:tr2bl w:val="nil"/>
                  </w:tcBorders>
                  <w:vAlign w:val="center"/>
                </w:tcPr>
                <w:p>
                  <w:pPr>
                    <w:jc w:val="center"/>
                    <w:rPr>
                      <w:rFonts w:cs="Times New Roman"/>
                      <w:b/>
                      <w:bCs/>
                      <w:szCs w:val="21"/>
                    </w:rPr>
                  </w:pPr>
                  <w:r>
                    <w:rPr>
                      <w:rFonts w:cs="Times New Roman"/>
                      <w:b/>
                      <w:bCs/>
                      <w:szCs w:val="21"/>
                    </w:rPr>
                    <w:t>治理设施名称及工艺</w:t>
                  </w:r>
                </w:p>
              </w:tc>
              <w:tc>
                <w:tcPr>
                  <w:tcW w:w="589" w:type="pct"/>
                  <w:tcBorders>
                    <w:tl2br w:val="nil"/>
                    <w:tr2bl w:val="nil"/>
                  </w:tcBorders>
                  <w:vAlign w:val="center"/>
                </w:tcPr>
                <w:p>
                  <w:pPr>
                    <w:jc w:val="center"/>
                    <w:rPr>
                      <w:rFonts w:cs="Times New Roman"/>
                      <w:b/>
                      <w:bCs/>
                      <w:szCs w:val="21"/>
                    </w:rPr>
                  </w:pPr>
                  <w:r>
                    <w:rPr>
                      <w:rFonts w:cs="Times New Roman"/>
                      <w:b/>
                      <w:bCs/>
                      <w:szCs w:val="21"/>
                    </w:rPr>
                    <w:t>收集效率（%）</w:t>
                  </w:r>
                </w:p>
              </w:tc>
              <w:tc>
                <w:tcPr>
                  <w:tcW w:w="504" w:type="pct"/>
                  <w:tcBorders>
                    <w:tl2br w:val="nil"/>
                    <w:tr2bl w:val="nil"/>
                  </w:tcBorders>
                  <w:vAlign w:val="center"/>
                </w:tcPr>
                <w:p>
                  <w:pPr>
                    <w:jc w:val="center"/>
                    <w:rPr>
                      <w:rFonts w:cs="Times New Roman"/>
                      <w:b/>
                      <w:bCs/>
                      <w:szCs w:val="21"/>
                    </w:rPr>
                  </w:pPr>
                  <w:r>
                    <w:rPr>
                      <w:rFonts w:cs="Times New Roman"/>
                      <w:b/>
                      <w:bCs/>
                      <w:szCs w:val="21"/>
                    </w:rPr>
                    <w:t>去除率（%）</w:t>
                  </w:r>
                </w:p>
              </w:tc>
              <w:tc>
                <w:tcPr>
                  <w:tcW w:w="691" w:type="pct"/>
                  <w:tcBorders>
                    <w:tl2br w:val="nil"/>
                    <w:tr2bl w:val="nil"/>
                  </w:tcBorders>
                  <w:vAlign w:val="center"/>
                </w:tcPr>
                <w:p>
                  <w:pPr>
                    <w:jc w:val="center"/>
                    <w:rPr>
                      <w:rFonts w:cs="Times New Roman"/>
                      <w:b/>
                      <w:bCs/>
                      <w:szCs w:val="21"/>
                    </w:rPr>
                  </w:pPr>
                  <w:r>
                    <w:rPr>
                      <w:rFonts w:cs="Times New Roman"/>
                      <w:b/>
                      <w:bCs/>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545" w:type="pct"/>
                  <w:tcBorders>
                    <w:tl2br w:val="nil"/>
                    <w:tr2bl w:val="nil"/>
                  </w:tcBorders>
                  <w:vAlign w:val="center"/>
                </w:tcPr>
                <w:p>
                  <w:pPr>
                    <w:jc w:val="center"/>
                    <w:rPr>
                      <w:rFonts w:cs="Times New Roman"/>
                      <w:szCs w:val="21"/>
                    </w:rPr>
                  </w:pPr>
                  <w:r>
                    <w:rPr>
                      <w:rFonts w:cs="Times New Roman"/>
                      <w:szCs w:val="21"/>
                    </w:rPr>
                    <w:t>甲醛</w:t>
                  </w:r>
                </w:p>
              </w:tc>
              <w:tc>
                <w:tcPr>
                  <w:tcW w:w="589" w:type="pct"/>
                  <w:tcBorders>
                    <w:tl2br w:val="nil"/>
                    <w:tr2bl w:val="nil"/>
                  </w:tcBorders>
                  <w:vAlign w:val="center"/>
                </w:tcPr>
                <w:p>
                  <w:pPr>
                    <w:jc w:val="center"/>
                    <w:rPr>
                      <w:rFonts w:cs="Times New Roman"/>
                      <w:szCs w:val="21"/>
                    </w:rPr>
                  </w:pPr>
                  <w:r>
                    <w:rPr>
                      <w:rFonts w:cs="Times New Roman"/>
                      <w:szCs w:val="21"/>
                    </w:rPr>
                    <w:t>有组织</w:t>
                  </w:r>
                </w:p>
              </w:tc>
              <w:tc>
                <w:tcPr>
                  <w:tcW w:w="1599" w:type="pct"/>
                  <w:vMerge w:val="restart"/>
                  <w:tcBorders>
                    <w:tl2br w:val="nil"/>
                    <w:tr2bl w:val="nil"/>
                  </w:tcBorders>
                  <w:vAlign w:val="center"/>
                </w:tcPr>
                <w:p>
                  <w:pPr>
                    <w:jc w:val="center"/>
                    <w:rPr>
                      <w:rFonts w:cs="Times New Roman"/>
                      <w:szCs w:val="21"/>
                    </w:rPr>
                  </w:pPr>
                  <w:r>
                    <w:rPr>
                      <w:rFonts w:cs="Times New Roman"/>
                      <w:szCs w:val="21"/>
                    </w:rPr>
                    <w:t>经二级活性炭吸附装置（一期和二期各设置一套）处理后由18m高排气筒（DA006）排放</w:t>
                  </w:r>
                </w:p>
              </w:tc>
              <w:tc>
                <w:tcPr>
                  <w:tcW w:w="589" w:type="pct"/>
                  <w:tcBorders>
                    <w:tl2br w:val="nil"/>
                    <w:tr2bl w:val="nil"/>
                  </w:tcBorders>
                  <w:vAlign w:val="center"/>
                </w:tcPr>
                <w:p>
                  <w:pPr>
                    <w:jc w:val="center"/>
                    <w:rPr>
                      <w:rFonts w:cs="Times New Roman"/>
                      <w:szCs w:val="21"/>
                    </w:rPr>
                  </w:pPr>
                  <w:r>
                    <w:rPr>
                      <w:rFonts w:cs="Times New Roman"/>
                      <w:szCs w:val="21"/>
                    </w:rPr>
                    <w:t>98</w:t>
                  </w:r>
                </w:p>
              </w:tc>
              <w:tc>
                <w:tcPr>
                  <w:tcW w:w="504" w:type="pct"/>
                  <w:tcBorders>
                    <w:tl2br w:val="nil"/>
                    <w:tr2bl w:val="nil"/>
                  </w:tcBorders>
                  <w:vAlign w:val="center"/>
                </w:tcPr>
                <w:p>
                  <w:pPr>
                    <w:jc w:val="center"/>
                    <w:rPr>
                      <w:rFonts w:cs="Times New Roman"/>
                      <w:szCs w:val="21"/>
                    </w:rPr>
                  </w:pPr>
                  <w:r>
                    <w:rPr>
                      <w:rFonts w:cs="Times New Roman"/>
                      <w:szCs w:val="21"/>
                    </w:rPr>
                    <w:t>84</w:t>
                  </w:r>
                </w:p>
              </w:tc>
              <w:tc>
                <w:tcPr>
                  <w:tcW w:w="691" w:type="pct"/>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80" w:type="pct"/>
                  <w:vMerge w:val="continue"/>
                  <w:tcBorders>
                    <w:tl2br w:val="nil"/>
                    <w:tr2bl w:val="nil"/>
                  </w:tcBorders>
                  <w:vAlign w:val="center"/>
                </w:tcPr>
                <w:p>
                  <w:pPr>
                    <w:jc w:val="center"/>
                    <w:rPr>
                      <w:rFonts w:cs="Times New Roman"/>
                      <w:szCs w:val="21"/>
                    </w:rPr>
                  </w:pPr>
                </w:p>
              </w:tc>
              <w:tc>
                <w:tcPr>
                  <w:tcW w:w="545" w:type="pct"/>
                  <w:tcBorders>
                    <w:tl2br w:val="nil"/>
                    <w:tr2bl w:val="nil"/>
                  </w:tcBorders>
                  <w:vAlign w:val="center"/>
                </w:tcPr>
                <w:p>
                  <w:pPr>
                    <w:jc w:val="center"/>
                    <w:rPr>
                      <w:rFonts w:cs="Times New Roman"/>
                      <w:szCs w:val="21"/>
                    </w:rPr>
                  </w:pPr>
                  <w:r>
                    <w:rPr>
                      <w:rFonts w:cs="Times New Roman"/>
                      <w:szCs w:val="21"/>
                    </w:rPr>
                    <w:t>氨</w:t>
                  </w:r>
                </w:p>
              </w:tc>
              <w:tc>
                <w:tcPr>
                  <w:tcW w:w="589" w:type="pct"/>
                  <w:tcBorders>
                    <w:tl2br w:val="nil"/>
                    <w:tr2bl w:val="nil"/>
                  </w:tcBorders>
                  <w:vAlign w:val="center"/>
                </w:tcPr>
                <w:p>
                  <w:pPr>
                    <w:jc w:val="center"/>
                    <w:rPr>
                      <w:rFonts w:cs="Times New Roman"/>
                      <w:szCs w:val="21"/>
                    </w:rPr>
                  </w:pPr>
                  <w:r>
                    <w:rPr>
                      <w:rFonts w:cs="Times New Roman"/>
                      <w:szCs w:val="21"/>
                    </w:rPr>
                    <w:t>有组织</w:t>
                  </w:r>
                </w:p>
              </w:tc>
              <w:tc>
                <w:tcPr>
                  <w:tcW w:w="1599" w:type="pct"/>
                  <w:vMerge w:val="continue"/>
                  <w:tcBorders>
                    <w:tl2br w:val="nil"/>
                    <w:tr2bl w:val="nil"/>
                  </w:tcBorders>
                  <w:vAlign w:val="center"/>
                </w:tcPr>
                <w:p>
                  <w:pPr>
                    <w:jc w:val="center"/>
                    <w:rPr>
                      <w:rFonts w:cs="Times New Roman"/>
                      <w:szCs w:val="21"/>
                    </w:rPr>
                  </w:pPr>
                </w:p>
              </w:tc>
              <w:tc>
                <w:tcPr>
                  <w:tcW w:w="589" w:type="pct"/>
                  <w:tcBorders>
                    <w:tl2br w:val="nil"/>
                    <w:tr2bl w:val="nil"/>
                  </w:tcBorders>
                  <w:vAlign w:val="center"/>
                </w:tcPr>
                <w:p>
                  <w:pPr>
                    <w:jc w:val="center"/>
                    <w:rPr>
                      <w:rFonts w:cs="Times New Roman"/>
                      <w:szCs w:val="21"/>
                    </w:rPr>
                  </w:pPr>
                  <w:r>
                    <w:rPr>
                      <w:rFonts w:cs="Times New Roman"/>
                      <w:szCs w:val="21"/>
                    </w:rPr>
                    <w:t>98</w:t>
                  </w:r>
                </w:p>
              </w:tc>
              <w:tc>
                <w:tcPr>
                  <w:tcW w:w="504" w:type="pct"/>
                  <w:tcBorders>
                    <w:tl2br w:val="nil"/>
                    <w:tr2bl w:val="nil"/>
                  </w:tcBorders>
                  <w:vAlign w:val="center"/>
                </w:tcPr>
                <w:p>
                  <w:pPr>
                    <w:jc w:val="center"/>
                    <w:rPr>
                      <w:rFonts w:cs="Times New Roman"/>
                      <w:szCs w:val="21"/>
                    </w:rPr>
                  </w:pPr>
                  <w:r>
                    <w:rPr>
                      <w:rFonts w:cs="Times New Roman"/>
                      <w:szCs w:val="21"/>
                    </w:rPr>
                    <w:t>20</w:t>
                  </w:r>
                </w:p>
              </w:tc>
              <w:tc>
                <w:tcPr>
                  <w:tcW w:w="691" w:type="pct"/>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tcBorders>
                    <w:tl2br w:val="nil"/>
                    <w:tr2bl w:val="nil"/>
                  </w:tcBorders>
                  <w:vAlign w:val="center"/>
                </w:tcPr>
                <w:p>
                  <w:pPr>
                    <w:jc w:val="center"/>
                    <w:rPr>
                      <w:rFonts w:cs="Times New Roman"/>
                      <w:szCs w:val="21"/>
                    </w:rPr>
                  </w:pPr>
                </w:p>
              </w:tc>
              <w:tc>
                <w:tcPr>
                  <w:tcW w:w="545" w:type="pct"/>
                  <w:tcBorders>
                    <w:tl2br w:val="nil"/>
                    <w:tr2bl w:val="nil"/>
                  </w:tcBorders>
                  <w:vAlign w:val="center"/>
                </w:tcPr>
                <w:p>
                  <w:pPr>
                    <w:jc w:val="center"/>
                    <w:rPr>
                      <w:rFonts w:cs="Times New Roman"/>
                      <w:szCs w:val="21"/>
                    </w:rPr>
                  </w:pPr>
                  <w:r>
                    <w:rPr>
                      <w:rFonts w:cs="Times New Roman"/>
                      <w:szCs w:val="21"/>
                    </w:rPr>
                    <w:t>VOCs</w:t>
                  </w:r>
                </w:p>
              </w:tc>
              <w:tc>
                <w:tcPr>
                  <w:tcW w:w="589" w:type="pct"/>
                  <w:tcBorders>
                    <w:tl2br w:val="nil"/>
                    <w:tr2bl w:val="nil"/>
                  </w:tcBorders>
                  <w:vAlign w:val="center"/>
                </w:tcPr>
                <w:p>
                  <w:pPr>
                    <w:jc w:val="center"/>
                    <w:rPr>
                      <w:rFonts w:cs="Times New Roman"/>
                      <w:szCs w:val="21"/>
                    </w:rPr>
                  </w:pPr>
                  <w:r>
                    <w:rPr>
                      <w:rFonts w:cs="Times New Roman"/>
                      <w:szCs w:val="21"/>
                    </w:rPr>
                    <w:t>有组织</w:t>
                  </w:r>
                </w:p>
              </w:tc>
              <w:tc>
                <w:tcPr>
                  <w:tcW w:w="1599" w:type="pct"/>
                  <w:vMerge w:val="continue"/>
                  <w:tcBorders>
                    <w:tl2br w:val="nil"/>
                    <w:tr2bl w:val="nil"/>
                  </w:tcBorders>
                  <w:vAlign w:val="center"/>
                </w:tcPr>
                <w:p>
                  <w:pPr>
                    <w:jc w:val="center"/>
                    <w:rPr>
                      <w:rFonts w:cs="Times New Roman"/>
                      <w:szCs w:val="21"/>
                    </w:rPr>
                  </w:pPr>
                </w:p>
              </w:tc>
              <w:tc>
                <w:tcPr>
                  <w:tcW w:w="589" w:type="pct"/>
                  <w:tcBorders>
                    <w:tl2br w:val="nil"/>
                    <w:tr2bl w:val="nil"/>
                  </w:tcBorders>
                  <w:vAlign w:val="center"/>
                </w:tcPr>
                <w:p>
                  <w:pPr>
                    <w:jc w:val="center"/>
                    <w:rPr>
                      <w:rFonts w:cs="Times New Roman"/>
                      <w:szCs w:val="21"/>
                    </w:rPr>
                  </w:pPr>
                  <w:r>
                    <w:rPr>
                      <w:rFonts w:cs="Times New Roman"/>
                      <w:szCs w:val="21"/>
                    </w:rPr>
                    <w:t>98</w:t>
                  </w:r>
                </w:p>
              </w:tc>
              <w:tc>
                <w:tcPr>
                  <w:tcW w:w="504" w:type="pct"/>
                  <w:tcBorders>
                    <w:tl2br w:val="nil"/>
                    <w:tr2bl w:val="nil"/>
                  </w:tcBorders>
                  <w:vAlign w:val="center"/>
                </w:tcPr>
                <w:p>
                  <w:pPr>
                    <w:jc w:val="center"/>
                    <w:rPr>
                      <w:rFonts w:cs="Times New Roman"/>
                      <w:szCs w:val="21"/>
                    </w:rPr>
                  </w:pPr>
                  <w:r>
                    <w:rPr>
                      <w:rFonts w:cs="Times New Roman"/>
                      <w:szCs w:val="21"/>
                    </w:rPr>
                    <w:t>84</w:t>
                  </w:r>
                </w:p>
              </w:tc>
              <w:tc>
                <w:tcPr>
                  <w:tcW w:w="691" w:type="pct"/>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restart"/>
                  <w:vAlign w:val="center"/>
                </w:tcPr>
                <w:p>
                  <w:pPr>
                    <w:jc w:val="center"/>
                    <w:rPr>
                      <w:rFonts w:cs="Times New Roman"/>
                      <w:szCs w:val="21"/>
                    </w:rPr>
                  </w:pPr>
                  <w:r>
                    <w:rPr>
                      <w:rFonts w:cs="Times New Roman"/>
                      <w:szCs w:val="21"/>
                    </w:rPr>
                    <w:t>天然气燃烧废气</w:t>
                  </w:r>
                </w:p>
              </w:tc>
              <w:tc>
                <w:tcPr>
                  <w:tcW w:w="0" w:type="auto"/>
                  <w:vAlign w:val="center"/>
                </w:tcPr>
                <w:p>
                  <w:pPr>
                    <w:jc w:val="center"/>
                    <w:rPr>
                      <w:rFonts w:cs="Times New Roman"/>
                      <w:szCs w:val="21"/>
                    </w:rPr>
                  </w:pPr>
                  <w:r>
                    <w:rPr>
                      <w:rFonts w:cs="Times New Roman"/>
                      <w:szCs w:val="21"/>
                    </w:rPr>
                    <w:t>SO</w:t>
                  </w:r>
                  <w:r>
                    <w:rPr>
                      <w:rFonts w:cs="Times New Roman"/>
                      <w:szCs w:val="21"/>
                      <w:vertAlign w:val="subscript"/>
                    </w:rPr>
                    <w:t>2</w:t>
                  </w:r>
                </w:p>
              </w:tc>
              <w:tc>
                <w:tcPr>
                  <w:tcW w:w="0" w:type="auto"/>
                  <w:vAlign w:val="center"/>
                </w:tcPr>
                <w:p>
                  <w:pPr>
                    <w:jc w:val="center"/>
                    <w:rPr>
                      <w:rFonts w:cs="Times New Roman"/>
                      <w:szCs w:val="21"/>
                    </w:rPr>
                  </w:pPr>
                  <w:r>
                    <w:rPr>
                      <w:rFonts w:cs="Times New Roman"/>
                      <w:szCs w:val="21"/>
                    </w:rPr>
                    <w:t>有组织</w:t>
                  </w:r>
                </w:p>
              </w:tc>
              <w:tc>
                <w:tcPr>
                  <w:tcW w:w="1599" w:type="pct"/>
                  <w:vMerge w:val="restart"/>
                  <w:vAlign w:val="center"/>
                </w:tcPr>
                <w:p>
                  <w:pPr>
                    <w:jc w:val="center"/>
                    <w:rPr>
                      <w:rFonts w:cs="Times New Roman"/>
                      <w:szCs w:val="21"/>
                    </w:rPr>
                  </w:pPr>
                  <w:r>
                    <w:rPr>
                      <w:rFonts w:cs="Times New Roman"/>
                      <w:szCs w:val="21"/>
                    </w:rPr>
                    <w:t>安装低氮燃烧器，废气通过18m高排气筒（DA006）排放</w:t>
                  </w:r>
                </w:p>
              </w:tc>
              <w:tc>
                <w:tcPr>
                  <w:tcW w:w="589" w:type="pct"/>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vAlign w:val="center"/>
                </w:tcPr>
                <w:p>
                  <w:pPr>
                    <w:jc w:val="center"/>
                    <w:rPr>
                      <w:rFonts w:cs="Times New Roman"/>
                      <w:szCs w:val="21"/>
                    </w:rPr>
                  </w:pPr>
                </w:p>
              </w:tc>
              <w:tc>
                <w:tcPr>
                  <w:tcW w:w="0" w:type="auto"/>
                  <w:vAlign w:val="center"/>
                </w:tcPr>
                <w:p>
                  <w:pPr>
                    <w:jc w:val="center"/>
                    <w:rPr>
                      <w:rFonts w:cs="Times New Roman"/>
                      <w:szCs w:val="21"/>
                    </w:rPr>
                  </w:pPr>
                  <w:r>
                    <w:rPr>
                      <w:rFonts w:cs="Times New Roman"/>
                      <w:szCs w:val="21"/>
                    </w:rPr>
                    <w:t>NOx</w:t>
                  </w:r>
                </w:p>
              </w:tc>
              <w:tc>
                <w:tcPr>
                  <w:tcW w:w="0" w:type="auto"/>
                  <w:vAlign w:val="center"/>
                </w:tcPr>
                <w:p>
                  <w:pPr>
                    <w:jc w:val="center"/>
                    <w:rPr>
                      <w:rFonts w:cs="Times New Roman"/>
                      <w:szCs w:val="21"/>
                    </w:rPr>
                  </w:pPr>
                  <w:r>
                    <w:rPr>
                      <w:rFonts w:cs="Times New Roman"/>
                      <w:szCs w:val="21"/>
                    </w:rPr>
                    <w:t>有组织</w:t>
                  </w:r>
                </w:p>
              </w:tc>
              <w:tc>
                <w:tcPr>
                  <w:tcW w:w="1599" w:type="pct"/>
                  <w:vMerge w:val="continue"/>
                  <w:vAlign w:val="center"/>
                </w:tcPr>
                <w:p>
                  <w:pPr>
                    <w:jc w:val="center"/>
                    <w:rPr>
                      <w:rFonts w:cs="Times New Roman"/>
                      <w:szCs w:val="21"/>
                    </w:rPr>
                  </w:pPr>
                </w:p>
              </w:tc>
              <w:tc>
                <w:tcPr>
                  <w:tcW w:w="589" w:type="pct"/>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0" w:type="pct"/>
                  <w:vMerge w:val="continue"/>
                  <w:vAlign w:val="center"/>
                </w:tcPr>
                <w:p>
                  <w:pPr>
                    <w:jc w:val="center"/>
                    <w:rPr>
                      <w:rFonts w:cs="Times New Roman"/>
                      <w:szCs w:val="21"/>
                    </w:rPr>
                  </w:pPr>
                </w:p>
              </w:tc>
              <w:tc>
                <w:tcPr>
                  <w:tcW w:w="0" w:type="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0" w:type="auto"/>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1599" w:type="pct"/>
                  <w:vMerge w:val="continue"/>
                  <w:vAlign w:val="center"/>
                </w:tcPr>
                <w:p>
                  <w:pPr>
                    <w:jc w:val="center"/>
                    <w:rPr>
                      <w:rFonts w:cs="Times New Roman"/>
                      <w:szCs w:val="21"/>
                    </w:rPr>
                  </w:pPr>
                </w:p>
              </w:tc>
              <w:tc>
                <w:tcPr>
                  <w:tcW w:w="589" w:type="pct"/>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0" w:type="auto"/>
                  <w:vAlign w:val="center"/>
                </w:tcPr>
                <w:p>
                  <w:pPr>
                    <w:jc w:val="center"/>
                    <w:rPr>
                      <w:rFonts w:cs="Times New Roman"/>
                      <w:szCs w:val="21"/>
                    </w:rPr>
                  </w:pPr>
                  <w:r>
                    <w:rPr>
                      <w:rFonts w:cs="Times New Roman"/>
                      <w:szCs w:val="21"/>
                    </w:rPr>
                    <w:t>食堂油烟</w:t>
                  </w:r>
                </w:p>
              </w:tc>
              <w:tc>
                <w:tcPr>
                  <w:tcW w:w="0" w:type="auto"/>
                  <w:vAlign w:val="center"/>
                </w:tcPr>
                <w:p>
                  <w:pPr>
                    <w:jc w:val="center"/>
                    <w:rPr>
                      <w:rFonts w:cs="Times New Roman"/>
                      <w:szCs w:val="21"/>
                    </w:rPr>
                  </w:pPr>
                  <w:r>
                    <w:rPr>
                      <w:rFonts w:cs="Times New Roman"/>
                      <w:szCs w:val="21"/>
                    </w:rPr>
                    <w:t>油烟</w:t>
                  </w:r>
                </w:p>
              </w:tc>
              <w:tc>
                <w:tcPr>
                  <w:tcW w:w="0" w:type="auto"/>
                  <w:vAlign w:val="center"/>
                </w:tcPr>
                <w:p>
                  <w:pPr>
                    <w:jc w:val="center"/>
                    <w:rPr>
                      <w:rFonts w:cs="Times New Roman"/>
                      <w:szCs w:val="21"/>
                    </w:rPr>
                  </w:pPr>
                  <w:r>
                    <w:rPr>
                      <w:rFonts w:cs="Times New Roman"/>
                      <w:szCs w:val="21"/>
                    </w:rPr>
                    <w:t>无组织</w:t>
                  </w:r>
                </w:p>
              </w:tc>
              <w:tc>
                <w:tcPr>
                  <w:tcW w:w="1599" w:type="pct"/>
                  <w:vAlign w:val="center"/>
                </w:tcPr>
                <w:p>
                  <w:pPr>
                    <w:jc w:val="center"/>
                    <w:rPr>
                      <w:rFonts w:cs="Times New Roman"/>
                      <w:szCs w:val="21"/>
                    </w:rPr>
                  </w:pPr>
                  <w:r>
                    <w:rPr>
                      <w:rFonts w:cs="Times New Roman"/>
                      <w:szCs w:val="21"/>
                      <w:lang w:bidi="ar"/>
                    </w:rPr>
                    <w:t>经油烟净化器处理后外排</w:t>
                  </w:r>
                </w:p>
              </w:tc>
              <w:tc>
                <w:tcPr>
                  <w:tcW w:w="589" w:type="pct"/>
                  <w:vAlign w:val="center"/>
                </w:tcPr>
                <w:p>
                  <w:pPr>
                    <w:jc w:val="center"/>
                    <w:rPr>
                      <w:rFonts w:cs="Times New Roman"/>
                      <w:szCs w:val="21"/>
                    </w:rPr>
                  </w:pPr>
                  <w:r>
                    <w:rPr>
                      <w:rFonts w:cs="Times New Roman"/>
                      <w:szCs w:val="21"/>
                    </w:rPr>
                    <w:t>/</w:t>
                  </w:r>
                </w:p>
              </w:tc>
              <w:tc>
                <w:tcPr>
                  <w:tcW w:w="0" w:type="auto"/>
                  <w:vAlign w:val="center"/>
                </w:tcPr>
                <w:p>
                  <w:pPr>
                    <w:jc w:val="center"/>
                    <w:rPr>
                      <w:rFonts w:cs="Times New Roman"/>
                      <w:szCs w:val="21"/>
                    </w:rPr>
                  </w:pPr>
                  <w:r>
                    <w:rPr>
                      <w:rFonts w:cs="Times New Roman"/>
                      <w:szCs w:val="21"/>
                    </w:rPr>
                    <w:t>60</w:t>
                  </w:r>
                </w:p>
              </w:tc>
              <w:tc>
                <w:tcPr>
                  <w:tcW w:w="0" w:type="auto"/>
                  <w:vAlign w:val="center"/>
                </w:tcPr>
                <w:p>
                  <w:pPr>
                    <w:jc w:val="center"/>
                    <w:rPr>
                      <w:rFonts w:cs="Times New Roman"/>
                      <w:szCs w:val="21"/>
                    </w:rPr>
                  </w:pPr>
                  <w:r>
                    <w:rPr>
                      <w:rFonts w:cs="Times New Roman"/>
                      <w:szCs w:val="21"/>
                    </w:rPr>
                    <w:t>是</w:t>
                  </w:r>
                </w:p>
              </w:tc>
            </w:tr>
          </w:tbl>
          <w:p>
            <w:pPr>
              <w:spacing w:line="360" w:lineRule="auto"/>
              <w:ind w:firstLine="360" w:firstLineChars="150"/>
              <w:rPr>
                <w:rFonts w:cs="Times New Roman"/>
                <w:bCs/>
                <w:sz w:val="24"/>
                <w:szCs w:val="24"/>
              </w:rPr>
            </w:pPr>
            <w:r>
              <w:rPr>
                <w:rFonts w:cs="Times New Roman"/>
                <w:bCs/>
                <w:sz w:val="24"/>
                <w:szCs w:val="24"/>
              </w:rPr>
              <w:t>排放口基本信息见下表。</w:t>
            </w:r>
          </w:p>
          <w:p>
            <w:pPr>
              <w:spacing w:line="360" w:lineRule="auto"/>
              <w:jc w:val="center"/>
              <w:rPr>
                <w:rFonts w:cs="Times New Roman"/>
                <w:b/>
                <w:sz w:val="24"/>
                <w:szCs w:val="24"/>
              </w:rPr>
            </w:pPr>
            <w:r>
              <w:rPr>
                <w:rFonts w:cs="Times New Roman"/>
                <w:b/>
                <w:sz w:val="24"/>
                <w:szCs w:val="24"/>
              </w:rPr>
              <w:t>表4-9  废气排放口基本信息表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43"/>
              <w:gridCol w:w="1064"/>
              <w:gridCol w:w="1086"/>
              <w:gridCol w:w="1274"/>
              <w:gridCol w:w="1277"/>
              <w:gridCol w:w="739"/>
              <w:gridCol w:w="739"/>
              <w:gridCol w:w="741"/>
              <w:gridCol w:w="6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500" w:type="pct"/>
                  <w:vMerge w:val="restart"/>
                  <w:tcBorders>
                    <w:tl2br w:val="nil"/>
                    <w:tr2bl w:val="nil"/>
                  </w:tcBorders>
                  <w:vAlign w:val="center"/>
                </w:tcPr>
                <w:p>
                  <w:pPr>
                    <w:jc w:val="center"/>
                    <w:rPr>
                      <w:rFonts w:cs="Times New Roman"/>
                      <w:b/>
                      <w:bCs/>
                      <w:szCs w:val="21"/>
                    </w:rPr>
                  </w:pPr>
                  <w:r>
                    <w:rPr>
                      <w:rFonts w:cs="Times New Roman"/>
                      <w:b/>
                      <w:bCs/>
                      <w:szCs w:val="21"/>
                    </w:rPr>
                    <w:t>排放口编号</w:t>
                  </w:r>
                </w:p>
              </w:tc>
              <w:tc>
                <w:tcPr>
                  <w:tcW w:w="631" w:type="pct"/>
                  <w:vMerge w:val="restart"/>
                  <w:tcBorders>
                    <w:tl2br w:val="nil"/>
                    <w:tr2bl w:val="nil"/>
                  </w:tcBorders>
                  <w:vAlign w:val="center"/>
                </w:tcPr>
                <w:p>
                  <w:pPr>
                    <w:jc w:val="center"/>
                    <w:rPr>
                      <w:rFonts w:cs="Times New Roman"/>
                      <w:b/>
                      <w:bCs/>
                      <w:szCs w:val="21"/>
                    </w:rPr>
                  </w:pPr>
                  <w:r>
                    <w:rPr>
                      <w:rFonts w:cs="Times New Roman"/>
                      <w:b/>
                      <w:bCs/>
                      <w:szCs w:val="21"/>
                    </w:rPr>
                    <w:t>排放口名称</w:t>
                  </w:r>
                </w:p>
              </w:tc>
              <w:tc>
                <w:tcPr>
                  <w:tcW w:w="644"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512" w:type="pct"/>
                  <w:gridSpan w:val="2"/>
                  <w:tcBorders>
                    <w:tl2br w:val="nil"/>
                    <w:tr2bl w:val="nil"/>
                  </w:tcBorders>
                  <w:vAlign w:val="center"/>
                </w:tcPr>
                <w:p>
                  <w:pPr>
                    <w:jc w:val="center"/>
                    <w:rPr>
                      <w:rFonts w:cs="Times New Roman"/>
                      <w:b/>
                      <w:bCs/>
                      <w:szCs w:val="21"/>
                    </w:rPr>
                  </w:pPr>
                  <w:r>
                    <w:rPr>
                      <w:rFonts w:cs="Times New Roman"/>
                      <w:b/>
                      <w:bCs/>
                      <w:szCs w:val="21"/>
                    </w:rPr>
                    <w:t>排放口地理坐标</w:t>
                  </w:r>
                </w:p>
              </w:tc>
              <w:tc>
                <w:tcPr>
                  <w:tcW w:w="438" w:type="pct"/>
                  <w:vMerge w:val="restart"/>
                  <w:tcBorders>
                    <w:tl2br w:val="nil"/>
                    <w:tr2bl w:val="nil"/>
                  </w:tcBorders>
                  <w:vAlign w:val="center"/>
                </w:tcPr>
                <w:p>
                  <w:pPr>
                    <w:jc w:val="center"/>
                    <w:rPr>
                      <w:rFonts w:cs="Times New Roman"/>
                      <w:b/>
                      <w:bCs/>
                      <w:szCs w:val="21"/>
                    </w:rPr>
                  </w:pPr>
                  <w:r>
                    <w:rPr>
                      <w:rFonts w:cs="Times New Roman"/>
                      <w:b/>
                      <w:bCs/>
                      <w:szCs w:val="21"/>
                    </w:rPr>
                    <w:t>排气筒高度(m)</w:t>
                  </w:r>
                </w:p>
              </w:tc>
              <w:tc>
                <w:tcPr>
                  <w:tcW w:w="438" w:type="pct"/>
                  <w:vMerge w:val="restart"/>
                  <w:tcBorders>
                    <w:tl2br w:val="nil"/>
                    <w:tr2bl w:val="nil"/>
                  </w:tcBorders>
                  <w:vAlign w:val="center"/>
                </w:tcPr>
                <w:p>
                  <w:pPr>
                    <w:jc w:val="center"/>
                    <w:rPr>
                      <w:rFonts w:cs="Times New Roman"/>
                      <w:b/>
                      <w:bCs/>
                      <w:szCs w:val="21"/>
                    </w:rPr>
                  </w:pPr>
                  <w:r>
                    <w:rPr>
                      <w:rFonts w:cs="Times New Roman"/>
                      <w:b/>
                      <w:bCs/>
                      <w:szCs w:val="21"/>
                    </w:rPr>
                    <w:t>排气筒内径(m)</w:t>
                  </w:r>
                </w:p>
              </w:tc>
              <w:tc>
                <w:tcPr>
                  <w:tcW w:w="439" w:type="pct"/>
                  <w:vMerge w:val="restart"/>
                  <w:tcBorders>
                    <w:tl2br w:val="nil"/>
                    <w:tr2bl w:val="nil"/>
                  </w:tcBorders>
                  <w:vAlign w:val="center"/>
                </w:tcPr>
                <w:p>
                  <w:pPr>
                    <w:jc w:val="center"/>
                    <w:rPr>
                      <w:rFonts w:cs="Times New Roman"/>
                      <w:b/>
                      <w:bCs/>
                      <w:szCs w:val="21"/>
                    </w:rPr>
                  </w:pPr>
                  <w:r>
                    <w:rPr>
                      <w:rFonts w:cs="Times New Roman"/>
                      <w:b/>
                      <w:bCs/>
                      <w:szCs w:val="21"/>
                    </w:rPr>
                    <w:t>排放温度(℃)</w:t>
                  </w:r>
                </w:p>
              </w:tc>
              <w:tc>
                <w:tcPr>
                  <w:tcW w:w="395" w:type="pct"/>
                  <w:vMerge w:val="restart"/>
                  <w:tcBorders>
                    <w:tl2br w:val="nil"/>
                    <w:tr2bl w:val="nil"/>
                  </w:tcBorders>
                  <w:vAlign w:val="center"/>
                </w:tcPr>
                <w:p>
                  <w:pPr>
                    <w:jc w:val="center"/>
                    <w:rPr>
                      <w:rFonts w:cs="Times New Roman"/>
                      <w:b/>
                      <w:bCs/>
                      <w:szCs w:val="21"/>
                    </w:rPr>
                  </w:pPr>
                  <w:r>
                    <w:rPr>
                      <w:rFonts w:cs="Times New Roman"/>
                      <w:b/>
                      <w:bCs/>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500" w:type="pct"/>
                  <w:vMerge w:val="continue"/>
                  <w:tcBorders>
                    <w:tl2br w:val="nil"/>
                    <w:tr2bl w:val="nil"/>
                  </w:tcBorders>
                  <w:vAlign w:val="center"/>
                </w:tcPr>
                <w:p>
                  <w:pPr>
                    <w:jc w:val="center"/>
                    <w:rPr>
                      <w:rFonts w:cs="Times New Roman"/>
                      <w:szCs w:val="21"/>
                    </w:rPr>
                  </w:pPr>
                </w:p>
              </w:tc>
              <w:tc>
                <w:tcPr>
                  <w:tcW w:w="631" w:type="pct"/>
                  <w:vMerge w:val="continue"/>
                  <w:tcBorders>
                    <w:tl2br w:val="nil"/>
                    <w:tr2bl w:val="nil"/>
                  </w:tcBorders>
                  <w:vAlign w:val="center"/>
                </w:tcPr>
                <w:p>
                  <w:pPr>
                    <w:jc w:val="center"/>
                    <w:rPr>
                      <w:rFonts w:cs="Times New Roman"/>
                      <w:szCs w:val="21"/>
                    </w:rPr>
                  </w:pPr>
                </w:p>
              </w:tc>
              <w:tc>
                <w:tcPr>
                  <w:tcW w:w="644" w:type="pct"/>
                  <w:vMerge w:val="continue"/>
                  <w:tcBorders>
                    <w:tl2br w:val="nil"/>
                    <w:tr2bl w:val="nil"/>
                  </w:tcBorders>
                  <w:vAlign w:val="center"/>
                </w:tcPr>
                <w:p>
                  <w:pPr>
                    <w:jc w:val="center"/>
                    <w:rPr>
                      <w:rFonts w:cs="Times New Roman"/>
                      <w:szCs w:val="21"/>
                    </w:rPr>
                  </w:pPr>
                </w:p>
              </w:tc>
              <w:tc>
                <w:tcPr>
                  <w:tcW w:w="755" w:type="pct"/>
                  <w:tcBorders>
                    <w:tl2br w:val="nil"/>
                    <w:tr2bl w:val="nil"/>
                  </w:tcBorders>
                  <w:vAlign w:val="center"/>
                </w:tcPr>
                <w:p>
                  <w:pPr>
                    <w:jc w:val="center"/>
                    <w:rPr>
                      <w:rFonts w:cs="Times New Roman"/>
                      <w:b/>
                      <w:bCs/>
                      <w:szCs w:val="21"/>
                    </w:rPr>
                  </w:pPr>
                  <w:r>
                    <w:rPr>
                      <w:rFonts w:cs="Times New Roman"/>
                      <w:b/>
                      <w:bCs/>
                      <w:szCs w:val="21"/>
                    </w:rPr>
                    <w:t>经度</w:t>
                  </w:r>
                </w:p>
              </w:tc>
              <w:tc>
                <w:tcPr>
                  <w:tcW w:w="756" w:type="pct"/>
                  <w:tcBorders>
                    <w:tl2br w:val="nil"/>
                    <w:tr2bl w:val="nil"/>
                  </w:tcBorders>
                  <w:vAlign w:val="center"/>
                </w:tcPr>
                <w:p>
                  <w:pPr>
                    <w:jc w:val="center"/>
                    <w:rPr>
                      <w:rFonts w:cs="Times New Roman"/>
                      <w:b/>
                      <w:bCs/>
                      <w:szCs w:val="21"/>
                    </w:rPr>
                  </w:pPr>
                  <w:r>
                    <w:rPr>
                      <w:rFonts w:cs="Times New Roman"/>
                      <w:b/>
                      <w:bCs/>
                      <w:szCs w:val="21"/>
                    </w:rPr>
                    <w:t>纬度</w:t>
                  </w:r>
                </w:p>
              </w:tc>
              <w:tc>
                <w:tcPr>
                  <w:tcW w:w="438" w:type="pct"/>
                  <w:vMerge w:val="continue"/>
                  <w:tcBorders>
                    <w:tl2br w:val="nil"/>
                    <w:tr2bl w:val="nil"/>
                  </w:tcBorders>
                  <w:vAlign w:val="center"/>
                </w:tcPr>
                <w:p>
                  <w:pPr>
                    <w:jc w:val="center"/>
                    <w:rPr>
                      <w:rFonts w:cs="Times New Roman"/>
                      <w:szCs w:val="21"/>
                    </w:rPr>
                  </w:pPr>
                </w:p>
              </w:tc>
              <w:tc>
                <w:tcPr>
                  <w:tcW w:w="438" w:type="pct"/>
                  <w:vMerge w:val="continue"/>
                  <w:tcBorders>
                    <w:tl2br w:val="nil"/>
                    <w:tr2bl w:val="nil"/>
                  </w:tcBorders>
                  <w:vAlign w:val="center"/>
                </w:tcPr>
                <w:p>
                  <w:pPr>
                    <w:jc w:val="center"/>
                    <w:rPr>
                      <w:rFonts w:cs="Times New Roman"/>
                      <w:szCs w:val="21"/>
                    </w:rPr>
                  </w:pPr>
                </w:p>
              </w:tc>
              <w:tc>
                <w:tcPr>
                  <w:tcW w:w="439" w:type="pct"/>
                  <w:vMerge w:val="continue"/>
                  <w:tcBorders>
                    <w:tl2br w:val="nil"/>
                    <w:tr2bl w:val="nil"/>
                  </w:tcBorders>
                  <w:vAlign w:val="center"/>
                </w:tcPr>
                <w:p>
                  <w:pPr>
                    <w:jc w:val="center"/>
                    <w:rPr>
                      <w:rFonts w:cs="Times New Roman"/>
                      <w:szCs w:val="21"/>
                    </w:rPr>
                  </w:pPr>
                </w:p>
              </w:tc>
              <w:tc>
                <w:tcPr>
                  <w:tcW w:w="395"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500" w:type="pct"/>
                  <w:tcBorders>
                    <w:tl2br w:val="nil"/>
                    <w:tr2bl w:val="nil"/>
                  </w:tcBorders>
                  <w:vAlign w:val="center"/>
                </w:tcPr>
                <w:p>
                  <w:pPr>
                    <w:jc w:val="center"/>
                    <w:rPr>
                      <w:rFonts w:cs="Times New Roman"/>
                      <w:szCs w:val="21"/>
                    </w:rPr>
                  </w:pPr>
                  <w:r>
                    <w:rPr>
                      <w:rFonts w:cs="Times New Roman"/>
                      <w:szCs w:val="21"/>
                    </w:rPr>
                    <w:t>DA005</w:t>
                  </w:r>
                </w:p>
              </w:tc>
              <w:tc>
                <w:tcPr>
                  <w:tcW w:w="631" w:type="pct"/>
                  <w:tcBorders>
                    <w:tl2br w:val="nil"/>
                    <w:tr2bl w:val="nil"/>
                  </w:tcBorders>
                  <w:vAlign w:val="center"/>
                </w:tcPr>
                <w:p>
                  <w:pPr>
                    <w:jc w:val="center"/>
                    <w:rPr>
                      <w:rFonts w:cs="Times New Roman"/>
                      <w:szCs w:val="21"/>
                    </w:rPr>
                  </w:pPr>
                  <w:r>
                    <w:rPr>
                      <w:rFonts w:cs="Times New Roman"/>
                      <w:szCs w:val="21"/>
                    </w:rPr>
                    <w:t>浸胶、烘干排气筒</w:t>
                  </w:r>
                </w:p>
              </w:tc>
              <w:tc>
                <w:tcPr>
                  <w:tcW w:w="644" w:type="pct"/>
                  <w:vMerge w:val="restart"/>
                  <w:tcBorders>
                    <w:tl2br w:val="nil"/>
                    <w:tr2bl w:val="nil"/>
                  </w:tcBorders>
                  <w:vAlign w:val="center"/>
                </w:tcPr>
                <w:p>
                  <w:pPr>
                    <w:jc w:val="center"/>
                    <w:rPr>
                      <w:rFonts w:cs="Times New Roman"/>
                      <w:szCs w:val="21"/>
                    </w:rPr>
                  </w:pPr>
                  <w:r>
                    <w:rPr>
                      <w:rFonts w:cs="Times New Roman"/>
                      <w:szCs w:val="21"/>
                    </w:rPr>
                    <w:t>甲醛、VOCs、氨、SO</w:t>
                  </w:r>
                  <w:r>
                    <w:rPr>
                      <w:rFonts w:cs="Times New Roman"/>
                      <w:szCs w:val="21"/>
                      <w:vertAlign w:val="subscript"/>
                    </w:rPr>
                    <w:t>2</w:t>
                  </w:r>
                  <w:r>
                    <w:rPr>
                      <w:rFonts w:cs="Times New Roman"/>
                      <w:szCs w:val="21"/>
                    </w:rPr>
                    <w:t>、NOx</w:t>
                  </w:r>
                  <w:r>
                    <w:rPr>
                      <w:rFonts w:hint="eastAsia" w:cs="Times New Roman"/>
                      <w:szCs w:val="21"/>
                    </w:rPr>
                    <w:t>、颗粒物</w:t>
                  </w:r>
                </w:p>
              </w:tc>
              <w:tc>
                <w:tcPr>
                  <w:tcW w:w="755" w:type="pct"/>
                  <w:tcBorders>
                    <w:tl2br w:val="nil"/>
                    <w:tr2bl w:val="nil"/>
                  </w:tcBorders>
                  <w:vAlign w:val="center"/>
                </w:tcPr>
                <w:p>
                  <w:pPr>
                    <w:jc w:val="center"/>
                    <w:rPr>
                      <w:rFonts w:cs="Times New Roman"/>
                      <w:bCs/>
                      <w:szCs w:val="21"/>
                    </w:rPr>
                  </w:pPr>
                  <w:r>
                    <w:rPr>
                      <w:rFonts w:cs="Times New Roman"/>
                      <w:bCs/>
                      <w:szCs w:val="21"/>
                    </w:rPr>
                    <w:t>107.690447</w:t>
                  </w:r>
                </w:p>
              </w:tc>
              <w:tc>
                <w:tcPr>
                  <w:tcW w:w="756" w:type="pct"/>
                  <w:tcBorders>
                    <w:tl2br w:val="nil"/>
                    <w:tr2bl w:val="nil"/>
                  </w:tcBorders>
                  <w:vAlign w:val="center"/>
                </w:tcPr>
                <w:p>
                  <w:pPr>
                    <w:jc w:val="center"/>
                    <w:rPr>
                      <w:rFonts w:cs="Times New Roman"/>
                      <w:bCs/>
                      <w:szCs w:val="21"/>
                    </w:rPr>
                  </w:pPr>
                  <w:r>
                    <w:rPr>
                      <w:rFonts w:cs="Times New Roman"/>
                      <w:bCs/>
                      <w:szCs w:val="21"/>
                    </w:rPr>
                    <w:t>31.430632</w:t>
                  </w:r>
                </w:p>
              </w:tc>
              <w:tc>
                <w:tcPr>
                  <w:tcW w:w="438" w:type="pct"/>
                  <w:tcBorders>
                    <w:tl2br w:val="nil"/>
                    <w:tr2bl w:val="nil"/>
                  </w:tcBorders>
                  <w:vAlign w:val="center"/>
                </w:tcPr>
                <w:p>
                  <w:pPr>
                    <w:jc w:val="center"/>
                    <w:rPr>
                      <w:rFonts w:cs="Times New Roman"/>
                      <w:szCs w:val="21"/>
                    </w:rPr>
                  </w:pPr>
                  <w:r>
                    <w:rPr>
                      <w:rFonts w:cs="Times New Roman"/>
                      <w:szCs w:val="21"/>
                    </w:rPr>
                    <w:t>18</w:t>
                  </w:r>
                </w:p>
              </w:tc>
              <w:tc>
                <w:tcPr>
                  <w:tcW w:w="438" w:type="pct"/>
                  <w:tcBorders>
                    <w:tl2br w:val="nil"/>
                    <w:tr2bl w:val="nil"/>
                  </w:tcBorders>
                  <w:vAlign w:val="center"/>
                </w:tcPr>
                <w:p>
                  <w:pPr>
                    <w:jc w:val="center"/>
                    <w:rPr>
                      <w:rFonts w:cs="Times New Roman"/>
                      <w:szCs w:val="21"/>
                    </w:rPr>
                  </w:pPr>
                  <w:r>
                    <w:rPr>
                      <w:rFonts w:cs="Times New Roman"/>
                      <w:szCs w:val="21"/>
                    </w:rPr>
                    <w:t>0.5</w:t>
                  </w:r>
                </w:p>
              </w:tc>
              <w:tc>
                <w:tcPr>
                  <w:tcW w:w="439" w:type="pct"/>
                  <w:tcBorders>
                    <w:tl2br w:val="nil"/>
                    <w:tr2bl w:val="nil"/>
                  </w:tcBorders>
                  <w:vAlign w:val="center"/>
                </w:tcPr>
                <w:p>
                  <w:pPr>
                    <w:jc w:val="center"/>
                    <w:rPr>
                      <w:rFonts w:cs="Times New Roman"/>
                      <w:szCs w:val="21"/>
                    </w:rPr>
                  </w:pPr>
                  <w:r>
                    <w:rPr>
                      <w:rFonts w:cs="Times New Roman"/>
                      <w:szCs w:val="21"/>
                    </w:rPr>
                    <w:t>常温</w:t>
                  </w:r>
                </w:p>
              </w:tc>
              <w:tc>
                <w:tcPr>
                  <w:tcW w:w="395" w:type="pct"/>
                  <w:vMerge w:val="restart"/>
                  <w:tcBorders>
                    <w:tl2br w:val="nil"/>
                    <w:tr2bl w:val="nil"/>
                  </w:tcBorders>
                  <w:vAlign w:val="center"/>
                </w:tcPr>
                <w:p>
                  <w:pPr>
                    <w:jc w:val="center"/>
                    <w:rPr>
                      <w:rFonts w:cs="Times New Roman"/>
                      <w:szCs w:val="21"/>
                    </w:rPr>
                  </w:pPr>
                  <w:r>
                    <w:rPr>
                      <w:rFonts w:cs="Times New Roman"/>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500" w:type="pct"/>
                  <w:tcBorders>
                    <w:tl2br w:val="nil"/>
                    <w:tr2bl w:val="nil"/>
                  </w:tcBorders>
                  <w:vAlign w:val="center"/>
                </w:tcPr>
                <w:p>
                  <w:pPr>
                    <w:jc w:val="center"/>
                    <w:rPr>
                      <w:rFonts w:cs="Times New Roman"/>
                      <w:szCs w:val="21"/>
                    </w:rPr>
                  </w:pPr>
                  <w:r>
                    <w:rPr>
                      <w:rFonts w:cs="Times New Roman"/>
                      <w:szCs w:val="21"/>
                    </w:rPr>
                    <w:t>DA006</w:t>
                  </w:r>
                </w:p>
              </w:tc>
              <w:tc>
                <w:tcPr>
                  <w:tcW w:w="631" w:type="pct"/>
                  <w:tcBorders>
                    <w:tl2br w:val="nil"/>
                    <w:tr2bl w:val="nil"/>
                  </w:tcBorders>
                  <w:vAlign w:val="center"/>
                </w:tcPr>
                <w:p>
                  <w:pPr>
                    <w:jc w:val="center"/>
                    <w:rPr>
                      <w:rFonts w:cs="Times New Roman"/>
                      <w:szCs w:val="21"/>
                    </w:rPr>
                  </w:pPr>
                  <w:r>
                    <w:rPr>
                      <w:rFonts w:cs="Times New Roman"/>
                      <w:szCs w:val="21"/>
                    </w:rPr>
                    <w:t>浸胶、烘干排气筒</w:t>
                  </w:r>
                </w:p>
              </w:tc>
              <w:tc>
                <w:tcPr>
                  <w:tcW w:w="644" w:type="pct"/>
                  <w:vMerge w:val="continue"/>
                  <w:tcBorders>
                    <w:tl2br w:val="nil"/>
                    <w:tr2bl w:val="nil"/>
                  </w:tcBorders>
                  <w:vAlign w:val="center"/>
                </w:tcPr>
                <w:p>
                  <w:pPr>
                    <w:jc w:val="center"/>
                    <w:rPr>
                      <w:rFonts w:cs="Times New Roman"/>
                      <w:szCs w:val="21"/>
                    </w:rPr>
                  </w:pPr>
                </w:p>
              </w:tc>
              <w:tc>
                <w:tcPr>
                  <w:tcW w:w="755" w:type="pct"/>
                  <w:tcBorders>
                    <w:tl2br w:val="nil"/>
                    <w:tr2bl w:val="nil"/>
                  </w:tcBorders>
                  <w:vAlign w:val="center"/>
                </w:tcPr>
                <w:p>
                  <w:pPr>
                    <w:jc w:val="center"/>
                    <w:rPr>
                      <w:rFonts w:cs="Times New Roman"/>
                      <w:bCs/>
                      <w:szCs w:val="21"/>
                    </w:rPr>
                  </w:pPr>
                  <w:r>
                    <w:rPr>
                      <w:rFonts w:cs="Times New Roman"/>
                      <w:bCs/>
                      <w:szCs w:val="21"/>
                    </w:rPr>
                    <w:t>107.690498</w:t>
                  </w:r>
                </w:p>
              </w:tc>
              <w:tc>
                <w:tcPr>
                  <w:tcW w:w="756" w:type="pct"/>
                  <w:tcBorders>
                    <w:tl2br w:val="nil"/>
                    <w:tr2bl w:val="nil"/>
                  </w:tcBorders>
                  <w:vAlign w:val="center"/>
                </w:tcPr>
                <w:p>
                  <w:pPr>
                    <w:jc w:val="center"/>
                    <w:rPr>
                      <w:rFonts w:cs="Times New Roman"/>
                      <w:bCs/>
                      <w:szCs w:val="21"/>
                    </w:rPr>
                  </w:pPr>
                  <w:r>
                    <w:rPr>
                      <w:rFonts w:cs="Times New Roman"/>
                      <w:bCs/>
                      <w:szCs w:val="21"/>
                    </w:rPr>
                    <w:t>31.430721</w:t>
                  </w:r>
                </w:p>
              </w:tc>
              <w:tc>
                <w:tcPr>
                  <w:tcW w:w="438" w:type="pct"/>
                  <w:tcBorders>
                    <w:tl2br w:val="nil"/>
                    <w:tr2bl w:val="nil"/>
                  </w:tcBorders>
                  <w:vAlign w:val="center"/>
                </w:tcPr>
                <w:p>
                  <w:pPr>
                    <w:jc w:val="center"/>
                    <w:rPr>
                      <w:rFonts w:cs="Times New Roman"/>
                      <w:szCs w:val="21"/>
                    </w:rPr>
                  </w:pPr>
                  <w:r>
                    <w:rPr>
                      <w:rFonts w:cs="Times New Roman"/>
                      <w:szCs w:val="21"/>
                    </w:rPr>
                    <w:t>18</w:t>
                  </w:r>
                </w:p>
              </w:tc>
              <w:tc>
                <w:tcPr>
                  <w:tcW w:w="438" w:type="pct"/>
                  <w:tcBorders>
                    <w:tl2br w:val="nil"/>
                    <w:tr2bl w:val="nil"/>
                  </w:tcBorders>
                  <w:vAlign w:val="center"/>
                </w:tcPr>
                <w:p>
                  <w:pPr>
                    <w:jc w:val="center"/>
                    <w:rPr>
                      <w:rFonts w:cs="Times New Roman"/>
                      <w:szCs w:val="21"/>
                    </w:rPr>
                  </w:pPr>
                  <w:r>
                    <w:rPr>
                      <w:rFonts w:cs="Times New Roman"/>
                      <w:szCs w:val="21"/>
                    </w:rPr>
                    <w:t>0.5</w:t>
                  </w:r>
                </w:p>
              </w:tc>
              <w:tc>
                <w:tcPr>
                  <w:tcW w:w="439" w:type="pct"/>
                  <w:tcBorders>
                    <w:tl2br w:val="nil"/>
                    <w:tr2bl w:val="nil"/>
                  </w:tcBorders>
                  <w:vAlign w:val="center"/>
                </w:tcPr>
                <w:p>
                  <w:pPr>
                    <w:jc w:val="center"/>
                    <w:rPr>
                      <w:rFonts w:cs="Times New Roman"/>
                      <w:szCs w:val="21"/>
                    </w:rPr>
                  </w:pPr>
                  <w:r>
                    <w:rPr>
                      <w:rFonts w:cs="Times New Roman"/>
                      <w:szCs w:val="21"/>
                    </w:rPr>
                    <w:t>常温</w:t>
                  </w:r>
                </w:p>
              </w:tc>
              <w:tc>
                <w:tcPr>
                  <w:tcW w:w="395" w:type="pct"/>
                  <w:vMerge w:val="continue"/>
                  <w:tcBorders>
                    <w:tl2br w:val="nil"/>
                    <w:tr2bl w:val="nil"/>
                  </w:tcBorders>
                  <w:vAlign w:val="center"/>
                </w:tcPr>
                <w:p>
                  <w:pPr>
                    <w:jc w:val="center"/>
                    <w:rPr>
                      <w:rFonts w:cs="Times New Roman"/>
                      <w:szCs w:val="21"/>
                    </w:rPr>
                  </w:pPr>
                </w:p>
              </w:tc>
            </w:tr>
          </w:tbl>
          <w:p>
            <w:pPr>
              <w:spacing w:line="360" w:lineRule="auto"/>
              <w:ind w:firstLine="482" w:firstLineChars="200"/>
              <w:rPr>
                <w:rFonts w:cs="Times New Roman"/>
                <w:b/>
                <w:bCs/>
                <w:sz w:val="24"/>
                <w:szCs w:val="24"/>
              </w:rPr>
            </w:pPr>
            <w:r>
              <w:rPr>
                <w:rFonts w:cs="Times New Roman"/>
                <w:b/>
                <w:bCs/>
                <w:sz w:val="24"/>
                <w:szCs w:val="24"/>
              </w:rPr>
              <w:t>（3）活性炭吸附装置运行原理及其性能介绍</w:t>
            </w:r>
          </w:p>
          <w:p>
            <w:pPr>
              <w:spacing w:line="360" w:lineRule="auto"/>
              <w:ind w:firstLine="480" w:firstLineChars="200"/>
              <w:rPr>
                <w:rFonts w:cs="Times New Roman"/>
                <w:sz w:val="24"/>
                <w:szCs w:val="24"/>
              </w:rPr>
            </w:pPr>
            <w:r>
              <w:rPr>
                <w:rFonts w:cs="Times New Roman"/>
                <w:sz w:val="24"/>
                <w:szCs w:val="24"/>
              </w:rPr>
              <w:t>因活性炭表面有大量微孔，其中绝大部分孔径小于500A（1A=10</w:t>
            </w:r>
            <w:r>
              <w:rPr>
                <w:rFonts w:cs="Times New Roman"/>
                <w:sz w:val="24"/>
                <w:szCs w:val="24"/>
                <w:vertAlign w:val="superscript"/>
              </w:rPr>
              <w:t>-10</w:t>
            </w:r>
            <w:r>
              <w:rPr>
                <w:rFonts w:cs="Times New Roman"/>
                <w:sz w:val="24"/>
                <w:szCs w:val="24"/>
              </w:rPr>
              <w:t>m），单位材料微孔的总内表面积称“比表面积”，可高达 900～1100m</w:t>
            </w:r>
            <w:r>
              <w:rPr>
                <w:rFonts w:cs="Times New Roman"/>
                <w:sz w:val="24"/>
                <w:szCs w:val="24"/>
                <w:vertAlign w:val="superscript"/>
              </w:rPr>
              <w:t>2</w:t>
            </w:r>
            <w:r>
              <w:rPr>
                <w:rFonts w:cs="Times New Roman"/>
                <w:sz w:val="24"/>
                <w:szCs w:val="24"/>
              </w:rPr>
              <w:t>/g，常被用来作为吸附有机废气的吸附剂。空气中的有害气体称“吸附质”，活性炭为“吸附剂”，由于分子间的引力，吸附质粘到微孔内表面，从而使空气得到净化。活性炭材料分颗粒炭、纤维炭，传统的颗粒活性炭有煤质炭、木质炭、椰壳炭、骨炭，在有机废气处理过程中，活性炭常被用来吸附烷烃、烯烃、芳香烃、酮、醛、氯代烃、酯等挥发性有机化合物（VOC</w:t>
            </w:r>
            <w:r>
              <w:rPr>
                <w:rFonts w:cs="Times New Roman"/>
                <w:sz w:val="24"/>
                <w:szCs w:val="24"/>
                <w:vertAlign w:val="subscript"/>
              </w:rPr>
              <w:t>S</w:t>
            </w:r>
            <w:r>
              <w:rPr>
                <w:rFonts w:cs="Times New Roman"/>
                <w:sz w:val="24"/>
                <w:szCs w:val="24"/>
              </w:rPr>
              <w:t>）。此外，活性炭具有孔径分布合理、吸附容量高、吸附速度快、机械强度大、在固定床中使用，气流阻力小、易于解吸和再生等优点，在宽浓度范围对大部分无机气体（如硫化物、氮氧化物等）和大多数有机蒸气、溶剂有较强的吸附能力。</w:t>
            </w:r>
          </w:p>
          <w:p>
            <w:pPr>
              <w:spacing w:line="360" w:lineRule="auto"/>
              <w:ind w:firstLine="480" w:firstLineChars="200"/>
              <w:rPr>
                <w:rFonts w:cs="Times New Roman"/>
                <w:sz w:val="24"/>
                <w:szCs w:val="24"/>
              </w:rPr>
            </w:pPr>
            <w:r>
              <w:rPr>
                <w:rFonts w:cs="Times New Roman"/>
                <w:sz w:val="24"/>
                <w:szCs w:val="24"/>
              </w:rPr>
              <w:t>本项目有机废气采用二级级活性炭吸附装置净化处理。一般单级活性炭的处理效率大于60%。本项目有机废气吸附温度为常温，则本项目采用二级活性炭处理效率为1－（1-60%）×（1-60%）=84%，则本项目取84%合理。同时，根据《吸附法工业有机废气治理工程技术规范》（HJ 2026-2013）活性炭吸附属于可行技术。</w:t>
            </w:r>
          </w:p>
          <w:p>
            <w:pPr>
              <w:spacing w:line="360" w:lineRule="auto"/>
              <w:ind w:firstLine="361" w:firstLineChars="150"/>
              <w:rPr>
                <w:rFonts w:cs="Times New Roman"/>
                <w:b/>
                <w:sz w:val="24"/>
                <w:szCs w:val="24"/>
              </w:rPr>
            </w:pPr>
            <w:r>
              <w:rPr>
                <w:rFonts w:cs="Times New Roman"/>
                <w:b/>
                <w:sz w:val="24"/>
                <w:szCs w:val="24"/>
              </w:rPr>
              <w:t>（3）污染物排放信息</w:t>
            </w:r>
          </w:p>
          <w:p>
            <w:pPr>
              <w:spacing w:line="360" w:lineRule="auto"/>
              <w:ind w:firstLine="480" w:firstLineChars="200"/>
              <w:rPr>
                <w:rFonts w:cs="Times New Roman"/>
                <w:sz w:val="24"/>
                <w:szCs w:val="24"/>
              </w:rPr>
            </w:pPr>
            <w:r>
              <w:rPr>
                <w:rFonts w:cs="Times New Roman"/>
                <w:sz w:val="24"/>
                <w:szCs w:val="24"/>
              </w:rPr>
              <w:t>本项目废气污染物排放信息见下表：</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spacing w:line="360" w:lineRule="auto"/>
        <w:rPr>
          <w:rFonts w:cs="Times New Roman"/>
          <w:b/>
          <w:sz w:val="28"/>
          <w:szCs w:val="28"/>
        </w:rPr>
        <w:sectPr>
          <w:pgSz w:w="11906" w:h="16838"/>
          <w:pgMar w:top="1134" w:right="1134" w:bottom="1134" w:left="1418" w:header="851" w:footer="992" w:gutter="0"/>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60" w:type="dxa"/>
          </w:tcPr>
          <w:p>
            <w:pPr>
              <w:spacing w:line="360" w:lineRule="auto"/>
              <w:jc w:val="center"/>
              <w:rPr>
                <w:rFonts w:cs="Times New Roman"/>
                <w:b/>
                <w:sz w:val="24"/>
                <w:szCs w:val="24"/>
              </w:rPr>
            </w:pPr>
            <w:r>
              <w:rPr>
                <w:rFonts w:cs="Times New Roman"/>
                <w:b/>
                <w:sz w:val="24"/>
                <w:szCs w:val="24"/>
              </w:rPr>
              <w:t>表4-10  废气污染物排放信息表</w:t>
            </w:r>
          </w:p>
          <w:tbl>
            <w:tblPr>
              <w:tblStyle w:val="26"/>
              <w:tblW w:w="143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2"/>
              <w:gridCol w:w="763"/>
              <w:gridCol w:w="880"/>
              <w:gridCol w:w="630"/>
              <w:gridCol w:w="1171"/>
              <w:gridCol w:w="645"/>
              <w:gridCol w:w="841"/>
              <w:gridCol w:w="916"/>
              <w:gridCol w:w="675"/>
              <w:gridCol w:w="738"/>
              <w:gridCol w:w="778"/>
              <w:gridCol w:w="781"/>
              <w:gridCol w:w="766"/>
              <w:gridCol w:w="811"/>
              <w:gridCol w:w="991"/>
              <w:gridCol w:w="615"/>
              <w:gridCol w:w="781"/>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restart"/>
                  <w:tcBorders>
                    <w:tl2br w:val="nil"/>
                    <w:tr2bl w:val="nil"/>
                  </w:tcBorders>
                  <w:vAlign w:val="center"/>
                </w:tcPr>
                <w:p>
                  <w:pPr>
                    <w:jc w:val="center"/>
                    <w:rPr>
                      <w:rFonts w:cs="Times New Roman"/>
                      <w:b/>
                      <w:bCs/>
                      <w:sz w:val="18"/>
                      <w:szCs w:val="18"/>
                    </w:rPr>
                  </w:pPr>
                  <w:r>
                    <w:rPr>
                      <w:rFonts w:cs="Times New Roman"/>
                      <w:b/>
                      <w:bCs/>
                      <w:sz w:val="18"/>
                      <w:szCs w:val="18"/>
                    </w:rPr>
                    <w:t>污染源</w:t>
                  </w:r>
                </w:p>
              </w:tc>
              <w:tc>
                <w:tcPr>
                  <w:tcW w:w="763" w:type="dxa"/>
                  <w:vMerge w:val="restart"/>
                  <w:tcBorders>
                    <w:tl2br w:val="nil"/>
                    <w:tr2bl w:val="nil"/>
                  </w:tcBorders>
                  <w:vAlign w:val="center"/>
                </w:tcPr>
                <w:p>
                  <w:pPr>
                    <w:jc w:val="center"/>
                    <w:rPr>
                      <w:rFonts w:cs="Times New Roman"/>
                      <w:b/>
                      <w:bCs/>
                      <w:sz w:val="18"/>
                      <w:szCs w:val="18"/>
                    </w:rPr>
                  </w:pPr>
                  <w:r>
                    <w:rPr>
                      <w:rFonts w:cs="Times New Roman"/>
                      <w:b/>
                      <w:bCs/>
                      <w:sz w:val="18"/>
                      <w:szCs w:val="18"/>
                    </w:rPr>
                    <w:t>污染物</w:t>
                  </w:r>
                </w:p>
              </w:tc>
              <w:tc>
                <w:tcPr>
                  <w:tcW w:w="880" w:type="dxa"/>
                  <w:vMerge w:val="restart"/>
                  <w:tcBorders>
                    <w:tl2br w:val="nil"/>
                    <w:tr2bl w:val="nil"/>
                  </w:tcBorders>
                  <w:vAlign w:val="center"/>
                </w:tcPr>
                <w:p>
                  <w:pPr>
                    <w:jc w:val="center"/>
                    <w:rPr>
                      <w:rFonts w:cs="Times New Roman"/>
                      <w:b/>
                      <w:bCs/>
                      <w:sz w:val="18"/>
                      <w:szCs w:val="18"/>
                    </w:rPr>
                  </w:pPr>
                  <w:r>
                    <w:rPr>
                      <w:rFonts w:cs="Times New Roman"/>
                      <w:b/>
                      <w:bCs/>
                      <w:sz w:val="18"/>
                      <w:szCs w:val="18"/>
                    </w:rPr>
                    <w:t>污染物产生量（t/a）</w:t>
                  </w:r>
                </w:p>
              </w:tc>
              <w:tc>
                <w:tcPr>
                  <w:tcW w:w="2446" w:type="dxa"/>
                  <w:gridSpan w:val="3"/>
                  <w:tcBorders>
                    <w:tl2br w:val="nil"/>
                    <w:tr2bl w:val="nil"/>
                  </w:tcBorders>
                  <w:vAlign w:val="center"/>
                </w:tcPr>
                <w:p>
                  <w:pPr>
                    <w:jc w:val="center"/>
                    <w:rPr>
                      <w:rFonts w:cs="Times New Roman"/>
                      <w:b/>
                      <w:bCs/>
                      <w:sz w:val="18"/>
                      <w:szCs w:val="18"/>
                    </w:rPr>
                  </w:pPr>
                  <w:r>
                    <w:rPr>
                      <w:rFonts w:cs="Times New Roman"/>
                      <w:b/>
                      <w:bCs/>
                      <w:sz w:val="18"/>
                      <w:szCs w:val="18"/>
                    </w:rPr>
                    <w:t>治理措施</w:t>
                  </w:r>
                </w:p>
              </w:tc>
              <w:tc>
                <w:tcPr>
                  <w:tcW w:w="9555" w:type="dxa"/>
                  <w:gridSpan w:val="12"/>
                  <w:tcBorders>
                    <w:tl2br w:val="nil"/>
                    <w:tr2bl w:val="nil"/>
                  </w:tcBorders>
                  <w:vAlign w:val="center"/>
                </w:tcPr>
                <w:p>
                  <w:pPr>
                    <w:jc w:val="center"/>
                    <w:rPr>
                      <w:rFonts w:cs="Times New Roman"/>
                      <w:b/>
                      <w:bCs/>
                      <w:sz w:val="18"/>
                      <w:szCs w:val="18"/>
                    </w:rPr>
                  </w:pPr>
                  <w:r>
                    <w:rPr>
                      <w:rFonts w:cs="Times New Roman"/>
                      <w:b/>
                      <w:bCs/>
                      <w:sz w:val="18"/>
                      <w:szCs w:val="18"/>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continue"/>
                  <w:tcBorders>
                    <w:tl2br w:val="nil"/>
                    <w:tr2bl w:val="nil"/>
                  </w:tcBorders>
                  <w:vAlign w:val="center"/>
                </w:tcPr>
                <w:p>
                  <w:pPr>
                    <w:jc w:val="center"/>
                    <w:rPr>
                      <w:rFonts w:cs="Times New Roman"/>
                      <w:b/>
                      <w:bCs/>
                      <w:sz w:val="18"/>
                      <w:szCs w:val="18"/>
                    </w:rPr>
                  </w:pPr>
                </w:p>
              </w:tc>
              <w:tc>
                <w:tcPr>
                  <w:tcW w:w="763" w:type="dxa"/>
                  <w:vMerge w:val="continue"/>
                  <w:tcBorders>
                    <w:tl2br w:val="nil"/>
                    <w:tr2bl w:val="nil"/>
                  </w:tcBorders>
                  <w:vAlign w:val="center"/>
                </w:tcPr>
                <w:p>
                  <w:pPr>
                    <w:jc w:val="center"/>
                    <w:rPr>
                      <w:rFonts w:cs="Times New Roman"/>
                      <w:b/>
                      <w:bCs/>
                      <w:sz w:val="18"/>
                      <w:szCs w:val="18"/>
                    </w:rPr>
                  </w:pPr>
                </w:p>
              </w:tc>
              <w:tc>
                <w:tcPr>
                  <w:tcW w:w="880" w:type="dxa"/>
                  <w:vMerge w:val="continue"/>
                  <w:tcBorders>
                    <w:tl2br w:val="nil"/>
                    <w:tr2bl w:val="nil"/>
                  </w:tcBorders>
                  <w:vAlign w:val="center"/>
                </w:tcPr>
                <w:p>
                  <w:pPr>
                    <w:jc w:val="center"/>
                    <w:rPr>
                      <w:rFonts w:cs="Times New Roman"/>
                      <w:b/>
                      <w:bCs/>
                      <w:sz w:val="18"/>
                      <w:szCs w:val="18"/>
                    </w:rPr>
                  </w:pPr>
                </w:p>
              </w:tc>
              <w:tc>
                <w:tcPr>
                  <w:tcW w:w="630" w:type="dxa"/>
                  <w:vMerge w:val="restart"/>
                  <w:tcBorders>
                    <w:tl2br w:val="nil"/>
                    <w:tr2bl w:val="nil"/>
                  </w:tcBorders>
                  <w:vAlign w:val="center"/>
                </w:tcPr>
                <w:p>
                  <w:pPr>
                    <w:jc w:val="center"/>
                    <w:rPr>
                      <w:rFonts w:cs="Times New Roman"/>
                      <w:b/>
                      <w:bCs/>
                      <w:sz w:val="18"/>
                      <w:szCs w:val="18"/>
                    </w:rPr>
                  </w:pPr>
                  <w:r>
                    <w:rPr>
                      <w:rFonts w:cs="Times New Roman"/>
                      <w:b/>
                      <w:bCs/>
                      <w:sz w:val="18"/>
                      <w:szCs w:val="18"/>
                    </w:rPr>
                    <w:t>收集效率（%）</w:t>
                  </w:r>
                </w:p>
              </w:tc>
              <w:tc>
                <w:tcPr>
                  <w:tcW w:w="1171" w:type="dxa"/>
                  <w:vMerge w:val="restart"/>
                  <w:tcBorders>
                    <w:tl2br w:val="nil"/>
                    <w:tr2bl w:val="nil"/>
                  </w:tcBorders>
                  <w:vAlign w:val="center"/>
                </w:tcPr>
                <w:p>
                  <w:pPr>
                    <w:jc w:val="center"/>
                    <w:rPr>
                      <w:rFonts w:cs="Times New Roman"/>
                      <w:b/>
                      <w:bCs/>
                      <w:sz w:val="18"/>
                      <w:szCs w:val="18"/>
                    </w:rPr>
                  </w:pPr>
                  <w:r>
                    <w:rPr>
                      <w:rFonts w:cs="Times New Roman"/>
                      <w:b/>
                      <w:bCs/>
                      <w:sz w:val="18"/>
                      <w:szCs w:val="18"/>
                    </w:rPr>
                    <w:t>治理工艺</w:t>
                  </w:r>
                </w:p>
              </w:tc>
              <w:tc>
                <w:tcPr>
                  <w:tcW w:w="645" w:type="dxa"/>
                  <w:vMerge w:val="restart"/>
                  <w:tcBorders>
                    <w:tl2br w:val="nil"/>
                    <w:tr2bl w:val="nil"/>
                  </w:tcBorders>
                  <w:vAlign w:val="center"/>
                </w:tcPr>
                <w:p>
                  <w:pPr>
                    <w:jc w:val="center"/>
                    <w:rPr>
                      <w:rFonts w:cs="Times New Roman"/>
                      <w:b/>
                      <w:bCs/>
                      <w:sz w:val="18"/>
                      <w:szCs w:val="18"/>
                    </w:rPr>
                  </w:pPr>
                  <w:r>
                    <w:rPr>
                      <w:rFonts w:cs="Times New Roman"/>
                      <w:b/>
                      <w:bCs/>
                      <w:sz w:val="18"/>
                      <w:szCs w:val="18"/>
                    </w:rPr>
                    <w:t>去除效率（%）</w:t>
                  </w:r>
                </w:p>
              </w:tc>
              <w:tc>
                <w:tcPr>
                  <w:tcW w:w="3170" w:type="dxa"/>
                  <w:gridSpan w:val="4"/>
                  <w:tcBorders>
                    <w:tl2br w:val="nil"/>
                    <w:tr2bl w:val="nil"/>
                  </w:tcBorders>
                  <w:vAlign w:val="center"/>
                </w:tcPr>
                <w:p>
                  <w:pPr>
                    <w:jc w:val="center"/>
                    <w:rPr>
                      <w:rFonts w:cs="Times New Roman"/>
                      <w:b/>
                      <w:bCs/>
                      <w:sz w:val="18"/>
                      <w:szCs w:val="18"/>
                    </w:rPr>
                  </w:pPr>
                  <w:r>
                    <w:rPr>
                      <w:rFonts w:cs="Times New Roman"/>
                      <w:b/>
                      <w:bCs/>
                      <w:sz w:val="18"/>
                      <w:szCs w:val="18"/>
                    </w:rPr>
                    <w:t>有组织</w:t>
                  </w:r>
                </w:p>
              </w:tc>
              <w:tc>
                <w:tcPr>
                  <w:tcW w:w="1559" w:type="dxa"/>
                  <w:gridSpan w:val="2"/>
                  <w:tcBorders>
                    <w:tl2br w:val="nil"/>
                    <w:tr2bl w:val="nil"/>
                  </w:tcBorders>
                  <w:vAlign w:val="center"/>
                </w:tcPr>
                <w:p>
                  <w:pPr>
                    <w:jc w:val="center"/>
                    <w:rPr>
                      <w:rFonts w:cs="Times New Roman"/>
                      <w:b/>
                      <w:bCs/>
                      <w:sz w:val="18"/>
                      <w:szCs w:val="18"/>
                    </w:rPr>
                  </w:pPr>
                  <w:r>
                    <w:rPr>
                      <w:rFonts w:cs="Times New Roman"/>
                      <w:b/>
                      <w:bCs/>
                      <w:sz w:val="18"/>
                      <w:szCs w:val="18"/>
                    </w:rPr>
                    <w:t>无组织</w:t>
                  </w:r>
                </w:p>
              </w:tc>
              <w:tc>
                <w:tcPr>
                  <w:tcW w:w="766" w:type="dxa"/>
                  <w:vMerge w:val="restart"/>
                  <w:tcBorders>
                    <w:tl2br w:val="nil"/>
                    <w:tr2bl w:val="nil"/>
                  </w:tcBorders>
                  <w:vAlign w:val="center"/>
                </w:tcPr>
                <w:p>
                  <w:pPr>
                    <w:jc w:val="center"/>
                    <w:rPr>
                      <w:rFonts w:cs="Times New Roman"/>
                      <w:b/>
                      <w:bCs/>
                      <w:sz w:val="18"/>
                      <w:szCs w:val="18"/>
                    </w:rPr>
                  </w:pPr>
                  <w:r>
                    <w:rPr>
                      <w:rFonts w:cs="Times New Roman"/>
                      <w:b/>
                      <w:bCs/>
                      <w:sz w:val="18"/>
                      <w:szCs w:val="18"/>
                    </w:rPr>
                    <w:t>排放时间</w:t>
                  </w:r>
                </w:p>
              </w:tc>
              <w:tc>
                <w:tcPr>
                  <w:tcW w:w="811" w:type="dxa"/>
                  <w:vMerge w:val="restart"/>
                  <w:tcBorders>
                    <w:tl2br w:val="nil"/>
                    <w:tr2bl w:val="nil"/>
                  </w:tcBorders>
                  <w:vAlign w:val="center"/>
                </w:tcPr>
                <w:p>
                  <w:pPr>
                    <w:jc w:val="center"/>
                    <w:rPr>
                      <w:rFonts w:cs="Times New Roman"/>
                      <w:b/>
                      <w:bCs/>
                      <w:sz w:val="18"/>
                      <w:szCs w:val="18"/>
                    </w:rPr>
                  </w:pPr>
                  <w:r>
                    <w:rPr>
                      <w:rFonts w:cs="Times New Roman"/>
                      <w:b/>
                      <w:bCs/>
                      <w:sz w:val="18"/>
                      <w:szCs w:val="18"/>
                    </w:rPr>
                    <w:t>排气筒编号</w:t>
                  </w:r>
                </w:p>
              </w:tc>
              <w:tc>
                <w:tcPr>
                  <w:tcW w:w="991" w:type="dxa"/>
                  <w:vMerge w:val="restart"/>
                  <w:tcBorders>
                    <w:tl2br w:val="nil"/>
                    <w:tr2bl w:val="nil"/>
                  </w:tcBorders>
                  <w:vAlign w:val="center"/>
                </w:tcPr>
                <w:p>
                  <w:pPr>
                    <w:jc w:val="center"/>
                    <w:rPr>
                      <w:rFonts w:cs="Times New Roman"/>
                      <w:b/>
                      <w:bCs/>
                      <w:sz w:val="18"/>
                      <w:szCs w:val="18"/>
                    </w:rPr>
                  </w:pPr>
                  <w:r>
                    <w:rPr>
                      <w:rFonts w:cs="Times New Roman"/>
                      <w:b/>
                      <w:bCs/>
                      <w:sz w:val="18"/>
                      <w:szCs w:val="18"/>
                    </w:rPr>
                    <w:t>排放口类型</w:t>
                  </w:r>
                </w:p>
              </w:tc>
              <w:tc>
                <w:tcPr>
                  <w:tcW w:w="2258" w:type="dxa"/>
                  <w:gridSpan w:val="3"/>
                  <w:tcBorders>
                    <w:tl2br w:val="nil"/>
                    <w:tr2bl w:val="nil"/>
                  </w:tcBorders>
                  <w:vAlign w:val="center"/>
                </w:tcPr>
                <w:p>
                  <w:pPr>
                    <w:jc w:val="center"/>
                    <w:rPr>
                      <w:rFonts w:cs="Times New Roman"/>
                      <w:b/>
                      <w:bCs/>
                      <w:sz w:val="18"/>
                      <w:szCs w:val="18"/>
                    </w:rPr>
                  </w:pPr>
                  <w:r>
                    <w:rPr>
                      <w:rFonts w:cs="Times New Roman"/>
                      <w:b/>
                      <w:bCs/>
                      <w:sz w:val="18"/>
                      <w:szCs w:val="18"/>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continue"/>
                  <w:tcBorders>
                    <w:tl2br w:val="nil"/>
                    <w:tr2bl w:val="nil"/>
                  </w:tcBorders>
                  <w:vAlign w:val="center"/>
                </w:tcPr>
                <w:p>
                  <w:pPr>
                    <w:jc w:val="center"/>
                    <w:rPr>
                      <w:rFonts w:cs="Times New Roman"/>
                      <w:b/>
                      <w:bCs/>
                      <w:sz w:val="18"/>
                      <w:szCs w:val="18"/>
                    </w:rPr>
                  </w:pPr>
                </w:p>
              </w:tc>
              <w:tc>
                <w:tcPr>
                  <w:tcW w:w="763" w:type="dxa"/>
                  <w:vMerge w:val="continue"/>
                  <w:tcBorders>
                    <w:tl2br w:val="nil"/>
                    <w:tr2bl w:val="nil"/>
                  </w:tcBorders>
                  <w:vAlign w:val="center"/>
                </w:tcPr>
                <w:p>
                  <w:pPr>
                    <w:jc w:val="center"/>
                    <w:rPr>
                      <w:rFonts w:cs="Times New Roman"/>
                      <w:b/>
                      <w:bCs/>
                      <w:sz w:val="18"/>
                      <w:szCs w:val="18"/>
                    </w:rPr>
                  </w:pPr>
                </w:p>
              </w:tc>
              <w:tc>
                <w:tcPr>
                  <w:tcW w:w="880" w:type="dxa"/>
                  <w:vMerge w:val="continue"/>
                  <w:tcBorders>
                    <w:tl2br w:val="nil"/>
                    <w:tr2bl w:val="nil"/>
                  </w:tcBorders>
                  <w:vAlign w:val="center"/>
                </w:tcPr>
                <w:p>
                  <w:pPr>
                    <w:jc w:val="center"/>
                    <w:rPr>
                      <w:rFonts w:cs="Times New Roman"/>
                      <w:b/>
                      <w:bCs/>
                      <w:sz w:val="18"/>
                      <w:szCs w:val="18"/>
                    </w:rPr>
                  </w:pPr>
                </w:p>
              </w:tc>
              <w:tc>
                <w:tcPr>
                  <w:tcW w:w="630" w:type="dxa"/>
                  <w:vMerge w:val="continue"/>
                  <w:tcBorders>
                    <w:tl2br w:val="nil"/>
                    <w:tr2bl w:val="nil"/>
                  </w:tcBorders>
                  <w:vAlign w:val="center"/>
                </w:tcPr>
                <w:p>
                  <w:pPr>
                    <w:jc w:val="center"/>
                    <w:rPr>
                      <w:rFonts w:cs="Times New Roman"/>
                      <w:b/>
                      <w:bCs/>
                      <w:sz w:val="18"/>
                      <w:szCs w:val="18"/>
                    </w:rPr>
                  </w:pPr>
                </w:p>
              </w:tc>
              <w:tc>
                <w:tcPr>
                  <w:tcW w:w="1171" w:type="dxa"/>
                  <w:vMerge w:val="continue"/>
                  <w:tcBorders>
                    <w:tl2br w:val="nil"/>
                    <w:tr2bl w:val="nil"/>
                  </w:tcBorders>
                  <w:vAlign w:val="center"/>
                </w:tcPr>
                <w:p>
                  <w:pPr>
                    <w:jc w:val="center"/>
                    <w:rPr>
                      <w:rFonts w:cs="Times New Roman"/>
                      <w:b/>
                      <w:bCs/>
                      <w:sz w:val="18"/>
                      <w:szCs w:val="18"/>
                    </w:rPr>
                  </w:pPr>
                </w:p>
              </w:tc>
              <w:tc>
                <w:tcPr>
                  <w:tcW w:w="645" w:type="dxa"/>
                  <w:vMerge w:val="continue"/>
                  <w:tcBorders>
                    <w:tl2br w:val="nil"/>
                    <w:tr2bl w:val="nil"/>
                  </w:tcBorders>
                  <w:vAlign w:val="center"/>
                </w:tcPr>
                <w:p>
                  <w:pPr>
                    <w:jc w:val="center"/>
                    <w:rPr>
                      <w:rFonts w:cs="Times New Roman"/>
                      <w:b/>
                      <w:bCs/>
                      <w:sz w:val="18"/>
                      <w:szCs w:val="18"/>
                    </w:rPr>
                  </w:pPr>
                </w:p>
              </w:tc>
              <w:tc>
                <w:tcPr>
                  <w:tcW w:w="841" w:type="dxa"/>
                  <w:vMerge w:val="restart"/>
                  <w:tcBorders>
                    <w:tl2br w:val="nil"/>
                    <w:tr2bl w:val="nil"/>
                  </w:tcBorders>
                  <w:vAlign w:val="center"/>
                </w:tcPr>
                <w:p>
                  <w:pPr>
                    <w:jc w:val="center"/>
                    <w:rPr>
                      <w:rFonts w:cs="Times New Roman"/>
                      <w:b/>
                      <w:bCs/>
                      <w:sz w:val="18"/>
                      <w:szCs w:val="18"/>
                    </w:rPr>
                  </w:pPr>
                  <w:r>
                    <w:rPr>
                      <w:rFonts w:cs="Times New Roman"/>
                      <w:b/>
                      <w:bCs/>
                      <w:sz w:val="18"/>
                      <w:szCs w:val="18"/>
                    </w:rPr>
                    <w:t>废气量（m</w:t>
                  </w:r>
                  <w:r>
                    <w:rPr>
                      <w:rFonts w:cs="Times New Roman"/>
                      <w:b/>
                      <w:bCs/>
                      <w:sz w:val="18"/>
                      <w:szCs w:val="18"/>
                      <w:vertAlign w:val="superscript"/>
                    </w:rPr>
                    <w:t>3</w:t>
                  </w:r>
                  <w:r>
                    <w:rPr>
                      <w:rFonts w:cs="Times New Roman"/>
                      <w:b/>
                      <w:bCs/>
                      <w:sz w:val="18"/>
                      <w:szCs w:val="18"/>
                    </w:rPr>
                    <w:t>/h）</w:t>
                  </w:r>
                </w:p>
              </w:tc>
              <w:tc>
                <w:tcPr>
                  <w:tcW w:w="916" w:type="dxa"/>
                  <w:vMerge w:val="restart"/>
                  <w:tcBorders>
                    <w:tl2br w:val="nil"/>
                    <w:tr2bl w:val="nil"/>
                  </w:tcBorders>
                  <w:vAlign w:val="center"/>
                </w:tcPr>
                <w:p>
                  <w:pPr>
                    <w:jc w:val="center"/>
                    <w:rPr>
                      <w:rFonts w:cs="Times New Roman"/>
                      <w:b/>
                      <w:bCs/>
                      <w:sz w:val="18"/>
                      <w:szCs w:val="18"/>
                    </w:rPr>
                  </w:pPr>
                  <w:r>
                    <w:rPr>
                      <w:rFonts w:cs="Times New Roman"/>
                      <w:b/>
                      <w:bCs/>
                      <w:sz w:val="18"/>
                      <w:szCs w:val="18"/>
                    </w:rPr>
                    <w:t>浓度（mg/m</w:t>
                  </w:r>
                  <w:r>
                    <w:rPr>
                      <w:rFonts w:cs="Times New Roman"/>
                      <w:b/>
                      <w:bCs/>
                      <w:sz w:val="18"/>
                      <w:szCs w:val="18"/>
                      <w:vertAlign w:val="superscript"/>
                    </w:rPr>
                    <w:t>3</w:t>
                  </w:r>
                  <w:r>
                    <w:rPr>
                      <w:rFonts w:cs="Times New Roman"/>
                      <w:b/>
                      <w:bCs/>
                      <w:sz w:val="18"/>
                      <w:szCs w:val="18"/>
                    </w:rPr>
                    <w:t>）</w:t>
                  </w:r>
                </w:p>
              </w:tc>
              <w:tc>
                <w:tcPr>
                  <w:tcW w:w="1413" w:type="dxa"/>
                  <w:gridSpan w:val="2"/>
                  <w:tcBorders>
                    <w:tl2br w:val="nil"/>
                    <w:tr2bl w:val="nil"/>
                  </w:tcBorders>
                  <w:vAlign w:val="center"/>
                </w:tcPr>
                <w:p>
                  <w:pPr>
                    <w:jc w:val="center"/>
                    <w:rPr>
                      <w:rFonts w:cs="Times New Roman"/>
                      <w:b/>
                      <w:bCs/>
                      <w:sz w:val="18"/>
                      <w:szCs w:val="18"/>
                    </w:rPr>
                  </w:pPr>
                  <w:r>
                    <w:rPr>
                      <w:rFonts w:cs="Times New Roman"/>
                      <w:b/>
                      <w:bCs/>
                      <w:sz w:val="18"/>
                      <w:szCs w:val="18"/>
                    </w:rPr>
                    <w:t>排放量</w:t>
                  </w:r>
                </w:p>
              </w:tc>
              <w:tc>
                <w:tcPr>
                  <w:tcW w:w="1559" w:type="dxa"/>
                  <w:gridSpan w:val="2"/>
                  <w:tcBorders>
                    <w:tl2br w:val="nil"/>
                    <w:tr2bl w:val="nil"/>
                  </w:tcBorders>
                  <w:vAlign w:val="center"/>
                </w:tcPr>
                <w:p>
                  <w:pPr>
                    <w:jc w:val="center"/>
                    <w:rPr>
                      <w:rFonts w:cs="Times New Roman"/>
                      <w:b/>
                      <w:bCs/>
                      <w:sz w:val="18"/>
                      <w:szCs w:val="18"/>
                    </w:rPr>
                  </w:pPr>
                  <w:r>
                    <w:rPr>
                      <w:rFonts w:cs="Times New Roman"/>
                      <w:b/>
                      <w:bCs/>
                      <w:sz w:val="18"/>
                      <w:szCs w:val="18"/>
                    </w:rPr>
                    <w:t>排放量</w:t>
                  </w:r>
                </w:p>
              </w:tc>
              <w:tc>
                <w:tcPr>
                  <w:tcW w:w="766" w:type="dxa"/>
                  <w:vMerge w:val="continue"/>
                  <w:tcBorders>
                    <w:tl2br w:val="nil"/>
                    <w:tr2bl w:val="nil"/>
                  </w:tcBorders>
                  <w:vAlign w:val="center"/>
                </w:tcPr>
                <w:p>
                  <w:pPr>
                    <w:jc w:val="center"/>
                    <w:rPr>
                      <w:rFonts w:cs="Times New Roman"/>
                      <w:b/>
                      <w:bCs/>
                      <w:sz w:val="18"/>
                      <w:szCs w:val="18"/>
                    </w:rPr>
                  </w:pPr>
                </w:p>
              </w:tc>
              <w:tc>
                <w:tcPr>
                  <w:tcW w:w="811" w:type="dxa"/>
                  <w:vMerge w:val="continue"/>
                  <w:tcBorders>
                    <w:tl2br w:val="nil"/>
                    <w:tr2bl w:val="nil"/>
                  </w:tcBorders>
                  <w:vAlign w:val="center"/>
                </w:tcPr>
                <w:p>
                  <w:pPr>
                    <w:jc w:val="center"/>
                    <w:rPr>
                      <w:rFonts w:cs="Times New Roman"/>
                      <w:b/>
                      <w:bCs/>
                      <w:sz w:val="18"/>
                      <w:szCs w:val="18"/>
                    </w:rPr>
                  </w:pPr>
                </w:p>
              </w:tc>
              <w:tc>
                <w:tcPr>
                  <w:tcW w:w="991" w:type="dxa"/>
                  <w:vMerge w:val="continue"/>
                  <w:tcBorders>
                    <w:tl2br w:val="nil"/>
                    <w:tr2bl w:val="nil"/>
                  </w:tcBorders>
                  <w:vAlign w:val="center"/>
                </w:tcPr>
                <w:p>
                  <w:pPr>
                    <w:jc w:val="center"/>
                    <w:rPr>
                      <w:rFonts w:cs="Times New Roman"/>
                      <w:b/>
                      <w:bCs/>
                      <w:sz w:val="18"/>
                      <w:szCs w:val="18"/>
                    </w:rPr>
                  </w:pPr>
                </w:p>
              </w:tc>
              <w:tc>
                <w:tcPr>
                  <w:tcW w:w="1396" w:type="dxa"/>
                  <w:gridSpan w:val="2"/>
                  <w:tcBorders>
                    <w:tl2br w:val="nil"/>
                    <w:tr2bl w:val="nil"/>
                  </w:tcBorders>
                  <w:vAlign w:val="center"/>
                </w:tcPr>
                <w:p>
                  <w:pPr>
                    <w:jc w:val="center"/>
                    <w:rPr>
                      <w:rFonts w:cs="Times New Roman"/>
                      <w:b/>
                      <w:bCs/>
                      <w:sz w:val="18"/>
                      <w:szCs w:val="18"/>
                    </w:rPr>
                  </w:pPr>
                  <w:r>
                    <w:rPr>
                      <w:rFonts w:cs="Times New Roman"/>
                      <w:b/>
                      <w:bCs/>
                      <w:sz w:val="18"/>
                      <w:szCs w:val="18"/>
                    </w:rPr>
                    <w:t>有组织</w:t>
                  </w:r>
                </w:p>
              </w:tc>
              <w:tc>
                <w:tcPr>
                  <w:tcW w:w="862" w:type="dxa"/>
                  <w:tcBorders>
                    <w:tl2br w:val="nil"/>
                    <w:tr2bl w:val="nil"/>
                  </w:tcBorders>
                  <w:vAlign w:val="center"/>
                </w:tcPr>
                <w:p>
                  <w:pPr>
                    <w:jc w:val="center"/>
                    <w:rPr>
                      <w:rFonts w:cs="Times New Roman"/>
                      <w:b/>
                      <w:bCs/>
                      <w:sz w:val="18"/>
                      <w:szCs w:val="18"/>
                    </w:rPr>
                  </w:pPr>
                  <w:r>
                    <w:rPr>
                      <w:rFonts w:cs="Times New Roman"/>
                      <w:b/>
                      <w:bCs/>
                      <w:sz w:val="18"/>
                      <w:szCs w:val="18"/>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continue"/>
                  <w:tcBorders>
                    <w:tl2br w:val="nil"/>
                    <w:tr2bl w:val="nil"/>
                  </w:tcBorders>
                  <w:vAlign w:val="center"/>
                </w:tcPr>
                <w:p>
                  <w:pPr>
                    <w:jc w:val="center"/>
                    <w:rPr>
                      <w:rFonts w:cs="Times New Roman"/>
                      <w:b/>
                      <w:bCs/>
                      <w:sz w:val="18"/>
                      <w:szCs w:val="18"/>
                    </w:rPr>
                  </w:pPr>
                </w:p>
              </w:tc>
              <w:tc>
                <w:tcPr>
                  <w:tcW w:w="763" w:type="dxa"/>
                  <w:vMerge w:val="continue"/>
                  <w:tcBorders>
                    <w:tl2br w:val="nil"/>
                    <w:tr2bl w:val="nil"/>
                  </w:tcBorders>
                  <w:vAlign w:val="center"/>
                </w:tcPr>
                <w:p>
                  <w:pPr>
                    <w:jc w:val="center"/>
                    <w:rPr>
                      <w:rFonts w:cs="Times New Roman"/>
                      <w:b/>
                      <w:bCs/>
                      <w:sz w:val="18"/>
                      <w:szCs w:val="18"/>
                    </w:rPr>
                  </w:pPr>
                </w:p>
              </w:tc>
              <w:tc>
                <w:tcPr>
                  <w:tcW w:w="880" w:type="dxa"/>
                  <w:vMerge w:val="continue"/>
                  <w:tcBorders>
                    <w:tl2br w:val="nil"/>
                    <w:tr2bl w:val="nil"/>
                  </w:tcBorders>
                  <w:vAlign w:val="center"/>
                </w:tcPr>
                <w:p>
                  <w:pPr>
                    <w:jc w:val="center"/>
                    <w:rPr>
                      <w:rFonts w:cs="Times New Roman"/>
                      <w:b/>
                      <w:bCs/>
                      <w:sz w:val="18"/>
                      <w:szCs w:val="18"/>
                    </w:rPr>
                  </w:pPr>
                </w:p>
              </w:tc>
              <w:tc>
                <w:tcPr>
                  <w:tcW w:w="630" w:type="dxa"/>
                  <w:vMerge w:val="continue"/>
                  <w:tcBorders>
                    <w:tl2br w:val="nil"/>
                    <w:tr2bl w:val="nil"/>
                  </w:tcBorders>
                  <w:vAlign w:val="center"/>
                </w:tcPr>
                <w:p>
                  <w:pPr>
                    <w:jc w:val="center"/>
                    <w:rPr>
                      <w:rFonts w:cs="Times New Roman"/>
                      <w:b/>
                      <w:bCs/>
                      <w:sz w:val="18"/>
                      <w:szCs w:val="18"/>
                    </w:rPr>
                  </w:pPr>
                </w:p>
              </w:tc>
              <w:tc>
                <w:tcPr>
                  <w:tcW w:w="1171" w:type="dxa"/>
                  <w:vMerge w:val="continue"/>
                  <w:tcBorders>
                    <w:tl2br w:val="nil"/>
                    <w:tr2bl w:val="nil"/>
                  </w:tcBorders>
                  <w:vAlign w:val="center"/>
                </w:tcPr>
                <w:p>
                  <w:pPr>
                    <w:jc w:val="center"/>
                    <w:rPr>
                      <w:rFonts w:cs="Times New Roman"/>
                      <w:b/>
                      <w:bCs/>
                      <w:sz w:val="18"/>
                      <w:szCs w:val="18"/>
                    </w:rPr>
                  </w:pPr>
                </w:p>
              </w:tc>
              <w:tc>
                <w:tcPr>
                  <w:tcW w:w="645" w:type="dxa"/>
                  <w:vMerge w:val="continue"/>
                  <w:tcBorders>
                    <w:tl2br w:val="nil"/>
                    <w:tr2bl w:val="nil"/>
                  </w:tcBorders>
                  <w:vAlign w:val="center"/>
                </w:tcPr>
                <w:p>
                  <w:pPr>
                    <w:jc w:val="center"/>
                    <w:rPr>
                      <w:rFonts w:cs="Times New Roman"/>
                      <w:b/>
                      <w:bCs/>
                      <w:sz w:val="18"/>
                      <w:szCs w:val="18"/>
                    </w:rPr>
                  </w:pPr>
                </w:p>
              </w:tc>
              <w:tc>
                <w:tcPr>
                  <w:tcW w:w="841" w:type="dxa"/>
                  <w:vMerge w:val="continue"/>
                  <w:tcBorders>
                    <w:tl2br w:val="nil"/>
                    <w:tr2bl w:val="nil"/>
                  </w:tcBorders>
                  <w:vAlign w:val="center"/>
                </w:tcPr>
                <w:p>
                  <w:pPr>
                    <w:jc w:val="center"/>
                    <w:rPr>
                      <w:rFonts w:cs="Times New Roman"/>
                      <w:b/>
                      <w:bCs/>
                      <w:sz w:val="18"/>
                      <w:szCs w:val="18"/>
                    </w:rPr>
                  </w:pPr>
                </w:p>
              </w:tc>
              <w:tc>
                <w:tcPr>
                  <w:tcW w:w="916" w:type="dxa"/>
                  <w:vMerge w:val="continue"/>
                  <w:tcBorders>
                    <w:tl2br w:val="nil"/>
                    <w:tr2bl w:val="nil"/>
                  </w:tcBorders>
                  <w:vAlign w:val="center"/>
                </w:tcPr>
                <w:p>
                  <w:pPr>
                    <w:jc w:val="center"/>
                    <w:rPr>
                      <w:rFonts w:cs="Times New Roman"/>
                      <w:b/>
                      <w:bCs/>
                      <w:sz w:val="18"/>
                      <w:szCs w:val="18"/>
                    </w:rPr>
                  </w:pPr>
                </w:p>
              </w:tc>
              <w:tc>
                <w:tcPr>
                  <w:tcW w:w="675" w:type="dxa"/>
                  <w:tcBorders>
                    <w:tl2br w:val="nil"/>
                    <w:tr2bl w:val="nil"/>
                  </w:tcBorders>
                  <w:vAlign w:val="center"/>
                </w:tcPr>
                <w:p>
                  <w:pPr>
                    <w:jc w:val="center"/>
                    <w:rPr>
                      <w:rFonts w:cs="Times New Roman"/>
                      <w:b/>
                      <w:bCs/>
                      <w:sz w:val="18"/>
                      <w:szCs w:val="18"/>
                    </w:rPr>
                  </w:pPr>
                  <w:r>
                    <w:rPr>
                      <w:rFonts w:cs="Times New Roman"/>
                      <w:b/>
                      <w:bCs/>
                      <w:sz w:val="18"/>
                      <w:szCs w:val="18"/>
                    </w:rPr>
                    <w:t>kg/h</w:t>
                  </w:r>
                </w:p>
              </w:tc>
              <w:tc>
                <w:tcPr>
                  <w:tcW w:w="738" w:type="dxa"/>
                  <w:tcBorders>
                    <w:tl2br w:val="nil"/>
                    <w:tr2bl w:val="nil"/>
                  </w:tcBorders>
                  <w:vAlign w:val="center"/>
                </w:tcPr>
                <w:p>
                  <w:pPr>
                    <w:jc w:val="center"/>
                    <w:rPr>
                      <w:rFonts w:cs="Times New Roman"/>
                      <w:b/>
                      <w:bCs/>
                      <w:sz w:val="18"/>
                      <w:szCs w:val="18"/>
                    </w:rPr>
                  </w:pPr>
                  <w:r>
                    <w:rPr>
                      <w:rFonts w:cs="Times New Roman"/>
                      <w:b/>
                      <w:bCs/>
                      <w:sz w:val="18"/>
                      <w:szCs w:val="18"/>
                    </w:rPr>
                    <w:t>t/a</w:t>
                  </w:r>
                </w:p>
              </w:tc>
              <w:tc>
                <w:tcPr>
                  <w:tcW w:w="778" w:type="dxa"/>
                  <w:tcBorders>
                    <w:tl2br w:val="nil"/>
                    <w:tr2bl w:val="nil"/>
                  </w:tcBorders>
                  <w:vAlign w:val="center"/>
                </w:tcPr>
                <w:p>
                  <w:pPr>
                    <w:jc w:val="center"/>
                    <w:rPr>
                      <w:rFonts w:cs="Times New Roman"/>
                      <w:b/>
                      <w:bCs/>
                      <w:sz w:val="18"/>
                      <w:szCs w:val="18"/>
                    </w:rPr>
                  </w:pPr>
                  <w:r>
                    <w:rPr>
                      <w:rFonts w:cs="Times New Roman"/>
                      <w:b/>
                      <w:bCs/>
                      <w:sz w:val="18"/>
                      <w:szCs w:val="18"/>
                    </w:rPr>
                    <w:t>kg/h</w:t>
                  </w:r>
                </w:p>
              </w:tc>
              <w:tc>
                <w:tcPr>
                  <w:tcW w:w="781" w:type="dxa"/>
                  <w:tcBorders>
                    <w:tl2br w:val="nil"/>
                    <w:tr2bl w:val="nil"/>
                  </w:tcBorders>
                  <w:vAlign w:val="center"/>
                </w:tcPr>
                <w:p>
                  <w:pPr>
                    <w:jc w:val="center"/>
                    <w:rPr>
                      <w:rFonts w:cs="Times New Roman"/>
                      <w:b/>
                      <w:bCs/>
                      <w:sz w:val="18"/>
                      <w:szCs w:val="18"/>
                    </w:rPr>
                  </w:pPr>
                  <w:r>
                    <w:rPr>
                      <w:rFonts w:cs="Times New Roman"/>
                      <w:b/>
                      <w:bCs/>
                      <w:sz w:val="18"/>
                      <w:szCs w:val="18"/>
                    </w:rPr>
                    <w:t>t/a</w:t>
                  </w:r>
                </w:p>
              </w:tc>
              <w:tc>
                <w:tcPr>
                  <w:tcW w:w="766" w:type="dxa"/>
                  <w:tcBorders>
                    <w:tl2br w:val="nil"/>
                    <w:tr2bl w:val="nil"/>
                  </w:tcBorders>
                  <w:vAlign w:val="center"/>
                </w:tcPr>
                <w:p>
                  <w:pPr>
                    <w:jc w:val="center"/>
                    <w:rPr>
                      <w:rFonts w:cs="Times New Roman"/>
                      <w:b/>
                      <w:bCs/>
                      <w:sz w:val="18"/>
                      <w:szCs w:val="18"/>
                    </w:rPr>
                  </w:pPr>
                  <w:r>
                    <w:rPr>
                      <w:rFonts w:cs="Times New Roman"/>
                      <w:b/>
                      <w:bCs/>
                      <w:sz w:val="18"/>
                      <w:szCs w:val="18"/>
                    </w:rPr>
                    <w:t>h</w:t>
                  </w:r>
                </w:p>
              </w:tc>
              <w:tc>
                <w:tcPr>
                  <w:tcW w:w="811" w:type="dxa"/>
                  <w:vMerge w:val="continue"/>
                  <w:tcBorders>
                    <w:tl2br w:val="nil"/>
                    <w:tr2bl w:val="nil"/>
                  </w:tcBorders>
                  <w:vAlign w:val="center"/>
                </w:tcPr>
                <w:p>
                  <w:pPr>
                    <w:jc w:val="center"/>
                    <w:rPr>
                      <w:rFonts w:cs="Times New Roman"/>
                      <w:b/>
                      <w:bCs/>
                      <w:sz w:val="18"/>
                      <w:szCs w:val="18"/>
                    </w:rPr>
                  </w:pPr>
                </w:p>
              </w:tc>
              <w:tc>
                <w:tcPr>
                  <w:tcW w:w="991" w:type="dxa"/>
                  <w:vMerge w:val="continue"/>
                  <w:tcBorders>
                    <w:tl2br w:val="nil"/>
                    <w:tr2bl w:val="nil"/>
                  </w:tcBorders>
                  <w:vAlign w:val="center"/>
                </w:tcPr>
                <w:p>
                  <w:pPr>
                    <w:jc w:val="center"/>
                    <w:rPr>
                      <w:rFonts w:cs="Times New Roman"/>
                      <w:b/>
                      <w:bCs/>
                      <w:sz w:val="18"/>
                      <w:szCs w:val="18"/>
                    </w:rPr>
                  </w:pPr>
                </w:p>
              </w:tc>
              <w:tc>
                <w:tcPr>
                  <w:tcW w:w="615" w:type="dxa"/>
                  <w:tcBorders>
                    <w:tl2br w:val="nil"/>
                    <w:tr2bl w:val="nil"/>
                  </w:tcBorders>
                  <w:vAlign w:val="center"/>
                </w:tcPr>
                <w:p>
                  <w:pPr>
                    <w:jc w:val="center"/>
                    <w:rPr>
                      <w:rFonts w:cs="Times New Roman"/>
                      <w:b/>
                      <w:bCs/>
                      <w:sz w:val="18"/>
                      <w:szCs w:val="18"/>
                    </w:rPr>
                  </w:pPr>
                  <w:r>
                    <w:rPr>
                      <w:rFonts w:cs="Times New Roman"/>
                      <w:b/>
                      <w:bCs/>
                      <w:sz w:val="18"/>
                      <w:szCs w:val="18"/>
                    </w:rPr>
                    <w:t>kg/h</w:t>
                  </w:r>
                </w:p>
              </w:tc>
              <w:tc>
                <w:tcPr>
                  <w:tcW w:w="781" w:type="dxa"/>
                  <w:tcBorders>
                    <w:tl2br w:val="nil"/>
                    <w:tr2bl w:val="nil"/>
                  </w:tcBorders>
                  <w:vAlign w:val="center"/>
                </w:tcPr>
                <w:p>
                  <w:pPr>
                    <w:jc w:val="center"/>
                    <w:rPr>
                      <w:rFonts w:cs="Times New Roman"/>
                      <w:b/>
                      <w:bCs/>
                      <w:sz w:val="18"/>
                      <w:szCs w:val="18"/>
                    </w:rPr>
                  </w:pPr>
                  <w:r>
                    <w:rPr>
                      <w:rFonts w:cs="Times New Roman"/>
                      <w:b/>
                      <w:bCs/>
                      <w:sz w:val="18"/>
                      <w:szCs w:val="18"/>
                    </w:rPr>
                    <w:t>mg/m</w:t>
                  </w:r>
                  <w:r>
                    <w:rPr>
                      <w:rFonts w:cs="Times New Roman"/>
                      <w:b/>
                      <w:bCs/>
                      <w:sz w:val="18"/>
                      <w:szCs w:val="18"/>
                      <w:vertAlign w:val="superscript"/>
                    </w:rPr>
                    <w:t>3</w:t>
                  </w:r>
                </w:p>
              </w:tc>
              <w:tc>
                <w:tcPr>
                  <w:tcW w:w="862" w:type="dxa"/>
                  <w:tcBorders>
                    <w:tl2br w:val="nil"/>
                    <w:tr2bl w:val="nil"/>
                  </w:tcBorders>
                  <w:vAlign w:val="center"/>
                </w:tcPr>
                <w:p>
                  <w:pPr>
                    <w:jc w:val="center"/>
                    <w:rPr>
                      <w:rFonts w:cs="Times New Roman"/>
                      <w:b/>
                      <w:bCs/>
                      <w:sz w:val="18"/>
                      <w:szCs w:val="18"/>
                    </w:rPr>
                  </w:pPr>
                  <w:r>
                    <w:rPr>
                      <w:rFonts w:cs="Times New Roman"/>
                      <w:b/>
                      <w:bCs/>
                      <w:sz w:val="18"/>
                      <w:szCs w:val="18"/>
                    </w:rPr>
                    <w:t>mg/m</w:t>
                  </w:r>
                  <w:r>
                    <w:rPr>
                      <w:rFonts w:cs="Times New Roman"/>
                      <w:b/>
                      <w:bCs/>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14346" w:type="dxa"/>
                  <w:gridSpan w:val="18"/>
                  <w:tcBorders>
                    <w:tl2br w:val="nil"/>
                    <w:tr2bl w:val="nil"/>
                  </w:tcBorders>
                  <w:vAlign w:val="center"/>
                </w:tcPr>
                <w:p>
                  <w:pPr>
                    <w:jc w:val="left"/>
                    <w:rPr>
                      <w:rFonts w:cs="Times New Roman"/>
                      <w:b/>
                      <w:bCs/>
                      <w:sz w:val="18"/>
                      <w:szCs w:val="18"/>
                    </w:rPr>
                  </w:pPr>
                  <w:r>
                    <w:rPr>
                      <w:rFonts w:cs="Times New Roman"/>
                      <w:b/>
                      <w:bCs/>
                      <w:sz w:val="18"/>
                      <w:szCs w:val="18"/>
                    </w:rPr>
                    <w:t>2100湿法薄毡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原料在浸胶、烘干环节产生的废气</w:t>
                  </w:r>
                </w:p>
              </w:tc>
              <w:tc>
                <w:tcPr>
                  <w:tcW w:w="763" w:type="dxa"/>
                  <w:tcBorders>
                    <w:tl2br w:val="nil"/>
                    <w:tr2bl w:val="nil"/>
                  </w:tcBorders>
                  <w:vAlign w:val="center"/>
                </w:tcPr>
                <w:p>
                  <w:pPr>
                    <w:jc w:val="center"/>
                    <w:rPr>
                      <w:rFonts w:cs="Times New Roman"/>
                      <w:sz w:val="18"/>
                      <w:szCs w:val="18"/>
                    </w:rPr>
                  </w:pPr>
                  <w:r>
                    <w:rPr>
                      <w:rFonts w:cs="Times New Roman"/>
                      <w:sz w:val="18"/>
                      <w:szCs w:val="18"/>
                    </w:rPr>
                    <w:t>甲醛</w:t>
                  </w:r>
                </w:p>
              </w:tc>
              <w:tc>
                <w:tcPr>
                  <w:tcW w:w="880" w:type="dxa"/>
                  <w:tcBorders>
                    <w:tl2br w:val="nil"/>
                    <w:tr2bl w:val="nil"/>
                  </w:tcBorders>
                  <w:vAlign w:val="center"/>
                </w:tcPr>
                <w:p>
                  <w:pPr>
                    <w:jc w:val="center"/>
                    <w:rPr>
                      <w:rFonts w:cs="Times New Roman"/>
                      <w:sz w:val="18"/>
                      <w:szCs w:val="18"/>
                    </w:rPr>
                  </w:pPr>
                  <w:r>
                    <w:rPr>
                      <w:rFonts w:cs="Times New Roman"/>
                      <w:sz w:val="18"/>
                      <w:szCs w:val="18"/>
                    </w:rPr>
                    <w:t>2.535</w:t>
                  </w:r>
                </w:p>
              </w:tc>
              <w:tc>
                <w:tcPr>
                  <w:tcW w:w="630" w:type="dxa"/>
                  <w:tcBorders>
                    <w:tl2br w:val="nil"/>
                    <w:tr2bl w:val="nil"/>
                  </w:tcBorders>
                  <w:vAlign w:val="center"/>
                </w:tcPr>
                <w:p>
                  <w:pPr>
                    <w:jc w:val="center"/>
                    <w:rPr>
                      <w:rFonts w:cs="Times New Roman"/>
                      <w:sz w:val="18"/>
                      <w:szCs w:val="18"/>
                    </w:rPr>
                  </w:pPr>
                  <w:r>
                    <w:rPr>
                      <w:rFonts w:cs="Times New Roman"/>
                      <w:sz w:val="18"/>
                      <w:szCs w:val="18"/>
                    </w:rPr>
                    <w:t>98</w:t>
                  </w:r>
                </w:p>
              </w:tc>
              <w:tc>
                <w:tcPr>
                  <w:tcW w:w="1171" w:type="dxa"/>
                  <w:vMerge w:val="restart"/>
                  <w:tcBorders>
                    <w:tl2br w:val="nil"/>
                    <w:tr2bl w:val="nil"/>
                  </w:tcBorders>
                  <w:vAlign w:val="center"/>
                </w:tcPr>
                <w:p>
                  <w:pPr>
                    <w:jc w:val="center"/>
                    <w:rPr>
                      <w:rFonts w:cs="Times New Roman"/>
                      <w:sz w:val="18"/>
                      <w:szCs w:val="18"/>
                    </w:rPr>
                  </w:pPr>
                  <w:r>
                    <w:rPr>
                      <w:rFonts w:cs="Times New Roman"/>
                      <w:sz w:val="18"/>
                      <w:szCs w:val="18"/>
                    </w:rPr>
                    <w:t>二级活性炭吸附装置</w:t>
                  </w:r>
                </w:p>
              </w:tc>
              <w:tc>
                <w:tcPr>
                  <w:tcW w:w="645" w:type="dxa"/>
                  <w:tcBorders>
                    <w:tl2br w:val="nil"/>
                    <w:tr2bl w:val="nil"/>
                  </w:tcBorders>
                  <w:vAlign w:val="center"/>
                </w:tcPr>
                <w:p>
                  <w:pPr>
                    <w:jc w:val="center"/>
                    <w:rPr>
                      <w:rFonts w:hint="eastAsia" w:eastAsia="宋体" w:cs="Times New Roman"/>
                      <w:sz w:val="18"/>
                      <w:szCs w:val="18"/>
                      <w:lang w:eastAsia="zh-CN"/>
                    </w:rPr>
                  </w:pPr>
                  <w:r>
                    <w:rPr>
                      <w:rFonts w:cs="Times New Roman"/>
                      <w:sz w:val="18"/>
                      <w:szCs w:val="18"/>
                    </w:rPr>
                    <w:t>8</w:t>
                  </w:r>
                  <w:r>
                    <w:rPr>
                      <w:rFonts w:hint="eastAsia" w:cs="Times New Roman"/>
                      <w:sz w:val="18"/>
                      <w:szCs w:val="18"/>
                      <w:lang w:val="en-US" w:eastAsia="zh-CN"/>
                    </w:rPr>
                    <w:t>4</w:t>
                  </w:r>
                </w:p>
              </w:tc>
              <w:tc>
                <w:tcPr>
                  <w:tcW w:w="841" w:type="dxa"/>
                  <w:vMerge w:val="restart"/>
                  <w:tcBorders>
                    <w:tl2br w:val="nil"/>
                    <w:tr2bl w:val="nil"/>
                  </w:tcBorders>
                  <w:vAlign w:val="center"/>
                </w:tcPr>
                <w:p>
                  <w:pPr>
                    <w:jc w:val="center"/>
                    <w:rPr>
                      <w:rFonts w:cs="Times New Roman"/>
                      <w:sz w:val="18"/>
                      <w:szCs w:val="18"/>
                    </w:rPr>
                  </w:pPr>
                  <w:r>
                    <w:rPr>
                      <w:rFonts w:cs="Times New Roman"/>
                      <w:sz w:val="18"/>
                      <w:szCs w:val="18"/>
                    </w:rPr>
                    <w:t>25000</w:t>
                  </w:r>
                </w:p>
              </w:tc>
              <w:tc>
                <w:tcPr>
                  <w:tcW w:w="916"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hint="eastAsia" w:cs="Times New Roman"/>
                      <w:color w:val="000000" w:themeColor="text1"/>
                      <w:sz w:val="18"/>
                      <w:szCs w:val="18"/>
                      <w:lang w:val="en-US" w:eastAsia="zh-CN"/>
                      <w14:textFill>
                        <w14:solidFill>
                          <w14:schemeClr w14:val="tx1"/>
                        </w14:solidFill>
                      </w14:textFill>
                    </w:rPr>
                    <w:t>.0</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0.050</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0.397</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0.006</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0.051</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DA005</w:t>
                  </w:r>
                </w:p>
              </w:tc>
              <w:tc>
                <w:tcPr>
                  <w:tcW w:w="991" w:type="dxa"/>
                  <w:vMerge w:val="restart"/>
                  <w:tcBorders>
                    <w:tl2br w:val="nil"/>
                    <w:tr2bl w:val="nil"/>
                  </w:tcBorders>
                  <w:vAlign w:val="center"/>
                </w:tcPr>
                <w:p>
                  <w:pPr>
                    <w:jc w:val="center"/>
                    <w:rPr>
                      <w:rFonts w:cs="Times New Roman"/>
                      <w:sz w:val="18"/>
                      <w:szCs w:val="18"/>
                    </w:rPr>
                  </w:pPr>
                  <w:r>
                    <w:rPr>
                      <w:rFonts w:cs="Times New Roman"/>
                      <w:sz w:val="18"/>
                      <w:szCs w:val="18"/>
                    </w:rPr>
                    <w:t>主要排放口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0.26</w:t>
                  </w:r>
                </w:p>
              </w:tc>
              <w:tc>
                <w:tcPr>
                  <w:tcW w:w="781" w:type="dxa"/>
                  <w:tcBorders>
                    <w:tl2br w:val="nil"/>
                    <w:tr2bl w:val="nil"/>
                  </w:tcBorders>
                  <w:vAlign w:val="center"/>
                </w:tcPr>
                <w:p>
                  <w:pPr>
                    <w:jc w:val="center"/>
                    <w:rPr>
                      <w:rFonts w:cs="Times New Roman"/>
                      <w:sz w:val="18"/>
                      <w:szCs w:val="18"/>
                    </w:rPr>
                  </w:pPr>
                  <w:r>
                    <w:rPr>
                      <w:rFonts w:cs="Times New Roman"/>
                      <w:sz w:val="18"/>
                      <w:szCs w:val="18"/>
                    </w:rPr>
                    <w:t>5</w:t>
                  </w:r>
                </w:p>
              </w:tc>
              <w:tc>
                <w:tcPr>
                  <w:tcW w:w="862" w:type="dxa"/>
                  <w:tcBorders>
                    <w:tl2br w:val="nil"/>
                    <w:tr2bl w:val="nil"/>
                  </w:tcBorders>
                  <w:vAlign w:val="center"/>
                </w:tcPr>
                <w:p>
                  <w:pPr>
                    <w:jc w:val="center"/>
                    <w:rPr>
                      <w:rFonts w:cs="Times New Roman"/>
                      <w:sz w:val="18"/>
                      <w:szCs w:val="18"/>
                    </w:rPr>
                  </w:pPr>
                  <w:r>
                    <w:rPr>
                      <w:rFonts w:cs="Times New Roman"/>
                      <w:sz w:val="18"/>
                      <w:szCs w:val="18"/>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sz w:val="18"/>
                      <w:szCs w:val="18"/>
                    </w:rPr>
                  </w:pPr>
                  <w:r>
                    <w:rPr>
                      <w:rFonts w:cs="Times New Roman"/>
                      <w:sz w:val="18"/>
                      <w:szCs w:val="18"/>
                    </w:rPr>
                    <w:t>VOCs</w:t>
                  </w:r>
                </w:p>
              </w:tc>
              <w:tc>
                <w:tcPr>
                  <w:tcW w:w="880" w:type="dxa"/>
                  <w:tcBorders>
                    <w:tl2br w:val="nil"/>
                    <w:tr2bl w:val="nil"/>
                  </w:tcBorders>
                  <w:vAlign w:val="center"/>
                </w:tcPr>
                <w:p>
                  <w:pPr>
                    <w:jc w:val="center"/>
                    <w:rPr>
                      <w:rFonts w:cs="Times New Roman"/>
                      <w:sz w:val="18"/>
                      <w:szCs w:val="18"/>
                    </w:rPr>
                  </w:pPr>
                  <w:r>
                    <w:rPr>
                      <w:rFonts w:cs="Times New Roman"/>
                      <w:sz w:val="18"/>
                      <w:szCs w:val="18"/>
                    </w:rPr>
                    <w:t>0.034</w:t>
                  </w:r>
                </w:p>
              </w:tc>
              <w:tc>
                <w:tcPr>
                  <w:tcW w:w="630" w:type="dxa"/>
                  <w:tcBorders>
                    <w:tl2br w:val="nil"/>
                    <w:tr2bl w:val="nil"/>
                  </w:tcBorders>
                  <w:vAlign w:val="center"/>
                </w:tcPr>
                <w:p>
                  <w:pPr>
                    <w:jc w:val="center"/>
                    <w:rPr>
                      <w:rFonts w:cs="Times New Roman"/>
                      <w:sz w:val="18"/>
                      <w:szCs w:val="18"/>
                    </w:rPr>
                  </w:pPr>
                  <w:r>
                    <w:rPr>
                      <w:rFonts w:cs="Times New Roman"/>
                      <w:sz w:val="18"/>
                      <w:szCs w:val="18"/>
                    </w:rPr>
                    <w:t>98</w:t>
                  </w:r>
                </w:p>
              </w:tc>
              <w:tc>
                <w:tcPr>
                  <w:tcW w:w="1171" w:type="dxa"/>
                  <w:vMerge w:val="continue"/>
                  <w:tcBorders>
                    <w:tl2br w:val="nil"/>
                    <w:tr2bl w:val="nil"/>
                  </w:tcBorders>
                  <w:vAlign w:val="center"/>
                </w:tcPr>
                <w:p>
                  <w:pPr>
                    <w:jc w:val="center"/>
                    <w:rPr>
                      <w:rFonts w:cs="Times New Roman"/>
                      <w:sz w:val="18"/>
                      <w:szCs w:val="18"/>
                    </w:rPr>
                  </w:pPr>
                </w:p>
              </w:tc>
              <w:tc>
                <w:tcPr>
                  <w:tcW w:w="645" w:type="dxa"/>
                  <w:tcBorders>
                    <w:tl2br w:val="nil"/>
                    <w:tr2bl w:val="nil"/>
                  </w:tcBorders>
                  <w:vAlign w:val="center"/>
                </w:tcPr>
                <w:p>
                  <w:pPr>
                    <w:jc w:val="center"/>
                    <w:rPr>
                      <w:rFonts w:hint="default" w:eastAsia="宋体" w:cs="Times New Roman"/>
                      <w:sz w:val="18"/>
                      <w:szCs w:val="18"/>
                      <w:lang w:val="en-US" w:eastAsia="zh-CN"/>
                    </w:rPr>
                  </w:pPr>
                  <w:r>
                    <w:rPr>
                      <w:rFonts w:hint="eastAsia" w:cs="Times New Roman"/>
                      <w:sz w:val="18"/>
                      <w:szCs w:val="18"/>
                      <w:lang w:val="en-US" w:eastAsia="zh-CN"/>
                    </w:rPr>
                    <w:t>84</w:t>
                  </w:r>
                </w:p>
              </w:tc>
              <w:tc>
                <w:tcPr>
                  <w:tcW w:w="841" w:type="dxa"/>
                  <w:vMerge w:val="continue"/>
                  <w:tcBorders>
                    <w:tl2br w:val="nil"/>
                    <w:tr2bl w:val="nil"/>
                  </w:tcBorders>
                  <w:vAlign w:val="center"/>
                </w:tcPr>
                <w:p>
                  <w:pPr>
                    <w:jc w:val="center"/>
                    <w:rPr>
                      <w:rFonts w:cs="Times New Roman"/>
                      <w:sz w:val="18"/>
                      <w:szCs w:val="18"/>
                    </w:rPr>
                  </w:pPr>
                </w:p>
              </w:tc>
              <w:tc>
                <w:tcPr>
                  <w:tcW w:w="916"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w:t>
                  </w:r>
                  <w:r>
                    <w:rPr>
                      <w:rFonts w:hint="eastAsia" w:cs="Times New Roman"/>
                      <w:color w:val="000000" w:themeColor="text1"/>
                      <w:sz w:val="18"/>
                      <w:szCs w:val="18"/>
                      <w:lang w:val="en-US" w:eastAsia="zh-CN"/>
                      <w14:textFill>
                        <w14:solidFill>
                          <w14:schemeClr w14:val="tx1"/>
                        </w14:solidFill>
                      </w14:textFill>
                    </w:rPr>
                    <w:t>4</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0.005</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0.0001</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5.44</w:t>
                  </w:r>
                </w:p>
              </w:tc>
              <w:tc>
                <w:tcPr>
                  <w:tcW w:w="781" w:type="dxa"/>
                  <w:tcBorders>
                    <w:tl2br w:val="nil"/>
                    <w:tr2bl w:val="nil"/>
                  </w:tcBorders>
                  <w:vAlign w:val="center"/>
                </w:tcPr>
                <w:p>
                  <w:pPr>
                    <w:jc w:val="center"/>
                    <w:rPr>
                      <w:rFonts w:cs="Times New Roman"/>
                      <w:sz w:val="18"/>
                      <w:szCs w:val="18"/>
                    </w:rPr>
                  </w:pPr>
                  <w:r>
                    <w:rPr>
                      <w:rFonts w:cs="Times New Roman"/>
                      <w:sz w:val="18"/>
                      <w:szCs w:val="18"/>
                    </w:rPr>
                    <w:t>60</w:t>
                  </w:r>
                </w:p>
              </w:tc>
              <w:tc>
                <w:tcPr>
                  <w:tcW w:w="862" w:type="dxa"/>
                  <w:tcBorders>
                    <w:tl2br w:val="nil"/>
                    <w:tr2bl w:val="nil"/>
                  </w:tcBorders>
                  <w:vAlign w:val="center"/>
                </w:tcPr>
                <w:p>
                  <w:pPr>
                    <w:jc w:val="center"/>
                    <w:rPr>
                      <w:rFonts w:cs="Times New Roman"/>
                      <w:sz w:val="18"/>
                      <w:szCs w:val="18"/>
                    </w:rPr>
                  </w:pPr>
                  <w:r>
                    <w:rPr>
                      <w:rFonts w:cs="Times New Roman"/>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sz w:val="18"/>
                      <w:szCs w:val="18"/>
                    </w:rPr>
                  </w:pPr>
                  <w:r>
                    <w:rPr>
                      <w:rFonts w:cs="Times New Roman"/>
                      <w:sz w:val="18"/>
                      <w:szCs w:val="18"/>
                    </w:rPr>
                    <w:t>氨</w:t>
                  </w:r>
                </w:p>
              </w:tc>
              <w:tc>
                <w:tcPr>
                  <w:tcW w:w="880" w:type="dxa"/>
                  <w:tcBorders>
                    <w:tl2br w:val="nil"/>
                    <w:tr2bl w:val="nil"/>
                  </w:tcBorders>
                  <w:vAlign w:val="center"/>
                </w:tcPr>
                <w:p>
                  <w:pPr>
                    <w:jc w:val="center"/>
                    <w:rPr>
                      <w:rFonts w:cs="Times New Roman"/>
                      <w:sz w:val="18"/>
                      <w:szCs w:val="18"/>
                    </w:rPr>
                  </w:pPr>
                  <w:r>
                    <w:rPr>
                      <w:rFonts w:cs="Times New Roman"/>
                      <w:sz w:val="18"/>
                      <w:szCs w:val="18"/>
                    </w:rPr>
                    <w:t>0.085</w:t>
                  </w:r>
                </w:p>
              </w:tc>
              <w:tc>
                <w:tcPr>
                  <w:tcW w:w="630" w:type="dxa"/>
                  <w:tcBorders>
                    <w:tl2br w:val="nil"/>
                    <w:tr2bl w:val="nil"/>
                  </w:tcBorders>
                  <w:vAlign w:val="center"/>
                </w:tcPr>
                <w:p>
                  <w:pPr>
                    <w:jc w:val="center"/>
                    <w:rPr>
                      <w:rFonts w:cs="Times New Roman"/>
                      <w:sz w:val="18"/>
                      <w:szCs w:val="18"/>
                    </w:rPr>
                  </w:pPr>
                  <w:r>
                    <w:rPr>
                      <w:rFonts w:cs="Times New Roman"/>
                      <w:sz w:val="18"/>
                      <w:szCs w:val="18"/>
                    </w:rPr>
                    <w:t>98</w:t>
                  </w:r>
                </w:p>
              </w:tc>
              <w:tc>
                <w:tcPr>
                  <w:tcW w:w="1171" w:type="dxa"/>
                  <w:vMerge w:val="continue"/>
                  <w:tcBorders>
                    <w:tl2br w:val="nil"/>
                    <w:tr2bl w:val="nil"/>
                  </w:tcBorders>
                  <w:vAlign w:val="center"/>
                </w:tcPr>
                <w:p>
                  <w:pPr>
                    <w:jc w:val="center"/>
                    <w:rPr>
                      <w:rFonts w:cs="Times New Roman"/>
                      <w:sz w:val="18"/>
                      <w:szCs w:val="18"/>
                    </w:rPr>
                  </w:pPr>
                </w:p>
              </w:tc>
              <w:tc>
                <w:tcPr>
                  <w:tcW w:w="645" w:type="dxa"/>
                  <w:tcBorders>
                    <w:tl2br w:val="nil"/>
                    <w:tr2bl w:val="nil"/>
                  </w:tcBorders>
                  <w:vAlign w:val="center"/>
                </w:tcPr>
                <w:p>
                  <w:pPr>
                    <w:jc w:val="center"/>
                    <w:rPr>
                      <w:rFonts w:hint="default" w:eastAsia="宋体" w:cs="Times New Roman"/>
                      <w:sz w:val="18"/>
                      <w:szCs w:val="18"/>
                      <w:lang w:val="en-US" w:eastAsia="zh-CN"/>
                    </w:rPr>
                  </w:pPr>
                  <w:r>
                    <w:rPr>
                      <w:rFonts w:hint="eastAsia" w:cs="Times New Roman"/>
                      <w:sz w:val="18"/>
                      <w:szCs w:val="18"/>
                      <w:lang w:val="en-US" w:eastAsia="zh-CN"/>
                    </w:rPr>
                    <w:t>20</w:t>
                  </w:r>
                </w:p>
              </w:tc>
              <w:tc>
                <w:tcPr>
                  <w:tcW w:w="841" w:type="dxa"/>
                  <w:vMerge w:val="continue"/>
                  <w:tcBorders>
                    <w:tl2br w:val="nil"/>
                    <w:tr2bl w:val="nil"/>
                  </w:tcBorders>
                  <w:vAlign w:val="center"/>
                </w:tcPr>
                <w:p>
                  <w:pPr>
                    <w:jc w:val="center"/>
                    <w:rPr>
                      <w:rFonts w:cs="Times New Roman"/>
                      <w:sz w:val="18"/>
                      <w:szCs w:val="18"/>
                    </w:rPr>
                  </w:pPr>
                </w:p>
              </w:tc>
              <w:tc>
                <w:tcPr>
                  <w:tcW w:w="916"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0.3</w:t>
                  </w:r>
                  <w:r>
                    <w:rPr>
                      <w:rFonts w:hint="eastAsia" w:cs="Times New Roman"/>
                      <w:color w:val="000000" w:themeColor="text1"/>
                      <w:sz w:val="18"/>
                      <w:szCs w:val="18"/>
                      <w:lang w:val="en-US" w:eastAsia="zh-CN"/>
                      <w14:textFill>
                        <w14:solidFill>
                          <w14:schemeClr w14:val="tx1"/>
                        </w14:solidFill>
                      </w14:textFill>
                    </w:rPr>
                    <w:t>2</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0.008</w:t>
                  </w:r>
                </w:p>
              </w:tc>
              <w:tc>
                <w:tcPr>
                  <w:tcW w:w="73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0.06</w:t>
                  </w:r>
                  <w:r>
                    <w:rPr>
                      <w:rFonts w:hint="eastAsia" w:cs="Times New Roman"/>
                      <w:color w:val="000000" w:themeColor="text1"/>
                      <w:sz w:val="18"/>
                      <w:szCs w:val="18"/>
                      <w:lang w:val="en-US" w:eastAsia="zh-CN"/>
                      <w14:textFill>
                        <w14:solidFill>
                          <w14:schemeClr w14:val="tx1"/>
                        </w14:solidFill>
                      </w14:textFill>
                    </w:rPr>
                    <w:t>7</w:t>
                  </w:r>
                </w:p>
              </w:tc>
              <w:tc>
                <w:tcPr>
                  <w:tcW w:w="77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0.000</w:t>
                  </w:r>
                  <w:r>
                    <w:rPr>
                      <w:rFonts w:hint="eastAsia" w:cs="Times New Roman"/>
                      <w:color w:val="000000" w:themeColor="text1"/>
                      <w:sz w:val="18"/>
                      <w:szCs w:val="18"/>
                      <w:lang w:val="en-US" w:eastAsia="zh-CN"/>
                      <w14:textFill>
                        <w14:solidFill>
                          <w14:schemeClr w14:val="tx1"/>
                        </w14:solidFill>
                      </w14:textFill>
                    </w:rPr>
                    <w:t>3</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0.002</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7.18</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天然气燃烧废气</w:t>
                  </w:r>
                </w:p>
              </w:tc>
              <w:tc>
                <w:tcPr>
                  <w:tcW w:w="763" w:type="dxa"/>
                  <w:tcBorders>
                    <w:tl2br w:val="nil"/>
                    <w:tr2bl w:val="nil"/>
                  </w:tcBorders>
                  <w:vAlign w:val="center"/>
                </w:tcPr>
                <w:p>
                  <w:pPr>
                    <w:jc w:val="center"/>
                    <w:rPr>
                      <w:rFonts w:cs="Times New Roman"/>
                      <w:sz w:val="18"/>
                      <w:szCs w:val="18"/>
                    </w:rPr>
                  </w:pPr>
                  <w:r>
                    <w:rPr>
                      <w:rFonts w:cs="Times New Roman"/>
                      <w:sz w:val="18"/>
                      <w:szCs w:val="18"/>
                    </w:rPr>
                    <w:t>SO</w:t>
                  </w:r>
                  <w:r>
                    <w:rPr>
                      <w:rFonts w:cs="Times New Roman"/>
                      <w:sz w:val="18"/>
                      <w:szCs w:val="18"/>
                      <w:vertAlign w:val="subscript"/>
                    </w:rPr>
                    <w:t>2</w:t>
                  </w:r>
                </w:p>
              </w:tc>
              <w:tc>
                <w:tcPr>
                  <w:tcW w:w="880" w:type="dxa"/>
                  <w:tcBorders>
                    <w:tl2br w:val="nil"/>
                    <w:tr2bl w:val="nil"/>
                  </w:tcBorders>
                  <w:vAlign w:val="center"/>
                </w:tcPr>
                <w:p>
                  <w:pPr>
                    <w:jc w:val="center"/>
                    <w:rPr>
                      <w:rFonts w:cs="Times New Roman"/>
                      <w:sz w:val="18"/>
                      <w:szCs w:val="18"/>
                    </w:rPr>
                  </w:pPr>
                  <w:r>
                    <w:rPr>
                      <w:rFonts w:cs="Times New Roman"/>
                      <w:sz w:val="18"/>
                      <w:szCs w:val="18"/>
                    </w:rPr>
                    <w:t>0.046</w:t>
                  </w:r>
                </w:p>
              </w:tc>
              <w:tc>
                <w:tcPr>
                  <w:tcW w:w="630" w:type="dxa"/>
                  <w:tcBorders>
                    <w:tl2br w:val="nil"/>
                    <w:tr2bl w:val="nil"/>
                  </w:tcBorders>
                  <w:vAlign w:val="center"/>
                </w:tcPr>
                <w:p>
                  <w:pPr>
                    <w:jc w:val="center"/>
                    <w:rPr>
                      <w:rFonts w:cs="Times New Roman"/>
                      <w:sz w:val="18"/>
                      <w:szCs w:val="18"/>
                    </w:rPr>
                  </w:pPr>
                  <w:r>
                    <w:rPr>
                      <w:rFonts w:cs="Times New Roman"/>
                      <w:sz w:val="18"/>
                      <w:szCs w:val="18"/>
                    </w:rPr>
                    <w:t>/</w:t>
                  </w:r>
                </w:p>
              </w:tc>
              <w:tc>
                <w:tcPr>
                  <w:tcW w:w="1171" w:type="dxa"/>
                  <w:vMerge w:val="restart"/>
                  <w:tcBorders>
                    <w:tl2br w:val="nil"/>
                    <w:tr2bl w:val="nil"/>
                  </w:tcBorders>
                  <w:vAlign w:val="center"/>
                </w:tcPr>
                <w:p>
                  <w:pPr>
                    <w:jc w:val="center"/>
                    <w:rPr>
                      <w:rFonts w:cs="Times New Roman"/>
                      <w:sz w:val="18"/>
                      <w:szCs w:val="18"/>
                    </w:rPr>
                  </w:pPr>
                  <w:r>
                    <w:rPr>
                      <w:rFonts w:cs="Times New Roman"/>
                      <w:sz w:val="18"/>
                      <w:szCs w:val="18"/>
                    </w:rPr>
                    <w:t>低氮燃烧器</w:t>
                  </w:r>
                </w:p>
              </w:tc>
              <w:tc>
                <w:tcPr>
                  <w:tcW w:w="645" w:type="dxa"/>
                  <w:tcBorders>
                    <w:tl2br w:val="nil"/>
                    <w:tr2bl w:val="nil"/>
                  </w:tcBorders>
                  <w:vAlign w:val="center"/>
                </w:tcPr>
                <w:p>
                  <w:pPr>
                    <w:jc w:val="center"/>
                    <w:rPr>
                      <w:rFonts w:cs="Times New Roman"/>
                      <w:sz w:val="18"/>
                      <w:szCs w:val="18"/>
                    </w:rPr>
                  </w:pPr>
                  <w:r>
                    <w:rPr>
                      <w:rFonts w:cs="Times New Roman"/>
                      <w:sz w:val="18"/>
                      <w:szCs w:val="18"/>
                    </w:rPr>
                    <w:t>/</w:t>
                  </w:r>
                </w:p>
              </w:tc>
              <w:tc>
                <w:tcPr>
                  <w:tcW w:w="841" w:type="dxa"/>
                  <w:vMerge w:val="restart"/>
                  <w:tcBorders>
                    <w:tl2br w:val="nil"/>
                    <w:tr2bl w:val="nil"/>
                  </w:tcBorders>
                  <w:vAlign w:val="center"/>
                </w:tcPr>
                <w:p>
                  <w:pPr>
                    <w:jc w:val="center"/>
                    <w:rPr>
                      <w:rFonts w:cs="Times New Roman"/>
                      <w:sz w:val="18"/>
                      <w:szCs w:val="18"/>
                    </w:rPr>
                  </w:pPr>
                  <w:r>
                    <w:rPr>
                      <w:rFonts w:cs="Times New Roman"/>
                      <w:sz w:val="18"/>
                      <w:szCs w:val="18"/>
                    </w:rPr>
                    <w:t>25000</w:t>
                  </w: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0.233</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0.006</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0.046</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DA005</w:t>
                  </w: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50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sz w:val="18"/>
                      <w:szCs w:val="18"/>
                    </w:rPr>
                  </w:pPr>
                  <w:r>
                    <w:rPr>
                      <w:rFonts w:cs="Times New Roman"/>
                      <w:sz w:val="18"/>
                      <w:szCs w:val="18"/>
                    </w:rPr>
                    <w:t>NOx</w:t>
                  </w:r>
                </w:p>
              </w:tc>
              <w:tc>
                <w:tcPr>
                  <w:tcW w:w="880" w:type="dxa"/>
                  <w:tcBorders>
                    <w:tl2br w:val="nil"/>
                    <w:tr2bl w:val="nil"/>
                  </w:tcBorders>
                  <w:vAlign w:val="center"/>
                </w:tcPr>
                <w:p>
                  <w:pPr>
                    <w:jc w:val="center"/>
                    <w:rPr>
                      <w:rFonts w:cs="Times New Roman"/>
                      <w:sz w:val="18"/>
                      <w:szCs w:val="18"/>
                    </w:rPr>
                  </w:pPr>
                  <w:r>
                    <w:rPr>
                      <w:rFonts w:cs="Times New Roman"/>
                      <w:sz w:val="18"/>
                      <w:szCs w:val="18"/>
                    </w:rPr>
                    <w:t>1.833</w:t>
                  </w:r>
                </w:p>
              </w:tc>
              <w:tc>
                <w:tcPr>
                  <w:tcW w:w="630" w:type="dxa"/>
                  <w:tcBorders>
                    <w:tl2br w:val="nil"/>
                    <w:tr2bl w:val="nil"/>
                  </w:tcBorders>
                  <w:vAlign w:val="center"/>
                </w:tcPr>
                <w:p>
                  <w:pPr>
                    <w:jc w:val="center"/>
                    <w:rPr>
                      <w:rFonts w:cs="Times New Roman"/>
                      <w:sz w:val="18"/>
                      <w:szCs w:val="18"/>
                    </w:rPr>
                  </w:pPr>
                  <w:r>
                    <w:rPr>
                      <w:rFonts w:cs="Times New Roman"/>
                      <w:sz w:val="18"/>
                      <w:szCs w:val="18"/>
                    </w:rPr>
                    <w:t>/</w:t>
                  </w:r>
                </w:p>
              </w:tc>
              <w:tc>
                <w:tcPr>
                  <w:tcW w:w="1171" w:type="dxa"/>
                  <w:vMerge w:val="continue"/>
                  <w:tcBorders>
                    <w:tl2br w:val="nil"/>
                    <w:tr2bl w:val="nil"/>
                  </w:tcBorders>
                  <w:vAlign w:val="center"/>
                </w:tcPr>
                <w:p>
                  <w:pPr>
                    <w:jc w:val="center"/>
                    <w:rPr>
                      <w:rFonts w:cs="Times New Roman"/>
                      <w:sz w:val="18"/>
                      <w:szCs w:val="18"/>
                    </w:rPr>
                  </w:pPr>
                </w:p>
              </w:tc>
              <w:tc>
                <w:tcPr>
                  <w:tcW w:w="645" w:type="dxa"/>
                  <w:tcBorders>
                    <w:tl2br w:val="nil"/>
                    <w:tr2bl w:val="nil"/>
                  </w:tcBorders>
                  <w:vAlign w:val="center"/>
                </w:tcPr>
                <w:p>
                  <w:pPr>
                    <w:jc w:val="center"/>
                    <w:rPr>
                      <w:rFonts w:cs="Times New Roman"/>
                      <w:sz w:val="18"/>
                      <w:szCs w:val="18"/>
                    </w:rPr>
                  </w:pPr>
                  <w:r>
                    <w:rPr>
                      <w:rFonts w:cs="Times New Roman"/>
                      <w:sz w:val="18"/>
                      <w:szCs w:val="18"/>
                    </w:rPr>
                    <w:t>/</w:t>
                  </w:r>
                </w:p>
              </w:tc>
              <w:tc>
                <w:tcPr>
                  <w:tcW w:w="841" w:type="dxa"/>
                  <w:vMerge w:val="continue"/>
                  <w:tcBorders>
                    <w:tl2br w:val="nil"/>
                    <w:tr2bl w:val="nil"/>
                  </w:tcBorders>
                  <w:vAlign w:val="center"/>
                </w:tcPr>
                <w:p>
                  <w:pPr>
                    <w:jc w:val="center"/>
                    <w:rPr>
                      <w:rFonts w:cs="Times New Roman"/>
                      <w:sz w:val="18"/>
                      <w:szCs w:val="18"/>
                    </w:rPr>
                  </w:pP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9.258</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0.231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1.833</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100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颗粒物</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0.162</w:t>
                  </w:r>
                </w:p>
              </w:tc>
              <w:tc>
                <w:tcPr>
                  <w:tcW w:w="630" w:type="dxa"/>
                  <w:tcBorders>
                    <w:tl2br w:val="nil"/>
                    <w:tr2bl w:val="nil"/>
                  </w:tcBorders>
                  <w:vAlign w:val="center"/>
                </w:tcPr>
                <w:p>
                  <w:pPr>
                    <w:jc w:val="center"/>
                    <w:rPr>
                      <w:rFonts w:cs="Times New Roman"/>
                      <w:color w:val="0000FF"/>
                      <w:sz w:val="18"/>
                      <w:szCs w:val="18"/>
                    </w:rPr>
                  </w:pPr>
                  <w:r>
                    <w:rPr>
                      <w:rFonts w:cs="Times New Roman"/>
                      <w:color w:val="0000FF"/>
                      <w:sz w:val="18"/>
                      <w:szCs w:val="18"/>
                    </w:rPr>
                    <w:t>/</w:t>
                  </w:r>
                </w:p>
              </w:tc>
              <w:tc>
                <w:tcPr>
                  <w:tcW w:w="1171" w:type="dxa"/>
                  <w:vMerge w:val="continue"/>
                  <w:tcBorders>
                    <w:tl2br w:val="nil"/>
                    <w:tr2bl w:val="nil"/>
                  </w:tcBorders>
                  <w:vAlign w:val="center"/>
                </w:tcPr>
                <w:p>
                  <w:pPr>
                    <w:jc w:val="center"/>
                    <w:rPr>
                      <w:rFonts w:cs="Times New Roman"/>
                      <w:color w:val="0000FF"/>
                      <w:sz w:val="18"/>
                      <w:szCs w:val="18"/>
                    </w:rPr>
                  </w:pPr>
                </w:p>
              </w:tc>
              <w:tc>
                <w:tcPr>
                  <w:tcW w:w="645" w:type="dxa"/>
                  <w:tcBorders>
                    <w:tl2br w:val="nil"/>
                    <w:tr2bl w:val="nil"/>
                  </w:tcBorders>
                  <w:vAlign w:val="center"/>
                </w:tcPr>
                <w:p>
                  <w:pPr>
                    <w:jc w:val="center"/>
                    <w:rPr>
                      <w:rFonts w:cs="Times New Roman"/>
                      <w:color w:val="0000FF"/>
                      <w:sz w:val="18"/>
                      <w:szCs w:val="18"/>
                    </w:rPr>
                  </w:pPr>
                  <w:r>
                    <w:rPr>
                      <w:rFonts w:hint="eastAsia" w:cs="Times New Roman"/>
                      <w:color w:val="0000FF"/>
                      <w:sz w:val="18"/>
                      <w:szCs w:val="18"/>
                    </w:rPr>
                    <w:t>/</w:t>
                  </w:r>
                </w:p>
              </w:tc>
              <w:tc>
                <w:tcPr>
                  <w:tcW w:w="841" w:type="dxa"/>
                  <w:vMerge w:val="continue"/>
                  <w:tcBorders>
                    <w:tl2br w:val="nil"/>
                    <w:tr2bl w:val="nil"/>
                  </w:tcBorders>
                  <w:vAlign w:val="center"/>
                </w:tcPr>
                <w:p>
                  <w:pPr>
                    <w:jc w:val="center"/>
                    <w:rPr>
                      <w:rFonts w:cs="Times New Roman"/>
                      <w:color w:val="0000FF"/>
                      <w:sz w:val="18"/>
                      <w:szCs w:val="18"/>
                    </w:rPr>
                  </w:pP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0.817</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0.020</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0.162</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hint="eastAsia" w:cs="Times New Roman"/>
                      <w:sz w:val="18"/>
                      <w:szCs w:val="18"/>
                    </w:rPr>
                    <w:t>10</w:t>
                  </w:r>
                </w:p>
              </w:tc>
              <w:tc>
                <w:tcPr>
                  <w:tcW w:w="862" w:type="dxa"/>
                  <w:tcBorders>
                    <w:tl2br w:val="nil"/>
                    <w:tr2bl w:val="nil"/>
                  </w:tcBorders>
                  <w:vAlign w:val="center"/>
                </w:tcPr>
                <w:p>
                  <w:pPr>
                    <w:jc w:val="center"/>
                    <w:rPr>
                      <w:rFonts w:cs="Times New Roman"/>
                      <w:sz w:val="18"/>
                      <w:szCs w:val="18"/>
                    </w:rPr>
                  </w:pPr>
                  <w:r>
                    <w:rPr>
                      <w:rFonts w:hint="eastAsia"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tcBorders>
                    <w:tl2br w:val="nil"/>
                    <w:tr2bl w:val="nil"/>
                  </w:tcBorders>
                  <w:vAlign w:val="center"/>
                </w:tcPr>
                <w:p>
                  <w:pPr>
                    <w:jc w:val="center"/>
                    <w:rPr>
                      <w:rFonts w:cs="Times New Roman"/>
                      <w:sz w:val="18"/>
                      <w:szCs w:val="18"/>
                    </w:rPr>
                  </w:pPr>
                  <w:r>
                    <w:rPr>
                      <w:rFonts w:cs="Times New Roman"/>
                      <w:sz w:val="18"/>
                      <w:szCs w:val="18"/>
                    </w:rPr>
                    <w:t>食堂油烟</w:t>
                  </w:r>
                </w:p>
              </w:tc>
              <w:tc>
                <w:tcPr>
                  <w:tcW w:w="763" w:type="dxa"/>
                  <w:tcBorders>
                    <w:tl2br w:val="nil"/>
                    <w:tr2bl w:val="nil"/>
                  </w:tcBorders>
                  <w:vAlign w:val="center"/>
                </w:tcPr>
                <w:p>
                  <w:pPr>
                    <w:jc w:val="center"/>
                    <w:rPr>
                      <w:rFonts w:cs="Times New Roman"/>
                      <w:sz w:val="18"/>
                      <w:szCs w:val="18"/>
                    </w:rPr>
                  </w:pPr>
                  <w:r>
                    <w:rPr>
                      <w:rFonts w:cs="Times New Roman"/>
                      <w:sz w:val="18"/>
                      <w:szCs w:val="18"/>
                    </w:rPr>
                    <w:t>油烟</w:t>
                  </w:r>
                </w:p>
              </w:tc>
              <w:tc>
                <w:tcPr>
                  <w:tcW w:w="880" w:type="dxa"/>
                  <w:tcBorders>
                    <w:tl2br w:val="nil"/>
                    <w:tr2bl w:val="nil"/>
                  </w:tcBorders>
                  <w:vAlign w:val="center"/>
                </w:tcPr>
                <w:p>
                  <w:pPr>
                    <w:jc w:val="center"/>
                    <w:rPr>
                      <w:rFonts w:cs="Times New Roman"/>
                      <w:sz w:val="18"/>
                      <w:szCs w:val="18"/>
                    </w:rPr>
                  </w:pPr>
                  <w:r>
                    <w:rPr>
                      <w:rFonts w:cs="Times New Roman"/>
                      <w:sz w:val="18"/>
                      <w:szCs w:val="18"/>
                    </w:rPr>
                    <w:t>0.0028</w:t>
                  </w:r>
                </w:p>
              </w:tc>
              <w:tc>
                <w:tcPr>
                  <w:tcW w:w="630" w:type="dxa"/>
                  <w:tcBorders>
                    <w:tl2br w:val="nil"/>
                    <w:tr2bl w:val="nil"/>
                  </w:tcBorders>
                  <w:vAlign w:val="center"/>
                </w:tcPr>
                <w:p>
                  <w:pPr>
                    <w:jc w:val="center"/>
                    <w:rPr>
                      <w:rFonts w:cs="Times New Roman"/>
                      <w:sz w:val="18"/>
                      <w:szCs w:val="18"/>
                    </w:rPr>
                  </w:pPr>
                  <w:r>
                    <w:rPr>
                      <w:rFonts w:cs="Times New Roman"/>
                      <w:sz w:val="18"/>
                      <w:szCs w:val="18"/>
                    </w:rPr>
                    <w:t>/</w:t>
                  </w:r>
                </w:p>
              </w:tc>
              <w:tc>
                <w:tcPr>
                  <w:tcW w:w="1171" w:type="dxa"/>
                  <w:tcBorders>
                    <w:tl2br w:val="nil"/>
                    <w:tr2bl w:val="nil"/>
                  </w:tcBorders>
                  <w:vAlign w:val="center"/>
                </w:tcPr>
                <w:p>
                  <w:pPr>
                    <w:jc w:val="center"/>
                    <w:rPr>
                      <w:rFonts w:cs="Times New Roman"/>
                      <w:sz w:val="18"/>
                      <w:szCs w:val="18"/>
                    </w:rPr>
                  </w:pPr>
                  <w:r>
                    <w:rPr>
                      <w:rFonts w:cs="Times New Roman"/>
                      <w:sz w:val="18"/>
                      <w:szCs w:val="18"/>
                    </w:rPr>
                    <w:t>油烟净化器</w:t>
                  </w:r>
                </w:p>
              </w:tc>
              <w:tc>
                <w:tcPr>
                  <w:tcW w:w="645" w:type="dxa"/>
                  <w:tcBorders>
                    <w:tl2br w:val="nil"/>
                    <w:tr2bl w:val="nil"/>
                  </w:tcBorders>
                  <w:vAlign w:val="center"/>
                </w:tcPr>
                <w:p>
                  <w:pPr>
                    <w:jc w:val="center"/>
                    <w:rPr>
                      <w:rFonts w:cs="Times New Roman"/>
                      <w:sz w:val="18"/>
                      <w:szCs w:val="18"/>
                    </w:rPr>
                  </w:pPr>
                  <w:r>
                    <w:rPr>
                      <w:rFonts w:cs="Times New Roman"/>
                      <w:sz w:val="18"/>
                      <w:szCs w:val="18"/>
                    </w:rPr>
                    <w:t>60</w:t>
                  </w:r>
                </w:p>
              </w:tc>
              <w:tc>
                <w:tcPr>
                  <w:tcW w:w="841" w:type="dxa"/>
                  <w:tcBorders>
                    <w:tl2br w:val="nil"/>
                    <w:tr2bl w:val="nil"/>
                  </w:tcBorders>
                  <w:vAlign w:val="center"/>
                </w:tcPr>
                <w:p>
                  <w:pPr>
                    <w:jc w:val="center"/>
                    <w:rPr>
                      <w:rFonts w:cs="Times New Roman"/>
                      <w:sz w:val="18"/>
                      <w:szCs w:val="18"/>
                    </w:rPr>
                  </w:pPr>
                  <w:r>
                    <w:rPr>
                      <w:rFonts w:cs="Times New Roman"/>
                      <w:sz w:val="18"/>
                      <w:szCs w:val="18"/>
                    </w:rPr>
                    <w:t>3000</w:t>
                  </w: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0.283</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0.0008</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0.0011</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1320</w:t>
                  </w:r>
                </w:p>
              </w:tc>
              <w:tc>
                <w:tcPr>
                  <w:tcW w:w="811" w:type="dxa"/>
                  <w:tcBorders>
                    <w:tl2br w:val="nil"/>
                    <w:tr2bl w:val="nil"/>
                  </w:tcBorders>
                  <w:vAlign w:val="center"/>
                </w:tcPr>
                <w:p>
                  <w:pPr>
                    <w:jc w:val="center"/>
                    <w:rPr>
                      <w:rFonts w:cs="Times New Roman"/>
                      <w:sz w:val="18"/>
                      <w:szCs w:val="18"/>
                    </w:rPr>
                  </w:pPr>
                  <w:r>
                    <w:rPr>
                      <w:rFonts w:cs="Times New Roman"/>
                      <w:sz w:val="18"/>
                      <w:szCs w:val="18"/>
                    </w:rPr>
                    <w:t>DA004</w:t>
                  </w:r>
                </w:p>
              </w:tc>
              <w:tc>
                <w:tcPr>
                  <w:tcW w:w="991" w:type="dxa"/>
                  <w:tcBorders>
                    <w:tl2br w:val="nil"/>
                    <w:tr2bl w:val="nil"/>
                  </w:tcBorders>
                  <w:vAlign w:val="center"/>
                </w:tcPr>
                <w:p>
                  <w:pPr>
                    <w:jc w:val="center"/>
                    <w:rPr>
                      <w:rFonts w:cs="Times New Roman"/>
                      <w:sz w:val="18"/>
                      <w:szCs w:val="18"/>
                    </w:rPr>
                  </w:pPr>
                  <w:r>
                    <w:rPr>
                      <w:rFonts w:cs="Times New Roman"/>
                      <w:sz w:val="18"/>
                      <w:szCs w:val="18"/>
                    </w:rPr>
                    <w:t>一般排放口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46" w:type="dxa"/>
                  <w:gridSpan w:val="18"/>
                  <w:tcBorders>
                    <w:tl2br w:val="nil"/>
                    <w:tr2bl w:val="nil"/>
                  </w:tcBorders>
                  <w:vAlign w:val="center"/>
                </w:tcPr>
                <w:p>
                  <w:pPr>
                    <w:rPr>
                      <w:rFonts w:cs="Times New Roman"/>
                      <w:b/>
                      <w:bCs/>
                      <w:sz w:val="18"/>
                      <w:szCs w:val="18"/>
                    </w:rPr>
                  </w:pPr>
                  <w:r>
                    <w:rPr>
                      <w:rFonts w:cs="Times New Roman"/>
                      <w:b/>
                      <w:bCs/>
                      <w:sz w:val="18"/>
                      <w:szCs w:val="18"/>
                    </w:rPr>
                    <w:t>2600湿法薄毡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原料在浸胶、烘干环节产生的废气</w:t>
                  </w: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甲醛</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2.925</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二级活性炭吸附装置</w:t>
                  </w:r>
                </w:p>
              </w:tc>
              <w:tc>
                <w:tcPr>
                  <w:tcW w:w="645"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8</w:t>
                  </w:r>
                  <w:r>
                    <w:rPr>
                      <w:rFonts w:hint="eastAsia" w:cs="Times New Roman"/>
                      <w:color w:val="000000" w:themeColor="text1"/>
                      <w:sz w:val="18"/>
                      <w:szCs w:val="18"/>
                      <w:lang w:val="en-US" w:eastAsia="zh-CN"/>
                      <w14:textFill>
                        <w14:solidFill>
                          <w14:schemeClr w14:val="tx1"/>
                        </w14:solidFill>
                      </w14:textFill>
                    </w:rPr>
                    <w:t>4</w:t>
                  </w:r>
                </w:p>
              </w:tc>
              <w:tc>
                <w:tcPr>
                  <w:tcW w:w="84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25000</w:t>
                  </w: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2.3</w:t>
                  </w:r>
                  <w:r>
                    <w:rPr>
                      <w:rFonts w:hint="eastAsia" w:cs="Times New Roman"/>
                      <w:color w:val="000000" w:themeColor="text1"/>
                      <w:sz w:val="18"/>
                      <w:szCs w:val="18"/>
                      <w:lang w:val="en-US" w:eastAsia="zh-CN"/>
                      <w14:textFill>
                        <w14:solidFill>
                          <w14:schemeClr w14:val="tx1"/>
                        </w14:solidFill>
                      </w14:textFill>
                    </w:rPr>
                    <w:t>2</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0.058</w:t>
                  </w:r>
                </w:p>
              </w:tc>
              <w:tc>
                <w:tcPr>
                  <w:tcW w:w="738"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0.4</w:t>
                  </w:r>
                  <w:r>
                    <w:rPr>
                      <w:rFonts w:hint="eastAsia" w:cs="Times New Roman"/>
                      <w:color w:val="000000" w:themeColor="text1"/>
                      <w:sz w:val="18"/>
                      <w:szCs w:val="18"/>
                      <w:lang w:val="en-US" w:eastAsia="zh-CN"/>
                      <w14:textFill>
                        <w14:solidFill>
                          <w14:schemeClr w14:val="tx1"/>
                        </w14:solidFill>
                      </w14:textFill>
                    </w:rPr>
                    <w:t>59</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0.007</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0.059</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DA006</w:t>
                  </w:r>
                </w:p>
              </w:tc>
              <w:tc>
                <w:tcPr>
                  <w:tcW w:w="991" w:type="dxa"/>
                  <w:vMerge w:val="restart"/>
                  <w:tcBorders>
                    <w:tl2br w:val="nil"/>
                    <w:tr2bl w:val="nil"/>
                  </w:tcBorders>
                  <w:vAlign w:val="center"/>
                </w:tcPr>
                <w:p>
                  <w:pPr>
                    <w:jc w:val="center"/>
                    <w:rPr>
                      <w:rFonts w:cs="Times New Roman"/>
                      <w:sz w:val="18"/>
                      <w:szCs w:val="18"/>
                    </w:rPr>
                  </w:pPr>
                  <w:r>
                    <w:rPr>
                      <w:rFonts w:cs="Times New Roman"/>
                      <w:sz w:val="18"/>
                      <w:szCs w:val="18"/>
                    </w:rPr>
                    <w:t>主要排放口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0.26</w:t>
                  </w:r>
                </w:p>
              </w:tc>
              <w:tc>
                <w:tcPr>
                  <w:tcW w:w="781" w:type="dxa"/>
                  <w:tcBorders>
                    <w:tl2br w:val="nil"/>
                    <w:tr2bl w:val="nil"/>
                  </w:tcBorders>
                  <w:vAlign w:val="center"/>
                </w:tcPr>
                <w:p>
                  <w:pPr>
                    <w:jc w:val="center"/>
                    <w:rPr>
                      <w:rFonts w:cs="Times New Roman"/>
                      <w:sz w:val="18"/>
                      <w:szCs w:val="18"/>
                    </w:rPr>
                  </w:pPr>
                  <w:r>
                    <w:rPr>
                      <w:rFonts w:cs="Times New Roman"/>
                      <w:sz w:val="18"/>
                      <w:szCs w:val="18"/>
                    </w:rPr>
                    <w:t>5</w:t>
                  </w:r>
                </w:p>
              </w:tc>
              <w:tc>
                <w:tcPr>
                  <w:tcW w:w="862" w:type="dxa"/>
                  <w:tcBorders>
                    <w:tl2br w:val="nil"/>
                    <w:tr2bl w:val="nil"/>
                  </w:tcBorders>
                  <w:vAlign w:val="center"/>
                </w:tcPr>
                <w:p>
                  <w:pPr>
                    <w:jc w:val="center"/>
                    <w:rPr>
                      <w:rFonts w:cs="Times New Roman"/>
                      <w:sz w:val="18"/>
                      <w:szCs w:val="18"/>
                    </w:rPr>
                  </w:pPr>
                  <w:r>
                    <w:rPr>
                      <w:rFonts w:cs="Times New Roman"/>
                      <w:sz w:val="18"/>
                      <w:szCs w:val="18"/>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VOCs</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0.039</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84</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w:t>
                  </w:r>
                  <w:r>
                    <w:rPr>
                      <w:rFonts w:hint="eastAsia" w:cs="Times New Roman"/>
                      <w:color w:val="000000" w:themeColor="text1"/>
                      <w:sz w:val="18"/>
                      <w:szCs w:val="18"/>
                      <w:lang w:val="en-US" w:eastAsia="zh-CN"/>
                      <w14:textFill>
                        <w14:solidFill>
                          <w14:schemeClr w14:val="tx1"/>
                        </w14:solidFill>
                      </w14:textFill>
                    </w:rPr>
                    <w:t>4</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0.006</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0.0001</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5.44</w:t>
                  </w:r>
                </w:p>
              </w:tc>
              <w:tc>
                <w:tcPr>
                  <w:tcW w:w="781" w:type="dxa"/>
                  <w:tcBorders>
                    <w:tl2br w:val="nil"/>
                    <w:tr2bl w:val="nil"/>
                  </w:tcBorders>
                  <w:vAlign w:val="center"/>
                </w:tcPr>
                <w:p>
                  <w:pPr>
                    <w:jc w:val="center"/>
                    <w:rPr>
                      <w:rFonts w:cs="Times New Roman"/>
                      <w:sz w:val="18"/>
                      <w:szCs w:val="18"/>
                    </w:rPr>
                  </w:pPr>
                  <w:r>
                    <w:rPr>
                      <w:rFonts w:cs="Times New Roman"/>
                      <w:sz w:val="18"/>
                      <w:szCs w:val="18"/>
                    </w:rPr>
                    <w:t>60</w:t>
                  </w:r>
                </w:p>
              </w:tc>
              <w:tc>
                <w:tcPr>
                  <w:tcW w:w="862" w:type="dxa"/>
                  <w:tcBorders>
                    <w:tl2br w:val="nil"/>
                    <w:tr2bl w:val="nil"/>
                  </w:tcBorders>
                  <w:vAlign w:val="center"/>
                </w:tcPr>
                <w:p>
                  <w:pPr>
                    <w:jc w:val="center"/>
                    <w:rPr>
                      <w:rFonts w:cs="Times New Roman"/>
                      <w:sz w:val="18"/>
                      <w:szCs w:val="18"/>
                    </w:rPr>
                  </w:pPr>
                  <w:r>
                    <w:rPr>
                      <w:rFonts w:cs="Times New Roman"/>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氨</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0.098</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4</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0.076</w:t>
                  </w:r>
                </w:p>
              </w:tc>
              <w:tc>
                <w:tcPr>
                  <w:tcW w:w="77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0.000</w:t>
                  </w:r>
                  <w:r>
                    <w:rPr>
                      <w:rFonts w:hint="eastAsia" w:cs="Times New Roman"/>
                      <w:color w:val="000000" w:themeColor="text1"/>
                      <w:sz w:val="18"/>
                      <w:szCs w:val="18"/>
                      <w:lang w:val="en-US" w:eastAsia="zh-CN"/>
                      <w14:textFill>
                        <w14:solidFill>
                          <w14:schemeClr w14:val="tx1"/>
                        </w14:solidFill>
                      </w14:textFill>
                    </w:rPr>
                    <w:t>3</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0.002</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7.18</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天然气燃烧废气</w:t>
                  </w: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SO</w:t>
                  </w:r>
                  <w:r>
                    <w:rPr>
                      <w:rFonts w:cs="Times New Roman"/>
                      <w:color w:val="000000" w:themeColor="text1"/>
                      <w:sz w:val="18"/>
                      <w:szCs w:val="18"/>
                      <w:vertAlign w:val="subscript"/>
                      <w14:textFill>
                        <w14:solidFill>
                          <w14:schemeClr w14:val="tx1"/>
                        </w14:solidFill>
                      </w14:textFill>
                    </w:rPr>
                    <w:t>2</w:t>
                  </w:r>
                </w:p>
              </w:tc>
              <w:tc>
                <w:tcPr>
                  <w:tcW w:w="8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0.057</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低氮燃烧器</w:t>
                  </w: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4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25000</w:t>
                  </w:r>
                </w:p>
              </w:tc>
              <w:tc>
                <w:tcPr>
                  <w:tcW w:w="916" w:type="dxa"/>
                  <w:tcBorders>
                    <w:tl2br w:val="nil"/>
                    <w:tr2bl w:val="nil"/>
                  </w:tcBorders>
                  <w:vAlign w:val="center"/>
                </w:tcPr>
                <w:p>
                  <w:pPr>
                    <w:widowControl/>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0.28</w:t>
                  </w:r>
                </w:p>
              </w:tc>
              <w:tc>
                <w:tcPr>
                  <w:tcW w:w="675"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0.00</w:t>
                  </w:r>
                  <w:r>
                    <w:rPr>
                      <w:rFonts w:hint="eastAsia" w:cs="Times New Roman"/>
                      <w:color w:val="000000" w:themeColor="text1"/>
                      <w:sz w:val="18"/>
                      <w:szCs w:val="18"/>
                      <w:lang w:val="en-US" w:eastAsia="zh-CN"/>
                      <w14:textFill>
                        <w14:solidFill>
                          <w14:schemeClr w14:val="tx1"/>
                        </w14:solidFill>
                      </w14:textFill>
                    </w:rPr>
                    <w:t>7</w:t>
                  </w:r>
                </w:p>
              </w:tc>
              <w:tc>
                <w:tcPr>
                  <w:tcW w:w="738"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057</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DA006</w:t>
                  </w: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50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NOx</w:t>
                  </w:r>
                </w:p>
              </w:tc>
              <w:tc>
                <w:tcPr>
                  <w:tcW w:w="8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2.261</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11.4</w:t>
                  </w:r>
                </w:p>
              </w:tc>
              <w:tc>
                <w:tcPr>
                  <w:tcW w:w="67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285</w:t>
                  </w:r>
                </w:p>
              </w:tc>
              <w:tc>
                <w:tcPr>
                  <w:tcW w:w="738"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2.261</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100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颗粒物</w:t>
                  </w:r>
                </w:p>
              </w:tc>
              <w:tc>
                <w:tcPr>
                  <w:tcW w:w="880"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2</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675"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5</w:t>
                  </w:r>
                </w:p>
              </w:tc>
              <w:tc>
                <w:tcPr>
                  <w:tcW w:w="73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2</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hint="eastAsia" w:cs="Times New Roman"/>
                      <w:sz w:val="18"/>
                      <w:szCs w:val="18"/>
                    </w:rPr>
                    <w:t>10</w:t>
                  </w:r>
                </w:p>
              </w:tc>
              <w:tc>
                <w:tcPr>
                  <w:tcW w:w="862" w:type="dxa"/>
                  <w:tcBorders>
                    <w:tl2br w:val="nil"/>
                    <w:tr2bl w:val="nil"/>
                  </w:tcBorders>
                  <w:vAlign w:val="center"/>
                </w:tcPr>
                <w:p>
                  <w:pPr>
                    <w:jc w:val="center"/>
                    <w:rPr>
                      <w:rFonts w:cs="Times New Roman"/>
                      <w:sz w:val="18"/>
                      <w:szCs w:val="18"/>
                    </w:rPr>
                  </w:pPr>
                  <w:r>
                    <w:rPr>
                      <w:rFonts w:hint="eastAsia"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tcBorders>
                    <w:tl2br w:val="nil"/>
                    <w:tr2bl w:val="nil"/>
                  </w:tcBorders>
                  <w:vAlign w:val="center"/>
                </w:tcPr>
                <w:p>
                  <w:pPr>
                    <w:jc w:val="center"/>
                    <w:rPr>
                      <w:rFonts w:cs="Times New Roman"/>
                      <w:sz w:val="18"/>
                      <w:szCs w:val="18"/>
                    </w:rPr>
                  </w:pPr>
                  <w:r>
                    <w:rPr>
                      <w:rFonts w:cs="Times New Roman"/>
                      <w:sz w:val="18"/>
                      <w:szCs w:val="18"/>
                    </w:rPr>
                    <w:t>食堂油烟</w:t>
                  </w:r>
                </w:p>
              </w:tc>
              <w:tc>
                <w:tcPr>
                  <w:tcW w:w="763" w:type="dxa"/>
                  <w:tcBorders>
                    <w:tl2br w:val="nil"/>
                    <w:tr2bl w:val="nil"/>
                  </w:tcBorders>
                  <w:vAlign w:val="center"/>
                </w:tcPr>
                <w:p>
                  <w:pPr>
                    <w:jc w:val="center"/>
                    <w:rPr>
                      <w:rFonts w:cs="Times New Roman"/>
                      <w:sz w:val="18"/>
                      <w:szCs w:val="18"/>
                    </w:rPr>
                  </w:pPr>
                  <w:r>
                    <w:rPr>
                      <w:rFonts w:cs="Times New Roman"/>
                      <w:sz w:val="18"/>
                      <w:szCs w:val="18"/>
                    </w:rPr>
                    <w:t>油烟</w:t>
                  </w:r>
                </w:p>
              </w:tc>
              <w:tc>
                <w:tcPr>
                  <w:tcW w:w="880" w:type="dxa"/>
                  <w:tcBorders>
                    <w:tl2br w:val="nil"/>
                    <w:tr2bl w:val="nil"/>
                  </w:tcBorders>
                  <w:vAlign w:val="center"/>
                </w:tcPr>
                <w:p>
                  <w:pPr>
                    <w:jc w:val="center"/>
                    <w:rPr>
                      <w:rFonts w:cs="Times New Roman"/>
                      <w:sz w:val="18"/>
                      <w:szCs w:val="18"/>
                    </w:rPr>
                  </w:pPr>
                  <w:r>
                    <w:rPr>
                      <w:rFonts w:cs="Times New Roman"/>
                      <w:sz w:val="18"/>
                      <w:szCs w:val="18"/>
                    </w:rPr>
                    <w:t>0.0028</w:t>
                  </w:r>
                </w:p>
              </w:tc>
              <w:tc>
                <w:tcPr>
                  <w:tcW w:w="630" w:type="dxa"/>
                  <w:tcBorders>
                    <w:tl2br w:val="nil"/>
                    <w:tr2bl w:val="nil"/>
                  </w:tcBorders>
                  <w:vAlign w:val="center"/>
                </w:tcPr>
                <w:p>
                  <w:pPr>
                    <w:jc w:val="center"/>
                    <w:rPr>
                      <w:rFonts w:cs="Times New Roman"/>
                      <w:sz w:val="18"/>
                      <w:szCs w:val="18"/>
                    </w:rPr>
                  </w:pPr>
                  <w:r>
                    <w:rPr>
                      <w:rFonts w:cs="Times New Roman"/>
                      <w:sz w:val="18"/>
                      <w:szCs w:val="18"/>
                    </w:rPr>
                    <w:t>/</w:t>
                  </w:r>
                </w:p>
              </w:tc>
              <w:tc>
                <w:tcPr>
                  <w:tcW w:w="1171" w:type="dxa"/>
                  <w:tcBorders>
                    <w:tl2br w:val="nil"/>
                    <w:tr2bl w:val="nil"/>
                  </w:tcBorders>
                  <w:vAlign w:val="center"/>
                </w:tcPr>
                <w:p>
                  <w:pPr>
                    <w:jc w:val="center"/>
                    <w:rPr>
                      <w:rFonts w:cs="Times New Roman"/>
                      <w:sz w:val="18"/>
                      <w:szCs w:val="18"/>
                    </w:rPr>
                  </w:pPr>
                  <w:r>
                    <w:rPr>
                      <w:rFonts w:cs="Times New Roman"/>
                      <w:sz w:val="18"/>
                      <w:szCs w:val="18"/>
                    </w:rPr>
                    <w:t>油烟净化器</w:t>
                  </w:r>
                </w:p>
              </w:tc>
              <w:tc>
                <w:tcPr>
                  <w:tcW w:w="645" w:type="dxa"/>
                  <w:tcBorders>
                    <w:tl2br w:val="nil"/>
                    <w:tr2bl w:val="nil"/>
                  </w:tcBorders>
                  <w:vAlign w:val="center"/>
                </w:tcPr>
                <w:p>
                  <w:pPr>
                    <w:jc w:val="center"/>
                    <w:rPr>
                      <w:rFonts w:cs="Times New Roman"/>
                      <w:sz w:val="18"/>
                      <w:szCs w:val="18"/>
                    </w:rPr>
                  </w:pPr>
                  <w:r>
                    <w:rPr>
                      <w:rFonts w:cs="Times New Roman"/>
                      <w:sz w:val="18"/>
                      <w:szCs w:val="18"/>
                    </w:rPr>
                    <w:t>60</w:t>
                  </w:r>
                </w:p>
              </w:tc>
              <w:tc>
                <w:tcPr>
                  <w:tcW w:w="841" w:type="dxa"/>
                  <w:tcBorders>
                    <w:tl2br w:val="nil"/>
                    <w:tr2bl w:val="nil"/>
                  </w:tcBorders>
                  <w:vAlign w:val="center"/>
                </w:tcPr>
                <w:p>
                  <w:pPr>
                    <w:jc w:val="center"/>
                    <w:rPr>
                      <w:rFonts w:cs="Times New Roman"/>
                      <w:sz w:val="18"/>
                      <w:szCs w:val="18"/>
                    </w:rPr>
                  </w:pPr>
                  <w:r>
                    <w:rPr>
                      <w:rFonts w:cs="Times New Roman"/>
                      <w:sz w:val="18"/>
                      <w:szCs w:val="18"/>
                    </w:rPr>
                    <w:t>3000</w:t>
                  </w:r>
                </w:p>
              </w:tc>
              <w:tc>
                <w:tcPr>
                  <w:tcW w:w="916" w:type="dxa"/>
                  <w:tcBorders>
                    <w:tl2br w:val="nil"/>
                    <w:tr2bl w:val="nil"/>
                  </w:tcBorders>
                  <w:vAlign w:val="center"/>
                </w:tcPr>
                <w:p>
                  <w:pPr>
                    <w:widowControl/>
                    <w:jc w:val="center"/>
                    <w:rPr>
                      <w:rFonts w:cs="Times New Roman"/>
                      <w:sz w:val="18"/>
                      <w:szCs w:val="18"/>
                    </w:rPr>
                  </w:pPr>
                  <w:r>
                    <w:rPr>
                      <w:rFonts w:cs="Times New Roman"/>
                      <w:sz w:val="18"/>
                      <w:szCs w:val="18"/>
                    </w:rPr>
                    <w:t>0.283</w:t>
                  </w:r>
                </w:p>
              </w:tc>
              <w:tc>
                <w:tcPr>
                  <w:tcW w:w="675" w:type="dxa"/>
                  <w:tcBorders>
                    <w:tl2br w:val="nil"/>
                    <w:tr2bl w:val="nil"/>
                  </w:tcBorders>
                  <w:vAlign w:val="center"/>
                </w:tcPr>
                <w:p>
                  <w:pPr>
                    <w:jc w:val="center"/>
                    <w:rPr>
                      <w:rFonts w:cs="Times New Roman"/>
                      <w:sz w:val="18"/>
                      <w:szCs w:val="18"/>
                    </w:rPr>
                  </w:pPr>
                  <w:r>
                    <w:rPr>
                      <w:rFonts w:cs="Times New Roman"/>
                      <w:sz w:val="18"/>
                      <w:szCs w:val="18"/>
                    </w:rPr>
                    <w:t>0.0008</w:t>
                  </w:r>
                </w:p>
              </w:tc>
              <w:tc>
                <w:tcPr>
                  <w:tcW w:w="738" w:type="dxa"/>
                  <w:tcBorders>
                    <w:tl2br w:val="nil"/>
                    <w:tr2bl w:val="nil"/>
                  </w:tcBorders>
                  <w:vAlign w:val="center"/>
                </w:tcPr>
                <w:p>
                  <w:pPr>
                    <w:jc w:val="center"/>
                    <w:rPr>
                      <w:rFonts w:cs="Times New Roman"/>
                      <w:sz w:val="18"/>
                      <w:szCs w:val="18"/>
                    </w:rPr>
                  </w:pPr>
                  <w:r>
                    <w:rPr>
                      <w:rFonts w:cs="Times New Roman"/>
                      <w:sz w:val="18"/>
                      <w:szCs w:val="18"/>
                    </w:rPr>
                    <w:t>0.0011</w:t>
                  </w:r>
                </w:p>
              </w:tc>
              <w:tc>
                <w:tcPr>
                  <w:tcW w:w="778"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766" w:type="dxa"/>
                  <w:tcBorders>
                    <w:tl2br w:val="nil"/>
                    <w:tr2bl w:val="nil"/>
                  </w:tcBorders>
                  <w:vAlign w:val="center"/>
                </w:tcPr>
                <w:p>
                  <w:pPr>
                    <w:jc w:val="center"/>
                    <w:rPr>
                      <w:rFonts w:cs="Times New Roman"/>
                      <w:sz w:val="18"/>
                      <w:szCs w:val="18"/>
                    </w:rPr>
                  </w:pPr>
                  <w:r>
                    <w:rPr>
                      <w:rFonts w:cs="Times New Roman"/>
                      <w:sz w:val="18"/>
                      <w:szCs w:val="18"/>
                    </w:rPr>
                    <w:t>1320</w:t>
                  </w:r>
                </w:p>
              </w:tc>
              <w:tc>
                <w:tcPr>
                  <w:tcW w:w="811" w:type="dxa"/>
                  <w:tcBorders>
                    <w:tl2br w:val="nil"/>
                    <w:tr2bl w:val="nil"/>
                  </w:tcBorders>
                  <w:vAlign w:val="center"/>
                </w:tcPr>
                <w:p>
                  <w:pPr>
                    <w:jc w:val="center"/>
                    <w:rPr>
                      <w:rFonts w:cs="Times New Roman"/>
                      <w:sz w:val="18"/>
                      <w:szCs w:val="18"/>
                    </w:rPr>
                  </w:pPr>
                  <w:r>
                    <w:rPr>
                      <w:rFonts w:cs="Times New Roman"/>
                      <w:sz w:val="18"/>
                      <w:szCs w:val="18"/>
                    </w:rPr>
                    <w:t>DA004</w:t>
                  </w:r>
                </w:p>
              </w:tc>
              <w:tc>
                <w:tcPr>
                  <w:tcW w:w="991" w:type="dxa"/>
                  <w:tcBorders>
                    <w:tl2br w:val="nil"/>
                    <w:tr2bl w:val="nil"/>
                  </w:tcBorders>
                  <w:vAlign w:val="center"/>
                </w:tcPr>
                <w:p>
                  <w:pPr>
                    <w:jc w:val="center"/>
                    <w:rPr>
                      <w:rFonts w:cs="Times New Roman"/>
                      <w:sz w:val="18"/>
                      <w:szCs w:val="18"/>
                    </w:rPr>
                  </w:pPr>
                  <w:r>
                    <w:rPr>
                      <w:rFonts w:cs="Times New Roman"/>
                      <w:sz w:val="18"/>
                      <w:szCs w:val="18"/>
                    </w:rPr>
                    <w:t>一般排放口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2.0</w:t>
                  </w:r>
                </w:p>
              </w:tc>
            </w:tr>
          </w:tbl>
          <w:p>
            <w:pPr>
              <w:tabs>
                <w:tab w:val="left" w:pos="2973"/>
              </w:tabs>
              <w:spacing w:line="360" w:lineRule="auto"/>
              <w:ind w:firstLine="480" w:firstLineChars="200"/>
              <w:rPr>
                <w:rFonts w:cs="Times New Roman"/>
                <w:sz w:val="24"/>
                <w:szCs w:val="24"/>
              </w:rPr>
            </w:pPr>
            <w:r>
              <w:rPr>
                <w:rFonts w:cs="Times New Roman"/>
                <w:sz w:val="24"/>
                <w:szCs w:val="24"/>
              </w:rPr>
              <w:t>由上表可知，本项目运营期有组织排放：甲醛、VOCs满足《四川省固定污染源大气挥发性有机物排放标准》（DB51/2377-2017）中相应标准；SO</w:t>
            </w:r>
            <w:r>
              <w:rPr>
                <w:rFonts w:cs="Times New Roman"/>
                <w:sz w:val="24"/>
                <w:szCs w:val="24"/>
                <w:vertAlign w:val="subscript"/>
              </w:rPr>
              <w:t>2</w:t>
            </w:r>
            <w:r>
              <w:rPr>
                <w:rFonts w:cs="Times New Roman"/>
                <w:sz w:val="24"/>
                <w:szCs w:val="24"/>
              </w:rPr>
              <w:t>、NOx</w:t>
            </w:r>
            <w:r>
              <w:rPr>
                <w:rFonts w:hint="eastAsia" w:cs="Times New Roman"/>
                <w:sz w:val="24"/>
                <w:szCs w:val="24"/>
              </w:rPr>
              <w:t>、颗粒物</w:t>
            </w:r>
            <w:r>
              <w:rPr>
                <w:rFonts w:cs="Times New Roman"/>
                <w:sz w:val="24"/>
                <w:szCs w:val="24"/>
              </w:rPr>
              <w:t>满足《建材工业大气污染物排放标准》（DB37/2373-2018）中相关标准；氨满足《恶臭污染物排放标准》（GB14554-93）中相关标准；无组织排放：甲醛、VOCs满足《四川省固定污染源大气挥发性有机物排放标准》（DB51/2377-2017）中相应标准；SO</w:t>
            </w:r>
            <w:r>
              <w:rPr>
                <w:rFonts w:cs="Times New Roman"/>
                <w:sz w:val="24"/>
                <w:szCs w:val="24"/>
                <w:vertAlign w:val="subscript"/>
              </w:rPr>
              <w:t>2</w:t>
            </w:r>
            <w:r>
              <w:rPr>
                <w:rFonts w:cs="Times New Roman"/>
                <w:sz w:val="24"/>
                <w:szCs w:val="24"/>
              </w:rPr>
              <w:t>、NOx</w:t>
            </w:r>
            <w:r>
              <w:rPr>
                <w:rFonts w:hint="eastAsia" w:cs="Times New Roman"/>
                <w:sz w:val="24"/>
                <w:szCs w:val="24"/>
              </w:rPr>
              <w:t>、颗粒物</w:t>
            </w:r>
            <w:r>
              <w:rPr>
                <w:rFonts w:cs="Times New Roman"/>
                <w:sz w:val="24"/>
                <w:szCs w:val="24"/>
              </w:rPr>
              <w:t>满足《大气污染物综合排放标准》（GB16297-1996）中相关标准；氨满足《恶臭污染物排放标准》（GB14554-93）中相关标准。</w:t>
            </w: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p>
            <w:pPr>
              <w:tabs>
                <w:tab w:val="left" w:pos="2973"/>
              </w:tabs>
              <w:spacing w:line="360" w:lineRule="auto"/>
              <w:ind w:firstLine="480" w:firstLineChars="200"/>
              <w:rPr>
                <w:rFonts w:cs="Times New Roman"/>
                <w:sz w:val="24"/>
                <w:szCs w:val="24"/>
              </w:rPr>
            </w:pPr>
          </w:p>
        </w:tc>
      </w:tr>
    </w:tbl>
    <w:p>
      <w:pPr>
        <w:tabs>
          <w:tab w:val="left" w:pos="1005"/>
        </w:tabs>
        <w:rPr>
          <w:rFonts w:cs="Times New Roman"/>
          <w:sz w:val="28"/>
          <w:szCs w:val="28"/>
        </w:rPr>
        <w:sectPr>
          <w:pgSz w:w="16838" w:h="11906" w:orient="landscape"/>
          <w:pgMar w:top="1418" w:right="1134" w:bottom="1134" w:left="1134" w:header="851" w:footer="992" w:gutter="0"/>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8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2" w:type="dxa"/>
            <w:vAlign w:val="center"/>
          </w:tcPr>
          <w:p>
            <w:pPr>
              <w:spacing w:line="360" w:lineRule="auto"/>
              <w:jc w:val="center"/>
              <w:rPr>
                <w:rFonts w:cs="Times New Roman"/>
                <w:sz w:val="24"/>
                <w:szCs w:val="24"/>
              </w:rPr>
            </w:pPr>
            <w:r>
              <w:rPr>
                <w:rFonts w:cs="Times New Roman"/>
                <w:sz w:val="24"/>
                <w:szCs w:val="24"/>
              </w:rPr>
              <w:t>运营</w:t>
            </w:r>
          </w:p>
          <w:p>
            <w:pPr>
              <w:spacing w:line="360" w:lineRule="auto"/>
              <w:jc w:val="center"/>
              <w:rPr>
                <w:rFonts w:cs="Times New Roman"/>
                <w:sz w:val="24"/>
                <w:szCs w:val="24"/>
              </w:rPr>
            </w:pPr>
            <w:r>
              <w:rPr>
                <w:rFonts w:cs="Times New Roman"/>
                <w:sz w:val="24"/>
                <w:szCs w:val="24"/>
              </w:rPr>
              <w:t>期环</w:t>
            </w:r>
          </w:p>
          <w:p>
            <w:pPr>
              <w:spacing w:line="360" w:lineRule="auto"/>
              <w:jc w:val="center"/>
              <w:rPr>
                <w:rFonts w:cs="Times New Roman"/>
                <w:sz w:val="24"/>
                <w:szCs w:val="24"/>
              </w:rPr>
            </w:pPr>
            <w:r>
              <w:rPr>
                <w:rFonts w:cs="Times New Roman"/>
                <w:sz w:val="24"/>
                <w:szCs w:val="24"/>
              </w:rPr>
              <w:t>境影</w:t>
            </w:r>
          </w:p>
          <w:p>
            <w:pPr>
              <w:spacing w:line="360" w:lineRule="auto"/>
              <w:jc w:val="center"/>
              <w:rPr>
                <w:rFonts w:cs="Times New Roman"/>
                <w:sz w:val="24"/>
                <w:szCs w:val="24"/>
              </w:rPr>
            </w:pPr>
            <w:r>
              <w:rPr>
                <w:rFonts w:cs="Times New Roman"/>
                <w:sz w:val="24"/>
                <w:szCs w:val="24"/>
              </w:rPr>
              <w:t>响和</w:t>
            </w:r>
          </w:p>
          <w:p>
            <w:pPr>
              <w:spacing w:line="360" w:lineRule="auto"/>
              <w:jc w:val="center"/>
              <w:rPr>
                <w:rFonts w:cs="Times New Roman"/>
                <w:sz w:val="24"/>
                <w:szCs w:val="24"/>
              </w:rPr>
            </w:pPr>
            <w:r>
              <w:rPr>
                <w:rFonts w:cs="Times New Roman"/>
                <w:sz w:val="24"/>
                <w:szCs w:val="24"/>
              </w:rPr>
              <w:t>保护</w:t>
            </w:r>
          </w:p>
          <w:p>
            <w:pPr>
              <w:tabs>
                <w:tab w:val="left" w:pos="1005"/>
              </w:tabs>
              <w:spacing w:line="360" w:lineRule="auto"/>
              <w:jc w:val="center"/>
              <w:rPr>
                <w:rFonts w:cs="Times New Roman"/>
                <w:sz w:val="24"/>
                <w:szCs w:val="24"/>
              </w:rPr>
            </w:pPr>
            <w:r>
              <w:rPr>
                <w:rFonts w:cs="Times New Roman"/>
                <w:sz w:val="24"/>
                <w:szCs w:val="24"/>
              </w:rPr>
              <w:t>措施</w:t>
            </w:r>
          </w:p>
        </w:tc>
        <w:tc>
          <w:tcPr>
            <w:tcW w:w="8858" w:type="dxa"/>
            <w:vAlign w:val="center"/>
          </w:tcPr>
          <w:p>
            <w:pPr>
              <w:spacing w:line="360" w:lineRule="auto"/>
              <w:ind w:firstLine="480" w:firstLineChars="200"/>
              <w:rPr>
                <w:rFonts w:cs="Times New Roman"/>
                <w:sz w:val="24"/>
                <w:szCs w:val="24"/>
              </w:rPr>
            </w:pPr>
            <w:r>
              <w:rPr>
                <w:rFonts w:cs="Times New Roman"/>
                <w:sz w:val="24"/>
                <w:szCs w:val="24"/>
              </w:rPr>
              <w:t>本项目废气污染物排放统计表如下：</w:t>
            </w:r>
          </w:p>
          <w:p>
            <w:pPr>
              <w:spacing w:line="360" w:lineRule="auto"/>
              <w:jc w:val="center"/>
              <w:rPr>
                <w:rFonts w:cs="Times New Roman"/>
                <w:b/>
                <w:sz w:val="24"/>
                <w:szCs w:val="24"/>
              </w:rPr>
            </w:pPr>
            <w:r>
              <w:rPr>
                <w:rFonts w:cs="Times New Roman"/>
                <w:b/>
                <w:sz w:val="24"/>
                <w:szCs w:val="24"/>
              </w:rPr>
              <w:t>表4-11  运营期废气污染物排放统计表</w:t>
            </w:r>
          </w:p>
          <w:tbl>
            <w:tblPr>
              <w:tblStyle w:val="27"/>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2436"/>
              <w:gridCol w:w="2436"/>
              <w:gridCol w:w="19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064" w:type="pc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污染物</w:t>
                  </w:r>
                </w:p>
              </w:tc>
              <w:tc>
                <w:tcPr>
                  <w:tcW w:w="1409" w:type="pc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有组织（t/a）</w:t>
                  </w:r>
                </w:p>
              </w:tc>
              <w:tc>
                <w:tcPr>
                  <w:tcW w:w="1409" w:type="pc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无组织（t/a）</w:t>
                  </w:r>
                </w:p>
              </w:tc>
              <w:tc>
                <w:tcPr>
                  <w:tcW w:w="1116" w:type="pct"/>
                  <w:tcBorders>
                    <w:tl2br w:val="nil"/>
                    <w:tr2bl w:val="nil"/>
                  </w:tcBorders>
                  <w:vAlign w:val="center"/>
                </w:tcPr>
                <w:p>
                  <w:pPr>
                    <w:jc w:val="center"/>
                    <w:rPr>
                      <w:rFonts w:cs="Times New Roman"/>
                      <w:b/>
                      <w:bCs/>
                      <w:color w:val="000000" w:themeColor="text1"/>
                      <w:szCs w:val="21"/>
                      <w14:textFill>
                        <w14:solidFill>
                          <w14:schemeClr w14:val="tx1"/>
                        </w14:solidFill>
                      </w14:textFill>
                    </w:rPr>
                  </w:pPr>
                  <w:r>
                    <w:rPr>
                      <w:rFonts w:cs="Times New Roman"/>
                      <w:b/>
                      <w:bCs/>
                      <w:color w:val="000000" w:themeColor="text1"/>
                      <w:szCs w:val="21"/>
                      <w14:textFill>
                        <w14:solidFill>
                          <w14:schemeClr w14:val="tx1"/>
                        </w14:solidFill>
                      </w14:textFill>
                    </w:rPr>
                    <w:t>合计（t/a）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2436"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0.3</w:t>
                  </w:r>
                  <w:r>
                    <w:rPr>
                      <w:rFonts w:hint="eastAsia" w:cs="Times New Roman"/>
                      <w:color w:val="000000" w:themeColor="text1"/>
                      <w:szCs w:val="21"/>
                      <w:lang w:val="en-US" w:eastAsia="zh-CN"/>
                      <w14:textFill>
                        <w14:solidFill>
                          <w14:schemeClr w14:val="tx1"/>
                        </w14:solidFill>
                      </w14:textFill>
                    </w:rPr>
                    <w:t>62</w:t>
                  </w:r>
                </w:p>
              </w:tc>
              <w:tc>
                <w:tcPr>
                  <w:tcW w:w="243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w:t>
                  </w:r>
                </w:p>
              </w:tc>
              <w:tc>
                <w:tcPr>
                  <w:tcW w:w="1929"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0.3</w:t>
                  </w:r>
                  <w:r>
                    <w:rPr>
                      <w:rFonts w:hint="eastAsia" w:cs="Times New Roman"/>
                      <w:color w:val="000000" w:themeColor="text1"/>
                      <w:szCs w:val="21"/>
                      <w:lang w:val="en-US" w:eastAsia="zh-CN"/>
                      <w14:textFill>
                        <w14:solidFill>
                          <w14:schemeClr w14:val="tx1"/>
                        </w14:solidFill>
                      </w14:textFill>
                    </w:rPr>
                    <w:t>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甲醛</w:t>
                  </w:r>
                </w:p>
              </w:tc>
              <w:tc>
                <w:tcPr>
                  <w:tcW w:w="2436"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0.8</w:t>
                  </w:r>
                  <w:r>
                    <w:rPr>
                      <w:rFonts w:hint="eastAsia" w:cs="Times New Roman"/>
                      <w:color w:val="000000" w:themeColor="text1"/>
                      <w:szCs w:val="21"/>
                      <w:lang w:val="en-US" w:eastAsia="zh-CN"/>
                      <w14:textFill>
                        <w14:solidFill>
                          <w14:schemeClr w14:val="tx1"/>
                        </w14:solidFill>
                      </w14:textFill>
                    </w:rPr>
                    <w:t>56</w:t>
                  </w:r>
                </w:p>
              </w:tc>
              <w:tc>
                <w:tcPr>
                  <w:tcW w:w="243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0.11</w:t>
                  </w:r>
                </w:p>
              </w:tc>
              <w:tc>
                <w:tcPr>
                  <w:tcW w:w="1929"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0.9</w:t>
                  </w:r>
                  <w:r>
                    <w:rPr>
                      <w:rFonts w:hint="eastAsia" w:cs="Times New Roman"/>
                      <w:color w:val="000000" w:themeColor="text1"/>
                      <w:szCs w:val="21"/>
                      <w:lang w:val="en-US" w:eastAsia="zh-CN"/>
                      <w14:textFill>
                        <w14:solidFill>
                          <w14:schemeClr w14:val="tx1"/>
                        </w14:solidFill>
                      </w14:textFill>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VOCs</w:t>
                  </w:r>
                </w:p>
              </w:tc>
              <w:tc>
                <w:tcPr>
                  <w:tcW w:w="243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0.011</w:t>
                  </w:r>
                </w:p>
              </w:tc>
              <w:tc>
                <w:tcPr>
                  <w:tcW w:w="243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0.002</w:t>
                  </w:r>
                </w:p>
              </w:tc>
              <w:tc>
                <w:tcPr>
                  <w:tcW w:w="1929"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氨</w:t>
                  </w:r>
                </w:p>
              </w:tc>
              <w:tc>
                <w:tcPr>
                  <w:tcW w:w="2436"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0.14</w:t>
                  </w:r>
                  <w:r>
                    <w:rPr>
                      <w:rFonts w:hint="eastAsia" w:cs="Times New Roman"/>
                      <w:color w:val="000000" w:themeColor="text1"/>
                      <w:szCs w:val="21"/>
                      <w:lang w:val="en-US" w:eastAsia="zh-CN"/>
                      <w14:textFill>
                        <w14:solidFill>
                          <w14:schemeClr w14:val="tx1"/>
                        </w14:solidFill>
                      </w14:textFill>
                    </w:rPr>
                    <w:t>3</w:t>
                  </w:r>
                </w:p>
              </w:tc>
              <w:tc>
                <w:tcPr>
                  <w:tcW w:w="243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0.004</w:t>
                  </w:r>
                </w:p>
              </w:tc>
              <w:tc>
                <w:tcPr>
                  <w:tcW w:w="1929" w:type="dxa"/>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0.14</w:t>
                  </w:r>
                  <w:r>
                    <w:rPr>
                      <w:rFonts w:hint="eastAsia" w:cs="Times New Roman"/>
                      <w:color w:val="000000" w:themeColor="text1"/>
                      <w:szCs w:val="21"/>
                      <w:lang w:val="en-US" w:eastAsia="zh-CN"/>
                      <w14:textFill>
                        <w14:solidFill>
                          <w14:schemeClr w14:val="tx1"/>
                        </w14:solidFill>
                      </w14:textFill>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2436"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103</w:t>
                  </w:r>
                </w:p>
              </w:tc>
              <w:tc>
                <w:tcPr>
                  <w:tcW w:w="2436"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w:t>
                  </w:r>
                </w:p>
              </w:tc>
              <w:tc>
                <w:tcPr>
                  <w:tcW w:w="1929"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64" w:type="pct"/>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NOx</w:t>
                  </w:r>
                </w:p>
              </w:tc>
              <w:tc>
                <w:tcPr>
                  <w:tcW w:w="2436"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4.094</w:t>
                  </w:r>
                </w:p>
              </w:tc>
              <w:tc>
                <w:tcPr>
                  <w:tcW w:w="2436"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w:t>
                  </w:r>
                </w:p>
              </w:tc>
              <w:tc>
                <w:tcPr>
                  <w:tcW w:w="1929" w:type="dxa"/>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4.094</w:t>
                  </w:r>
                </w:p>
              </w:tc>
            </w:tr>
          </w:tbl>
          <w:p>
            <w:pPr>
              <w:spacing w:line="360" w:lineRule="auto"/>
              <w:ind w:firstLine="482" w:firstLineChars="200"/>
              <w:rPr>
                <w:rFonts w:cs="Times New Roman"/>
                <w:b/>
                <w:bCs/>
                <w:sz w:val="24"/>
                <w:szCs w:val="24"/>
              </w:rPr>
            </w:pPr>
            <w:r>
              <w:rPr>
                <w:rFonts w:cs="Times New Roman"/>
                <w:b/>
                <w:bCs/>
                <w:sz w:val="24"/>
                <w:szCs w:val="24"/>
              </w:rPr>
              <w:t>（4）监测要求</w:t>
            </w:r>
          </w:p>
          <w:p>
            <w:pPr>
              <w:spacing w:line="360" w:lineRule="auto"/>
              <w:ind w:firstLine="480" w:firstLineChars="200"/>
              <w:rPr>
                <w:rFonts w:cs="Times New Roman"/>
                <w:sz w:val="24"/>
                <w:szCs w:val="24"/>
              </w:rPr>
            </w:pPr>
            <w:r>
              <w:rPr>
                <w:rFonts w:cs="Times New Roman"/>
                <w:sz w:val="24"/>
                <w:szCs w:val="24"/>
              </w:rPr>
              <w:t>本次环评根据《排污单位自行监测技术指南 总则》（HJ819-2017）提出项目生产运行阶段的污染源监测计划，详见下表：</w:t>
            </w:r>
          </w:p>
          <w:p>
            <w:pPr>
              <w:spacing w:line="360" w:lineRule="auto"/>
              <w:jc w:val="center"/>
              <w:rPr>
                <w:rFonts w:cs="Times New Roman"/>
                <w:b/>
                <w:sz w:val="24"/>
                <w:szCs w:val="24"/>
              </w:rPr>
            </w:pPr>
            <w:r>
              <w:rPr>
                <w:rFonts w:cs="Times New Roman"/>
                <w:b/>
                <w:sz w:val="24"/>
                <w:szCs w:val="24"/>
              </w:rPr>
              <w:t>表4-12 有组织废气监测方案</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894"/>
              <w:gridCol w:w="1747"/>
              <w:gridCol w:w="36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4" w:type="pct"/>
                  <w:tcBorders>
                    <w:tl2br w:val="nil"/>
                    <w:tr2bl w:val="nil"/>
                  </w:tcBorders>
                  <w:shd w:val="clear" w:color="auto" w:fill="auto"/>
                  <w:vAlign w:val="center"/>
                </w:tcPr>
                <w:p>
                  <w:pPr>
                    <w:jc w:val="center"/>
                    <w:rPr>
                      <w:rFonts w:cs="Times New Roman"/>
                      <w:b/>
                      <w:bCs/>
                      <w:szCs w:val="21"/>
                    </w:rPr>
                  </w:pPr>
                  <w:r>
                    <w:rPr>
                      <w:rFonts w:cs="Times New Roman"/>
                      <w:b/>
                      <w:bCs/>
                      <w:szCs w:val="21"/>
                    </w:rPr>
                    <w:t>监测点位</w:t>
                  </w:r>
                </w:p>
              </w:tc>
              <w:tc>
                <w:tcPr>
                  <w:tcW w:w="1095" w:type="pct"/>
                  <w:tcBorders>
                    <w:tl2br w:val="nil"/>
                    <w:tr2bl w:val="nil"/>
                  </w:tcBorders>
                  <w:shd w:val="clear" w:color="auto" w:fill="auto"/>
                  <w:vAlign w:val="center"/>
                </w:tcPr>
                <w:p>
                  <w:pPr>
                    <w:jc w:val="center"/>
                    <w:rPr>
                      <w:rFonts w:cs="Times New Roman"/>
                      <w:b/>
                      <w:bCs/>
                      <w:szCs w:val="21"/>
                    </w:rPr>
                  </w:pPr>
                  <w:r>
                    <w:rPr>
                      <w:rFonts w:cs="Times New Roman"/>
                      <w:b/>
                      <w:bCs/>
                      <w:szCs w:val="21"/>
                    </w:rPr>
                    <w:t>监测指标</w:t>
                  </w:r>
                </w:p>
              </w:tc>
              <w:tc>
                <w:tcPr>
                  <w:tcW w:w="1010" w:type="pct"/>
                  <w:tcBorders>
                    <w:tl2br w:val="nil"/>
                    <w:tr2bl w:val="nil"/>
                  </w:tcBorders>
                  <w:shd w:val="clear" w:color="auto" w:fill="auto"/>
                  <w:vAlign w:val="center"/>
                </w:tcPr>
                <w:p>
                  <w:pPr>
                    <w:jc w:val="center"/>
                    <w:rPr>
                      <w:rFonts w:cs="Times New Roman"/>
                      <w:b/>
                      <w:bCs/>
                      <w:szCs w:val="21"/>
                    </w:rPr>
                  </w:pPr>
                  <w:r>
                    <w:rPr>
                      <w:rFonts w:cs="Times New Roman"/>
                      <w:b/>
                      <w:bCs/>
                      <w:szCs w:val="21"/>
                    </w:rPr>
                    <w:t>监测频次</w:t>
                  </w:r>
                </w:p>
              </w:tc>
              <w:tc>
                <w:tcPr>
                  <w:tcW w:w="2118" w:type="pct"/>
                  <w:tcBorders>
                    <w:tl2br w:val="nil"/>
                    <w:tr2bl w:val="nil"/>
                  </w:tcBorders>
                </w:tcPr>
                <w:p>
                  <w:pPr>
                    <w:jc w:val="center"/>
                    <w:rPr>
                      <w:rFonts w:cs="Times New Roman"/>
                      <w:b/>
                      <w:bCs/>
                      <w:szCs w:val="21"/>
                    </w:rPr>
                  </w:pPr>
                  <w:r>
                    <w:rPr>
                      <w:rFonts w:cs="Times New Roman"/>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4" w:type="pct"/>
                  <w:tcBorders>
                    <w:tl2br w:val="nil"/>
                    <w:tr2bl w:val="nil"/>
                  </w:tcBorders>
                  <w:shd w:val="clear" w:color="auto" w:fill="auto"/>
                  <w:vAlign w:val="center"/>
                </w:tcPr>
                <w:p>
                  <w:pPr>
                    <w:jc w:val="center"/>
                    <w:rPr>
                      <w:rFonts w:cs="Times New Roman"/>
                      <w:szCs w:val="21"/>
                    </w:rPr>
                  </w:pPr>
                  <w:r>
                    <w:rPr>
                      <w:rFonts w:cs="Times New Roman"/>
                      <w:szCs w:val="21"/>
                    </w:rPr>
                    <w:t>DA005</w:t>
                  </w:r>
                </w:p>
              </w:tc>
              <w:tc>
                <w:tcPr>
                  <w:tcW w:w="1095" w:type="pct"/>
                  <w:tcBorders>
                    <w:tl2br w:val="nil"/>
                    <w:tr2bl w:val="nil"/>
                  </w:tcBorders>
                  <w:shd w:val="clear" w:color="auto" w:fill="auto"/>
                  <w:vAlign w:val="center"/>
                </w:tcPr>
                <w:p>
                  <w:pPr>
                    <w:jc w:val="center"/>
                    <w:rPr>
                      <w:rFonts w:cs="Times New Roman"/>
                      <w:szCs w:val="21"/>
                    </w:rPr>
                  </w:pPr>
                  <w:r>
                    <w:rPr>
                      <w:rFonts w:cs="Times New Roman"/>
                      <w:szCs w:val="21"/>
                    </w:rPr>
                    <w:t>甲醛、VOCs、氨、SO</w:t>
                  </w:r>
                  <w:r>
                    <w:rPr>
                      <w:rFonts w:cs="Times New Roman"/>
                      <w:szCs w:val="21"/>
                      <w:vertAlign w:val="subscript"/>
                    </w:rPr>
                    <w:t>2</w:t>
                  </w:r>
                  <w:r>
                    <w:rPr>
                      <w:rFonts w:cs="Times New Roman"/>
                      <w:szCs w:val="21"/>
                    </w:rPr>
                    <w:t>、NOx</w:t>
                  </w:r>
                </w:p>
              </w:tc>
              <w:tc>
                <w:tcPr>
                  <w:tcW w:w="1010" w:type="pct"/>
                  <w:tcBorders>
                    <w:tl2br w:val="nil"/>
                    <w:tr2bl w:val="nil"/>
                  </w:tcBorders>
                  <w:shd w:val="clear" w:color="auto" w:fill="auto"/>
                  <w:vAlign w:val="center"/>
                </w:tcPr>
                <w:p>
                  <w:pPr>
                    <w:jc w:val="center"/>
                    <w:rPr>
                      <w:rFonts w:cs="Times New Roman"/>
                      <w:szCs w:val="21"/>
                    </w:rPr>
                  </w:pPr>
                  <w:r>
                    <w:rPr>
                      <w:rFonts w:cs="Times New Roman"/>
                      <w:szCs w:val="21"/>
                    </w:rPr>
                    <w:t>1次/半年</w:t>
                  </w:r>
                </w:p>
              </w:tc>
              <w:tc>
                <w:tcPr>
                  <w:tcW w:w="2118" w:type="pct"/>
                  <w:tcBorders>
                    <w:tl2br w:val="nil"/>
                    <w:tr2bl w:val="nil"/>
                  </w:tcBorders>
                  <w:vAlign w:val="center"/>
                </w:tcPr>
                <w:p>
                  <w:pPr>
                    <w:jc w:val="center"/>
                    <w:rPr>
                      <w:rFonts w:cs="Times New Roman"/>
                      <w:szCs w:val="21"/>
                    </w:rPr>
                  </w:pPr>
                  <w:r>
                    <w:rPr>
                      <w:rFonts w:cs="Times New Roman"/>
                      <w:szCs w:val="21"/>
                    </w:rPr>
                    <w:t>甲醛、VOCs执行《四川省固定污染源大气挥发性有机物排放标准》（DB51/2377-2017）中相应标准；SO</w:t>
                  </w:r>
                  <w:r>
                    <w:rPr>
                      <w:rFonts w:cs="Times New Roman"/>
                      <w:szCs w:val="21"/>
                      <w:vertAlign w:val="subscript"/>
                    </w:rPr>
                    <w:t>2</w:t>
                  </w:r>
                  <w:r>
                    <w:rPr>
                      <w:rFonts w:cs="Times New Roman"/>
                      <w:szCs w:val="21"/>
                    </w:rPr>
                    <w:t>、NOx执行《建材工业大气污染物排放标准》（DB37/2373-2018）中相关标准；氨执行《恶臭污染物排放标准》（GB14554-93）中相关标准</w:t>
                  </w:r>
                </w:p>
              </w:tc>
            </w:tr>
          </w:tbl>
          <w:p>
            <w:pPr>
              <w:spacing w:line="360" w:lineRule="auto"/>
              <w:jc w:val="center"/>
              <w:rPr>
                <w:rFonts w:cs="Times New Roman"/>
                <w:b/>
                <w:sz w:val="24"/>
                <w:szCs w:val="24"/>
              </w:rPr>
            </w:pPr>
            <w:r>
              <w:rPr>
                <w:rFonts w:cs="Times New Roman"/>
                <w:b/>
                <w:sz w:val="24"/>
                <w:szCs w:val="24"/>
              </w:rPr>
              <w:t>表4-13 无组织废气监测方案</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31"/>
              <w:gridCol w:w="2292"/>
              <w:gridCol w:w="1185"/>
              <w:gridCol w:w="35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tcBorders>
                    <w:tl2br w:val="nil"/>
                    <w:tr2bl w:val="nil"/>
                  </w:tcBorders>
                  <w:shd w:val="clear" w:color="auto" w:fill="auto"/>
                  <w:vAlign w:val="center"/>
                </w:tcPr>
                <w:p>
                  <w:pPr>
                    <w:jc w:val="center"/>
                    <w:rPr>
                      <w:rFonts w:cs="Times New Roman"/>
                      <w:b/>
                      <w:bCs/>
                      <w:szCs w:val="21"/>
                    </w:rPr>
                  </w:pPr>
                  <w:r>
                    <w:rPr>
                      <w:rFonts w:cs="Times New Roman"/>
                      <w:b/>
                      <w:bCs/>
                      <w:szCs w:val="21"/>
                    </w:rPr>
                    <w:t>监测点位</w:t>
                  </w:r>
                </w:p>
              </w:tc>
              <w:tc>
                <w:tcPr>
                  <w:tcW w:w="1326" w:type="pct"/>
                  <w:tcBorders>
                    <w:tl2br w:val="nil"/>
                    <w:tr2bl w:val="nil"/>
                  </w:tcBorders>
                  <w:shd w:val="clear" w:color="auto" w:fill="auto"/>
                  <w:vAlign w:val="center"/>
                </w:tcPr>
                <w:p>
                  <w:pPr>
                    <w:jc w:val="center"/>
                    <w:rPr>
                      <w:rFonts w:cs="Times New Roman"/>
                      <w:b/>
                      <w:bCs/>
                      <w:szCs w:val="21"/>
                    </w:rPr>
                  </w:pPr>
                  <w:r>
                    <w:rPr>
                      <w:rFonts w:cs="Times New Roman"/>
                      <w:b/>
                      <w:bCs/>
                      <w:szCs w:val="21"/>
                    </w:rPr>
                    <w:t>监测指标</w:t>
                  </w:r>
                </w:p>
              </w:tc>
              <w:tc>
                <w:tcPr>
                  <w:tcW w:w="686" w:type="pct"/>
                  <w:tcBorders>
                    <w:tl2br w:val="nil"/>
                    <w:tr2bl w:val="nil"/>
                  </w:tcBorders>
                  <w:shd w:val="clear" w:color="auto" w:fill="auto"/>
                  <w:vAlign w:val="center"/>
                </w:tcPr>
                <w:p>
                  <w:pPr>
                    <w:jc w:val="center"/>
                    <w:rPr>
                      <w:rFonts w:cs="Times New Roman"/>
                      <w:b/>
                      <w:bCs/>
                      <w:szCs w:val="21"/>
                    </w:rPr>
                  </w:pPr>
                  <w:r>
                    <w:rPr>
                      <w:rFonts w:cs="Times New Roman"/>
                      <w:b/>
                      <w:bCs/>
                      <w:szCs w:val="21"/>
                    </w:rPr>
                    <w:t>监测频次</w:t>
                  </w:r>
                </w:p>
              </w:tc>
              <w:tc>
                <w:tcPr>
                  <w:tcW w:w="2044" w:type="pct"/>
                  <w:tcBorders>
                    <w:tl2br w:val="nil"/>
                    <w:tr2bl w:val="nil"/>
                  </w:tcBorders>
                  <w:vAlign w:val="center"/>
                </w:tcPr>
                <w:p>
                  <w:pPr>
                    <w:jc w:val="center"/>
                    <w:rPr>
                      <w:rFonts w:cs="Times New Roman"/>
                      <w:b/>
                      <w:bCs/>
                      <w:szCs w:val="21"/>
                    </w:rPr>
                  </w:pPr>
                  <w:r>
                    <w:rPr>
                      <w:rFonts w:cs="Times New Roman"/>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tcBorders>
                    <w:tl2br w:val="nil"/>
                    <w:tr2bl w:val="nil"/>
                  </w:tcBorders>
                  <w:shd w:val="clear" w:color="auto" w:fill="auto"/>
                  <w:vAlign w:val="center"/>
                </w:tcPr>
                <w:p>
                  <w:pPr>
                    <w:jc w:val="center"/>
                    <w:rPr>
                      <w:rFonts w:cs="Times New Roman"/>
                      <w:szCs w:val="21"/>
                    </w:rPr>
                  </w:pPr>
                  <w:r>
                    <w:rPr>
                      <w:rFonts w:cs="Times New Roman"/>
                      <w:szCs w:val="21"/>
                    </w:rPr>
                    <w:t>厂界</w:t>
                  </w:r>
                </w:p>
              </w:tc>
              <w:tc>
                <w:tcPr>
                  <w:tcW w:w="1326" w:type="pct"/>
                  <w:tcBorders>
                    <w:tl2br w:val="nil"/>
                    <w:tr2bl w:val="nil"/>
                  </w:tcBorders>
                  <w:shd w:val="clear" w:color="auto" w:fill="auto"/>
                  <w:vAlign w:val="center"/>
                </w:tcPr>
                <w:p>
                  <w:pPr>
                    <w:jc w:val="center"/>
                    <w:rPr>
                      <w:rFonts w:cs="Times New Roman"/>
                      <w:szCs w:val="21"/>
                    </w:rPr>
                  </w:pPr>
                  <w:r>
                    <w:rPr>
                      <w:rFonts w:cs="Times New Roman"/>
                      <w:szCs w:val="21"/>
                    </w:rPr>
                    <w:t>甲醛、VOCs、氨、SO</w:t>
                  </w:r>
                  <w:r>
                    <w:rPr>
                      <w:rFonts w:cs="Times New Roman"/>
                      <w:szCs w:val="21"/>
                      <w:vertAlign w:val="subscript"/>
                    </w:rPr>
                    <w:t>2</w:t>
                  </w:r>
                  <w:r>
                    <w:rPr>
                      <w:rFonts w:cs="Times New Roman"/>
                      <w:szCs w:val="21"/>
                    </w:rPr>
                    <w:t>、NOx</w:t>
                  </w:r>
                </w:p>
              </w:tc>
              <w:tc>
                <w:tcPr>
                  <w:tcW w:w="686" w:type="pct"/>
                  <w:tcBorders>
                    <w:tl2br w:val="nil"/>
                    <w:tr2bl w:val="nil"/>
                  </w:tcBorders>
                  <w:shd w:val="clear" w:color="auto" w:fill="auto"/>
                  <w:vAlign w:val="center"/>
                </w:tcPr>
                <w:p>
                  <w:pPr>
                    <w:jc w:val="center"/>
                    <w:rPr>
                      <w:rFonts w:cs="Times New Roman"/>
                      <w:szCs w:val="21"/>
                    </w:rPr>
                  </w:pPr>
                  <w:r>
                    <w:rPr>
                      <w:rFonts w:cs="Times New Roman"/>
                      <w:szCs w:val="21"/>
                    </w:rPr>
                    <w:t>1次/半年</w:t>
                  </w:r>
                </w:p>
              </w:tc>
              <w:tc>
                <w:tcPr>
                  <w:tcW w:w="2044" w:type="pct"/>
                  <w:tcBorders>
                    <w:tl2br w:val="nil"/>
                    <w:tr2bl w:val="nil"/>
                  </w:tcBorders>
                  <w:vAlign w:val="center"/>
                </w:tcPr>
                <w:p>
                  <w:pPr>
                    <w:jc w:val="center"/>
                    <w:rPr>
                      <w:rFonts w:cs="Times New Roman"/>
                      <w:szCs w:val="21"/>
                    </w:rPr>
                  </w:pPr>
                  <w:r>
                    <w:rPr>
                      <w:rFonts w:cs="Times New Roman"/>
                      <w:szCs w:val="21"/>
                    </w:rPr>
                    <w:t>甲醛、VOCs执行《四川省固定污染源大气挥发性有机物排放标准》（DB51/2377-2017）中相应标准；SO</w:t>
                  </w:r>
                  <w:r>
                    <w:rPr>
                      <w:rFonts w:cs="Times New Roman"/>
                      <w:szCs w:val="21"/>
                      <w:vertAlign w:val="subscript"/>
                    </w:rPr>
                    <w:t>2</w:t>
                  </w:r>
                  <w:r>
                    <w:rPr>
                      <w:rFonts w:cs="Times New Roman"/>
                      <w:szCs w:val="21"/>
                    </w:rPr>
                    <w:t>、NOx执行《大气污染物综合排放标准》（GB16297-1996）中相关标准；氨执行《恶臭污染物排放标准》（GB14554-93）中相关标准</w:t>
                  </w:r>
                </w:p>
              </w:tc>
            </w:tr>
          </w:tbl>
          <w:p>
            <w:pPr>
              <w:spacing w:line="360" w:lineRule="auto"/>
              <w:ind w:firstLine="482" w:firstLineChars="200"/>
              <w:rPr>
                <w:rFonts w:cs="Times New Roman"/>
                <w:b/>
                <w:sz w:val="24"/>
                <w:szCs w:val="24"/>
              </w:rPr>
            </w:pPr>
            <w:r>
              <w:rPr>
                <w:rFonts w:cs="Times New Roman"/>
                <w:b/>
                <w:sz w:val="24"/>
                <w:szCs w:val="24"/>
              </w:rPr>
              <w:t>（5）环境影响结论</w:t>
            </w:r>
          </w:p>
          <w:p>
            <w:pPr>
              <w:spacing w:line="360" w:lineRule="auto"/>
              <w:ind w:firstLine="480" w:firstLineChars="200"/>
              <w:rPr>
                <w:rFonts w:cs="Times New Roman"/>
                <w:sz w:val="24"/>
                <w:szCs w:val="24"/>
              </w:rPr>
            </w:pPr>
            <w:r>
              <w:rPr>
                <w:rFonts w:cs="Times New Roman"/>
                <w:sz w:val="24"/>
                <w:szCs w:val="24"/>
              </w:rPr>
              <w:t>本项目环境影响结论可行。区域为空气质量达标区，项目周边500m范围内环境保护目标分布在厂界西南侧；本项目营运期产生的废气治理措施如下，项目原料在浸胶、烘干环节产生的废气：经二级活性炭吸附装置（一期和二期各设置一套）处理后由18m高排气筒（DA005）排放；天然气燃烧废气：安装低氮燃烧器，废气通过18m高排气筒（DA005）排放；食堂油烟经抽油烟机处理后外排。采取上述治理措施后，运营期废气可实现达标排放，对区域大气环境影响较小。</w:t>
            </w:r>
          </w:p>
          <w:p>
            <w:pPr>
              <w:spacing w:line="360" w:lineRule="auto"/>
              <w:ind w:firstLine="482" w:firstLineChars="200"/>
              <w:rPr>
                <w:rFonts w:cs="Times New Roman"/>
                <w:b/>
                <w:sz w:val="24"/>
                <w:szCs w:val="24"/>
              </w:rPr>
            </w:pPr>
            <w:r>
              <w:rPr>
                <w:rFonts w:cs="Times New Roman"/>
                <w:b/>
                <w:sz w:val="24"/>
                <w:szCs w:val="24"/>
              </w:rPr>
              <w:t>2、废水</w:t>
            </w:r>
          </w:p>
          <w:p>
            <w:pPr>
              <w:spacing w:line="360" w:lineRule="auto"/>
              <w:ind w:firstLine="482" w:firstLineChars="200"/>
              <w:rPr>
                <w:rFonts w:cs="Times New Roman"/>
                <w:b/>
                <w:sz w:val="24"/>
                <w:szCs w:val="24"/>
              </w:rPr>
            </w:pPr>
            <w:r>
              <w:rPr>
                <w:rFonts w:cs="Times New Roman"/>
                <w:b/>
                <w:sz w:val="24"/>
                <w:szCs w:val="24"/>
              </w:rPr>
              <w:t>（1）产排污环节、类别、污染物种类、产生量核算</w:t>
            </w:r>
          </w:p>
          <w:p>
            <w:pPr>
              <w:spacing w:line="360" w:lineRule="auto"/>
              <w:ind w:firstLine="482" w:firstLineChars="200"/>
              <w:rPr>
                <w:rFonts w:cs="Times New Roman"/>
                <w:b/>
                <w:bCs/>
                <w:kern w:val="24"/>
                <w:sz w:val="24"/>
                <w:szCs w:val="24"/>
              </w:rPr>
            </w:pPr>
            <w:r>
              <w:rPr>
                <w:rFonts w:cs="Times New Roman"/>
                <w:b/>
                <w:bCs/>
                <w:kern w:val="24"/>
                <w:sz w:val="24"/>
                <w:szCs w:val="24"/>
              </w:rPr>
              <w:t>2100湿法薄毡（一期）</w:t>
            </w:r>
          </w:p>
          <w:p>
            <w:pPr>
              <w:spacing w:line="360" w:lineRule="auto"/>
              <w:ind w:firstLine="482" w:firstLineChars="200"/>
              <w:rPr>
                <w:rFonts w:cs="Times New Roman"/>
                <w:b/>
                <w:bCs/>
                <w:sz w:val="24"/>
                <w:szCs w:val="24"/>
              </w:rPr>
            </w:pPr>
            <w:r>
              <w:rPr>
                <w:rFonts w:cs="Times New Roman"/>
                <w:b/>
                <w:bCs/>
                <w:sz w:val="24"/>
                <w:szCs w:val="24"/>
              </w:rPr>
              <w:t>①生活污水（含食堂废水）</w:t>
            </w:r>
          </w:p>
          <w:p>
            <w:pPr>
              <w:spacing w:line="360" w:lineRule="auto"/>
              <w:ind w:firstLine="480" w:firstLineChars="200"/>
              <w:rPr>
                <w:rFonts w:cs="Times New Roman"/>
                <w:sz w:val="24"/>
                <w:szCs w:val="24"/>
              </w:rPr>
            </w:pPr>
            <w:r>
              <w:rPr>
                <w:rFonts w:cs="Times New Roman"/>
                <w:sz w:val="24"/>
                <w:szCs w:val="24"/>
              </w:rPr>
              <w:t>本项目员工人数为10人，根据《四川省用水定额》（川府函〔2021〕8号）</w:t>
            </w:r>
            <w:r>
              <w:rPr>
                <w:rFonts w:cs="Times New Roman"/>
                <w:kern w:val="24"/>
                <w:sz w:val="24"/>
                <w:szCs w:val="24"/>
              </w:rPr>
              <w:t>制定的用水标准</w:t>
            </w:r>
            <w:r>
              <w:rPr>
                <w:rFonts w:cs="Times New Roman"/>
                <w:sz w:val="24"/>
                <w:szCs w:val="24"/>
              </w:rPr>
              <w:t>，用水量按100L/人·d计，食堂就餐用水量按20L/人·d计，则本项目生活用水量为1.2m</w:t>
            </w:r>
            <w:r>
              <w:rPr>
                <w:rFonts w:cs="Times New Roman"/>
                <w:sz w:val="24"/>
                <w:szCs w:val="24"/>
                <w:vertAlign w:val="superscript"/>
              </w:rPr>
              <w:t>3</w:t>
            </w:r>
            <w:r>
              <w:rPr>
                <w:rFonts w:cs="Times New Roman"/>
                <w:sz w:val="24"/>
                <w:szCs w:val="24"/>
              </w:rPr>
              <w:t>/d（396m</w:t>
            </w:r>
            <w:r>
              <w:rPr>
                <w:rFonts w:cs="Times New Roman"/>
                <w:sz w:val="24"/>
                <w:szCs w:val="24"/>
                <w:vertAlign w:val="superscript"/>
              </w:rPr>
              <w:t>3</w:t>
            </w:r>
            <w:r>
              <w:rPr>
                <w:rFonts w:cs="Times New Roman"/>
                <w:sz w:val="24"/>
                <w:szCs w:val="24"/>
              </w:rPr>
              <w:t>/a）。生活污水产生系数取0.85，则生活污水产生量约1.02m</w:t>
            </w:r>
            <w:r>
              <w:rPr>
                <w:rFonts w:cs="Times New Roman"/>
                <w:sz w:val="24"/>
                <w:szCs w:val="24"/>
                <w:vertAlign w:val="superscript"/>
              </w:rPr>
              <w:t>3</w:t>
            </w:r>
            <w:r>
              <w:rPr>
                <w:rFonts w:cs="Times New Roman"/>
                <w:sz w:val="24"/>
                <w:szCs w:val="24"/>
              </w:rPr>
              <w:t>/d（含食堂废水0.17m</w:t>
            </w:r>
            <w:r>
              <w:rPr>
                <w:rFonts w:cs="Times New Roman"/>
                <w:sz w:val="24"/>
                <w:szCs w:val="24"/>
                <w:vertAlign w:val="superscript"/>
              </w:rPr>
              <w:t>3</w:t>
            </w:r>
            <w:r>
              <w:rPr>
                <w:rFonts w:cs="Times New Roman"/>
                <w:sz w:val="24"/>
                <w:szCs w:val="24"/>
              </w:rPr>
              <w:t>/d）。根据《排放源统计调查产排污核算方法和系数手册》（公告2021年第24号）中“生活源产排污核算方法和系数手册”，主要污染物浓度COD：325mg/L、BOD</w:t>
            </w:r>
            <w:r>
              <w:rPr>
                <w:rFonts w:cs="Times New Roman"/>
                <w:sz w:val="24"/>
                <w:szCs w:val="24"/>
                <w:vertAlign w:val="subscript"/>
              </w:rPr>
              <w:t>5</w:t>
            </w:r>
            <w:r>
              <w:rPr>
                <w:rFonts w:cs="Times New Roman"/>
                <w:sz w:val="24"/>
                <w:szCs w:val="24"/>
              </w:rPr>
              <w:t>：140mg/L、SS：200mg/L、NH</w:t>
            </w:r>
            <w:r>
              <w:rPr>
                <w:rFonts w:cs="Times New Roman"/>
                <w:sz w:val="24"/>
                <w:szCs w:val="24"/>
                <w:vertAlign w:val="subscript"/>
              </w:rPr>
              <w:t>3</w:t>
            </w:r>
            <w:r>
              <w:rPr>
                <w:rFonts w:cs="Times New Roman"/>
                <w:sz w:val="24"/>
                <w:szCs w:val="24"/>
              </w:rPr>
              <w:t>-N：37.7mg/L、TP：4.28mg/L，则生活污水产生源强见下表：</w:t>
            </w:r>
          </w:p>
          <w:p>
            <w:pPr>
              <w:spacing w:line="360" w:lineRule="auto"/>
              <w:jc w:val="center"/>
              <w:rPr>
                <w:rFonts w:cs="Times New Roman"/>
                <w:b/>
                <w:sz w:val="24"/>
                <w:szCs w:val="24"/>
              </w:rPr>
            </w:pPr>
            <w:r>
              <w:rPr>
                <w:rFonts w:cs="Times New Roman"/>
                <w:b/>
                <w:sz w:val="24"/>
                <w:szCs w:val="24"/>
              </w:rPr>
              <w:t>表4-14 生活污水产排污环节、类别、污染物种类、产生量</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593"/>
              <w:gridCol w:w="1186"/>
              <w:gridCol w:w="1486"/>
              <w:gridCol w:w="1639"/>
              <w:gridCol w:w="1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5" w:type="pct"/>
                  <w:vMerge w:val="restart"/>
                  <w:tcBorders>
                    <w:tl2br w:val="nil"/>
                    <w:tr2bl w:val="nil"/>
                  </w:tcBorders>
                  <w:vAlign w:val="center"/>
                </w:tcPr>
                <w:p>
                  <w:pPr>
                    <w:jc w:val="center"/>
                    <w:rPr>
                      <w:rFonts w:cs="Times New Roman"/>
                      <w:b/>
                      <w:bCs/>
                      <w:szCs w:val="21"/>
                    </w:rPr>
                  </w:pPr>
                  <w:r>
                    <w:rPr>
                      <w:rFonts w:cs="Times New Roman"/>
                      <w:b/>
                      <w:bCs/>
                      <w:szCs w:val="21"/>
                    </w:rPr>
                    <w:t>废水产污环节</w:t>
                  </w:r>
                </w:p>
              </w:tc>
              <w:tc>
                <w:tcPr>
                  <w:tcW w:w="921" w:type="pct"/>
                  <w:vMerge w:val="restart"/>
                  <w:tcBorders>
                    <w:tl2br w:val="nil"/>
                    <w:tr2bl w:val="nil"/>
                  </w:tcBorders>
                  <w:vAlign w:val="center"/>
                </w:tcPr>
                <w:p>
                  <w:pPr>
                    <w:jc w:val="center"/>
                    <w:rPr>
                      <w:rFonts w:cs="Times New Roman"/>
                      <w:b/>
                      <w:bCs/>
                      <w:szCs w:val="21"/>
                    </w:rPr>
                  </w:pPr>
                  <w:r>
                    <w:rPr>
                      <w:rFonts w:cs="Times New Roman"/>
                      <w:b/>
                      <w:bCs/>
                      <w:szCs w:val="21"/>
                    </w:rPr>
                    <w:t>废水类别</w:t>
                  </w:r>
                </w:p>
              </w:tc>
              <w:tc>
                <w:tcPr>
                  <w:tcW w:w="686" w:type="pct"/>
                  <w:vMerge w:val="restart"/>
                  <w:tcBorders>
                    <w:tl2br w:val="nil"/>
                    <w:tr2bl w:val="nil"/>
                  </w:tcBorders>
                  <w:vAlign w:val="center"/>
                </w:tcPr>
                <w:p>
                  <w:pPr>
                    <w:jc w:val="center"/>
                    <w:rPr>
                      <w:rFonts w:cs="Times New Roman"/>
                      <w:b/>
                      <w:bCs/>
                      <w:szCs w:val="21"/>
                    </w:rPr>
                  </w:pPr>
                  <w:r>
                    <w:rPr>
                      <w:rFonts w:cs="Times New Roman"/>
                      <w:b/>
                      <w:bCs/>
                      <w:szCs w:val="21"/>
                    </w:rPr>
                    <w:t>废水量（m</w:t>
                  </w:r>
                  <w:r>
                    <w:rPr>
                      <w:rFonts w:cs="Times New Roman"/>
                      <w:b/>
                      <w:bCs/>
                      <w:szCs w:val="21"/>
                      <w:vertAlign w:val="superscript"/>
                    </w:rPr>
                    <w:t>3</w:t>
                  </w:r>
                  <w:r>
                    <w:rPr>
                      <w:rFonts w:cs="Times New Roman"/>
                      <w:b/>
                      <w:bCs/>
                      <w:szCs w:val="21"/>
                    </w:rPr>
                    <w:t>/d）</w:t>
                  </w:r>
                </w:p>
              </w:tc>
              <w:tc>
                <w:tcPr>
                  <w:tcW w:w="860"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896" w:type="pct"/>
                  <w:gridSpan w:val="2"/>
                  <w:tcBorders>
                    <w:tl2br w:val="nil"/>
                    <w:tr2bl w:val="nil"/>
                  </w:tcBorders>
                  <w:vAlign w:val="center"/>
                </w:tcPr>
                <w:p>
                  <w:pPr>
                    <w:jc w:val="center"/>
                    <w:rPr>
                      <w:rFonts w:cs="Times New Roman"/>
                      <w:b/>
                      <w:bCs/>
                      <w:szCs w:val="21"/>
                    </w:rPr>
                  </w:pPr>
                  <w:r>
                    <w:rPr>
                      <w:rFonts w:cs="Times New Roman"/>
                      <w:b/>
                      <w:bCs/>
                      <w:szCs w:val="21"/>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b/>
                      <w:bCs/>
                      <w:szCs w:val="21"/>
                    </w:rPr>
                  </w:pPr>
                </w:p>
              </w:tc>
              <w:tc>
                <w:tcPr>
                  <w:tcW w:w="921" w:type="pct"/>
                  <w:vMerge w:val="continue"/>
                  <w:tcBorders>
                    <w:tl2br w:val="nil"/>
                    <w:tr2bl w:val="nil"/>
                  </w:tcBorders>
                  <w:vAlign w:val="center"/>
                </w:tcPr>
                <w:p>
                  <w:pPr>
                    <w:jc w:val="center"/>
                    <w:rPr>
                      <w:rFonts w:cs="Times New Roman"/>
                      <w:b/>
                      <w:bCs/>
                      <w:szCs w:val="21"/>
                    </w:rPr>
                  </w:pPr>
                </w:p>
              </w:tc>
              <w:tc>
                <w:tcPr>
                  <w:tcW w:w="686" w:type="pct"/>
                  <w:vMerge w:val="continue"/>
                  <w:tcBorders>
                    <w:tl2br w:val="nil"/>
                    <w:tr2bl w:val="nil"/>
                  </w:tcBorders>
                  <w:vAlign w:val="center"/>
                </w:tcPr>
                <w:p>
                  <w:pPr>
                    <w:jc w:val="center"/>
                    <w:rPr>
                      <w:rFonts w:cs="Times New Roman"/>
                      <w:b/>
                      <w:bCs/>
                      <w:szCs w:val="21"/>
                    </w:rPr>
                  </w:pPr>
                </w:p>
              </w:tc>
              <w:tc>
                <w:tcPr>
                  <w:tcW w:w="860" w:type="pct"/>
                  <w:vMerge w:val="continue"/>
                  <w:tcBorders>
                    <w:tl2br w:val="nil"/>
                    <w:tr2bl w:val="nil"/>
                  </w:tcBorders>
                  <w:vAlign w:val="center"/>
                </w:tcPr>
                <w:p>
                  <w:pPr>
                    <w:jc w:val="center"/>
                    <w:rPr>
                      <w:rFonts w:cs="Times New Roman"/>
                      <w:b/>
                      <w:bCs/>
                      <w:szCs w:val="21"/>
                    </w:rPr>
                  </w:pPr>
                </w:p>
              </w:tc>
              <w:tc>
                <w:tcPr>
                  <w:tcW w:w="948" w:type="pct"/>
                  <w:tcBorders>
                    <w:tl2br w:val="nil"/>
                    <w:tr2bl w:val="nil"/>
                  </w:tcBorders>
                  <w:vAlign w:val="center"/>
                </w:tcPr>
                <w:p>
                  <w:pPr>
                    <w:jc w:val="center"/>
                    <w:rPr>
                      <w:rFonts w:cs="Times New Roman"/>
                      <w:b/>
                      <w:bCs/>
                      <w:szCs w:val="21"/>
                    </w:rPr>
                  </w:pPr>
                  <w:r>
                    <w:rPr>
                      <w:rFonts w:cs="Times New Roman"/>
                      <w:b/>
                      <w:bCs/>
                      <w:szCs w:val="21"/>
                    </w:rPr>
                    <w:t>浓度（mg/L）</w:t>
                  </w:r>
                </w:p>
              </w:tc>
              <w:tc>
                <w:tcPr>
                  <w:tcW w:w="948" w:type="pct"/>
                  <w:tcBorders>
                    <w:tl2br w:val="nil"/>
                    <w:tr2bl w:val="nil"/>
                  </w:tcBorders>
                  <w:vAlign w:val="center"/>
                </w:tcPr>
                <w:p>
                  <w:pPr>
                    <w:jc w:val="center"/>
                    <w:rPr>
                      <w:rFonts w:cs="Times New Roman"/>
                      <w:b/>
                      <w:bCs/>
                      <w:szCs w:val="21"/>
                    </w:rPr>
                  </w:pPr>
                  <w:r>
                    <w:rPr>
                      <w:rFonts w:cs="Times New Roman"/>
                      <w:b/>
                      <w:bCs/>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restart"/>
                  <w:tcBorders>
                    <w:tl2br w:val="nil"/>
                    <w:tr2bl w:val="nil"/>
                  </w:tcBorders>
                  <w:vAlign w:val="center"/>
                </w:tcPr>
                <w:p>
                  <w:pPr>
                    <w:jc w:val="center"/>
                    <w:rPr>
                      <w:rFonts w:cs="Times New Roman"/>
                      <w:szCs w:val="21"/>
                    </w:rPr>
                  </w:pPr>
                  <w:r>
                    <w:rPr>
                      <w:rFonts w:cs="Times New Roman"/>
                      <w:szCs w:val="21"/>
                    </w:rPr>
                    <w:t>值班人员</w:t>
                  </w:r>
                </w:p>
              </w:tc>
              <w:tc>
                <w:tcPr>
                  <w:tcW w:w="921" w:type="pct"/>
                  <w:vMerge w:val="restart"/>
                  <w:tcBorders>
                    <w:tl2br w:val="nil"/>
                    <w:tr2bl w:val="nil"/>
                  </w:tcBorders>
                  <w:vAlign w:val="center"/>
                </w:tcPr>
                <w:p>
                  <w:pPr>
                    <w:jc w:val="center"/>
                    <w:rPr>
                      <w:rFonts w:cs="Times New Roman"/>
                      <w:szCs w:val="21"/>
                    </w:rPr>
                  </w:pPr>
                  <w:r>
                    <w:rPr>
                      <w:rFonts w:cs="Times New Roman"/>
                      <w:szCs w:val="21"/>
                    </w:rPr>
                    <w:t>生活污水</w:t>
                  </w:r>
                </w:p>
                <w:p>
                  <w:pPr>
                    <w:jc w:val="center"/>
                    <w:rPr>
                      <w:rFonts w:cs="Times New Roman"/>
                      <w:szCs w:val="21"/>
                    </w:rPr>
                  </w:pPr>
                  <w:r>
                    <w:rPr>
                      <w:rFonts w:cs="Times New Roman"/>
                      <w:szCs w:val="21"/>
                    </w:rPr>
                    <w:t>（含食堂废水）</w:t>
                  </w:r>
                </w:p>
              </w:tc>
              <w:tc>
                <w:tcPr>
                  <w:tcW w:w="686" w:type="pct"/>
                  <w:vMerge w:val="restart"/>
                  <w:tcBorders>
                    <w:tl2br w:val="nil"/>
                    <w:tr2bl w:val="nil"/>
                  </w:tcBorders>
                  <w:vAlign w:val="center"/>
                </w:tcPr>
                <w:p>
                  <w:pPr>
                    <w:jc w:val="center"/>
                    <w:rPr>
                      <w:rFonts w:cs="Times New Roman"/>
                      <w:szCs w:val="21"/>
                    </w:rPr>
                  </w:pPr>
                  <w:r>
                    <w:rPr>
                      <w:rFonts w:cs="Times New Roman"/>
                      <w:szCs w:val="21"/>
                    </w:rPr>
                    <w:t>1.02</w:t>
                  </w:r>
                </w:p>
              </w:tc>
              <w:tc>
                <w:tcPr>
                  <w:tcW w:w="860" w:type="pct"/>
                  <w:tcBorders>
                    <w:tl2br w:val="nil"/>
                    <w:tr2bl w:val="nil"/>
                  </w:tcBorders>
                  <w:vAlign w:val="center"/>
                </w:tcPr>
                <w:p>
                  <w:pPr>
                    <w:jc w:val="center"/>
                    <w:rPr>
                      <w:rFonts w:cs="Times New Roman"/>
                      <w:szCs w:val="21"/>
                    </w:rPr>
                  </w:pPr>
                  <w:r>
                    <w:rPr>
                      <w:rFonts w:cs="Times New Roman"/>
                      <w:szCs w:val="21"/>
                    </w:rPr>
                    <w:t>COD</w:t>
                  </w:r>
                </w:p>
              </w:tc>
              <w:tc>
                <w:tcPr>
                  <w:tcW w:w="948" w:type="pct"/>
                  <w:tcBorders>
                    <w:tl2br w:val="nil"/>
                    <w:tr2bl w:val="nil"/>
                  </w:tcBorders>
                  <w:vAlign w:val="center"/>
                </w:tcPr>
                <w:p>
                  <w:pPr>
                    <w:jc w:val="center"/>
                    <w:rPr>
                      <w:rFonts w:cs="Times New Roman"/>
                      <w:szCs w:val="21"/>
                    </w:rPr>
                  </w:pPr>
                  <w:r>
                    <w:rPr>
                      <w:rFonts w:cs="Times New Roman"/>
                      <w:szCs w:val="21"/>
                    </w:rPr>
                    <w:t>325</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 xml:space="preserve">0.1094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BOD</w:t>
                  </w:r>
                  <w:r>
                    <w:rPr>
                      <w:rFonts w:cs="Times New Roman"/>
                      <w:szCs w:val="21"/>
                      <w:vertAlign w:val="subscript"/>
                    </w:rPr>
                    <w:t>5</w:t>
                  </w:r>
                </w:p>
              </w:tc>
              <w:tc>
                <w:tcPr>
                  <w:tcW w:w="948" w:type="pct"/>
                  <w:tcBorders>
                    <w:tl2br w:val="nil"/>
                    <w:tr2bl w:val="nil"/>
                  </w:tcBorders>
                  <w:vAlign w:val="center"/>
                </w:tcPr>
                <w:p>
                  <w:pPr>
                    <w:jc w:val="center"/>
                    <w:rPr>
                      <w:rFonts w:cs="Times New Roman"/>
                      <w:szCs w:val="21"/>
                    </w:rPr>
                  </w:pPr>
                  <w:r>
                    <w:rPr>
                      <w:rFonts w:cs="Times New Roman"/>
                      <w:szCs w:val="21"/>
                    </w:rPr>
                    <w:t>140</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 xml:space="preserve">0.0471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SS</w:t>
                  </w:r>
                </w:p>
              </w:tc>
              <w:tc>
                <w:tcPr>
                  <w:tcW w:w="948" w:type="pct"/>
                  <w:tcBorders>
                    <w:tl2br w:val="nil"/>
                    <w:tr2bl w:val="nil"/>
                  </w:tcBorders>
                  <w:vAlign w:val="center"/>
                </w:tcPr>
                <w:p>
                  <w:pPr>
                    <w:jc w:val="center"/>
                    <w:rPr>
                      <w:rFonts w:cs="Times New Roman"/>
                      <w:szCs w:val="21"/>
                    </w:rPr>
                  </w:pPr>
                  <w:r>
                    <w:rPr>
                      <w:rFonts w:cs="Times New Roman"/>
                      <w:szCs w:val="21"/>
                    </w:rPr>
                    <w:t>200</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 xml:space="preserve">0.0673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NH</w:t>
                  </w:r>
                  <w:r>
                    <w:rPr>
                      <w:rFonts w:cs="Times New Roman"/>
                      <w:szCs w:val="21"/>
                      <w:vertAlign w:val="subscript"/>
                    </w:rPr>
                    <w:t>3</w:t>
                  </w:r>
                  <w:r>
                    <w:rPr>
                      <w:rFonts w:cs="Times New Roman"/>
                      <w:szCs w:val="21"/>
                    </w:rPr>
                    <w:t>-N</w:t>
                  </w:r>
                </w:p>
              </w:tc>
              <w:tc>
                <w:tcPr>
                  <w:tcW w:w="948" w:type="pct"/>
                  <w:tcBorders>
                    <w:tl2br w:val="nil"/>
                    <w:tr2bl w:val="nil"/>
                  </w:tcBorders>
                  <w:vAlign w:val="center"/>
                </w:tcPr>
                <w:p>
                  <w:pPr>
                    <w:jc w:val="center"/>
                    <w:rPr>
                      <w:rFonts w:cs="Times New Roman"/>
                      <w:szCs w:val="21"/>
                    </w:rPr>
                  </w:pPr>
                  <w:r>
                    <w:rPr>
                      <w:rFonts w:cs="Times New Roman"/>
                      <w:szCs w:val="21"/>
                    </w:rPr>
                    <w:t>37.7</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 xml:space="preserve">0.0127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TP</w:t>
                  </w:r>
                </w:p>
              </w:tc>
              <w:tc>
                <w:tcPr>
                  <w:tcW w:w="948" w:type="pct"/>
                  <w:tcBorders>
                    <w:tl2br w:val="nil"/>
                    <w:tr2bl w:val="nil"/>
                  </w:tcBorders>
                  <w:vAlign w:val="center"/>
                </w:tcPr>
                <w:p>
                  <w:pPr>
                    <w:jc w:val="center"/>
                    <w:rPr>
                      <w:rFonts w:cs="Times New Roman"/>
                      <w:szCs w:val="21"/>
                    </w:rPr>
                  </w:pPr>
                  <w:r>
                    <w:rPr>
                      <w:rFonts w:cs="Times New Roman"/>
                      <w:szCs w:val="21"/>
                    </w:rPr>
                    <w:t>4.28</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 xml:space="preserve">0.0014 </w:t>
                  </w:r>
                </w:p>
              </w:tc>
            </w:tr>
          </w:tbl>
          <w:p>
            <w:pPr>
              <w:spacing w:line="360" w:lineRule="auto"/>
              <w:ind w:firstLine="482" w:firstLineChars="200"/>
              <w:rPr>
                <w:rFonts w:cs="Times New Roman"/>
                <w:b/>
                <w:bCs/>
                <w:sz w:val="24"/>
                <w:szCs w:val="24"/>
              </w:rPr>
            </w:pPr>
            <w:r>
              <w:rPr>
                <w:rFonts w:cs="Times New Roman"/>
                <w:b/>
                <w:bCs/>
                <w:sz w:val="24"/>
                <w:szCs w:val="24"/>
              </w:rPr>
              <w:t>②生产废水</w:t>
            </w:r>
          </w:p>
          <w:p>
            <w:pPr>
              <w:spacing w:line="360" w:lineRule="auto"/>
              <w:ind w:firstLine="480" w:firstLineChars="200"/>
              <w:rPr>
                <w:rFonts w:cs="Times New Roman"/>
                <w:bCs/>
                <w:sz w:val="24"/>
                <w:szCs w:val="24"/>
              </w:rPr>
            </w:pPr>
            <w:r>
              <w:rPr>
                <w:rFonts w:cs="Times New Roman"/>
                <w:sz w:val="24"/>
                <w:szCs w:val="24"/>
              </w:rPr>
              <w:t>项目生产用水为设备清洗用水、</w:t>
            </w:r>
            <w:r>
              <w:rPr>
                <w:rFonts w:cs="Times New Roman"/>
                <w:kern w:val="24"/>
                <w:sz w:val="24"/>
                <w:szCs w:val="24"/>
              </w:rPr>
              <w:t>助剂配制用水、粘胶结剂配制用水、纤维消耗用水等，除</w:t>
            </w:r>
            <w:r>
              <w:rPr>
                <w:rFonts w:cs="Times New Roman"/>
                <w:sz w:val="24"/>
                <w:szCs w:val="24"/>
              </w:rPr>
              <w:t>设备清洗用水外，其余</w:t>
            </w:r>
            <w:r>
              <w:rPr>
                <w:rFonts w:cs="Times New Roman"/>
                <w:kern w:val="24"/>
                <w:sz w:val="24"/>
                <w:szCs w:val="24"/>
              </w:rPr>
              <w:t>全部进入产品；本项目仅产生设备清洗废水，设备清洗废水集中收集于桶中，用于粘结剂的配制用水。</w:t>
            </w:r>
          </w:p>
          <w:p>
            <w:pPr>
              <w:spacing w:line="360" w:lineRule="auto"/>
              <w:ind w:firstLine="482" w:firstLineChars="200"/>
              <w:rPr>
                <w:rFonts w:cs="Times New Roman"/>
                <w:b/>
                <w:bCs/>
                <w:kern w:val="24"/>
                <w:sz w:val="24"/>
                <w:szCs w:val="24"/>
              </w:rPr>
            </w:pPr>
            <w:r>
              <w:rPr>
                <w:rFonts w:cs="Times New Roman"/>
                <w:b/>
                <w:bCs/>
                <w:kern w:val="24"/>
                <w:sz w:val="24"/>
                <w:szCs w:val="24"/>
              </w:rPr>
              <w:t>2600湿法薄毡（二期）</w:t>
            </w:r>
          </w:p>
          <w:p>
            <w:pPr>
              <w:spacing w:line="360" w:lineRule="auto"/>
              <w:ind w:firstLine="482" w:firstLineChars="200"/>
              <w:rPr>
                <w:rFonts w:cs="Times New Roman"/>
                <w:b/>
                <w:bCs/>
                <w:sz w:val="24"/>
                <w:szCs w:val="24"/>
              </w:rPr>
            </w:pPr>
            <w:r>
              <w:rPr>
                <w:rFonts w:cs="Times New Roman"/>
                <w:b/>
                <w:bCs/>
                <w:sz w:val="24"/>
                <w:szCs w:val="24"/>
              </w:rPr>
              <w:t>①生活污水（含食堂废水）</w:t>
            </w:r>
          </w:p>
          <w:p>
            <w:pPr>
              <w:spacing w:line="360" w:lineRule="auto"/>
              <w:ind w:firstLine="480" w:firstLineChars="200"/>
              <w:rPr>
                <w:rFonts w:cs="Times New Roman"/>
                <w:sz w:val="24"/>
                <w:szCs w:val="24"/>
              </w:rPr>
            </w:pPr>
            <w:r>
              <w:rPr>
                <w:rFonts w:cs="Times New Roman"/>
                <w:sz w:val="24"/>
                <w:szCs w:val="24"/>
              </w:rPr>
              <w:t>本项目员工人数为10人，根据《四川省用水定额》（川府函〔2021〕8号）</w:t>
            </w:r>
            <w:r>
              <w:rPr>
                <w:rFonts w:cs="Times New Roman"/>
                <w:kern w:val="24"/>
                <w:sz w:val="24"/>
                <w:szCs w:val="24"/>
              </w:rPr>
              <w:t>制定的用水标准</w:t>
            </w:r>
            <w:r>
              <w:rPr>
                <w:rFonts w:cs="Times New Roman"/>
                <w:sz w:val="24"/>
                <w:szCs w:val="24"/>
              </w:rPr>
              <w:t>，用水量按100L/人·d计，食堂就餐用水量按20L/人·d计，则本项目生活用水量为1.2m</w:t>
            </w:r>
            <w:r>
              <w:rPr>
                <w:rFonts w:cs="Times New Roman"/>
                <w:sz w:val="24"/>
                <w:szCs w:val="24"/>
                <w:vertAlign w:val="superscript"/>
              </w:rPr>
              <w:t>3</w:t>
            </w:r>
            <w:r>
              <w:rPr>
                <w:rFonts w:cs="Times New Roman"/>
                <w:sz w:val="24"/>
                <w:szCs w:val="24"/>
              </w:rPr>
              <w:t>/d（396m</w:t>
            </w:r>
            <w:r>
              <w:rPr>
                <w:rFonts w:cs="Times New Roman"/>
                <w:sz w:val="24"/>
                <w:szCs w:val="24"/>
                <w:vertAlign w:val="superscript"/>
              </w:rPr>
              <w:t>3</w:t>
            </w:r>
            <w:r>
              <w:rPr>
                <w:rFonts w:cs="Times New Roman"/>
                <w:sz w:val="24"/>
                <w:szCs w:val="24"/>
              </w:rPr>
              <w:t>/a）。生活污水产生系数取0.85，则生活污水产生量约1.02m</w:t>
            </w:r>
            <w:r>
              <w:rPr>
                <w:rFonts w:cs="Times New Roman"/>
                <w:sz w:val="24"/>
                <w:szCs w:val="24"/>
                <w:vertAlign w:val="superscript"/>
              </w:rPr>
              <w:t>3</w:t>
            </w:r>
            <w:r>
              <w:rPr>
                <w:rFonts w:cs="Times New Roman"/>
                <w:sz w:val="24"/>
                <w:szCs w:val="24"/>
              </w:rPr>
              <w:t>/d（含食堂废水0.17m</w:t>
            </w:r>
            <w:r>
              <w:rPr>
                <w:rFonts w:cs="Times New Roman"/>
                <w:sz w:val="24"/>
                <w:szCs w:val="24"/>
                <w:vertAlign w:val="superscript"/>
              </w:rPr>
              <w:t>3</w:t>
            </w:r>
            <w:r>
              <w:rPr>
                <w:rFonts w:cs="Times New Roman"/>
                <w:sz w:val="24"/>
                <w:szCs w:val="24"/>
              </w:rPr>
              <w:t>/d）。根据《排放源统计调查产排污核算方法和系数手册》（公告2021年第24号）中“生活源产排污核算方法和系数手册”，主要污染物浓度COD：325mg/L、BOD</w:t>
            </w:r>
            <w:r>
              <w:rPr>
                <w:rFonts w:cs="Times New Roman"/>
                <w:sz w:val="24"/>
                <w:szCs w:val="24"/>
                <w:vertAlign w:val="subscript"/>
              </w:rPr>
              <w:t>5</w:t>
            </w:r>
            <w:r>
              <w:rPr>
                <w:rFonts w:cs="Times New Roman"/>
                <w:sz w:val="24"/>
                <w:szCs w:val="24"/>
              </w:rPr>
              <w:t>：140mg/L、SS：200mg/L、NH</w:t>
            </w:r>
            <w:r>
              <w:rPr>
                <w:rFonts w:cs="Times New Roman"/>
                <w:sz w:val="24"/>
                <w:szCs w:val="24"/>
                <w:vertAlign w:val="subscript"/>
              </w:rPr>
              <w:t>3</w:t>
            </w:r>
            <w:r>
              <w:rPr>
                <w:rFonts w:cs="Times New Roman"/>
                <w:sz w:val="24"/>
                <w:szCs w:val="24"/>
              </w:rPr>
              <w:t>-N：37.7mg/L、TP：4.28mg/L，则生活污水产生源强见下表：</w:t>
            </w:r>
          </w:p>
          <w:p>
            <w:pPr>
              <w:spacing w:line="360" w:lineRule="auto"/>
              <w:jc w:val="center"/>
              <w:rPr>
                <w:rFonts w:cs="Times New Roman"/>
                <w:b/>
                <w:sz w:val="24"/>
                <w:szCs w:val="24"/>
              </w:rPr>
            </w:pPr>
          </w:p>
          <w:p>
            <w:pPr>
              <w:spacing w:line="360" w:lineRule="auto"/>
              <w:jc w:val="center"/>
              <w:rPr>
                <w:rFonts w:cs="Times New Roman"/>
                <w:b/>
                <w:sz w:val="24"/>
                <w:szCs w:val="24"/>
              </w:rPr>
            </w:pPr>
            <w:r>
              <w:rPr>
                <w:rFonts w:cs="Times New Roman"/>
                <w:b/>
                <w:sz w:val="24"/>
                <w:szCs w:val="24"/>
              </w:rPr>
              <w:t>表4-15 生活污水产排污环节、类别、污染物种类、产生量</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593"/>
              <w:gridCol w:w="1186"/>
              <w:gridCol w:w="1486"/>
              <w:gridCol w:w="1639"/>
              <w:gridCol w:w="1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635" w:type="pct"/>
                  <w:vMerge w:val="restart"/>
                  <w:tcBorders>
                    <w:tl2br w:val="nil"/>
                    <w:tr2bl w:val="nil"/>
                  </w:tcBorders>
                  <w:vAlign w:val="center"/>
                </w:tcPr>
                <w:p>
                  <w:pPr>
                    <w:jc w:val="center"/>
                    <w:rPr>
                      <w:rFonts w:cs="Times New Roman"/>
                      <w:b/>
                      <w:bCs/>
                      <w:szCs w:val="21"/>
                    </w:rPr>
                  </w:pPr>
                  <w:r>
                    <w:rPr>
                      <w:rFonts w:cs="Times New Roman"/>
                      <w:b/>
                      <w:bCs/>
                      <w:szCs w:val="21"/>
                    </w:rPr>
                    <w:t>废水产污环节</w:t>
                  </w:r>
                </w:p>
              </w:tc>
              <w:tc>
                <w:tcPr>
                  <w:tcW w:w="921" w:type="pct"/>
                  <w:vMerge w:val="restart"/>
                  <w:tcBorders>
                    <w:tl2br w:val="nil"/>
                    <w:tr2bl w:val="nil"/>
                  </w:tcBorders>
                  <w:vAlign w:val="center"/>
                </w:tcPr>
                <w:p>
                  <w:pPr>
                    <w:jc w:val="center"/>
                    <w:rPr>
                      <w:rFonts w:cs="Times New Roman"/>
                      <w:b/>
                      <w:bCs/>
                      <w:szCs w:val="21"/>
                    </w:rPr>
                  </w:pPr>
                  <w:r>
                    <w:rPr>
                      <w:rFonts w:cs="Times New Roman"/>
                      <w:b/>
                      <w:bCs/>
                      <w:szCs w:val="21"/>
                    </w:rPr>
                    <w:t>废水类别</w:t>
                  </w:r>
                </w:p>
              </w:tc>
              <w:tc>
                <w:tcPr>
                  <w:tcW w:w="686" w:type="pct"/>
                  <w:vMerge w:val="restart"/>
                  <w:tcBorders>
                    <w:tl2br w:val="nil"/>
                    <w:tr2bl w:val="nil"/>
                  </w:tcBorders>
                  <w:vAlign w:val="center"/>
                </w:tcPr>
                <w:p>
                  <w:pPr>
                    <w:jc w:val="center"/>
                    <w:rPr>
                      <w:rFonts w:cs="Times New Roman"/>
                      <w:b/>
                      <w:bCs/>
                      <w:szCs w:val="21"/>
                    </w:rPr>
                  </w:pPr>
                  <w:r>
                    <w:rPr>
                      <w:rFonts w:cs="Times New Roman"/>
                      <w:b/>
                      <w:bCs/>
                      <w:szCs w:val="21"/>
                    </w:rPr>
                    <w:t>废水量（m</w:t>
                  </w:r>
                  <w:r>
                    <w:rPr>
                      <w:rFonts w:cs="Times New Roman"/>
                      <w:b/>
                      <w:bCs/>
                      <w:szCs w:val="21"/>
                      <w:vertAlign w:val="superscript"/>
                    </w:rPr>
                    <w:t>3</w:t>
                  </w:r>
                  <w:r>
                    <w:rPr>
                      <w:rFonts w:cs="Times New Roman"/>
                      <w:b/>
                      <w:bCs/>
                      <w:szCs w:val="21"/>
                    </w:rPr>
                    <w:t>/d）</w:t>
                  </w:r>
                </w:p>
              </w:tc>
              <w:tc>
                <w:tcPr>
                  <w:tcW w:w="860"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896" w:type="pct"/>
                  <w:gridSpan w:val="2"/>
                  <w:tcBorders>
                    <w:tl2br w:val="nil"/>
                    <w:tr2bl w:val="nil"/>
                  </w:tcBorders>
                  <w:vAlign w:val="center"/>
                </w:tcPr>
                <w:p>
                  <w:pPr>
                    <w:jc w:val="center"/>
                    <w:rPr>
                      <w:rFonts w:cs="Times New Roman"/>
                      <w:b/>
                      <w:bCs/>
                      <w:szCs w:val="21"/>
                    </w:rPr>
                  </w:pPr>
                  <w:r>
                    <w:rPr>
                      <w:rFonts w:cs="Times New Roman"/>
                      <w:b/>
                      <w:bCs/>
                      <w:szCs w:val="21"/>
                    </w:rPr>
                    <w:t>污染物产生量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b/>
                      <w:bCs/>
                      <w:szCs w:val="21"/>
                    </w:rPr>
                  </w:pPr>
                </w:p>
              </w:tc>
              <w:tc>
                <w:tcPr>
                  <w:tcW w:w="921" w:type="pct"/>
                  <w:vMerge w:val="continue"/>
                  <w:tcBorders>
                    <w:tl2br w:val="nil"/>
                    <w:tr2bl w:val="nil"/>
                  </w:tcBorders>
                  <w:vAlign w:val="center"/>
                </w:tcPr>
                <w:p>
                  <w:pPr>
                    <w:jc w:val="center"/>
                    <w:rPr>
                      <w:rFonts w:cs="Times New Roman"/>
                      <w:b/>
                      <w:bCs/>
                      <w:szCs w:val="21"/>
                    </w:rPr>
                  </w:pPr>
                </w:p>
              </w:tc>
              <w:tc>
                <w:tcPr>
                  <w:tcW w:w="686" w:type="pct"/>
                  <w:vMerge w:val="continue"/>
                  <w:tcBorders>
                    <w:tl2br w:val="nil"/>
                    <w:tr2bl w:val="nil"/>
                  </w:tcBorders>
                  <w:vAlign w:val="center"/>
                </w:tcPr>
                <w:p>
                  <w:pPr>
                    <w:jc w:val="center"/>
                    <w:rPr>
                      <w:rFonts w:cs="Times New Roman"/>
                      <w:b/>
                      <w:bCs/>
                      <w:szCs w:val="21"/>
                    </w:rPr>
                  </w:pPr>
                </w:p>
              </w:tc>
              <w:tc>
                <w:tcPr>
                  <w:tcW w:w="860" w:type="pct"/>
                  <w:vMerge w:val="continue"/>
                  <w:tcBorders>
                    <w:tl2br w:val="nil"/>
                    <w:tr2bl w:val="nil"/>
                  </w:tcBorders>
                  <w:vAlign w:val="center"/>
                </w:tcPr>
                <w:p>
                  <w:pPr>
                    <w:jc w:val="center"/>
                    <w:rPr>
                      <w:rFonts w:cs="Times New Roman"/>
                      <w:b/>
                      <w:bCs/>
                      <w:szCs w:val="21"/>
                    </w:rPr>
                  </w:pPr>
                </w:p>
              </w:tc>
              <w:tc>
                <w:tcPr>
                  <w:tcW w:w="948" w:type="pct"/>
                  <w:tcBorders>
                    <w:tl2br w:val="nil"/>
                    <w:tr2bl w:val="nil"/>
                  </w:tcBorders>
                  <w:vAlign w:val="center"/>
                </w:tcPr>
                <w:p>
                  <w:pPr>
                    <w:jc w:val="center"/>
                    <w:rPr>
                      <w:rFonts w:cs="Times New Roman"/>
                      <w:b/>
                      <w:bCs/>
                      <w:szCs w:val="21"/>
                    </w:rPr>
                  </w:pPr>
                  <w:r>
                    <w:rPr>
                      <w:rFonts w:cs="Times New Roman"/>
                      <w:b/>
                      <w:bCs/>
                      <w:szCs w:val="21"/>
                    </w:rPr>
                    <w:t>浓度（mg/L）</w:t>
                  </w:r>
                </w:p>
              </w:tc>
              <w:tc>
                <w:tcPr>
                  <w:tcW w:w="948" w:type="pct"/>
                  <w:tcBorders>
                    <w:tl2br w:val="nil"/>
                    <w:tr2bl w:val="nil"/>
                  </w:tcBorders>
                  <w:vAlign w:val="center"/>
                </w:tcPr>
                <w:p>
                  <w:pPr>
                    <w:jc w:val="center"/>
                    <w:rPr>
                      <w:rFonts w:cs="Times New Roman"/>
                      <w:b/>
                      <w:bCs/>
                      <w:szCs w:val="21"/>
                    </w:rPr>
                  </w:pPr>
                  <w:r>
                    <w:rPr>
                      <w:rFonts w:cs="Times New Roman"/>
                      <w:b/>
                      <w:bCs/>
                      <w:szCs w:val="21"/>
                    </w:rPr>
                    <w:t>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restart"/>
                  <w:tcBorders>
                    <w:tl2br w:val="nil"/>
                    <w:tr2bl w:val="nil"/>
                  </w:tcBorders>
                  <w:vAlign w:val="center"/>
                </w:tcPr>
                <w:p>
                  <w:pPr>
                    <w:jc w:val="center"/>
                    <w:rPr>
                      <w:rFonts w:cs="Times New Roman"/>
                      <w:szCs w:val="21"/>
                    </w:rPr>
                  </w:pPr>
                  <w:r>
                    <w:rPr>
                      <w:rFonts w:cs="Times New Roman"/>
                      <w:szCs w:val="21"/>
                    </w:rPr>
                    <w:t>值班人员</w:t>
                  </w:r>
                </w:p>
              </w:tc>
              <w:tc>
                <w:tcPr>
                  <w:tcW w:w="921" w:type="pct"/>
                  <w:vMerge w:val="restart"/>
                  <w:tcBorders>
                    <w:tl2br w:val="nil"/>
                    <w:tr2bl w:val="nil"/>
                  </w:tcBorders>
                  <w:vAlign w:val="center"/>
                </w:tcPr>
                <w:p>
                  <w:pPr>
                    <w:jc w:val="center"/>
                    <w:rPr>
                      <w:rFonts w:cs="Times New Roman"/>
                      <w:szCs w:val="21"/>
                    </w:rPr>
                  </w:pPr>
                  <w:r>
                    <w:rPr>
                      <w:rFonts w:cs="Times New Roman"/>
                      <w:szCs w:val="21"/>
                    </w:rPr>
                    <w:t>生活污水</w:t>
                  </w:r>
                </w:p>
                <w:p>
                  <w:pPr>
                    <w:jc w:val="center"/>
                    <w:rPr>
                      <w:rFonts w:cs="Times New Roman"/>
                      <w:szCs w:val="21"/>
                    </w:rPr>
                  </w:pPr>
                  <w:r>
                    <w:rPr>
                      <w:rFonts w:cs="Times New Roman"/>
                      <w:szCs w:val="21"/>
                    </w:rPr>
                    <w:t>（含食堂废水）</w:t>
                  </w:r>
                </w:p>
              </w:tc>
              <w:tc>
                <w:tcPr>
                  <w:tcW w:w="686" w:type="pct"/>
                  <w:vMerge w:val="restart"/>
                  <w:tcBorders>
                    <w:tl2br w:val="nil"/>
                    <w:tr2bl w:val="nil"/>
                  </w:tcBorders>
                  <w:vAlign w:val="center"/>
                </w:tcPr>
                <w:p>
                  <w:pPr>
                    <w:jc w:val="center"/>
                    <w:rPr>
                      <w:rFonts w:cs="Times New Roman"/>
                      <w:szCs w:val="21"/>
                    </w:rPr>
                  </w:pPr>
                  <w:r>
                    <w:rPr>
                      <w:rFonts w:cs="Times New Roman"/>
                      <w:szCs w:val="21"/>
                    </w:rPr>
                    <w:t>1.02</w:t>
                  </w:r>
                </w:p>
              </w:tc>
              <w:tc>
                <w:tcPr>
                  <w:tcW w:w="860" w:type="pct"/>
                  <w:tcBorders>
                    <w:tl2br w:val="nil"/>
                    <w:tr2bl w:val="nil"/>
                  </w:tcBorders>
                  <w:vAlign w:val="center"/>
                </w:tcPr>
                <w:p>
                  <w:pPr>
                    <w:jc w:val="center"/>
                    <w:rPr>
                      <w:rFonts w:cs="Times New Roman"/>
                      <w:szCs w:val="21"/>
                    </w:rPr>
                  </w:pPr>
                  <w:r>
                    <w:rPr>
                      <w:rFonts w:cs="Times New Roman"/>
                      <w:szCs w:val="21"/>
                    </w:rPr>
                    <w:t>COD</w:t>
                  </w:r>
                </w:p>
              </w:tc>
              <w:tc>
                <w:tcPr>
                  <w:tcW w:w="948" w:type="pct"/>
                  <w:tcBorders>
                    <w:tl2br w:val="nil"/>
                    <w:tr2bl w:val="nil"/>
                  </w:tcBorders>
                  <w:vAlign w:val="center"/>
                </w:tcPr>
                <w:p>
                  <w:pPr>
                    <w:jc w:val="center"/>
                    <w:rPr>
                      <w:rFonts w:cs="Times New Roman"/>
                      <w:szCs w:val="21"/>
                    </w:rPr>
                  </w:pPr>
                  <w:r>
                    <w:rPr>
                      <w:rFonts w:cs="Times New Roman"/>
                      <w:szCs w:val="21"/>
                    </w:rPr>
                    <w:t>325</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0.121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BOD</w:t>
                  </w:r>
                  <w:r>
                    <w:rPr>
                      <w:rFonts w:cs="Times New Roman"/>
                      <w:szCs w:val="21"/>
                      <w:vertAlign w:val="subscript"/>
                    </w:rPr>
                    <w:t>5</w:t>
                  </w:r>
                </w:p>
              </w:tc>
              <w:tc>
                <w:tcPr>
                  <w:tcW w:w="948" w:type="pct"/>
                  <w:tcBorders>
                    <w:tl2br w:val="nil"/>
                    <w:tr2bl w:val="nil"/>
                  </w:tcBorders>
                  <w:vAlign w:val="center"/>
                </w:tcPr>
                <w:p>
                  <w:pPr>
                    <w:jc w:val="center"/>
                    <w:rPr>
                      <w:rFonts w:cs="Times New Roman"/>
                      <w:szCs w:val="21"/>
                    </w:rPr>
                  </w:pPr>
                  <w:r>
                    <w:rPr>
                      <w:rFonts w:cs="Times New Roman"/>
                      <w:szCs w:val="21"/>
                    </w:rPr>
                    <w:t>140</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0.052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SS</w:t>
                  </w:r>
                </w:p>
              </w:tc>
              <w:tc>
                <w:tcPr>
                  <w:tcW w:w="948" w:type="pct"/>
                  <w:tcBorders>
                    <w:tl2br w:val="nil"/>
                    <w:tr2bl w:val="nil"/>
                  </w:tcBorders>
                  <w:vAlign w:val="center"/>
                </w:tcPr>
                <w:p>
                  <w:pPr>
                    <w:jc w:val="center"/>
                    <w:rPr>
                      <w:rFonts w:cs="Times New Roman"/>
                      <w:szCs w:val="21"/>
                    </w:rPr>
                  </w:pPr>
                  <w:r>
                    <w:rPr>
                      <w:rFonts w:cs="Times New Roman"/>
                      <w:szCs w:val="21"/>
                    </w:rPr>
                    <w:t>200</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0.074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NH</w:t>
                  </w:r>
                  <w:r>
                    <w:rPr>
                      <w:rFonts w:cs="Times New Roman"/>
                      <w:szCs w:val="21"/>
                      <w:vertAlign w:val="subscript"/>
                    </w:rPr>
                    <w:t>3</w:t>
                  </w:r>
                  <w:r>
                    <w:rPr>
                      <w:rFonts w:cs="Times New Roman"/>
                      <w:szCs w:val="21"/>
                    </w:rPr>
                    <w:t>-N</w:t>
                  </w:r>
                </w:p>
              </w:tc>
              <w:tc>
                <w:tcPr>
                  <w:tcW w:w="948" w:type="pct"/>
                  <w:tcBorders>
                    <w:tl2br w:val="nil"/>
                    <w:tr2bl w:val="nil"/>
                  </w:tcBorders>
                  <w:vAlign w:val="center"/>
                </w:tcPr>
                <w:p>
                  <w:pPr>
                    <w:jc w:val="center"/>
                    <w:rPr>
                      <w:rFonts w:cs="Times New Roman"/>
                      <w:szCs w:val="21"/>
                    </w:rPr>
                  </w:pPr>
                  <w:r>
                    <w:rPr>
                      <w:rFonts w:cs="Times New Roman"/>
                      <w:szCs w:val="21"/>
                    </w:rPr>
                    <w:t>37.7</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35" w:type="pct"/>
                  <w:vMerge w:val="continue"/>
                  <w:tcBorders>
                    <w:tl2br w:val="nil"/>
                    <w:tr2bl w:val="nil"/>
                  </w:tcBorders>
                  <w:vAlign w:val="center"/>
                </w:tcPr>
                <w:p>
                  <w:pPr>
                    <w:jc w:val="center"/>
                    <w:rPr>
                      <w:rFonts w:cs="Times New Roman"/>
                      <w:szCs w:val="21"/>
                    </w:rPr>
                  </w:pPr>
                </w:p>
              </w:tc>
              <w:tc>
                <w:tcPr>
                  <w:tcW w:w="921" w:type="pct"/>
                  <w:vMerge w:val="continue"/>
                  <w:tcBorders>
                    <w:tl2br w:val="nil"/>
                    <w:tr2bl w:val="nil"/>
                  </w:tcBorders>
                  <w:vAlign w:val="center"/>
                </w:tcPr>
                <w:p>
                  <w:pPr>
                    <w:jc w:val="center"/>
                    <w:rPr>
                      <w:rFonts w:cs="Times New Roman"/>
                      <w:szCs w:val="21"/>
                    </w:rPr>
                  </w:pPr>
                </w:p>
              </w:tc>
              <w:tc>
                <w:tcPr>
                  <w:tcW w:w="686" w:type="pct"/>
                  <w:vMerge w:val="continue"/>
                  <w:tcBorders>
                    <w:tl2br w:val="nil"/>
                    <w:tr2bl w:val="nil"/>
                  </w:tcBorders>
                  <w:vAlign w:val="center"/>
                </w:tcPr>
                <w:p>
                  <w:pPr>
                    <w:jc w:val="center"/>
                    <w:rPr>
                      <w:rFonts w:cs="Times New Roman"/>
                      <w:szCs w:val="21"/>
                    </w:rPr>
                  </w:pPr>
                </w:p>
              </w:tc>
              <w:tc>
                <w:tcPr>
                  <w:tcW w:w="860" w:type="pct"/>
                  <w:tcBorders>
                    <w:tl2br w:val="nil"/>
                    <w:tr2bl w:val="nil"/>
                  </w:tcBorders>
                  <w:vAlign w:val="center"/>
                </w:tcPr>
                <w:p>
                  <w:pPr>
                    <w:jc w:val="center"/>
                    <w:rPr>
                      <w:rFonts w:cs="Times New Roman"/>
                      <w:szCs w:val="21"/>
                    </w:rPr>
                  </w:pPr>
                  <w:r>
                    <w:rPr>
                      <w:rFonts w:cs="Times New Roman"/>
                      <w:szCs w:val="21"/>
                    </w:rPr>
                    <w:t>TP</w:t>
                  </w:r>
                </w:p>
              </w:tc>
              <w:tc>
                <w:tcPr>
                  <w:tcW w:w="948" w:type="pct"/>
                  <w:tcBorders>
                    <w:tl2br w:val="nil"/>
                    <w:tr2bl w:val="nil"/>
                  </w:tcBorders>
                  <w:vAlign w:val="center"/>
                </w:tcPr>
                <w:p>
                  <w:pPr>
                    <w:jc w:val="center"/>
                    <w:rPr>
                      <w:rFonts w:cs="Times New Roman"/>
                      <w:szCs w:val="21"/>
                    </w:rPr>
                  </w:pPr>
                  <w:r>
                    <w:rPr>
                      <w:rFonts w:cs="Times New Roman"/>
                      <w:szCs w:val="21"/>
                    </w:rPr>
                    <w:t>4.28</w:t>
                  </w:r>
                </w:p>
              </w:tc>
              <w:tc>
                <w:tcPr>
                  <w:tcW w:w="1636" w:type="dxa"/>
                  <w:tcBorders>
                    <w:tl2br w:val="nil"/>
                    <w:tr2bl w:val="nil"/>
                  </w:tcBorders>
                  <w:vAlign w:val="center"/>
                </w:tcPr>
                <w:p>
                  <w:pPr>
                    <w:widowControl/>
                    <w:jc w:val="center"/>
                    <w:textAlignment w:val="center"/>
                    <w:rPr>
                      <w:rFonts w:cs="Times New Roman"/>
                      <w:szCs w:val="21"/>
                    </w:rPr>
                  </w:pPr>
                  <w:r>
                    <w:rPr>
                      <w:rFonts w:cs="Times New Roman"/>
                      <w:kern w:val="0"/>
                      <w:szCs w:val="21"/>
                      <w:lang w:bidi="ar"/>
                    </w:rPr>
                    <w:t>0.002</w:t>
                  </w:r>
                </w:p>
              </w:tc>
            </w:tr>
          </w:tbl>
          <w:p>
            <w:pPr>
              <w:spacing w:line="360" w:lineRule="auto"/>
              <w:ind w:firstLine="482" w:firstLineChars="200"/>
              <w:rPr>
                <w:rFonts w:cs="Times New Roman"/>
                <w:b/>
                <w:bCs/>
                <w:sz w:val="24"/>
                <w:szCs w:val="24"/>
              </w:rPr>
            </w:pPr>
            <w:r>
              <w:rPr>
                <w:rFonts w:cs="Times New Roman"/>
                <w:b/>
                <w:bCs/>
                <w:sz w:val="24"/>
                <w:szCs w:val="24"/>
              </w:rPr>
              <w:t>②生产废水</w:t>
            </w:r>
          </w:p>
          <w:p>
            <w:pPr>
              <w:spacing w:line="360" w:lineRule="auto"/>
              <w:ind w:firstLine="480" w:firstLineChars="200"/>
              <w:rPr>
                <w:rFonts w:cs="Times New Roman"/>
                <w:bCs/>
                <w:sz w:val="24"/>
                <w:szCs w:val="24"/>
              </w:rPr>
            </w:pPr>
            <w:r>
              <w:rPr>
                <w:rFonts w:cs="Times New Roman"/>
                <w:sz w:val="24"/>
                <w:szCs w:val="24"/>
              </w:rPr>
              <w:t>项目生产用水为设备清洗用水、</w:t>
            </w:r>
            <w:r>
              <w:rPr>
                <w:rFonts w:cs="Times New Roman"/>
                <w:kern w:val="24"/>
                <w:sz w:val="24"/>
                <w:szCs w:val="24"/>
              </w:rPr>
              <w:t>助剂配制用水、粘胶结剂配制用水、纤维消耗用水等，除</w:t>
            </w:r>
            <w:r>
              <w:rPr>
                <w:rFonts w:cs="Times New Roman"/>
                <w:sz w:val="24"/>
                <w:szCs w:val="24"/>
              </w:rPr>
              <w:t>设备清洗用水外，其余</w:t>
            </w:r>
            <w:r>
              <w:rPr>
                <w:rFonts w:cs="Times New Roman"/>
                <w:kern w:val="24"/>
                <w:sz w:val="24"/>
                <w:szCs w:val="24"/>
              </w:rPr>
              <w:t>全部进入产品；本项目仅产生设备清洗废水，设备清洗废水集中收集于桶中，用于粘结剂的配制用水。</w:t>
            </w:r>
          </w:p>
          <w:p>
            <w:pPr>
              <w:spacing w:line="360" w:lineRule="auto"/>
              <w:ind w:firstLine="482" w:firstLineChars="200"/>
              <w:rPr>
                <w:rFonts w:cs="Times New Roman"/>
                <w:b/>
                <w:sz w:val="24"/>
                <w:szCs w:val="24"/>
              </w:rPr>
            </w:pPr>
            <w:r>
              <w:rPr>
                <w:rFonts w:cs="Times New Roman"/>
                <w:b/>
                <w:sz w:val="24"/>
                <w:szCs w:val="24"/>
              </w:rPr>
              <w:t>（2）治理设施、排放方式、排放口基本信息</w:t>
            </w:r>
          </w:p>
          <w:p>
            <w:pPr>
              <w:spacing w:line="360" w:lineRule="auto"/>
              <w:ind w:firstLine="482" w:firstLineChars="200"/>
              <w:rPr>
                <w:rFonts w:cs="Times New Roman"/>
                <w:b/>
                <w:bCs/>
                <w:sz w:val="24"/>
                <w:szCs w:val="24"/>
              </w:rPr>
            </w:pPr>
            <w:r>
              <w:rPr>
                <w:rFonts w:cs="Times New Roman"/>
                <w:b/>
                <w:bCs/>
                <w:sz w:val="24"/>
                <w:szCs w:val="24"/>
              </w:rPr>
              <w:t>①治理措施</w:t>
            </w:r>
          </w:p>
          <w:p>
            <w:pPr>
              <w:spacing w:line="360" w:lineRule="auto"/>
              <w:ind w:firstLine="480" w:firstLineChars="200"/>
              <w:rPr>
                <w:rFonts w:cs="Times New Roman"/>
                <w:sz w:val="24"/>
                <w:szCs w:val="24"/>
              </w:rPr>
            </w:pPr>
            <w:r>
              <w:rPr>
                <w:rFonts w:cs="Times New Roman"/>
                <w:sz w:val="24"/>
                <w:szCs w:val="24"/>
              </w:rPr>
              <w:t>本项目排水采用雨污分流制，雨水进入雨水管网。生活污水（食堂废水先经隔油池处理后）经化粪池处理后排入园区管网，进入柳池工业园区污水处理厂处理达到《城镇污水处理厂污染物排放标准》（GB18918-2002）一级A标后排入后河</w:t>
            </w:r>
            <w:r>
              <w:rPr>
                <w:rFonts w:cs="Times New Roman"/>
                <w:kern w:val="24"/>
                <w:sz w:val="24"/>
                <w:szCs w:val="24"/>
              </w:rPr>
              <w:t>；项目生产废水（设备清洗废水）回用，不外排</w:t>
            </w:r>
            <w:r>
              <w:rPr>
                <w:rFonts w:cs="Times New Roman"/>
                <w:sz w:val="24"/>
                <w:szCs w:val="24"/>
              </w:rPr>
              <w:t>。</w:t>
            </w:r>
          </w:p>
          <w:p>
            <w:pPr>
              <w:spacing w:line="360" w:lineRule="auto"/>
              <w:ind w:firstLine="482" w:firstLineChars="200"/>
              <w:rPr>
                <w:rFonts w:cs="Times New Roman"/>
                <w:sz w:val="24"/>
                <w:szCs w:val="24"/>
              </w:rPr>
            </w:pPr>
            <w:r>
              <w:rPr>
                <w:rFonts w:cs="Times New Roman"/>
                <w:b/>
                <w:sz w:val="24"/>
                <w:szCs w:val="24"/>
              </w:rPr>
              <w:t>②废水治理设施、排放口基本信息表</w:t>
            </w:r>
          </w:p>
          <w:p>
            <w:pPr>
              <w:spacing w:line="360" w:lineRule="auto"/>
              <w:ind w:firstLine="480" w:firstLineChars="200"/>
              <w:rPr>
                <w:rFonts w:cs="Times New Roman"/>
                <w:sz w:val="24"/>
                <w:szCs w:val="24"/>
              </w:rPr>
            </w:pPr>
            <w:r>
              <w:rPr>
                <w:rFonts w:cs="Times New Roman"/>
                <w:sz w:val="24"/>
                <w:szCs w:val="24"/>
              </w:rPr>
              <w:t>本项目废水治理设施、排放口基本信息见下表：</w:t>
            </w:r>
          </w:p>
          <w:p>
            <w:pPr>
              <w:spacing w:line="360" w:lineRule="auto"/>
              <w:jc w:val="center"/>
              <w:rPr>
                <w:rFonts w:cs="Times New Roman"/>
                <w:b/>
                <w:sz w:val="24"/>
                <w:szCs w:val="24"/>
              </w:rPr>
            </w:pPr>
            <w:r>
              <w:rPr>
                <w:rFonts w:cs="Times New Roman"/>
                <w:b/>
                <w:sz w:val="24"/>
                <w:szCs w:val="24"/>
              </w:rPr>
              <w:t>表4-16 废水治理设施信息表</w:t>
            </w:r>
          </w:p>
          <w:tbl>
            <w:tblPr>
              <w:tblStyle w:val="26"/>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132"/>
              <w:gridCol w:w="1365"/>
              <w:gridCol w:w="877"/>
              <w:gridCol w:w="1008"/>
              <w:gridCol w:w="1011"/>
              <w:gridCol w:w="1153"/>
              <w:gridCol w:w="1041"/>
              <w:gridCol w:w="10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vMerge w:val="restart"/>
                  <w:tcBorders>
                    <w:tl2br w:val="nil"/>
                    <w:tr2bl w:val="nil"/>
                  </w:tcBorders>
                  <w:shd w:val="clear" w:color="000000" w:fill="auto"/>
                  <w:vAlign w:val="center"/>
                </w:tcPr>
                <w:p>
                  <w:pPr>
                    <w:jc w:val="center"/>
                    <w:rPr>
                      <w:rFonts w:cs="Times New Roman"/>
                      <w:b/>
                      <w:bCs/>
                      <w:szCs w:val="21"/>
                    </w:rPr>
                  </w:pPr>
                  <w:r>
                    <w:rPr>
                      <w:rFonts w:cs="Times New Roman"/>
                      <w:b/>
                      <w:bCs/>
                      <w:szCs w:val="21"/>
                    </w:rPr>
                    <w:t>废水类别</w:t>
                  </w:r>
                </w:p>
              </w:tc>
              <w:tc>
                <w:tcPr>
                  <w:tcW w:w="791" w:type="pct"/>
                  <w:vMerge w:val="restart"/>
                  <w:tcBorders>
                    <w:tl2br w:val="nil"/>
                    <w:tr2bl w:val="nil"/>
                  </w:tcBorders>
                  <w:shd w:val="clear" w:color="000000" w:fill="auto"/>
                  <w:vAlign w:val="center"/>
                </w:tcPr>
                <w:p>
                  <w:pPr>
                    <w:jc w:val="center"/>
                    <w:rPr>
                      <w:rFonts w:cs="Times New Roman"/>
                      <w:b/>
                      <w:bCs/>
                      <w:szCs w:val="21"/>
                    </w:rPr>
                  </w:pPr>
                  <w:r>
                    <w:rPr>
                      <w:rFonts w:cs="Times New Roman"/>
                      <w:b/>
                      <w:bCs/>
                      <w:szCs w:val="21"/>
                    </w:rPr>
                    <w:t>污染物种类</w:t>
                  </w:r>
                </w:p>
              </w:tc>
              <w:tc>
                <w:tcPr>
                  <w:tcW w:w="2346" w:type="pct"/>
                  <w:gridSpan w:val="4"/>
                  <w:tcBorders>
                    <w:tl2br w:val="nil"/>
                    <w:tr2bl w:val="nil"/>
                  </w:tcBorders>
                  <w:shd w:val="clear" w:color="000000" w:fill="auto"/>
                  <w:vAlign w:val="center"/>
                </w:tcPr>
                <w:p>
                  <w:pPr>
                    <w:jc w:val="center"/>
                    <w:rPr>
                      <w:rFonts w:cs="Times New Roman"/>
                      <w:b/>
                      <w:bCs/>
                      <w:szCs w:val="21"/>
                    </w:rPr>
                  </w:pPr>
                  <w:r>
                    <w:rPr>
                      <w:rFonts w:cs="Times New Roman"/>
                      <w:b/>
                      <w:bCs/>
                      <w:szCs w:val="21"/>
                    </w:rPr>
                    <w:t>污染治理设施</w:t>
                  </w:r>
                </w:p>
              </w:tc>
              <w:tc>
                <w:tcPr>
                  <w:tcW w:w="603" w:type="pct"/>
                  <w:vMerge w:val="restart"/>
                  <w:tcBorders>
                    <w:tl2br w:val="nil"/>
                    <w:tr2bl w:val="nil"/>
                  </w:tcBorders>
                  <w:shd w:val="clear" w:color="000000" w:fill="auto"/>
                  <w:vAlign w:val="center"/>
                </w:tcPr>
                <w:p>
                  <w:pPr>
                    <w:jc w:val="center"/>
                    <w:rPr>
                      <w:rFonts w:cs="Times New Roman"/>
                      <w:b/>
                      <w:bCs/>
                      <w:szCs w:val="21"/>
                    </w:rPr>
                  </w:pPr>
                  <w:r>
                    <w:rPr>
                      <w:rFonts w:cs="Times New Roman"/>
                      <w:b/>
                      <w:bCs/>
                      <w:szCs w:val="21"/>
                    </w:rPr>
                    <w:t>排放</w:t>
                  </w:r>
                </w:p>
                <w:p>
                  <w:pPr>
                    <w:jc w:val="center"/>
                    <w:rPr>
                      <w:rFonts w:cs="Times New Roman"/>
                      <w:b/>
                      <w:bCs/>
                      <w:szCs w:val="21"/>
                    </w:rPr>
                  </w:pPr>
                  <w:r>
                    <w:rPr>
                      <w:rFonts w:cs="Times New Roman"/>
                      <w:b/>
                      <w:bCs/>
                      <w:szCs w:val="21"/>
                    </w:rPr>
                    <w:t>方式</w:t>
                  </w:r>
                </w:p>
              </w:tc>
              <w:tc>
                <w:tcPr>
                  <w:tcW w:w="603" w:type="pct"/>
                  <w:vMerge w:val="restart"/>
                  <w:tcBorders>
                    <w:tl2br w:val="nil"/>
                    <w:tr2bl w:val="nil"/>
                  </w:tcBorders>
                  <w:shd w:val="clear" w:color="000000" w:fill="auto"/>
                  <w:vAlign w:val="center"/>
                </w:tcPr>
                <w:p>
                  <w:pPr>
                    <w:jc w:val="center"/>
                    <w:rPr>
                      <w:rFonts w:cs="Times New Roman"/>
                      <w:b/>
                      <w:bCs/>
                      <w:szCs w:val="21"/>
                    </w:rPr>
                  </w:pPr>
                  <w:r>
                    <w:rPr>
                      <w:rFonts w:cs="Times New Roman"/>
                      <w:b/>
                      <w:bCs/>
                      <w:szCs w:val="21"/>
                    </w:rPr>
                    <w:t>排放</w:t>
                  </w:r>
                </w:p>
                <w:p>
                  <w:pPr>
                    <w:jc w:val="center"/>
                    <w:rPr>
                      <w:rFonts w:cs="Times New Roman"/>
                      <w:b/>
                      <w:bCs/>
                      <w:szCs w:val="21"/>
                    </w:rPr>
                  </w:pPr>
                  <w:r>
                    <w:rPr>
                      <w:rFonts w:cs="Times New Roman"/>
                      <w:b/>
                      <w:bCs/>
                      <w:szCs w:val="21"/>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vMerge w:val="continue"/>
                  <w:tcBorders>
                    <w:tl2br w:val="nil"/>
                    <w:tr2bl w:val="nil"/>
                  </w:tcBorders>
                  <w:shd w:val="clear" w:color="auto" w:fill="auto"/>
                  <w:vAlign w:val="center"/>
                </w:tcPr>
                <w:p>
                  <w:pPr>
                    <w:jc w:val="center"/>
                    <w:rPr>
                      <w:rFonts w:cs="Times New Roman"/>
                      <w:szCs w:val="21"/>
                    </w:rPr>
                  </w:pPr>
                </w:p>
              </w:tc>
              <w:tc>
                <w:tcPr>
                  <w:tcW w:w="791" w:type="pct"/>
                  <w:vMerge w:val="continue"/>
                  <w:tcBorders>
                    <w:tl2br w:val="nil"/>
                    <w:tr2bl w:val="nil"/>
                  </w:tcBorders>
                  <w:shd w:val="clear" w:color="auto" w:fill="auto"/>
                  <w:vAlign w:val="center"/>
                </w:tcPr>
                <w:p>
                  <w:pPr>
                    <w:jc w:val="center"/>
                    <w:rPr>
                      <w:rFonts w:cs="Times New Roman"/>
                      <w:szCs w:val="21"/>
                    </w:rPr>
                  </w:pPr>
                </w:p>
              </w:tc>
              <w:tc>
                <w:tcPr>
                  <w:tcW w:w="508" w:type="pct"/>
                  <w:tcBorders>
                    <w:tl2br w:val="nil"/>
                    <w:tr2bl w:val="nil"/>
                  </w:tcBorders>
                  <w:shd w:val="clear" w:color="000000" w:fill="auto"/>
                  <w:vAlign w:val="center"/>
                </w:tcPr>
                <w:p>
                  <w:pPr>
                    <w:jc w:val="center"/>
                    <w:rPr>
                      <w:rFonts w:cs="Times New Roman"/>
                      <w:b/>
                      <w:bCs/>
                      <w:szCs w:val="21"/>
                    </w:rPr>
                  </w:pPr>
                  <w:r>
                    <w:rPr>
                      <w:rFonts w:cs="Times New Roman"/>
                      <w:b/>
                      <w:bCs/>
                      <w:szCs w:val="21"/>
                    </w:rPr>
                    <w:t>名称</w:t>
                  </w:r>
                </w:p>
              </w:tc>
              <w:tc>
                <w:tcPr>
                  <w:tcW w:w="584" w:type="pct"/>
                  <w:tcBorders>
                    <w:tl2br w:val="nil"/>
                    <w:tr2bl w:val="nil"/>
                  </w:tcBorders>
                  <w:shd w:val="clear" w:color="000000" w:fill="auto"/>
                  <w:vAlign w:val="center"/>
                </w:tcPr>
                <w:p>
                  <w:pPr>
                    <w:jc w:val="center"/>
                    <w:rPr>
                      <w:rFonts w:cs="Times New Roman"/>
                      <w:b/>
                      <w:bCs/>
                      <w:szCs w:val="21"/>
                    </w:rPr>
                  </w:pPr>
                  <w:r>
                    <w:rPr>
                      <w:rFonts w:cs="Times New Roman"/>
                      <w:b/>
                      <w:bCs/>
                      <w:szCs w:val="21"/>
                    </w:rPr>
                    <w:t>处理能力（t/d）</w:t>
                  </w:r>
                </w:p>
              </w:tc>
              <w:tc>
                <w:tcPr>
                  <w:tcW w:w="586" w:type="pct"/>
                  <w:tcBorders>
                    <w:tl2br w:val="nil"/>
                    <w:tr2bl w:val="nil"/>
                  </w:tcBorders>
                  <w:shd w:val="clear" w:color="000000" w:fill="auto"/>
                  <w:vAlign w:val="center"/>
                </w:tcPr>
                <w:p>
                  <w:pPr>
                    <w:jc w:val="center"/>
                    <w:rPr>
                      <w:rFonts w:cs="Times New Roman"/>
                      <w:b/>
                      <w:bCs/>
                      <w:szCs w:val="21"/>
                    </w:rPr>
                  </w:pPr>
                  <w:r>
                    <w:rPr>
                      <w:rFonts w:cs="Times New Roman"/>
                      <w:b/>
                      <w:bCs/>
                      <w:szCs w:val="21"/>
                    </w:rPr>
                    <w:t>治理</w:t>
                  </w:r>
                </w:p>
                <w:p>
                  <w:pPr>
                    <w:jc w:val="center"/>
                    <w:rPr>
                      <w:rFonts w:cs="Times New Roman"/>
                      <w:b/>
                      <w:bCs/>
                      <w:szCs w:val="21"/>
                    </w:rPr>
                  </w:pPr>
                  <w:r>
                    <w:rPr>
                      <w:rFonts w:cs="Times New Roman"/>
                      <w:b/>
                      <w:bCs/>
                      <w:szCs w:val="21"/>
                    </w:rPr>
                    <w:t>工艺</w:t>
                  </w:r>
                </w:p>
              </w:tc>
              <w:tc>
                <w:tcPr>
                  <w:tcW w:w="667" w:type="pct"/>
                  <w:tcBorders>
                    <w:tl2br w:val="nil"/>
                    <w:tr2bl w:val="nil"/>
                  </w:tcBorders>
                  <w:shd w:val="clear" w:color="000000" w:fill="auto"/>
                  <w:vAlign w:val="center"/>
                </w:tcPr>
                <w:p>
                  <w:pPr>
                    <w:jc w:val="center"/>
                    <w:rPr>
                      <w:rFonts w:cs="Times New Roman"/>
                      <w:b/>
                      <w:bCs/>
                      <w:szCs w:val="21"/>
                    </w:rPr>
                  </w:pPr>
                  <w:r>
                    <w:rPr>
                      <w:rFonts w:cs="Times New Roman"/>
                      <w:b/>
                      <w:bCs/>
                      <w:szCs w:val="21"/>
                    </w:rPr>
                    <w:t>是否为可行性技术</w:t>
                  </w:r>
                </w:p>
              </w:tc>
              <w:tc>
                <w:tcPr>
                  <w:tcW w:w="603" w:type="pct"/>
                  <w:vMerge w:val="continue"/>
                  <w:tcBorders>
                    <w:tl2br w:val="nil"/>
                    <w:tr2bl w:val="nil"/>
                  </w:tcBorders>
                  <w:vAlign w:val="center"/>
                </w:tcPr>
                <w:p>
                  <w:pPr>
                    <w:jc w:val="center"/>
                    <w:rPr>
                      <w:rFonts w:cs="Times New Roman"/>
                      <w:szCs w:val="21"/>
                    </w:rPr>
                  </w:pPr>
                </w:p>
              </w:tc>
              <w:tc>
                <w:tcPr>
                  <w:tcW w:w="60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tcBorders>
                    <w:tl2br w:val="nil"/>
                    <w:tr2bl w:val="nil"/>
                  </w:tcBorders>
                  <w:vAlign w:val="center"/>
                </w:tcPr>
                <w:p>
                  <w:pPr>
                    <w:jc w:val="center"/>
                    <w:rPr>
                      <w:rFonts w:cs="Times New Roman" w:eastAsiaTheme="minorEastAsia"/>
                      <w:szCs w:val="21"/>
                    </w:rPr>
                  </w:pPr>
                  <w:r>
                    <w:rPr>
                      <w:rFonts w:cs="Times New Roman" w:eastAsiaTheme="minorEastAsia"/>
                      <w:szCs w:val="21"/>
                    </w:rPr>
                    <w:t>生活污水</w:t>
                  </w:r>
                </w:p>
              </w:tc>
              <w:tc>
                <w:tcPr>
                  <w:tcW w:w="791" w:type="pct"/>
                  <w:vMerge w:val="restart"/>
                  <w:tcBorders>
                    <w:tl2br w:val="nil"/>
                    <w:tr2bl w:val="nil"/>
                  </w:tcBorders>
                  <w:vAlign w:val="center"/>
                </w:tcPr>
                <w:p>
                  <w:pPr>
                    <w:jc w:val="center"/>
                    <w:rPr>
                      <w:rFonts w:cs="Times New Roman"/>
                      <w:szCs w:val="21"/>
                    </w:rPr>
                  </w:pPr>
                  <w:r>
                    <w:rPr>
                      <w:rFonts w:cs="Times New Roman"/>
                      <w:szCs w:val="21"/>
                    </w:rPr>
                    <w:t>pH、COD、BOD</w:t>
                  </w:r>
                  <w:r>
                    <w:rPr>
                      <w:rFonts w:cs="Times New Roman"/>
                      <w:szCs w:val="21"/>
                      <w:vertAlign w:val="subscript"/>
                    </w:rPr>
                    <w:t>5</w:t>
                  </w:r>
                  <w:r>
                    <w:rPr>
                      <w:rFonts w:cs="Times New Roman"/>
                      <w:szCs w:val="21"/>
                    </w:rPr>
                    <w:t>、SS、NH</w:t>
                  </w:r>
                  <w:r>
                    <w:rPr>
                      <w:rFonts w:cs="Times New Roman"/>
                      <w:szCs w:val="21"/>
                      <w:vertAlign w:val="subscript"/>
                    </w:rPr>
                    <w:t>3</w:t>
                  </w:r>
                  <w:r>
                    <w:rPr>
                      <w:rFonts w:cs="Times New Roman"/>
                      <w:szCs w:val="21"/>
                    </w:rPr>
                    <w:t>-N、TP、动植物油</w:t>
                  </w:r>
                </w:p>
              </w:tc>
              <w:tc>
                <w:tcPr>
                  <w:tcW w:w="508" w:type="pct"/>
                  <w:tcBorders>
                    <w:tl2br w:val="nil"/>
                    <w:tr2bl w:val="nil"/>
                  </w:tcBorders>
                  <w:vAlign w:val="center"/>
                </w:tcPr>
                <w:p>
                  <w:pPr>
                    <w:jc w:val="center"/>
                    <w:rPr>
                      <w:rFonts w:cs="Times New Roman"/>
                      <w:szCs w:val="21"/>
                    </w:rPr>
                  </w:pPr>
                  <w:r>
                    <w:rPr>
                      <w:rFonts w:cs="Times New Roman"/>
                      <w:szCs w:val="21"/>
                    </w:rPr>
                    <w:t>化粪池</w:t>
                  </w:r>
                </w:p>
              </w:tc>
              <w:tc>
                <w:tcPr>
                  <w:tcW w:w="584" w:type="pct"/>
                  <w:tcBorders>
                    <w:tl2br w:val="nil"/>
                    <w:tr2bl w:val="nil"/>
                  </w:tcBorders>
                  <w:vAlign w:val="center"/>
                </w:tcPr>
                <w:p>
                  <w:pPr>
                    <w:jc w:val="center"/>
                    <w:rPr>
                      <w:rFonts w:cs="Times New Roman"/>
                      <w:szCs w:val="21"/>
                    </w:rPr>
                  </w:pPr>
                  <w:r>
                    <w:rPr>
                      <w:rFonts w:cs="Times New Roman"/>
                      <w:szCs w:val="21"/>
                    </w:rPr>
                    <w:t>300</w:t>
                  </w:r>
                </w:p>
              </w:tc>
              <w:tc>
                <w:tcPr>
                  <w:tcW w:w="586" w:type="pct"/>
                  <w:tcBorders>
                    <w:tl2br w:val="nil"/>
                    <w:tr2bl w:val="nil"/>
                  </w:tcBorders>
                  <w:vAlign w:val="center"/>
                </w:tcPr>
                <w:p>
                  <w:pPr>
                    <w:jc w:val="center"/>
                    <w:rPr>
                      <w:rFonts w:cs="Times New Roman"/>
                      <w:szCs w:val="21"/>
                    </w:rPr>
                  </w:pPr>
                  <w:r>
                    <w:rPr>
                      <w:rFonts w:cs="Times New Roman"/>
                      <w:szCs w:val="21"/>
                    </w:rPr>
                    <w:t>厌氧处理</w:t>
                  </w:r>
                </w:p>
              </w:tc>
              <w:tc>
                <w:tcPr>
                  <w:tcW w:w="667" w:type="pct"/>
                  <w:tcBorders>
                    <w:tl2br w:val="nil"/>
                    <w:tr2bl w:val="nil"/>
                  </w:tcBorders>
                  <w:vAlign w:val="center"/>
                </w:tcPr>
                <w:p>
                  <w:pPr>
                    <w:jc w:val="center"/>
                    <w:rPr>
                      <w:rFonts w:cs="Times New Roman"/>
                      <w:szCs w:val="21"/>
                    </w:rPr>
                  </w:pPr>
                  <w:r>
                    <w:rPr>
                      <w:rFonts w:cs="Times New Roman"/>
                      <w:szCs w:val="21"/>
                    </w:rPr>
                    <w:t>是</w:t>
                  </w:r>
                </w:p>
              </w:tc>
              <w:tc>
                <w:tcPr>
                  <w:tcW w:w="603" w:type="pct"/>
                  <w:tcBorders>
                    <w:tl2br w:val="nil"/>
                    <w:tr2bl w:val="nil"/>
                  </w:tcBorders>
                  <w:vAlign w:val="center"/>
                </w:tcPr>
                <w:p>
                  <w:pPr>
                    <w:jc w:val="center"/>
                    <w:rPr>
                      <w:rFonts w:cs="Times New Roman"/>
                      <w:szCs w:val="21"/>
                    </w:rPr>
                  </w:pPr>
                  <w:r>
                    <w:rPr>
                      <w:rFonts w:cs="Times New Roman"/>
                      <w:szCs w:val="21"/>
                    </w:rPr>
                    <w:t>间接排放</w:t>
                  </w:r>
                </w:p>
              </w:tc>
              <w:tc>
                <w:tcPr>
                  <w:tcW w:w="603" w:type="pct"/>
                  <w:vMerge w:val="restart"/>
                  <w:tcBorders>
                    <w:tl2br w:val="nil"/>
                    <w:tr2bl w:val="nil"/>
                  </w:tcBorders>
                  <w:vAlign w:val="center"/>
                </w:tcPr>
                <w:p>
                  <w:pPr>
                    <w:jc w:val="center"/>
                    <w:rPr>
                      <w:rFonts w:cs="Times New Roman"/>
                      <w:szCs w:val="21"/>
                    </w:rPr>
                  </w:pPr>
                  <w:r>
                    <w:rPr>
                      <w:rFonts w:cs="Times New Roman"/>
                      <w:szCs w:val="21"/>
                    </w:rPr>
                    <w:t>园区管网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656" w:type="pct"/>
                  <w:tcBorders>
                    <w:tl2br w:val="nil"/>
                    <w:tr2bl w:val="nil"/>
                  </w:tcBorders>
                  <w:vAlign w:val="center"/>
                </w:tcPr>
                <w:p>
                  <w:pPr>
                    <w:jc w:val="center"/>
                    <w:rPr>
                      <w:rFonts w:cs="Times New Roman"/>
                      <w:szCs w:val="21"/>
                    </w:rPr>
                  </w:pPr>
                  <w:r>
                    <w:rPr>
                      <w:rFonts w:cs="Times New Roman"/>
                      <w:szCs w:val="21"/>
                    </w:rPr>
                    <w:t>食堂废水</w:t>
                  </w:r>
                </w:p>
              </w:tc>
              <w:tc>
                <w:tcPr>
                  <w:tcW w:w="791" w:type="pct"/>
                  <w:vMerge w:val="continue"/>
                  <w:tcBorders>
                    <w:tl2br w:val="nil"/>
                    <w:tr2bl w:val="nil"/>
                  </w:tcBorders>
                  <w:vAlign w:val="center"/>
                </w:tcPr>
                <w:p>
                  <w:pPr>
                    <w:jc w:val="center"/>
                    <w:rPr>
                      <w:rFonts w:cs="Times New Roman"/>
                      <w:szCs w:val="21"/>
                    </w:rPr>
                  </w:pPr>
                </w:p>
              </w:tc>
              <w:tc>
                <w:tcPr>
                  <w:tcW w:w="508" w:type="pct"/>
                  <w:tcBorders>
                    <w:tl2br w:val="nil"/>
                    <w:tr2bl w:val="nil"/>
                  </w:tcBorders>
                  <w:vAlign w:val="center"/>
                </w:tcPr>
                <w:p>
                  <w:pPr>
                    <w:jc w:val="center"/>
                    <w:rPr>
                      <w:rFonts w:cs="Times New Roman" w:eastAsiaTheme="minorEastAsia"/>
                      <w:szCs w:val="21"/>
                    </w:rPr>
                  </w:pPr>
                  <w:r>
                    <w:rPr>
                      <w:rFonts w:cs="Times New Roman"/>
                      <w:szCs w:val="21"/>
                    </w:rPr>
                    <w:t>隔油池</w:t>
                  </w:r>
                </w:p>
              </w:tc>
              <w:tc>
                <w:tcPr>
                  <w:tcW w:w="584" w:type="pct"/>
                  <w:tcBorders>
                    <w:tl2br w:val="nil"/>
                    <w:tr2bl w:val="nil"/>
                  </w:tcBorders>
                  <w:vAlign w:val="center"/>
                </w:tcPr>
                <w:p>
                  <w:pPr>
                    <w:jc w:val="center"/>
                    <w:rPr>
                      <w:rFonts w:cs="Times New Roman"/>
                      <w:szCs w:val="21"/>
                    </w:rPr>
                  </w:pPr>
                  <w:r>
                    <w:rPr>
                      <w:rFonts w:cs="Times New Roman"/>
                      <w:szCs w:val="21"/>
                    </w:rPr>
                    <w:t>2.0</w:t>
                  </w:r>
                </w:p>
              </w:tc>
              <w:tc>
                <w:tcPr>
                  <w:tcW w:w="586" w:type="pct"/>
                  <w:tcBorders>
                    <w:tl2br w:val="nil"/>
                    <w:tr2bl w:val="nil"/>
                  </w:tcBorders>
                  <w:vAlign w:val="center"/>
                </w:tcPr>
                <w:p>
                  <w:pPr>
                    <w:jc w:val="center"/>
                    <w:rPr>
                      <w:rFonts w:cs="Times New Roman"/>
                      <w:szCs w:val="21"/>
                    </w:rPr>
                  </w:pPr>
                  <w:r>
                    <w:rPr>
                      <w:rFonts w:cs="Times New Roman"/>
                      <w:szCs w:val="21"/>
                    </w:rPr>
                    <w:t>隔油池</w:t>
                  </w:r>
                </w:p>
              </w:tc>
              <w:tc>
                <w:tcPr>
                  <w:tcW w:w="667" w:type="pct"/>
                  <w:tcBorders>
                    <w:tl2br w:val="nil"/>
                    <w:tr2bl w:val="nil"/>
                  </w:tcBorders>
                  <w:vAlign w:val="center"/>
                </w:tcPr>
                <w:p>
                  <w:pPr>
                    <w:jc w:val="center"/>
                    <w:rPr>
                      <w:rFonts w:cs="Times New Roman"/>
                      <w:szCs w:val="21"/>
                    </w:rPr>
                  </w:pPr>
                  <w:r>
                    <w:rPr>
                      <w:rFonts w:cs="Times New Roman"/>
                      <w:szCs w:val="21"/>
                    </w:rPr>
                    <w:t>是</w:t>
                  </w:r>
                </w:p>
              </w:tc>
              <w:tc>
                <w:tcPr>
                  <w:tcW w:w="603" w:type="pct"/>
                  <w:tcBorders>
                    <w:tl2br w:val="nil"/>
                    <w:tr2bl w:val="nil"/>
                  </w:tcBorders>
                  <w:vAlign w:val="center"/>
                </w:tcPr>
                <w:p>
                  <w:pPr>
                    <w:jc w:val="center"/>
                    <w:rPr>
                      <w:rFonts w:cs="Times New Roman"/>
                      <w:szCs w:val="21"/>
                    </w:rPr>
                  </w:pPr>
                  <w:r>
                    <w:rPr>
                      <w:rFonts w:cs="Times New Roman"/>
                      <w:szCs w:val="21"/>
                    </w:rPr>
                    <w:t>间接排放</w:t>
                  </w:r>
                </w:p>
              </w:tc>
              <w:tc>
                <w:tcPr>
                  <w:tcW w:w="603" w:type="pct"/>
                  <w:vMerge w:val="continue"/>
                  <w:tcBorders>
                    <w:tl2br w:val="nil"/>
                    <w:tr2bl w:val="nil"/>
                  </w:tcBorders>
                  <w:vAlign w:val="center"/>
                </w:tcPr>
                <w:p>
                  <w:pPr>
                    <w:jc w:val="center"/>
                    <w:rPr>
                      <w:rFonts w:cs="Times New Roman"/>
                      <w:szCs w:val="21"/>
                    </w:rPr>
                  </w:pPr>
                </w:p>
              </w:tc>
            </w:tr>
          </w:tbl>
          <w:p>
            <w:pPr>
              <w:spacing w:line="360" w:lineRule="auto"/>
              <w:jc w:val="center"/>
              <w:rPr>
                <w:rFonts w:cs="Times New Roman"/>
                <w:b/>
                <w:sz w:val="24"/>
                <w:szCs w:val="24"/>
              </w:rPr>
            </w:pPr>
            <w:r>
              <w:rPr>
                <w:rFonts w:cs="Times New Roman"/>
                <w:b/>
                <w:sz w:val="24"/>
                <w:szCs w:val="24"/>
              </w:rPr>
              <w:t>表4-17  废水排放口基本信息表</w:t>
            </w:r>
          </w:p>
          <w:tbl>
            <w:tblPr>
              <w:tblStyle w:val="27"/>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58"/>
              <w:gridCol w:w="902"/>
              <w:gridCol w:w="1541"/>
              <w:gridCol w:w="1541"/>
              <w:gridCol w:w="1199"/>
              <w:gridCol w:w="1588"/>
              <w:gridCol w:w="10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trPr>
              <w:tc>
                <w:tcPr>
                  <w:tcW w:w="496" w:type="pct"/>
                  <w:vMerge w:val="restart"/>
                  <w:tcBorders>
                    <w:tl2br w:val="nil"/>
                    <w:tr2bl w:val="nil"/>
                  </w:tcBorders>
                  <w:vAlign w:val="center"/>
                </w:tcPr>
                <w:p>
                  <w:pPr>
                    <w:jc w:val="center"/>
                    <w:rPr>
                      <w:rFonts w:cs="Times New Roman"/>
                      <w:b/>
                      <w:bCs/>
                      <w:spacing w:val="4"/>
                      <w:szCs w:val="21"/>
                    </w:rPr>
                  </w:pPr>
                  <w:r>
                    <w:rPr>
                      <w:rFonts w:cs="Times New Roman"/>
                      <w:b/>
                      <w:bCs/>
                      <w:spacing w:val="4"/>
                      <w:szCs w:val="21"/>
                    </w:rPr>
                    <w:t>排放口编号</w:t>
                  </w:r>
                </w:p>
              </w:tc>
              <w:tc>
                <w:tcPr>
                  <w:tcW w:w="522" w:type="pct"/>
                  <w:vMerge w:val="restart"/>
                  <w:tcBorders>
                    <w:tl2br w:val="nil"/>
                    <w:tr2bl w:val="nil"/>
                  </w:tcBorders>
                  <w:vAlign w:val="center"/>
                </w:tcPr>
                <w:p>
                  <w:pPr>
                    <w:jc w:val="center"/>
                    <w:rPr>
                      <w:rFonts w:cs="Times New Roman"/>
                      <w:b/>
                      <w:bCs/>
                      <w:spacing w:val="4"/>
                      <w:szCs w:val="21"/>
                    </w:rPr>
                  </w:pPr>
                  <w:r>
                    <w:rPr>
                      <w:rFonts w:cs="Times New Roman"/>
                      <w:b/>
                      <w:bCs/>
                      <w:spacing w:val="4"/>
                      <w:szCs w:val="21"/>
                    </w:rPr>
                    <w:t>排放口</w:t>
                  </w:r>
                </w:p>
                <w:p>
                  <w:pPr>
                    <w:jc w:val="center"/>
                    <w:rPr>
                      <w:rFonts w:cs="Times New Roman"/>
                      <w:b/>
                      <w:bCs/>
                      <w:spacing w:val="4"/>
                      <w:szCs w:val="21"/>
                    </w:rPr>
                  </w:pPr>
                  <w:r>
                    <w:rPr>
                      <w:rFonts w:cs="Times New Roman"/>
                      <w:b/>
                      <w:bCs/>
                      <w:spacing w:val="4"/>
                      <w:szCs w:val="21"/>
                    </w:rPr>
                    <w:t>名称</w:t>
                  </w:r>
                </w:p>
              </w:tc>
              <w:tc>
                <w:tcPr>
                  <w:tcW w:w="1782" w:type="pct"/>
                  <w:gridSpan w:val="2"/>
                  <w:tcBorders>
                    <w:tl2br w:val="nil"/>
                    <w:tr2bl w:val="nil"/>
                  </w:tcBorders>
                  <w:vAlign w:val="center"/>
                </w:tcPr>
                <w:p>
                  <w:pPr>
                    <w:jc w:val="center"/>
                    <w:rPr>
                      <w:rFonts w:cs="Times New Roman"/>
                      <w:b/>
                      <w:bCs/>
                      <w:spacing w:val="4"/>
                      <w:szCs w:val="21"/>
                    </w:rPr>
                  </w:pPr>
                  <w:r>
                    <w:rPr>
                      <w:rFonts w:cs="Times New Roman"/>
                      <w:b/>
                      <w:bCs/>
                      <w:spacing w:val="4"/>
                      <w:szCs w:val="21"/>
                    </w:rPr>
                    <w:t>排放口地理坐标</w:t>
                  </w:r>
                </w:p>
              </w:tc>
              <w:tc>
                <w:tcPr>
                  <w:tcW w:w="693" w:type="pct"/>
                  <w:vMerge w:val="restart"/>
                  <w:tcBorders>
                    <w:tl2br w:val="nil"/>
                    <w:tr2bl w:val="nil"/>
                  </w:tcBorders>
                  <w:vAlign w:val="center"/>
                </w:tcPr>
                <w:p>
                  <w:pPr>
                    <w:jc w:val="center"/>
                    <w:rPr>
                      <w:rFonts w:cs="Times New Roman"/>
                      <w:b/>
                      <w:bCs/>
                      <w:spacing w:val="4"/>
                      <w:szCs w:val="21"/>
                    </w:rPr>
                  </w:pPr>
                  <w:r>
                    <w:rPr>
                      <w:rFonts w:cs="Times New Roman"/>
                      <w:b/>
                      <w:bCs/>
                      <w:spacing w:val="4"/>
                      <w:szCs w:val="21"/>
                    </w:rPr>
                    <w:t>废水排放量（t/a）</w:t>
                  </w:r>
                </w:p>
              </w:tc>
              <w:tc>
                <w:tcPr>
                  <w:tcW w:w="918" w:type="pct"/>
                  <w:vMerge w:val="restart"/>
                  <w:tcBorders>
                    <w:tl2br w:val="nil"/>
                    <w:tr2bl w:val="nil"/>
                  </w:tcBorders>
                  <w:vAlign w:val="center"/>
                </w:tcPr>
                <w:p>
                  <w:pPr>
                    <w:jc w:val="center"/>
                    <w:rPr>
                      <w:rFonts w:cs="Times New Roman"/>
                      <w:b/>
                      <w:bCs/>
                      <w:spacing w:val="4"/>
                      <w:szCs w:val="21"/>
                    </w:rPr>
                  </w:pPr>
                  <w:r>
                    <w:rPr>
                      <w:rFonts w:cs="Times New Roman"/>
                      <w:b/>
                      <w:bCs/>
                      <w:spacing w:val="4"/>
                      <w:szCs w:val="21"/>
                    </w:rPr>
                    <w:t>排放去向</w:t>
                  </w:r>
                </w:p>
              </w:tc>
              <w:tc>
                <w:tcPr>
                  <w:tcW w:w="585" w:type="pct"/>
                  <w:vMerge w:val="restart"/>
                  <w:tcBorders>
                    <w:tl2br w:val="nil"/>
                    <w:tr2bl w:val="nil"/>
                  </w:tcBorders>
                  <w:vAlign w:val="center"/>
                </w:tcPr>
                <w:p>
                  <w:pPr>
                    <w:jc w:val="center"/>
                    <w:rPr>
                      <w:rFonts w:cs="Times New Roman"/>
                      <w:b/>
                      <w:bCs/>
                      <w:spacing w:val="4"/>
                      <w:szCs w:val="21"/>
                    </w:rPr>
                  </w:pPr>
                  <w:r>
                    <w:rPr>
                      <w:rFonts w:cs="Times New Roman"/>
                      <w:b/>
                      <w:bCs/>
                      <w:spacing w:val="4"/>
                      <w:szCs w:val="21"/>
                    </w:rPr>
                    <w:t>排放规律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trPr>
              <w:tc>
                <w:tcPr>
                  <w:tcW w:w="496" w:type="pct"/>
                  <w:vMerge w:val="continue"/>
                  <w:tcBorders>
                    <w:tl2br w:val="nil"/>
                    <w:tr2bl w:val="nil"/>
                  </w:tcBorders>
                  <w:vAlign w:val="center"/>
                </w:tcPr>
                <w:p>
                  <w:pPr>
                    <w:jc w:val="center"/>
                    <w:rPr>
                      <w:rFonts w:cs="Times New Roman"/>
                      <w:spacing w:val="4"/>
                      <w:szCs w:val="21"/>
                    </w:rPr>
                  </w:pPr>
                </w:p>
              </w:tc>
              <w:tc>
                <w:tcPr>
                  <w:tcW w:w="522" w:type="pct"/>
                  <w:vMerge w:val="continue"/>
                  <w:tcBorders>
                    <w:tl2br w:val="nil"/>
                    <w:tr2bl w:val="nil"/>
                  </w:tcBorders>
                  <w:vAlign w:val="center"/>
                </w:tcPr>
                <w:p>
                  <w:pPr>
                    <w:jc w:val="center"/>
                    <w:rPr>
                      <w:rFonts w:cs="Times New Roman"/>
                      <w:spacing w:val="4"/>
                      <w:szCs w:val="21"/>
                    </w:rPr>
                  </w:pPr>
                </w:p>
              </w:tc>
              <w:tc>
                <w:tcPr>
                  <w:tcW w:w="891" w:type="pct"/>
                  <w:tcBorders>
                    <w:tl2br w:val="nil"/>
                    <w:tr2bl w:val="nil"/>
                  </w:tcBorders>
                  <w:vAlign w:val="center"/>
                </w:tcPr>
                <w:p>
                  <w:pPr>
                    <w:jc w:val="center"/>
                    <w:rPr>
                      <w:rFonts w:cs="Times New Roman"/>
                      <w:b/>
                      <w:bCs/>
                      <w:spacing w:val="4"/>
                      <w:szCs w:val="21"/>
                    </w:rPr>
                  </w:pPr>
                  <w:r>
                    <w:rPr>
                      <w:rFonts w:cs="Times New Roman"/>
                      <w:b/>
                      <w:bCs/>
                      <w:spacing w:val="4"/>
                      <w:szCs w:val="21"/>
                    </w:rPr>
                    <w:t>经度</w:t>
                  </w:r>
                </w:p>
              </w:tc>
              <w:tc>
                <w:tcPr>
                  <w:tcW w:w="891" w:type="pct"/>
                  <w:tcBorders>
                    <w:tl2br w:val="nil"/>
                    <w:tr2bl w:val="nil"/>
                  </w:tcBorders>
                  <w:vAlign w:val="center"/>
                </w:tcPr>
                <w:p>
                  <w:pPr>
                    <w:jc w:val="center"/>
                    <w:rPr>
                      <w:rFonts w:cs="Times New Roman"/>
                      <w:b/>
                      <w:bCs/>
                      <w:spacing w:val="4"/>
                      <w:szCs w:val="21"/>
                    </w:rPr>
                  </w:pPr>
                  <w:r>
                    <w:rPr>
                      <w:rFonts w:cs="Times New Roman"/>
                      <w:b/>
                      <w:bCs/>
                      <w:spacing w:val="4"/>
                      <w:szCs w:val="21"/>
                    </w:rPr>
                    <w:t>纬度</w:t>
                  </w:r>
                </w:p>
              </w:tc>
              <w:tc>
                <w:tcPr>
                  <w:tcW w:w="693" w:type="pct"/>
                  <w:vMerge w:val="continue"/>
                  <w:tcBorders>
                    <w:tl2br w:val="nil"/>
                    <w:tr2bl w:val="nil"/>
                  </w:tcBorders>
                  <w:vAlign w:val="center"/>
                </w:tcPr>
                <w:p>
                  <w:pPr>
                    <w:jc w:val="center"/>
                    <w:rPr>
                      <w:rFonts w:cs="Times New Roman"/>
                      <w:spacing w:val="4"/>
                      <w:szCs w:val="21"/>
                    </w:rPr>
                  </w:pPr>
                </w:p>
              </w:tc>
              <w:tc>
                <w:tcPr>
                  <w:tcW w:w="918" w:type="pct"/>
                  <w:vMerge w:val="continue"/>
                  <w:tcBorders>
                    <w:tl2br w:val="nil"/>
                    <w:tr2bl w:val="nil"/>
                  </w:tcBorders>
                  <w:vAlign w:val="center"/>
                </w:tcPr>
                <w:p>
                  <w:pPr>
                    <w:jc w:val="center"/>
                    <w:rPr>
                      <w:rFonts w:cs="Times New Roman"/>
                      <w:spacing w:val="4"/>
                      <w:szCs w:val="21"/>
                    </w:rPr>
                  </w:pPr>
                </w:p>
              </w:tc>
              <w:tc>
                <w:tcPr>
                  <w:tcW w:w="585" w:type="pct"/>
                  <w:vMerge w:val="continue"/>
                  <w:tcBorders>
                    <w:tl2br w:val="nil"/>
                    <w:tr2bl w:val="nil"/>
                  </w:tcBorders>
                  <w:vAlign w:val="center"/>
                </w:tcPr>
                <w:p>
                  <w:pPr>
                    <w:jc w:val="center"/>
                    <w:rPr>
                      <w:rFonts w:cs="Times New Roman"/>
                      <w:spacing w:val="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496" w:type="pct"/>
                  <w:tcBorders>
                    <w:tl2br w:val="nil"/>
                    <w:tr2bl w:val="nil"/>
                  </w:tcBorders>
                  <w:vAlign w:val="center"/>
                </w:tcPr>
                <w:p>
                  <w:pPr>
                    <w:jc w:val="center"/>
                    <w:rPr>
                      <w:rFonts w:cs="Times New Roman"/>
                      <w:spacing w:val="4"/>
                      <w:szCs w:val="21"/>
                    </w:rPr>
                  </w:pPr>
                  <w:r>
                    <w:rPr>
                      <w:rFonts w:cs="Times New Roman"/>
                      <w:spacing w:val="4"/>
                      <w:szCs w:val="21"/>
                    </w:rPr>
                    <w:t>DW001</w:t>
                  </w:r>
                </w:p>
              </w:tc>
              <w:tc>
                <w:tcPr>
                  <w:tcW w:w="522" w:type="pct"/>
                  <w:tcBorders>
                    <w:tl2br w:val="nil"/>
                    <w:tr2bl w:val="nil"/>
                  </w:tcBorders>
                  <w:vAlign w:val="center"/>
                </w:tcPr>
                <w:p>
                  <w:pPr>
                    <w:jc w:val="center"/>
                    <w:rPr>
                      <w:rFonts w:cs="Times New Roman"/>
                      <w:spacing w:val="4"/>
                      <w:szCs w:val="21"/>
                    </w:rPr>
                  </w:pPr>
                  <w:r>
                    <w:rPr>
                      <w:rFonts w:cs="Times New Roman"/>
                      <w:spacing w:val="4"/>
                      <w:szCs w:val="21"/>
                    </w:rPr>
                    <w:t>废水排放口</w:t>
                  </w:r>
                </w:p>
              </w:tc>
              <w:tc>
                <w:tcPr>
                  <w:tcW w:w="891" w:type="pct"/>
                  <w:tcBorders>
                    <w:tl2br w:val="nil"/>
                    <w:tr2bl w:val="nil"/>
                  </w:tcBorders>
                  <w:vAlign w:val="center"/>
                </w:tcPr>
                <w:p>
                  <w:pPr>
                    <w:jc w:val="center"/>
                    <w:rPr>
                      <w:rFonts w:cs="Times New Roman"/>
                      <w:spacing w:val="4"/>
                      <w:szCs w:val="21"/>
                    </w:rPr>
                  </w:pPr>
                  <w:r>
                    <w:rPr>
                      <w:rFonts w:cs="Times New Roman"/>
                      <w:spacing w:val="4"/>
                      <w:szCs w:val="21"/>
                    </w:rPr>
                    <w:t>107°41′29.83″</w:t>
                  </w:r>
                </w:p>
              </w:tc>
              <w:tc>
                <w:tcPr>
                  <w:tcW w:w="891" w:type="pct"/>
                  <w:tcBorders>
                    <w:tl2br w:val="nil"/>
                    <w:tr2bl w:val="nil"/>
                  </w:tcBorders>
                  <w:vAlign w:val="center"/>
                </w:tcPr>
                <w:p>
                  <w:pPr>
                    <w:jc w:val="center"/>
                    <w:rPr>
                      <w:rFonts w:cs="Times New Roman"/>
                      <w:spacing w:val="4"/>
                      <w:szCs w:val="21"/>
                    </w:rPr>
                  </w:pPr>
                  <w:r>
                    <w:rPr>
                      <w:rFonts w:cs="Times New Roman"/>
                      <w:spacing w:val="4"/>
                      <w:szCs w:val="21"/>
                    </w:rPr>
                    <w:t>31°25′45.95″</w:t>
                  </w:r>
                </w:p>
              </w:tc>
              <w:tc>
                <w:tcPr>
                  <w:tcW w:w="693" w:type="pct"/>
                  <w:tcBorders>
                    <w:tl2br w:val="nil"/>
                    <w:tr2bl w:val="nil"/>
                  </w:tcBorders>
                  <w:vAlign w:val="center"/>
                </w:tcPr>
                <w:p>
                  <w:pPr>
                    <w:jc w:val="center"/>
                    <w:rPr>
                      <w:rFonts w:cs="Times New Roman"/>
                      <w:spacing w:val="4"/>
                      <w:szCs w:val="21"/>
                    </w:rPr>
                  </w:pPr>
                  <w:r>
                    <w:rPr>
                      <w:rFonts w:cs="Times New Roman"/>
                      <w:spacing w:val="4"/>
                      <w:szCs w:val="21"/>
                    </w:rPr>
                    <w:t>673.2</w:t>
                  </w:r>
                </w:p>
              </w:tc>
              <w:tc>
                <w:tcPr>
                  <w:tcW w:w="918" w:type="pct"/>
                  <w:tcBorders>
                    <w:tl2br w:val="nil"/>
                    <w:tr2bl w:val="nil"/>
                  </w:tcBorders>
                  <w:vAlign w:val="center"/>
                </w:tcPr>
                <w:p>
                  <w:pPr>
                    <w:jc w:val="center"/>
                    <w:rPr>
                      <w:rFonts w:cs="Times New Roman"/>
                      <w:spacing w:val="4"/>
                      <w:szCs w:val="21"/>
                    </w:rPr>
                  </w:pPr>
                  <w:r>
                    <w:rPr>
                      <w:rFonts w:cs="Times New Roman"/>
                      <w:spacing w:val="4"/>
                      <w:szCs w:val="21"/>
                    </w:rPr>
                    <w:t>柳池工业园区污水处理厂</w:t>
                  </w:r>
                </w:p>
              </w:tc>
              <w:tc>
                <w:tcPr>
                  <w:tcW w:w="585" w:type="pct"/>
                  <w:tcBorders>
                    <w:tl2br w:val="nil"/>
                    <w:tr2bl w:val="nil"/>
                  </w:tcBorders>
                  <w:vAlign w:val="center"/>
                </w:tcPr>
                <w:p>
                  <w:pPr>
                    <w:jc w:val="center"/>
                    <w:rPr>
                      <w:rFonts w:cs="Times New Roman"/>
                      <w:szCs w:val="21"/>
                    </w:rPr>
                  </w:pPr>
                  <w:r>
                    <w:rPr>
                      <w:rFonts w:cs="Times New Roman"/>
                      <w:szCs w:val="21"/>
                    </w:rPr>
                    <w:t>间断</w:t>
                  </w:r>
                </w:p>
                <w:p>
                  <w:pPr>
                    <w:jc w:val="center"/>
                    <w:rPr>
                      <w:rFonts w:cs="Times New Roman"/>
                      <w:spacing w:val="4"/>
                      <w:szCs w:val="21"/>
                    </w:rPr>
                  </w:pPr>
                  <w:r>
                    <w:rPr>
                      <w:rFonts w:cs="Times New Roman"/>
                      <w:szCs w:val="21"/>
                    </w:rPr>
                    <w:t>排放</w:t>
                  </w:r>
                </w:p>
              </w:tc>
            </w:tr>
          </w:tbl>
          <w:p>
            <w:pPr>
              <w:spacing w:line="360" w:lineRule="auto"/>
              <w:ind w:firstLine="482" w:firstLineChars="200"/>
              <w:rPr>
                <w:rFonts w:cs="Times New Roman"/>
                <w:b/>
                <w:bCs/>
                <w:sz w:val="24"/>
                <w:szCs w:val="24"/>
              </w:rPr>
            </w:pPr>
            <w:r>
              <w:rPr>
                <w:rFonts w:cs="Times New Roman"/>
                <w:b/>
                <w:bCs/>
                <w:sz w:val="24"/>
                <w:szCs w:val="24"/>
              </w:rPr>
              <w:t>（3）污染物排放信息</w:t>
            </w:r>
          </w:p>
          <w:p>
            <w:pPr>
              <w:spacing w:line="360" w:lineRule="auto"/>
              <w:ind w:firstLine="480" w:firstLineChars="200"/>
              <w:rPr>
                <w:rFonts w:cs="Times New Roman"/>
                <w:sz w:val="24"/>
                <w:szCs w:val="24"/>
              </w:rPr>
            </w:pPr>
            <w:r>
              <w:rPr>
                <w:rFonts w:cs="Times New Roman"/>
                <w:sz w:val="24"/>
                <w:szCs w:val="24"/>
              </w:rPr>
              <w:t>本项目废水污染物排放量见下表。</w:t>
            </w:r>
          </w:p>
          <w:p>
            <w:pPr>
              <w:spacing w:line="360" w:lineRule="auto"/>
              <w:jc w:val="center"/>
              <w:rPr>
                <w:rFonts w:cs="Times New Roman"/>
                <w:b/>
                <w:bCs/>
                <w:sz w:val="24"/>
                <w:szCs w:val="24"/>
              </w:rPr>
            </w:pPr>
          </w:p>
          <w:p>
            <w:pPr>
              <w:spacing w:line="360" w:lineRule="auto"/>
              <w:jc w:val="center"/>
              <w:rPr>
                <w:rFonts w:cs="Times New Roman"/>
                <w:b/>
                <w:bCs/>
                <w:sz w:val="24"/>
                <w:szCs w:val="24"/>
              </w:rPr>
            </w:pPr>
            <w:r>
              <w:rPr>
                <w:rFonts w:cs="Times New Roman"/>
                <w:b/>
                <w:bCs/>
                <w:sz w:val="24"/>
                <w:szCs w:val="24"/>
              </w:rPr>
              <w:t>表4-18  本项目废水污染物排放信息表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10"/>
              <w:gridCol w:w="1421"/>
              <w:gridCol w:w="1081"/>
              <w:gridCol w:w="721"/>
              <w:gridCol w:w="721"/>
              <w:gridCol w:w="721"/>
              <w:gridCol w:w="720"/>
              <w:gridCol w:w="720"/>
              <w:gridCol w:w="7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8" w:hRule="atLeast"/>
                <w:jc w:val="center"/>
              </w:trPr>
              <w:tc>
                <w:tcPr>
                  <w:tcW w:w="1868" w:type="pct"/>
                  <w:gridSpan w:val="2"/>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废水性质</w:t>
                  </w:r>
                </w:p>
              </w:tc>
              <w:tc>
                <w:tcPr>
                  <w:tcW w:w="625"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废水量(m</w:t>
                  </w:r>
                  <w:r>
                    <w:rPr>
                      <w:rFonts w:cs="Times New Roman"/>
                      <w:b/>
                      <w:bCs/>
                      <w:szCs w:val="21"/>
                      <w:vertAlign w:val="superscript"/>
                    </w:rPr>
                    <w:t>3</w:t>
                  </w:r>
                  <w:r>
                    <w:rPr>
                      <w:rFonts w:cs="Times New Roman"/>
                      <w:b/>
                      <w:bCs/>
                      <w:szCs w:val="21"/>
                    </w:rPr>
                    <w:t>/a)</w:t>
                  </w:r>
                </w:p>
              </w:tc>
              <w:tc>
                <w:tcPr>
                  <w:tcW w:w="417"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COD</w:t>
                  </w:r>
                </w:p>
              </w:tc>
              <w:tc>
                <w:tcPr>
                  <w:tcW w:w="417"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BOD</w:t>
                  </w:r>
                  <w:r>
                    <w:rPr>
                      <w:rFonts w:cs="Times New Roman"/>
                      <w:b/>
                      <w:bCs/>
                      <w:szCs w:val="21"/>
                      <w:vertAlign w:val="subscript"/>
                    </w:rPr>
                    <w:t>5</w:t>
                  </w:r>
                </w:p>
              </w:tc>
              <w:tc>
                <w:tcPr>
                  <w:tcW w:w="417" w:type="pc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NH</w:t>
                  </w:r>
                  <w:r>
                    <w:rPr>
                      <w:rFonts w:cs="Times New Roman"/>
                      <w:b/>
                      <w:bCs/>
                      <w:szCs w:val="21"/>
                      <w:vertAlign w:val="subscript"/>
                    </w:rPr>
                    <w:t>3</w:t>
                  </w:r>
                  <w:r>
                    <w:rPr>
                      <w:rFonts w:cs="Times New Roman"/>
                      <w:b/>
                      <w:bCs/>
                      <w:szCs w:val="21"/>
                    </w:rPr>
                    <w:t>-N</w:t>
                  </w:r>
                </w:p>
              </w:tc>
              <w:tc>
                <w:tcPr>
                  <w:tcW w:w="417" w:type="pct"/>
                  <w:tcBorders>
                    <w:tl2br w:val="nil"/>
                    <w:tr2bl w:val="nil"/>
                  </w:tcBorders>
                  <w:noWrap/>
                  <w:vAlign w:val="center"/>
                </w:tcPr>
                <w:p>
                  <w:pPr>
                    <w:jc w:val="center"/>
                    <w:rPr>
                      <w:rFonts w:cs="Times New Roman"/>
                      <w:b/>
                      <w:bCs/>
                      <w:szCs w:val="21"/>
                    </w:rPr>
                  </w:pPr>
                  <w:r>
                    <w:rPr>
                      <w:rFonts w:cs="Times New Roman"/>
                      <w:b/>
                      <w:bCs/>
                      <w:szCs w:val="21"/>
                    </w:rPr>
                    <w:t>TP</w:t>
                  </w:r>
                </w:p>
              </w:tc>
              <w:tc>
                <w:tcPr>
                  <w:tcW w:w="417" w:type="pct"/>
                  <w:tcBorders>
                    <w:tl2br w:val="nil"/>
                    <w:tr2bl w:val="nil"/>
                  </w:tcBorders>
                  <w:noWrap/>
                  <w:vAlign w:val="center"/>
                </w:tcPr>
                <w:p>
                  <w:pPr>
                    <w:jc w:val="center"/>
                    <w:rPr>
                      <w:rFonts w:cs="Times New Roman"/>
                      <w:b/>
                      <w:bCs/>
                      <w:szCs w:val="21"/>
                    </w:rPr>
                  </w:pPr>
                  <w:r>
                    <w:rPr>
                      <w:rFonts w:cs="Times New Roman"/>
                      <w:b/>
                      <w:bCs/>
                      <w:szCs w:val="21"/>
                    </w:rPr>
                    <w:t>SS</w:t>
                  </w:r>
                </w:p>
              </w:tc>
              <w:tc>
                <w:tcPr>
                  <w:tcW w:w="419" w:type="pct"/>
                  <w:tcBorders>
                    <w:tl2br w:val="nil"/>
                    <w:tr2bl w:val="nil"/>
                  </w:tcBorders>
                  <w:noWrap/>
                  <w:vAlign w:val="center"/>
                </w:tcPr>
                <w:p>
                  <w:pPr>
                    <w:jc w:val="center"/>
                    <w:rPr>
                      <w:rFonts w:cs="Times New Roman"/>
                      <w:b/>
                      <w:bCs/>
                      <w:szCs w:val="21"/>
                    </w:rPr>
                  </w:pPr>
                  <w:r>
                    <w:rPr>
                      <w:rFonts w:cs="Times New Roman"/>
                      <w:b/>
                      <w:bCs/>
                      <w:szCs w:val="21"/>
                    </w:rPr>
                    <w:t>动植物油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046" w:type="pct"/>
                  <w:vMerge w:val="restar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生活污水处理前</w:t>
                  </w:r>
                </w:p>
              </w:tc>
              <w:tc>
                <w:tcPr>
                  <w:tcW w:w="821" w:type="pct"/>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浓度(mg/L)</w:t>
                  </w:r>
                </w:p>
              </w:tc>
              <w:tc>
                <w:tcPr>
                  <w:tcW w:w="625" w:type="pct"/>
                  <w:vMerge w:val="restart"/>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pacing w:val="4"/>
                      <w:szCs w:val="21"/>
                    </w:rPr>
                    <w:t>673.2</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szCs w:val="21"/>
                    </w:rPr>
                    <w:t>325</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szCs w:val="21"/>
                    </w:rPr>
                    <w:t>140</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37.7</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4.28</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200</w:t>
                  </w:r>
                </w:p>
              </w:tc>
              <w:tc>
                <w:tcPr>
                  <w:tcW w:w="419"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046" w:type="pct"/>
                  <w:vMerge w:val="continue"/>
                  <w:tcBorders>
                    <w:tl2br w:val="nil"/>
                    <w:tr2bl w:val="nil"/>
                  </w:tcBorders>
                  <w:noWrap/>
                  <w:tcMar>
                    <w:top w:w="15" w:type="dxa"/>
                    <w:left w:w="15" w:type="dxa"/>
                    <w:bottom w:w="0" w:type="dxa"/>
                    <w:right w:w="15" w:type="dxa"/>
                  </w:tcMar>
                  <w:vAlign w:val="center"/>
                </w:tcPr>
                <w:p>
                  <w:pPr>
                    <w:jc w:val="center"/>
                    <w:rPr>
                      <w:rFonts w:cs="Times New Roman"/>
                      <w:b/>
                      <w:bCs/>
                      <w:szCs w:val="21"/>
                    </w:rPr>
                  </w:pPr>
                </w:p>
              </w:tc>
              <w:tc>
                <w:tcPr>
                  <w:tcW w:w="821" w:type="pct"/>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产生量(t/a)</w:t>
                  </w:r>
                </w:p>
              </w:tc>
              <w:tc>
                <w:tcPr>
                  <w:tcW w:w="625" w:type="pct"/>
                  <w:vMerge w:val="continue"/>
                  <w:tcBorders>
                    <w:tl2br w:val="nil"/>
                    <w:tr2bl w:val="nil"/>
                  </w:tcBorders>
                  <w:noWrap/>
                  <w:tcMar>
                    <w:top w:w="15" w:type="dxa"/>
                    <w:left w:w="15" w:type="dxa"/>
                    <w:bottom w:w="0" w:type="dxa"/>
                    <w:right w:w="15" w:type="dxa"/>
                  </w:tcMar>
                  <w:vAlign w:val="center"/>
                </w:tcPr>
                <w:p>
                  <w:pPr>
                    <w:jc w:val="center"/>
                    <w:rPr>
                      <w:rFonts w:cs="Times New Roman"/>
                      <w:szCs w:val="21"/>
                    </w:rPr>
                  </w:pP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 xml:space="preserve">0.2188 </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 xml:space="preserve">0.0942 </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 xml:space="preserve">0.0254 </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 xml:space="preserve">0.0029 </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 xml:space="preserve">0.1346 </w:t>
                  </w:r>
                </w:p>
              </w:tc>
              <w:tc>
                <w:tcPr>
                  <w:tcW w:w="419"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 xml:space="preserve">0.0673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046" w:type="pct"/>
                  <w:vMerge w:val="restart"/>
                  <w:tcBorders>
                    <w:tl2br w:val="nil"/>
                    <w:tr2bl w:val="nil"/>
                  </w:tcBorders>
                  <w:noWrap/>
                  <w:tcMar>
                    <w:top w:w="15" w:type="dxa"/>
                    <w:left w:w="15" w:type="dxa"/>
                    <w:bottom w:w="0" w:type="dxa"/>
                    <w:right w:w="15" w:type="dxa"/>
                  </w:tcMar>
                  <w:vAlign w:val="center"/>
                </w:tcPr>
                <w:p>
                  <w:pPr>
                    <w:jc w:val="center"/>
                    <w:rPr>
                      <w:rFonts w:cs="Times New Roman"/>
                      <w:b/>
                      <w:bCs/>
                      <w:szCs w:val="21"/>
                    </w:rPr>
                  </w:pPr>
                  <w:r>
                    <w:rPr>
                      <w:rFonts w:cs="Times New Roman"/>
                      <w:b/>
                      <w:bCs/>
                      <w:szCs w:val="21"/>
                    </w:rPr>
                    <w:t>经化粪池处理后</w:t>
                  </w:r>
                </w:p>
              </w:tc>
              <w:tc>
                <w:tcPr>
                  <w:tcW w:w="821" w:type="pct"/>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浓度(mg/L)</w:t>
                  </w:r>
                </w:p>
              </w:tc>
              <w:tc>
                <w:tcPr>
                  <w:tcW w:w="625" w:type="pct"/>
                  <w:vMerge w:val="restart"/>
                  <w:tcBorders>
                    <w:tl2br w:val="nil"/>
                    <w:tr2bl w:val="nil"/>
                  </w:tcBorders>
                  <w:noWrap/>
                  <w:tcMar>
                    <w:top w:w="15" w:type="dxa"/>
                    <w:left w:w="15" w:type="dxa"/>
                    <w:bottom w:w="0" w:type="dxa"/>
                    <w:right w:w="15" w:type="dxa"/>
                  </w:tcMar>
                  <w:vAlign w:val="center"/>
                </w:tcPr>
                <w:p>
                  <w:pPr>
                    <w:jc w:val="center"/>
                    <w:rPr>
                      <w:rFonts w:cs="Times New Roman"/>
                      <w:bCs/>
                      <w:szCs w:val="21"/>
                    </w:rPr>
                  </w:pPr>
                  <w:r>
                    <w:rPr>
                      <w:rFonts w:cs="Times New Roman"/>
                      <w:spacing w:val="4"/>
                      <w:szCs w:val="21"/>
                    </w:rPr>
                    <w:t>673.2</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300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120</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30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bCs/>
                      <w:szCs w:val="21"/>
                    </w:rPr>
                    <w:t>3.5</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70</w:t>
                  </w:r>
                </w:p>
              </w:tc>
              <w:tc>
                <w:tcPr>
                  <w:tcW w:w="419"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046" w:type="pct"/>
                  <w:vMerge w:val="continue"/>
                  <w:tcBorders>
                    <w:tl2br w:val="nil"/>
                    <w:tr2bl w:val="nil"/>
                  </w:tcBorders>
                  <w:noWrap/>
                  <w:vAlign w:val="center"/>
                </w:tcPr>
                <w:p>
                  <w:pPr>
                    <w:jc w:val="center"/>
                    <w:rPr>
                      <w:rFonts w:cs="Times New Roman"/>
                      <w:b/>
                      <w:bCs/>
                      <w:szCs w:val="21"/>
                    </w:rPr>
                  </w:pPr>
                </w:p>
              </w:tc>
              <w:tc>
                <w:tcPr>
                  <w:tcW w:w="821" w:type="pct"/>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排放量(t/a)</w:t>
                  </w:r>
                </w:p>
              </w:tc>
              <w:tc>
                <w:tcPr>
                  <w:tcW w:w="625" w:type="pct"/>
                  <w:vMerge w:val="continue"/>
                  <w:tcBorders>
                    <w:tl2br w:val="nil"/>
                    <w:tr2bl w:val="nil"/>
                  </w:tcBorders>
                  <w:noWrap/>
                  <w:tcMar>
                    <w:top w:w="15" w:type="dxa"/>
                    <w:left w:w="15" w:type="dxa"/>
                    <w:bottom w:w="0" w:type="dxa"/>
                    <w:right w:w="15" w:type="dxa"/>
                  </w:tcMar>
                  <w:vAlign w:val="center"/>
                </w:tcPr>
                <w:p>
                  <w:pPr>
                    <w:jc w:val="center"/>
                    <w:rPr>
                      <w:rFonts w:cs="Times New Roman"/>
                      <w:bCs/>
                      <w:szCs w:val="21"/>
                    </w:rPr>
                  </w:pP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 xml:space="preserve">0.2020 </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 xml:space="preserve">0.0808 </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 xml:space="preserve">0.0202 </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 xml:space="preserve">0.0024 </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 xml:space="preserve">0.0471 </w:t>
                  </w:r>
                </w:p>
              </w:tc>
              <w:tc>
                <w:tcPr>
                  <w:tcW w:w="419"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 xml:space="preserve">0.0337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046" w:type="pct"/>
                  <w:vMerge w:val="restart"/>
                  <w:tcBorders>
                    <w:tl2br w:val="nil"/>
                    <w:tr2bl w:val="nil"/>
                  </w:tcBorders>
                  <w:noWrap/>
                  <w:vAlign w:val="center"/>
                </w:tcPr>
                <w:p>
                  <w:pPr>
                    <w:jc w:val="center"/>
                    <w:rPr>
                      <w:rFonts w:cs="Times New Roman"/>
                      <w:b/>
                      <w:bCs/>
                      <w:szCs w:val="21"/>
                    </w:rPr>
                  </w:pPr>
                  <w:r>
                    <w:rPr>
                      <w:rFonts w:cs="Times New Roman"/>
                      <w:b/>
                      <w:bCs/>
                      <w:szCs w:val="21"/>
                    </w:rPr>
                    <w:t>经污水处理厂处理后</w:t>
                  </w:r>
                </w:p>
              </w:tc>
              <w:tc>
                <w:tcPr>
                  <w:tcW w:w="821" w:type="pct"/>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浓度(mg/L)</w:t>
                  </w:r>
                </w:p>
              </w:tc>
              <w:tc>
                <w:tcPr>
                  <w:tcW w:w="625" w:type="pct"/>
                  <w:vMerge w:val="restart"/>
                  <w:tcBorders>
                    <w:tl2br w:val="nil"/>
                    <w:tr2bl w:val="nil"/>
                  </w:tcBorders>
                  <w:noWrap/>
                  <w:tcMar>
                    <w:top w:w="15" w:type="dxa"/>
                    <w:left w:w="15" w:type="dxa"/>
                    <w:bottom w:w="0" w:type="dxa"/>
                    <w:right w:w="15" w:type="dxa"/>
                  </w:tcMar>
                  <w:vAlign w:val="center"/>
                </w:tcPr>
                <w:p>
                  <w:pPr>
                    <w:jc w:val="center"/>
                    <w:rPr>
                      <w:rFonts w:cs="Times New Roman"/>
                      <w:bCs/>
                      <w:szCs w:val="21"/>
                    </w:rPr>
                  </w:pPr>
                  <w:r>
                    <w:rPr>
                      <w:rFonts w:cs="Times New Roman"/>
                      <w:spacing w:val="4"/>
                      <w:szCs w:val="21"/>
                    </w:rPr>
                    <w:t>673.2</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50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10</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10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5</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10</w:t>
                  </w:r>
                </w:p>
              </w:tc>
              <w:tc>
                <w:tcPr>
                  <w:tcW w:w="419"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1046" w:type="pct"/>
                  <w:vMerge w:val="continue"/>
                  <w:tcBorders>
                    <w:tl2br w:val="nil"/>
                    <w:tr2bl w:val="nil"/>
                  </w:tcBorders>
                  <w:noWrap/>
                  <w:vAlign w:val="center"/>
                </w:tcPr>
                <w:p>
                  <w:pPr>
                    <w:jc w:val="center"/>
                    <w:rPr>
                      <w:rFonts w:cs="Times New Roman"/>
                      <w:b/>
                      <w:bCs/>
                      <w:szCs w:val="21"/>
                    </w:rPr>
                  </w:pPr>
                </w:p>
              </w:tc>
              <w:tc>
                <w:tcPr>
                  <w:tcW w:w="821" w:type="pct"/>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排放量(t/a)</w:t>
                  </w:r>
                </w:p>
              </w:tc>
              <w:tc>
                <w:tcPr>
                  <w:tcW w:w="625" w:type="pct"/>
                  <w:vMerge w:val="continue"/>
                  <w:tcBorders>
                    <w:tl2br w:val="nil"/>
                    <w:tr2bl w:val="nil"/>
                  </w:tcBorders>
                  <w:noWrap/>
                  <w:tcMar>
                    <w:top w:w="15" w:type="dxa"/>
                    <w:left w:w="15" w:type="dxa"/>
                    <w:bottom w:w="0" w:type="dxa"/>
                    <w:right w:w="15" w:type="dxa"/>
                  </w:tcMar>
                  <w:vAlign w:val="center"/>
                </w:tcPr>
                <w:p>
                  <w:pPr>
                    <w:jc w:val="center"/>
                    <w:rPr>
                      <w:rFonts w:cs="Times New Roman"/>
                      <w:bCs/>
                      <w:szCs w:val="21"/>
                    </w:rPr>
                  </w:pP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 xml:space="preserve">0.0337 </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 xml:space="preserve">0.0067 </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 xml:space="preserve">0.0067 </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bCs/>
                      <w:szCs w:val="21"/>
                    </w:rPr>
                  </w:pPr>
                  <w:r>
                    <w:rPr>
                      <w:rFonts w:cs="Times New Roman"/>
                      <w:kern w:val="0"/>
                      <w:szCs w:val="21"/>
                      <w:lang w:bidi="ar"/>
                    </w:rPr>
                    <w:t xml:space="preserve">0.0034 </w:t>
                  </w:r>
                </w:p>
              </w:tc>
              <w:tc>
                <w:tcPr>
                  <w:tcW w:w="417"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 xml:space="preserve">0.0067 </w:t>
                  </w:r>
                </w:p>
              </w:tc>
              <w:tc>
                <w:tcPr>
                  <w:tcW w:w="419" w:type="pct"/>
                  <w:tcBorders>
                    <w:tl2br w:val="nil"/>
                    <w:tr2bl w:val="nil"/>
                  </w:tcBorders>
                  <w:noWrap/>
                  <w:vAlign w:val="center"/>
                </w:tcPr>
                <w:p>
                  <w:pPr>
                    <w:widowControl/>
                    <w:jc w:val="center"/>
                    <w:textAlignment w:val="center"/>
                    <w:rPr>
                      <w:rFonts w:cs="Times New Roman"/>
                      <w:bCs/>
                      <w:szCs w:val="21"/>
                    </w:rPr>
                  </w:pPr>
                  <w:r>
                    <w:rPr>
                      <w:rFonts w:cs="Times New Roman"/>
                      <w:kern w:val="0"/>
                      <w:szCs w:val="21"/>
                      <w:lang w:bidi="ar"/>
                    </w:rPr>
                    <w:t xml:space="preserve">0.0007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2493" w:type="pct"/>
                  <w:gridSpan w:val="3"/>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《污水综合排放标准》GB8978-1996三级标准</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500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300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45</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8</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400</w:t>
                  </w:r>
                </w:p>
              </w:tc>
              <w:tc>
                <w:tcPr>
                  <w:tcW w:w="419"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8" w:hRule="atLeast"/>
                <w:jc w:val="center"/>
              </w:trPr>
              <w:tc>
                <w:tcPr>
                  <w:tcW w:w="2493" w:type="pct"/>
                  <w:gridSpan w:val="3"/>
                  <w:tcBorders>
                    <w:tl2br w:val="nil"/>
                    <w:tr2bl w:val="nil"/>
                  </w:tcBorders>
                  <w:noWrap/>
                  <w:tcMar>
                    <w:top w:w="15" w:type="dxa"/>
                    <w:left w:w="15" w:type="dxa"/>
                    <w:bottom w:w="0" w:type="dxa"/>
                    <w:right w:w="15" w:type="dxa"/>
                  </w:tcMar>
                  <w:vAlign w:val="center"/>
                </w:tcPr>
                <w:p>
                  <w:pPr>
                    <w:jc w:val="center"/>
                    <w:rPr>
                      <w:rFonts w:cs="Times New Roman"/>
                      <w:szCs w:val="21"/>
                    </w:rPr>
                  </w:pPr>
                  <w:r>
                    <w:rPr>
                      <w:rFonts w:cs="Times New Roman"/>
                      <w:szCs w:val="21"/>
                    </w:rPr>
                    <w:t>《城镇污水处理厂污染物排放标准》（GB18918-2002）一级A标</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50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10</w:t>
                  </w:r>
                </w:p>
              </w:tc>
              <w:tc>
                <w:tcPr>
                  <w:tcW w:w="417" w:type="pct"/>
                  <w:tcBorders>
                    <w:tl2br w:val="nil"/>
                    <w:tr2bl w:val="nil"/>
                  </w:tcBorders>
                  <w:noWrap/>
                  <w:tcMar>
                    <w:top w:w="15" w:type="dxa"/>
                    <w:left w:w="15" w:type="dxa"/>
                    <w:bottom w:w="0" w:type="dxa"/>
                    <w:right w:w="15" w:type="dxa"/>
                  </w:tcMar>
                  <w:vAlign w:val="center"/>
                </w:tcPr>
                <w:p>
                  <w:pPr>
                    <w:widowControl/>
                    <w:jc w:val="center"/>
                    <w:textAlignment w:val="center"/>
                    <w:rPr>
                      <w:rFonts w:cs="Times New Roman"/>
                      <w:szCs w:val="21"/>
                    </w:rPr>
                  </w:pPr>
                  <w:r>
                    <w:rPr>
                      <w:rFonts w:cs="Times New Roman"/>
                      <w:kern w:val="0"/>
                      <w:szCs w:val="21"/>
                      <w:lang w:bidi="ar"/>
                    </w:rPr>
                    <w:t>5</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1</w:t>
                  </w:r>
                </w:p>
              </w:tc>
              <w:tc>
                <w:tcPr>
                  <w:tcW w:w="417"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10</w:t>
                  </w:r>
                </w:p>
              </w:tc>
              <w:tc>
                <w:tcPr>
                  <w:tcW w:w="419"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1</w:t>
                  </w:r>
                </w:p>
              </w:tc>
            </w:tr>
          </w:tbl>
          <w:p>
            <w:pPr>
              <w:spacing w:line="360" w:lineRule="auto"/>
              <w:ind w:firstLine="482" w:firstLineChars="200"/>
              <w:rPr>
                <w:rFonts w:cs="Times New Roman"/>
                <w:sz w:val="24"/>
                <w:szCs w:val="24"/>
              </w:rPr>
            </w:pPr>
            <w:r>
              <w:rPr>
                <w:rFonts w:cs="Times New Roman"/>
                <w:b/>
                <w:bCs/>
                <w:sz w:val="24"/>
                <w:szCs w:val="24"/>
              </w:rPr>
              <w:t>（4）</w:t>
            </w:r>
            <w:r>
              <w:rPr>
                <w:rFonts w:cs="Times New Roman"/>
                <w:b/>
                <w:bCs/>
                <w:sz w:val="24"/>
              </w:rPr>
              <w:t>废水治理措施可行性分析</w:t>
            </w:r>
          </w:p>
          <w:p>
            <w:pPr>
              <w:spacing w:line="360" w:lineRule="auto"/>
              <w:ind w:firstLine="482" w:firstLineChars="200"/>
              <w:rPr>
                <w:rFonts w:cs="Times New Roman"/>
                <w:b/>
                <w:bCs/>
                <w:sz w:val="24"/>
                <w:szCs w:val="24"/>
              </w:rPr>
            </w:pPr>
            <w:r>
              <w:rPr>
                <w:rFonts w:cs="Times New Roman"/>
                <w:b/>
                <w:bCs/>
                <w:sz w:val="24"/>
                <w:szCs w:val="24"/>
              </w:rPr>
              <w:t>①隔油池可行性分析</w:t>
            </w:r>
          </w:p>
          <w:p>
            <w:pPr>
              <w:spacing w:line="360" w:lineRule="auto"/>
              <w:ind w:firstLine="480" w:firstLineChars="200"/>
              <w:rPr>
                <w:rFonts w:cs="Times New Roman"/>
                <w:sz w:val="24"/>
                <w:szCs w:val="24"/>
              </w:rPr>
            </w:pPr>
            <w:r>
              <w:rPr>
                <w:rFonts w:cs="Times New Roman"/>
                <w:sz w:val="24"/>
                <w:szCs w:val="24"/>
              </w:rPr>
              <w:t>项目拟建设1个容积为1.0m</w:t>
            </w:r>
            <w:r>
              <w:rPr>
                <w:rFonts w:cs="Times New Roman"/>
                <w:sz w:val="24"/>
                <w:szCs w:val="24"/>
                <w:vertAlign w:val="superscript"/>
              </w:rPr>
              <w:t>3</w:t>
            </w:r>
            <w:r>
              <w:rPr>
                <w:rFonts w:cs="Times New Roman"/>
                <w:sz w:val="24"/>
                <w:szCs w:val="24"/>
              </w:rPr>
              <w:t>的隔油池，用于食堂含油废水，废水在隔油池中停留时间按0.5h计，则隔油池最大接纳污水量为2.0m</w:t>
            </w:r>
            <w:r>
              <w:rPr>
                <w:rFonts w:cs="Times New Roman"/>
                <w:sz w:val="24"/>
                <w:szCs w:val="24"/>
                <w:vertAlign w:val="superscript"/>
              </w:rPr>
              <w:t>3</w:t>
            </w:r>
            <w:r>
              <w:rPr>
                <w:rFonts w:cs="Times New Roman"/>
                <w:sz w:val="24"/>
                <w:szCs w:val="24"/>
              </w:rPr>
              <w:t>/h，食堂废水产生量为0.34m</w:t>
            </w:r>
            <w:r>
              <w:rPr>
                <w:rFonts w:cs="Times New Roman"/>
                <w:sz w:val="24"/>
                <w:szCs w:val="24"/>
                <w:vertAlign w:val="superscript"/>
              </w:rPr>
              <w:t>3</w:t>
            </w:r>
            <w:r>
              <w:rPr>
                <w:rFonts w:cs="Times New Roman"/>
                <w:sz w:val="24"/>
                <w:szCs w:val="24"/>
              </w:rPr>
              <w:t>/h，低于隔油池的最大处理能力。同时，废水经隔油处理后，可有效去除废水中的油污，满足环境可行性要求。</w:t>
            </w:r>
          </w:p>
          <w:p>
            <w:pPr>
              <w:spacing w:line="360" w:lineRule="auto"/>
              <w:ind w:firstLine="482" w:firstLineChars="200"/>
              <w:rPr>
                <w:rFonts w:cs="Times New Roman"/>
                <w:b/>
                <w:bCs/>
                <w:sz w:val="24"/>
                <w:szCs w:val="24"/>
              </w:rPr>
            </w:pPr>
            <w:r>
              <w:rPr>
                <w:rFonts w:cs="Times New Roman"/>
                <w:b/>
                <w:bCs/>
                <w:sz w:val="24"/>
                <w:szCs w:val="24"/>
              </w:rPr>
              <w:t>②化粪池可行性分析</w:t>
            </w:r>
          </w:p>
          <w:p>
            <w:pPr>
              <w:spacing w:line="360" w:lineRule="auto"/>
              <w:ind w:firstLine="480" w:firstLineChars="200"/>
              <w:rPr>
                <w:rFonts w:cs="Times New Roman"/>
                <w:sz w:val="24"/>
                <w:szCs w:val="24"/>
              </w:rPr>
            </w:pPr>
            <w:r>
              <w:rPr>
                <w:rFonts w:cs="Times New Roman"/>
                <w:sz w:val="24"/>
                <w:szCs w:val="24"/>
              </w:rPr>
              <w:t>项目已设置1个容积为30m</w:t>
            </w:r>
            <w:r>
              <w:rPr>
                <w:rFonts w:cs="Times New Roman"/>
                <w:sz w:val="24"/>
                <w:szCs w:val="24"/>
                <w:vertAlign w:val="superscript"/>
              </w:rPr>
              <w:t>3</w:t>
            </w:r>
            <w:r>
              <w:rPr>
                <w:rFonts w:cs="Times New Roman"/>
                <w:sz w:val="24"/>
                <w:szCs w:val="24"/>
              </w:rPr>
              <w:t>的化粪池。</w:t>
            </w:r>
            <w:r>
              <w:rPr>
                <w:rFonts w:cs="Times New Roman"/>
                <w:bCs/>
                <w:sz w:val="24"/>
              </w:rPr>
              <w:t>废水在化粪池中停留时间按12h计，则化粪池最大接纳污水量为</w:t>
            </w:r>
            <w:r>
              <w:rPr>
                <w:rFonts w:cs="Times New Roman"/>
                <w:sz w:val="24"/>
              </w:rPr>
              <w:t>60</w:t>
            </w:r>
            <w:r>
              <w:rPr>
                <w:rFonts w:cs="Times New Roman"/>
                <w:bCs/>
                <w:sz w:val="24"/>
              </w:rPr>
              <w:t>m</w:t>
            </w:r>
            <w:r>
              <w:rPr>
                <w:rFonts w:cs="Times New Roman"/>
                <w:bCs/>
                <w:sz w:val="24"/>
                <w:vertAlign w:val="superscript"/>
              </w:rPr>
              <w:t>3</w:t>
            </w:r>
            <w:r>
              <w:rPr>
                <w:rFonts w:cs="Times New Roman"/>
                <w:sz w:val="24"/>
              </w:rPr>
              <w:t>/d</w:t>
            </w:r>
            <w:r>
              <w:rPr>
                <w:rFonts w:cs="Times New Roman"/>
                <w:bCs/>
                <w:sz w:val="24"/>
              </w:rPr>
              <w:t>。项目生活污水产生量为1.7</w:t>
            </w:r>
            <w:r>
              <w:rPr>
                <w:rFonts w:cs="Times New Roman"/>
                <w:sz w:val="24"/>
              </w:rPr>
              <w:t>m</w:t>
            </w:r>
            <w:r>
              <w:rPr>
                <w:rFonts w:cs="Times New Roman"/>
                <w:sz w:val="24"/>
                <w:vertAlign w:val="superscript"/>
              </w:rPr>
              <w:t>3</w:t>
            </w:r>
            <w:r>
              <w:rPr>
                <w:rFonts w:cs="Times New Roman"/>
                <w:sz w:val="24"/>
              </w:rPr>
              <w:t>/d</w:t>
            </w:r>
            <w:r>
              <w:rPr>
                <w:rFonts w:cs="Times New Roman"/>
                <w:bCs/>
                <w:sz w:val="24"/>
              </w:rPr>
              <w:t>，远低于化粪池最大处理能力</w:t>
            </w:r>
            <w:r>
              <w:rPr>
                <w:rFonts w:cs="Times New Roman"/>
                <w:sz w:val="24"/>
                <w:szCs w:val="24"/>
              </w:rPr>
              <w:t>，满足环境可行性要求。</w:t>
            </w:r>
          </w:p>
          <w:p>
            <w:pPr>
              <w:spacing w:line="360" w:lineRule="auto"/>
              <w:ind w:firstLine="482" w:firstLineChars="200"/>
              <w:rPr>
                <w:rFonts w:cs="Times New Roman"/>
                <w:b/>
                <w:bCs/>
                <w:sz w:val="24"/>
                <w:szCs w:val="24"/>
              </w:rPr>
            </w:pPr>
            <w:r>
              <w:rPr>
                <w:rFonts w:cs="Times New Roman"/>
                <w:b/>
                <w:bCs/>
                <w:sz w:val="24"/>
                <w:szCs w:val="24"/>
              </w:rPr>
              <w:t>③依托污水处理厂可行性分析</w:t>
            </w:r>
          </w:p>
          <w:p>
            <w:pPr>
              <w:spacing w:line="360" w:lineRule="auto"/>
              <w:ind w:firstLine="482" w:firstLineChars="200"/>
              <w:rPr>
                <w:rFonts w:cs="Times New Roman"/>
                <w:b/>
                <w:bCs/>
                <w:sz w:val="24"/>
                <w:szCs w:val="24"/>
              </w:rPr>
            </w:pPr>
            <w:r>
              <w:rPr>
                <w:rFonts w:cs="Times New Roman"/>
                <w:b/>
                <w:bCs/>
                <w:sz w:val="24"/>
                <w:szCs w:val="24"/>
              </w:rPr>
              <w:t>1）水量依托可行性分析</w:t>
            </w:r>
          </w:p>
          <w:p>
            <w:pPr>
              <w:spacing w:line="360" w:lineRule="auto"/>
              <w:ind w:firstLine="480" w:firstLineChars="200"/>
              <w:rPr>
                <w:rFonts w:cs="Times New Roman"/>
                <w:sz w:val="24"/>
                <w:szCs w:val="24"/>
              </w:rPr>
            </w:pPr>
            <w:r>
              <w:rPr>
                <w:rFonts w:cs="Times New Roman"/>
                <w:sz w:val="24"/>
                <w:szCs w:val="24"/>
              </w:rPr>
              <w:t>项目废水主要为生活污水，生活污水经化粪池处理后排入厂区总排口，进入柳池工业园区污水处理厂处理达标后排放，生活污水排放量为2.04m</w:t>
            </w:r>
            <w:r>
              <w:rPr>
                <w:rFonts w:cs="Times New Roman"/>
                <w:sz w:val="24"/>
                <w:szCs w:val="24"/>
                <w:vertAlign w:val="superscript"/>
              </w:rPr>
              <w:t>3</w:t>
            </w:r>
            <w:r>
              <w:rPr>
                <w:rFonts w:cs="Times New Roman"/>
                <w:sz w:val="24"/>
                <w:szCs w:val="24"/>
              </w:rPr>
              <w:t>/d。根据建设单位提供材料，柳池工业园区污水处理厂于2016年2月正式投入运行，建设总规模为10000m</w:t>
            </w:r>
            <w:r>
              <w:rPr>
                <w:rFonts w:cs="Times New Roman"/>
                <w:sz w:val="24"/>
                <w:szCs w:val="24"/>
                <w:vertAlign w:val="superscript"/>
              </w:rPr>
              <w:t>3</w:t>
            </w:r>
            <w:r>
              <w:rPr>
                <w:rFonts w:cs="Times New Roman"/>
                <w:sz w:val="24"/>
                <w:szCs w:val="24"/>
              </w:rPr>
              <w:t>/d，分两期建设，目前已建成近期（处理能力为5000 m</w:t>
            </w:r>
            <w:r>
              <w:rPr>
                <w:rFonts w:cs="Times New Roman"/>
                <w:sz w:val="24"/>
                <w:szCs w:val="24"/>
                <w:vertAlign w:val="superscript"/>
              </w:rPr>
              <w:t>3</w:t>
            </w:r>
            <w:r>
              <w:rPr>
                <w:rFonts w:cs="Times New Roman"/>
                <w:sz w:val="24"/>
                <w:szCs w:val="24"/>
              </w:rPr>
              <w:t>/d）工程，目前实际处理水量为1500m</w:t>
            </w:r>
            <w:r>
              <w:rPr>
                <w:rFonts w:cs="Times New Roman"/>
                <w:sz w:val="24"/>
                <w:szCs w:val="24"/>
                <w:vertAlign w:val="superscript"/>
              </w:rPr>
              <w:t>3</w:t>
            </w:r>
            <w:r>
              <w:rPr>
                <w:rFonts w:cs="Times New Roman"/>
                <w:sz w:val="24"/>
                <w:szCs w:val="24"/>
              </w:rPr>
              <w:t>/d，本项目废水排放量为2.04m</w:t>
            </w:r>
            <w:r>
              <w:rPr>
                <w:rFonts w:cs="Times New Roman"/>
                <w:sz w:val="24"/>
                <w:szCs w:val="24"/>
                <w:vertAlign w:val="superscript"/>
              </w:rPr>
              <w:t>3</w:t>
            </w:r>
            <w:r>
              <w:rPr>
                <w:rFonts w:cs="Times New Roman"/>
                <w:sz w:val="24"/>
                <w:szCs w:val="24"/>
              </w:rPr>
              <w:t>/d，占近期污水处理规模的0.04%，占远期处理规模的0.02%，远小于污水处理厂处理规模，因此，废水水量依托园区污水处理厂可行。</w:t>
            </w:r>
          </w:p>
          <w:p>
            <w:pPr>
              <w:spacing w:line="360" w:lineRule="auto"/>
              <w:ind w:firstLine="482" w:firstLineChars="200"/>
              <w:rPr>
                <w:rFonts w:cs="Times New Roman"/>
                <w:b/>
                <w:bCs/>
                <w:sz w:val="24"/>
                <w:szCs w:val="24"/>
              </w:rPr>
            </w:pPr>
            <w:r>
              <w:rPr>
                <w:rFonts w:cs="Times New Roman"/>
                <w:b/>
                <w:bCs/>
                <w:sz w:val="24"/>
                <w:szCs w:val="24"/>
              </w:rPr>
              <w:t>2）水质可行性分析</w:t>
            </w:r>
          </w:p>
          <w:p>
            <w:pPr>
              <w:spacing w:line="360" w:lineRule="auto"/>
              <w:ind w:firstLine="480" w:firstLineChars="200"/>
              <w:rPr>
                <w:rFonts w:cs="Times New Roman"/>
                <w:sz w:val="24"/>
                <w:szCs w:val="24"/>
              </w:rPr>
            </w:pPr>
            <w:r>
              <w:rPr>
                <w:rFonts w:cs="Times New Roman"/>
                <w:sz w:val="24"/>
                <w:szCs w:val="24"/>
              </w:rPr>
              <w:t>项目外排废水主要来自生活废水。生活污水经园区化粪池处理后达到《污水综合排放标准》（GB8978-1996）三级排放标准后排入厂区总排口，进入园区污水处理厂处理达标后排放。</w:t>
            </w:r>
          </w:p>
          <w:p>
            <w:pPr>
              <w:spacing w:line="360" w:lineRule="auto"/>
              <w:ind w:firstLine="480" w:firstLineChars="200"/>
              <w:rPr>
                <w:rFonts w:cs="Times New Roman"/>
                <w:sz w:val="24"/>
                <w:szCs w:val="24"/>
              </w:rPr>
            </w:pPr>
            <w:r>
              <w:rPr>
                <w:rFonts w:cs="Times New Roman"/>
                <w:sz w:val="24"/>
                <w:szCs w:val="24"/>
              </w:rPr>
              <w:t>柳池工业园区污水处理厂主体工艺采用氧化沟+深度处理，出水标准执行《城镇污水处理厂污染物排放标准》（GB18918-2002）一级A标准，就近排入后河。</w:t>
            </w:r>
          </w:p>
          <w:p>
            <w:pPr>
              <w:spacing w:line="360" w:lineRule="auto"/>
              <w:ind w:firstLine="480" w:firstLineChars="200"/>
              <w:rPr>
                <w:rFonts w:cs="Times New Roman"/>
                <w:sz w:val="24"/>
                <w:szCs w:val="24"/>
              </w:rPr>
            </w:pPr>
            <w:r>
              <w:rPr>
                <w:rFonts w:cs="Times New Roman"/>
                <w:sz w:val="24"/>
                <w:szCs w:val="24"/>
              </w:rPr>
              <w:t>综上，项目废水进入园区污水处理厂可行。</w:t>
            </w:r>
          </w:p>
          <w:p>
            <w:pPr>
              <w:spacing w:line="360" w:lineRule="auto"/>
              <w:ind w:firstLine="482" w:firstLineChars="200"/>
              <w:rPr>
                <w:rFonts w:cs="Times New Roman"/>
                <w:b/>
                <w:sz w:val="24"/>
                <w:szCs w:val="24"/>
              </w:rPr>
            </w:pPr>
            <w:r>
              <w:rPr>
                <w:rFonts w:cs="Times New Roman"/>
                <w:b/>
                <w:sz w:val="24"/>
                <w:szCs w:val="24"/>
              </w:rPr>
              <w:t>3、噪声</w:t>
            </w:r>
          </w:p>
          <w:p>
            <w:pPr>
              <w:spacing w:line="360" w:lineRule="auto"/>
              <w:ind w:firstLine="482" w:firstLineChars="200"/>
              <w:rPr>
                <w:rFonts w:cs="Times New Roman"/>
                <w:b/>
                <w:sz w:val="24"/>
                <w:szCs w:val="24"/>
              </w:rPr>
            </w:pPr>
            <w:r>
              <w:rPr>
                <w:rFonts w:cs="Times New Roman"/>
                <w:b/>
                <w:sz w:val="24"/>
                <w:szCs w:val="24"/>
              </w:rPr>
              <w:t>（1）噪声源强及治理措施</w:t>
            </w:r>
          </w:p>
          <w:p>
            <w:pPr>
              <w:spacing w:line="360" w:lineRule="auto"/>
              <w:ind w:firstLine="482" w:firstLineChars="200"/>
              <w:rPr>
                <w:rFonts w:cs="Times New Roman"/>
                <w:b/>
                <w:sz w:val="24"/>
                <w:szCs w:val="24"/>
              </w:rPr>
            </w:pPr>
            <w:r>
              <w:rPr>
                <w:rFonts w:cs="Times New Roman"/>
                <w:b/>
                <w:sz w:val="24"/>
                <w:szCs w:val="24"/>
              </w:rPr>
              <w:t>1）车辆运输噪声</w:t>
            </w:r>
          </w:p>
          <w:p>
            <w:pPr>
              <w:spacing w:line="360" w:lineRule="auto"/>
              <w:ind w:firstLine="480" w:firstLineChars="200"/>
              <w:rPr>
                <w:rFonts w:cs="Times New Roman"/>
                <w:sz w:val="24"/>
                <w:szCs w:val="24"/>
              </w:rPr>
            </w:pPr>
            <w:r>
              <w:rPr>
                <w:rFonts w:cs="Times New Roman"/>
                <w:sz w:val="24"/>
                <w:szCs w:val="24"/>
              </w:rPr>
              <w:t>运期车辆噪声主要来自运输车辆，机动车噪声值一般在80~85dB（A），为减轻对运输沿线的影响，环评要求：运输车辆进入厂区应严格限速、禁止鸣笛，减少怠速时间；运输车辆必须严格按照规定的路线行驶，运输时间应按照达州市主城区货运汽车城区通行管理规定并尽量避开居民休息时间，严禁超载、超速行驶。</w:t>
            </w:r>
          </w:p>
          <w:p>
            <w:pPr>
              <w:spacing w:line="360" w:lineRule="auto"/>
              <w:ind w:firstLine="482" w:firstLineChars="200"/>
              <w:rPr>
                <w:rFonts w:cs="Times New Roman"/>
                <w:b/>
                <w:sz w:val="24"/>
                <w:szCs w:val="24"/>
              </w:rPr>
            </w:pPr>
            <w:r>
              <w:rPr>
                <w:rFonts w:cs="Times New Roman"/>
                <w:b/>
                <w:sz w:val="24"/>
                <w:szCs w:val="24"/>
              </w:rPr>
              <w:t>2）设备噪声</w:t>
            </w:r>
          </w:p>
          <w:p>
            <w:pPr>
              <w:spacing w:line="360" w:lineRule="auto"/>
              <w:ind w:firstLine="480" w:firstLineChars="200"/>
              <w:rPr>
                <w:rFonts w:cs="Times New Roman"/>
                <w:sz w:val="24"/>
                <w:szCs w:val="24"/>
              </w:rPr>
            </w:pPr>
            <w:r>
              <w:rPr>
                <w:rFonts w:cs="Times New Roman"/>
                <w:sz w:val="24"/>
                <w:szCs w:val="24"/>
              </w:rPr>
              <w:t>本项目主要噪声源来自提升机、给料机、料浆罐及搅拌装置、输送泵、喂料泵、白水循环泵、废浆罐回水泵、喷淋泵、抽吸风机、添加剂搅拌罐、增稠剂搅拌罐、计量泵、粘接剂搅拌罐、上浆分配器、施胶槽、变频电机、烘干炉、双位收卷机、包装机、活性炭吸附装置等生产设备运行时产生的噪声，各设备噪声源强值在70~85dB（A）间。根据声源类型及源强，结合项目实际情况，本项目拟采取的噪声治理措施如下：</w:t>
            </w:r>
          </w:p>
          <w:p>
            <w:pPr>
              <w:spacing w:line="360" w:lineRule="auto"/>
              <w:ind w:firstLine="480" w:firstLineChars="200"/>
              <w:rPr>
                <w:rFonts w:cs="Times New Roman"/>
                <w:sz w:val="24"/>
                <w:szCs w:val="24"/>
              </w:rPr>
            </w:pPr>
            <w:r>
              <w:rPr>
                <w:rFonts w:cs="Times New Roman"/>
                <w:sz w:val="24"/>
                <w:szCs w:val="24"/>
              </w:rPr>
              <w:t>①选用符合国家标准的低噪声设备，定期进行设备检修，保证设备的正常运行。</w:t>
            </w:r>
          </w:p>
          <w:p>
            <w:pPr>
              <w:spacing w:line="360" w:lineRule="auto"/>
              <w:ind w:firstLine="480" w:firstLineChars="200"/>
              <w:rPr>
                <w:rFonts w:cs="Times New Roman"/>
                <w:sz w:val="24"/>
                <w:szCs w:val="24"/>
              </w:rPr>
            </w:pPr>
            <w:r>
              <w:rPr>
                <w:rFonts w:cs="Times New Roman"/>
                <w:sz w:val="24"/>
                <w:szCs w:val="24"/>
              </w:rPr>
              <w:t>②合理布局车间平面，各生产设备均布置在厂房内，利用厂房进行隔声；合理布置厂区平面，有效利用距离衰减，实现厂界噪声达标排放。</w:t>
            </w:r>
          </w:p>
          <w:p>
            <w:pPr>
              <w:spacing w:line="360" w:lineRule="auto"/>
              <w:ind w:firstLine="480" w:firstLineChars="200"/>
              <w:rPr>
                <w:rFonts w:cs="Times New Roman"/>
                <w:sz w:val="24"/>
                <w:szCs w:val="24"/>
              </w:rPr>
            </w:pPr>
            <w:r>
              <w:rPr>
                <w:rFonts w:cs="Times New Roman"/>
                <w:sz w:val="24"/>
                <w:szCs w:val="24"/>
              </w:rPr>
              <w:t>③产噪设备底部采取基础减振，减少噪声源强值；对可能产生振动的管道，特别是泵出口管道，采取柔性连接的措施，以控制振动噪声。</w:t>
            </w:r>
          </w:p>
          <w:p>
            <w:pPr>
              <w:spacing w:line="360" w:lineRule="auto"/>
              <w:ind w:firstLine="480" w:firstLineChars="200"/>
              <w:rPr>
                <w:rFonts w:cs="Times New Roman"/>
                <w:sz w:val="24"/>
                <w:szCs w:val="24"/>
              </w:rPr>
            </w:pPr>
            <w:r>
              <w:rPr>
                <w:rFonts w:cs="Times New Roman"/>
                <w:sz w:val="24"/>
                <w:szCs w:val="24"/>
              </w:rPr>
              <w:t>④加强日常管理，经常保养和维护机械设备避免设备在不良状态下运行等。</w:t>
            </w:r>
          </w:p>
          <w:p>
            <w:pPr>
              <w:spacing w:line="360" w:lineRule="auto"/>
              <w:ind w:firstLine="480" w:firstLineChars="200"/>
              <w:rPr>
                <w:rFonts w:cs="Times New Roman"/>
                <w:sz w:val="24"/>
                <w:szCs w:val="24"/>
              </w:rPr>
            </w:pPr>
            <w:r>
              <w:rPr>
                <w:rFonts w:cs="Times New Roman"/>
                <w:sz w:val="24"/>
                <w:szCs w:val="24"/>
              </w:rPr>
              <w:t>本项目噪声污染源源强核算结果及相关参数见下表：</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spacing w:line="276" w:lineRule="auto"/>
        <w:ind w:firstLine="420" w:firstLineChars="200"/>
        <w:rPr>
          <w:rFonts w:cs="Times New Roman"/>
          <w:szCs w:val="21"/>
        </w:rPr>
        <w:sectPr>
          <w:pgSz w:w="11906" w:h="16838"/>
          <w:pgMar w:top="1134" w:right="1418" w:bottom="1134" w:left="1134" w:header="851" w:footer="992" w:gutter="0"/>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6" w:type="dxa"/>
          </w:tcPr>
          <w:p>
            <w:pPr>
              <w:spacing w:line="360" w:lineRule="auto"/>
              <w:jc w:val="center"/>
              <w:rPr>
                <w:rFonts w:cs="Times New Roman"/>
                <w:b/>
                <w:bCs/>
                <w:sz w:val="24"/>
                <w:szCs w:val="24"/>
              </w:rPr>
            </w:pPr>
            <w:r>
              <w:rPr>
                <w:rFonts w:cs="Times New Roman"/>
                <w:b/>
                <w:bCs/>
                <w:sz w:val="24"/>
                <w:szCs w:val="24"/>
              </w:rPr>
              <w:t>表4-19 工业企业噪声源强调查清单（室内声源）</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42"/>
              <w:gridCol w:w="1296"/>
              <w:gridCol w:w="720"/>
              <w:gridCol w:w="1299"/>
              <w:gridCol w:w="845"/>
              <w:gridCol w:w="1165"/>
              <w:gridCol w:w="1005"/>
              <w:gridCol w:w="1005"/>
              <w:gridCol w:w="1028"/>
              <w:gridCol w:w="839"/>
              <w:gridCol w:w="807"/>
              <w:gridCol w:w="702"/>
              <w:gridCol w:w="1459"/>
              <w:gridCol w:w="766"/>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89" w:type="pct"/>
                  <w:vMerge w:val="restart"/>
                  <w:tcBorders>
                    <w:tl2br w:val="nil"/>
                    <w:tr2bl w:val="nil"/>
                  </w:tcBorders>
                  <w:vAlign w:val="center"/>
                </w:tcPr>
                <w:p>
                  <w:pPr>
                    <w:jc w:val="center"/>
                    <w:rPr>
                      <w:rFonts w:cs="Times New Roman"/>
                      <w:b/>
                      <w:bCs/>
                      <w:szCs w:val="21"/>
                    </w:rPr>
                  </w:pPr>
                  <w:r>
                    <w:rPr>
                      <w:rFonts w:cs="Times New Roman"/>
                      <w:b/>
                      <w:bCs/>
                      <w:szCs w:val="21"/>
                    </w:rPr>
                    <w:t>序号</w:t>
                  </w:r>
                </w:p>
              </w:tc>
              <w:tc>
                <w:tcPr>
                  <w:tcW w:w="445" w:type="pct"/>
                  <w:vMerge w:val="restart"/>
                  <w:tcBorders>
                    <w:tl2br w:val="nil"/>
                    <w:tr2bl w:val="nil"/>
                  </w:tcBorders>
                  <w:vAlign w:val="center"/>
                </w:tcPr>
                <w:p>
                  <w:pPr>
                    <w:jc w:val="center"/>
                    <w:rPr>
                      <w:rFonts w:cs="Times New Roman"/>
                      <w:b/>
                      <w:bCs/>
                      <w:szCs w:val="21"/>
                    </w:rPr>
                  </w:pPr>
                  <w:r>
                    <w:rPr>
                      <w:rFonts w:cs="Times New Roman"/>
                      <w:b/>
                      <w:bCs/>
                      <w:szCs w:val="21"/>
                    </w:rPr>
                    <w:t>声源名称</w:t>
                  </w:r>
                </w:p>
              </w:tc>
              <w:tc>
                <w:tcPr>
                  <w:tcW w:w="247" w:type="pct"/>
                  <w:vMerge w:val="restart"/>
                  <w:tcBorders>
                    <w:tl2br w:val="nil"/>
                    <w:tr2bl w:val="nil"/>
                  </w:tcBorders>
                  <w:vAlign w:val="center"/>
                </w:tcPr>
                <w:p>
                  <w:pPr>
                    <w:jc w:val="center"/>
                    <w:rPr>
                      <w:rFonts w:cs="Times New Roman"/>
                      <w:b/>
                      <w:bCs/>
                      <w:szCs w:val="21"/>
                    </w:rPr>
                  </w:pPr>
                  <w:r>
                    <w:rPr>
                      <w:rFonts w:cs="Times New Roman"/>
                      <w:b/>
                      <w:bCs/>
                      <w:szCs w:val="21"/>
                    </w:rPr>
                    <w:t>型号</w:t>
                  </w:r>
                </w:p>
              </w:tc>
              <w:tc>
                <w:tcPr>
                  <w:tcW w:w="736" w:type="pct"/>
                  <w:gridSpan w:val="2"/>
                  <w:tcBorders>
                    <w:tl2br w:val="nil"/>
                    <w:tr2bl w:val="nil"/>
                  </w:tcBorders>
                  <w:vAlign w:val="center"/>
                </w:tcPr>
                <w:p>
                  <w:pPr>
                    <w:jc w:val="center"/>
                    <w:rPr>
                      <w:rFonts w:cs="Times New Roman"/>
                      <w:b/>
                      <w:bCs/>
                      <w:szCs w:val="21"/>
                    </w:rPr>
                  </w:pPr>
                  <w:r>
                    <w:rPr>
                      <w:rFonts w:cs="Times New Roman"/>
                      <w:b/>
                      <w:bCs/>
                      <w:szCs w:val="21"/>
                    </w:rPr>
                    <w:t>噪声源强（任选一种）</w:t>
                  </w:r>
                </w:p>
              </w:tc>
              <w:tc>
                <w:tcPr>
                  <w:tcW w:w="400" w:type="pct"/>
                  <w:vMerge w:val="restart"/>
                  <w:tcBorders>
                    <w:tl2br w:val="nil"/>
                    <w:tr2bl w:val="nil"/>
                  </w:tcBorders>
                  <w:vAlign w:val="center"/>
                </w:tcPr>
                <w:p>
                  <w:pPr>
                    <w:jc w:val="center"/>
                    <w:rPr>
                      <w:rFonts w:cs="Times New Roman"/>
                      <w:b/>
                      <w:bCs/>
                      <w:szCs w:val="21"/>
                    </w:rPr>
                  </w:pPr>
                  <w:r>
                    <w:rPr>
                      <w:rFonts w:cs="Times New Roman"/>
                      <w:b/>
                      <w:bCs/>
                      <w:szCs w:val="21"/>
                    </w:rPr>
                    <w:t>声源控制措施</w:t>
                  </w:r>
                </w:p>
              </w:tc>
              <w:tc>
                <w:tcPr>
                  <w:tcW w:w="1043" w:type="pct"/>
                  <w:gridSpan w:val="3"/>
                  <w:tcBorders>
                    <w:tl2br w:val="nil"/>
                    <w:tr2bl w:val="nil"/>
                  </w:tcBorders>
                  <w:vAlign w:val="center"/>
                </w:tcPr>
                <w:p>
                  <w:pPr>
                    <w:jc w:val="center"/>
                    <w:rPr>
                      <w:rFonts w:cs="Times New Roman"/>
                      <w:b/>
                      <w:bCs/>
                      <w:szCs w:val="21"/>
                    </w:rPr>
                  </w:pPr>
                  <w:r>
                    <w:rPr>
                      <w:rFonts w:cs="Times New Roman"/>
                      <w:b/>
                      <w:bCs/>
                      <w:szCs w:val="21"/>
                    </w:rPr>
                    <w:t>空间相对位置</w:t>
                  </w:r>
                </w:p>
              </w:tc>
              <w:tc>
                <w:tcPr>
                  <w:tcW w:w="288" w:type="pct"/>
                  <w:vMerge w:val="restart"/>
                  <w:tcBorders>
                    <w:tl2br w:val="nil"/>
                    <w:tr2bl w:val="nil"/>
                  </w:tcBorders>
                  <w:vAlign w:val="center"/>
                </w:tcPr>
                <w:p>
                  <w:pPr>
                    <w:jc w:val="center"/>
                    <w:rPr>
                      <w:rFonts w:cs="Times New Roman"/>
                      <w:b/>
                      <w:bCs/>
                      <w:szCs w:val="21"/>
                    </w:rPr>
                  </w:pPr>
                  <w:r>
                    <w:rPr>
                      <w:rFonts w:cs="Times New Roman"/>
                      <w:b/>
                      <w:bCs/>
                      <w:szCs w:val="21"/>
                    </w:rPr>
                    <w:t>距室内边界距离</w:t>
                  </w:r>
                </w:p>
              </w:tc>
              <w:tc>
                <w:tcPr>
                  <w:tcW w:w="277" w:type="pct"/>
                  <w:vMerge w:val="restart"/>
                  <w:tcBorders>
                    <w:tl2br w:val="nil"/>
                    <w:tr2bl w:val="nil"/>
                  </w:tcBorders>
                  <w:vAlign w:val="center"/>
                </w:tcPr>
                <w:p>
                  <w:pPr>
                    <w:jc w:val="center"/>
                    <w:rPr>
                      <w:rFonts w:cs="Times New Roman"/>
                      <w:b/>
                      <w:bCs/>
                      <w:szCs w:val="21"/>
                    </w:rPr>
                  </w:pPr>
                  <w:r>
                    <w:rPr>
                      <w:rFonts w:cs="Times New Roman"/>
                      <w:b/>
                      <w:bCs/>
                      <w:szCs w:val="21"/>
                    </w:rPr>
                    <w:t>室内边界声级/dB(A)</w:t>
                  </w:r>
                </w:p>
              </w:tc>
              <w:tc>
                <w:tcPr>
                  <w:tcW w:w="241" w:type="pct"/>
                  <w:vMerge w:val="restart"/>
                  <w:tcBorders>
                    <w:tl2br w:val="nil"/>
                    <w:tr2bl w:val="nil"/>
                  </w:tcBorders>
                  <w:vAlign w:val="center"/>
                </w:tcPr>
                <w:p>
                  <w:pPr>
                    <w:jc w:val="center"/>
                    <w:rPr>
                      <w:rFonts w:cs="Times New Roman"/>
                      <w:b/>
                      <w:bCs/>
                      <w:szCs w:val="21"/>
                    </w:rPr>
                  </w:pPr>
                  <w:r>
                    <w:rPr>
                      <w:rFonts w:cs="Times New Roman"/>
                      <w:b/>
                      <w:bCs/>
                      <w:szCs w:val="21"/>
                    </w:rPr>
                    <w:t>运行时段</w:t>
                  </w:r>
                </w:p>
              </w:tc>
              <w:tc>
                <w:tcPr>
                  <w:tcW w:w="501" w:type="pct"/>
                  <w:vMerge w:val="restart"/>
                  <w:tcBorders>
                    <w:tl2br w:val="nil"/>
                    <w:tr2bl w:val="nil"/>
                  </w:tcBorders>
                  <w:vAlign w:val="center"/>
                </w:tcPr>
                <w:p>
                  <w:pPr>
                    <w:jc w:val="center"/>
                    <w:rPr>
                      <w:rFonts w:cs="Times New Roman"/>
                      <w:b/>
                      <w:bCs/>
                      <w:szCs w:val="21"/>
                    </w:rPr>
                  </w:pPr>
                  <w:r>
                    <w:rPr>
                      <w:rFonts w:cs="Times New Roman"/>
                      <w:b/>
                      <w:bCs/>
                      <w:szCs w:val="21"/>
                    </w:rPr>
                    <w:t>插入损失/dB（A）</w:t>
                  </w:r>
                </w:p>
              </w:tc>
              <w:tc>
                <w:tcPr>
                  <w:tcW w:w="529" w:type="pct"/>
                  <w:gridSpan w:val="2"/>
                  <w:tcBorders>
                    <w:tl2br w:val="nil"/>
                    <w:tr2bl w:val="nil"/>
                  </w:tcBorders>
                  <w:vAlign w:val="center"/>
                </w:tcPr>
                <w:p>
                  <w:pPr>
                    <w:jc w:val="center"/>
                    <w:rPr>
                      <w:rFonts w:cs="Times New Roman"/>
                      <w:b/>
                      <w:bCs/>
                      <w:szCs w:val="21"/>
                    </w:rPr>
                  </w:pPr>
                  <w:r>
                    <w:rPr>
                      <w:rFonts w:cs="Times New Roman"/>
                      <w:b/>
                      <w:bCs/>
                      <w:szCs w:val="21"/>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289" w:type="pct"/>
                  <w:vMerge w:val="continue"/>
                  <w:tcBorders>
                    <w:tl2br w:val="nil"/>
                    <w:tr2bl w:val="nil"/>
                  </w:tcBorders>
                  <w:vAlign w:val="center"/>
                </w:tcPr>
                <w:p>
                  <w:pPr>
                    <w:jc w:val="center"/>
                    <w:rPr>
                      <w:rFonts w:cs="Times New Roman"/>
                      <w:szCs w:val="21"/>
                    </w:rPr>
                  </w:pPr>
                </w:p>
              </w:tc>
              <w:tc>
                <w:tcPr>
                  <w:tcW w:w="445" w:type="pct"/>
                  <w:vMerge w:val="continue"/>
                  <w:tcBorders>
                    <w:tl2br w:val="nil"/>
                    <w:tr2bl w:val="nil"/>
                  </w:tcBorders>
                  <w:vAlign w:val="center"/>
                </w:tcPr>
                <w:p>
                  <w:pPr>
                    <w:jc w:val="center"/>
                    <w:rPr>
                      <w:rFonts w:cs="Times New Roman"/>
                      <w:szCs w:val="21"/>
                    </w:rPr>
                  </w:pPr>
                </w:p>
              </w:tc>
              <w:tc>
                <w:tcPr>
                  <w:tcW w:w="247" w:type="pct"/>
                  <w:vMerge w:val="continue"/>
                  <w:tcBorders>
                    <w:tl2br w:val="nil"/>
                    <w:tr2bl w:val="nil"/>
                  </w:tcBorders>
                  <w:vAlign w:val="center"/>
                </w:tcPr>
                <w:p>
                  <w:pPr>
                    <w:jc w:val="center"/>
                    <w:rPr>
                      <w:rFonts w:cs="Times New Roman"/>
                      <w:szCs w:val="21"/>
                    </w:rPr>
                  </w:pPr>
                </w:p>
              </w:tc>
              <w:tc>
                <w:tcPr>
                  <w:tcW w:w="446" w:type="pct"/>
                  <w:tcBorders>
                    <w:tl2br w:val="nil"/>
                    <w:tr2bl w:val="nil"/>
                  </w:tcBorders>
                  <w:vAlign w:val="center"/>
                </w:tcPr>
                <w:p>
                  <w:pPr>
                    <w:jc w:val="center"/>
                    <w:rPr>
                      <w:rFonts w:cs="Times New Roman"/>
                      <w:b/>
                      <w:bCs/>
                      <w:szCs w:val="21"/>
                    </w:rPr>
                  </w:pPr>
                  <w:r>
                    <w:rPr>
                      <w:rFonts w:cs="Times New Roman"/>
                      <w:b/>
                      <w:bCs/>
                      <w:szCs w:val="21"/>
                    </w:rPr>
                    <w:t>（声压级/距声源距离）/（dB（A）/m）</w:t>
                  </w:r>
                </w:p>
              </w:tc>
              <w:tc>
                <w:tcPr>
                  <w:tcW w:w="290" w:type="pct"/>
                  <w:tcBorders>
                    <w:tl2br w:val="nil"/>
                    <w:tr2bl w:val="nil"/>
                  </w:tcBorders>
                  <w:vAlign w:val="center"/>
                </w:tcPr>
                <w:p>
                  <w:pPr>
                    <w:jc w:val="center"/>
                    <w:rPr>
                      <w:rFonts w:cs="Times New Roman"/>
                      <w:b/>
                      <w:bCs/>
                      <w:szCs w:val="21"/>
                    </w:rPr>
                  </w:pPr>
                  <w:r>
                    <w:rPr>
                      <w:rFonts w:cs="Times New Roman"/>
                      <w:b/>
                      <w:bCs/>
                      <w:szCs w:val="21"/>
                    </w:rPr>
                    <w:t>声功率级/dB（A）</w:t>
                  </w:r>
                </w:p>
              </w:tc>
              <w:tc>
                <w:tcPr>
                  <w:tcW w:w="400" w:type="pct"/>
                  <w:vMerge w:val="continue"/>
                  <w:tcBorders>
                    <w:tl2br w:val="nil"/>
                    <w:tr2bl w:val="nil"/>
                  </w:tcBorders>
                  <w:vAlign w:val="center"/>
                </w:tcPr>
                <w:p>
                  <w:pPr>
                    <w:jc w:val="center"/>
                    <w:rPr>
                      <w:rFonts w:cs="Times New Roman"/>
                      <w:b/>
                      <w:bCs/>
                      <w:szCs w:val="21"/>
                    </w:rPr>
                  </w:pPr>
                </w:p>
              </w:tc>
              <w:tc>
                <w:tcPr>
                  <w:tcW w:w="345" w:type="pct"/>
                  <w:tcBorders>
                    <w:tl2br w:val="nil"/>
                    <w:tr2bl w:val="nil"/>
                  </w:tcBorders>
                  <w:vAlign w:val="center"/>
                </w:tcPr>
                <w:p>
                  <w:pPr>
                    <w:jc w:val="center"/>
                    <w:rPr>
                      <w:rFonts w:cs="Times New Roman"/>
                      <w:b/>
                      <w:bCs/>
                      <w:szCs w:val="21"/>
                    </w:rPr>
                  </w:pPr>
                  <w:r>
                    <w:rPr>
                      <w:rFonts w:cs="Times New Roman"/>
                      <w:b/>
                      <w:bCs/>
                      <w:szCs w:val="21"/>
                    </w:rPr>
                    <w:t>X</w:t>
                  </w:r>
                </w:p>
              </w:tc>
              <w:tc>
                <w:tcPr>
                  <w:tcW w:w="345" w:type="pct"/>
                  <w:tcBorders>
                    <w:tl2br w:val="nil"/>
                    <w:tr2bl w:val="nil"/>
                  </w:tcBorders>
                  <w:vAlign w:val="center"/>
                </w:tcPr>
                <w:p>
                  <w:pPr>
                    <w:jc w:val="center"/>
                    <w:rPr>
                      <w:rFonts w:cs="Times New Roman"/>
                      <w:b/>
                      <w:bCs/>
                      <w:szCs w:val="21"/>
                    </w:rPr>
                  </w:pPr>
                  <w:r>
                    <w:rPr>
                      <w:rFonts w:cs="Times New Roman"/>
                      <w:b/>
                      <w:bCs/>
                      <w:szCs w:val="21"/>
                    </w:rPr>
                    <w:t>Y</w:t>
                  </w:r>
                </w:p>
              </w:tc>
              <w:tc>
                <w:tcPr>
                  <w:tcW w:w="353" w:type="pct"/>
                  <w:tcBorders>
                    <w:tl2br w:val="nil"/>
                    <w:tr2bl w:val="nil"/>
                  </w:tcBorders>
                  <w:vAlign w:val="center"/>
                </w:tcPr>
                <w:p>
                  <w:pPr>
                    <w:jc w:val="center"/>
                    <w:rPr>
                      <w:rFonts w:cs="Times New Roman"/>
                      <w:b/>
                      <w:bCs/>
                      <w:szCs w:val="21"/>
                    </w:rPr>
                  </w:pPr>
                  <w:r>
                    <w:rPr>
                      <w:rFonts w:cs="Times New Roman"/>
                      <w:b/>
                      <w:bCs/>
                      <w:szCs w:val="21"/>
                    </w:rPr>
                    <w:t>Z</w:t>
                  </w:r>
                </w:p>
              </w:tc>
              <w:tc>
                <w:tcPr>
                  <w:tcW w:w="288" w:type="pct"/>
                  <w:vMerge w:val="continue"/>
                  <w:tcBorders>
                    <w:tl2br w:val="nil"/>
                    <w:tr2bl w:val="nil"/>
                  </w:tcBorders>
                  <w:vAlign w:val="center"/>
                </w:tcPr>
                <w:p>
                  <w:pPr>
                    <w:jc w:val="center"/>
                    <w:rPr>
                      <w:rFonts w:cs="Times New Roman"/>
                      <w:b/>
                      <w:bCs/>
                      <w:szCs w:val="21"/>
                    </w:rPr>
                  </w:pPr>
                </w:p>
              </w:tc>
              <w:tc>
                <w:tcPr>
                  <w:tcW w:w="277" w:type="pct"/>
                  <w:vMerge w:val="continue"/>
                  <w:tcBorders>
                    <w:tl2br w:val="nil"/>
                    <w:tr2bl w:val="nil"/>
                  </w:tcBorders>
                  <w:vAlign w:val="center"/>
                </w:tcPr>
                <w:p>
                  <w:pPr>
                    <w:jc w:val="center"/>
                    <w:rPr>
                      <w:rFonts w:cs="Times New Roman"/>
                      <w:b/>
                      <w:bCs/>
                      <w:szCs w:val="21"/>
                    </w:rPr>
                  </w:pPr>
                </w:p>
              </w:tc>
              <w:tc>
                <w:tcPr>
                  <w:tcW w:w="241" w:type="pct"/>
                  <w:vMerge w:val="continue"/>
                  <w:tcBorders>
                    <w:tl2br w:val="nil"/>
                    <w:tr2bl w:val="nil"/>
                  </w:tcBorders>
                  <w:vAlign w:val="center"/>
                </w:tcPr>
                <w:p>
                  <w:pPr>
                    <w:jc w:val="center"/>
                    <w:rPr>
                      <w:rFonts w:cs="Times New Roman"/>
                      <w:b/>
                      <w:bCs/>
                      <w:szCs w:val="21"/>
                    </w:rPr>
                  </w:pPr>
                </w:p>
              </w:tc>
              <w:tc>
                <w:tcPr>
                  <w:tcW w:w="501" w:type="pct"/>
                  <w:vMerge w:val="continue"/>
                  <w:tcBorders>
                    <w:tl2br w:val="nil"/>
                    <w:tr2bl w:val="nil"/>
                  </w:tcBorders>
                  <w:vAlign w:val="center"/>
                </w:tcPr>
                <w:p>
                  <w:pPr>
                    <w:jc w:val="center"/>
                    <w:rPr>
                      <w:rFonts w:cs="Times New Roman"/>
                      <w:b/>
                      <w:bCs/>
                      <w:szCs w:val="21"/>
                    </w:rPr>
                  </w:pPr>
                </w:p>
              </w:tc>
              <w:tc>
                <w:tcPr>
                  <w:tcW w:w="263" w:type="pct"/>
                  <w:tcBorders>
                    <w:tl2br w:val="nil"/>
                    <w:tr2bl w:val="nil"/>
                  </w:tcBorders>
                  <w:vAlign w:val="center"/>
                </w:tcPr>
                <w:p>
                  <w:pPr>
                    <w:jc w:val="center"/>
                    <w:rPr>
                      <w:rFonts w:cs="Times New Roman"/>
                      <w:b/>
                      <w:bCs/>
                      <w:szCs w:val="21"/>
                    </w:rPr>
                  </w:pPr>
                  <w:r>
                    <w:rPr>
                      <w:rFonts w:cs="Times New Roman"/>
                      <w:b/>
                      <w:bCs/>
                      <w:szCs w:val="21"/>
                    </w:rPr>
                    <w:t>声压级</w:t>
                  </w:r>
                </w:p>
                <w:p>
                  <w:pPr>
                    <w:jc w:val="center"/>
                    <w:rPr>
                      <w:rFonts w:cs="Times New Roman"/>
                      <w:b/>
                      <w:bCs/>
                      <w:szCs w:val="21"/>
                    </w:rPr>
                  </w:pPr>
                  <w:r>
                    <w:rPr>
                      <w:rFonts w:cs="Times New Roman"/>
                      <w:b/>
                      <w:bCs/>
                      <w:szCs w:val="21"/>
                    </w:rPr>
                    <w:t>/dB(A)</w:t>
                  </w:r>
                </w:p>
              </w:tc>
              <w:tc>
                <w:tcPr>
                  <w:tcW w:w="266" w:type="pct"/>
                  <w:tcBorders>
                    <w:tl2br w:val="nil"/>
                    <w:tr2bl w:val="nil"/>
                  </w:tcBorders>
                  <w:vAlign w:val="center"/>
                </w:tcPr>
                <w:p>
                  <w:pPr>
                    <w:jc w:val="center"/>
                    <w:rPr>
                      <w:rFonts w:cs="Times New Roman"/>
                      <w:b/>
                      <w:bCs/>
                      <w:szCs w:val="21"/>
                    </w:rPr>
                  </w:pPr>
                  <w:r>
                    <w:rPr>
                      <w:rFonts w:cs="Times New Roman"/>
                      <w:b/>
                      <w:bCs/>
                      <w:szCs w:val="21"/>
                    </w:rPr>
                    <w:t>建筑</w:t>
                  </w:r>
                </w:p>
                <w:p>
                  <w:pPr>
                    <w:jc w:val="center"/>
                    <w:rPr>
                      <w:rFonts w:cs="Times New Roman"/>
                      <w:b/>
                      <w:bCs/>
                      <w:szCs w:val="21"/>
                    </w:rPr>
                  </w:pPr>
                  <w:r>
                    <w:rPr>
                      <w:rFonts w:cs="Times New Roman"/>
                      <w:b/>
                      <w:bCs/>
                      <w:szCs w:val="21"/>
                    </w:rPr>
                    <w:t>物外</w:t>
                  </w:r>
                </w:p>
                <w:p>
                  <w:pPr>
                    <w:jc w:val="center"/>
                    <w:rPr>
                      <w:rFonts w:cs="Times New Roman"/>
                      <w:b/>
                      <w:bCs/>
                      <w:szCs w:val="21"/>
                    </w:rPr>
                  </w:pPr>
                  <w:r>
                    <w:rPr>
                      <w:rFonts w:cs="Times New Roman"/>
                      <w:b/>
                      <w:bCs/>
                      <w:szCs w:val="21"/>
                    </w:rPr>
                    <w:t>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w:t>
                  </w:r>
                </w:p>
              </w:tc>
              <w:tc>
                <w:tcPr>
                  <w:tcW w:w="445" w:type="pct"/>
                  <w:tcBorders>
                    <w:tl2br w:val="nil"/>
                    <w:tr2bl w:val="nil"/>
                  </w:tcBorders>
                  <w:vAlign w:val="center"/>
                </w:tcPr>
                <w:p>
                  <w:pPr>
                    <w:jc w:val="center"/>
                    <w:textAlignment w:val="baseline"/>
                    <w:rPr>
                      <w:rFonts w:cs="Times New Roman"/>
                      <w:szCs w:val="21"/>
                    </w:rPr>
                  </w:pPr>
                  <w:r>
                    <w:rPr>
                      <w:rFonts w:cs="Times New Roman"/>
                      <w:szCs w:val="21"/>
                    </w:rPr>
                    <w:t>上浆分配器</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restart"/>
                  <w:tcBorders>
                    <w:tl2br w:val="nil"/>
                    <w:tr2bl w:val="nil"/>
                  </w:tcBorders>
                  <w:vAlign w:val="center"/>
                </w:tcPr>
                <w:p>
                  <w:pPr>
                    <w:jc w:val="center"/>
                    <w:rPr>
                      <w:rFonts w:cs="Times New Roman"/>
                      <w:szCs w:val="21"/>
                    </w:rPr>
                  </w:pPr>
                  <w:r>
                    <w:rPr>
                      <w:rFonts w:cs="Times New Roman"/>
                      <w:szCs w:val="21"/>
                    </w:rPr>
                    <w:t>厂房隔声、选用低噪声</w:t>
                  </w:r>
                </w:p>
                <w:p>
                  <w:pPr>
                    <w:jc w:val="center"/>
                    <w:rPr>
                      <w:rFonts w:cs="Times New Roman"/>
                      <w:szCs w:val="21"/>
                    </w:rPr>
                  </w:pPr>
                  <w:r>
                    <w:rPr>
                      <w:rFonts w:cs="Times New Roman"/>
                      <w:szCs w:val="21"/>
                    </w:rPr>
                    <w:t>设备、基座减震，合理</w:t>
                  </w:r>
                </w:p>
                <w:p>
                  <w:pPr>
                    <w:jc w:val="center"/>
                    <w:rPr>
                      <w:rFonts w:cs="Times New Roman"/>
                      <w:szCs w:val="21"/>
                    </w:rPr>
                  </w:pPr>
                  <w:r>
                    <w:rPr>
                      <w:rFonts w:cs="Times New Roman"/>
                      <w:szCs w:val="21"/>
                    </w:rPr>
                    <w:t>布置声源位置、加强设备维护保养</w:t>
                  </w:r>
                </w:p>
              </w:tc>
              <w:tc>
                <w:tcPr>
                  <w:tcW w:w="345" w:type="pct"/>
                  <w:tcBorders>
                    <w:tl2br w:val="nil"/>
                    <w:tr2bl w:val="nil"/>
                  </w:tcBorders>
                  <w:vAlign w:val="center"/>
                </w:tcPr>
                <w:p>
                  <w:pPr>
                    <w:jc w:val="center"/>
                    <w:rPr>
                      <w:rFonts w:cs="Times New Roman"/>
                      <w:szCs w:val="21"/>
                    </w:rPr>
                  </w:pPr>
                  <w:r>
                    <w:rPr>
                      <w:rFonts w:cs="Times New Roman"/>
                    </w:rPr>
                    <w:t>-15.82</w:t>
                  </w:r>
                </w:p>
              </w:tc>
              <w:tc>
                <w:tcPr>
                  <w:tcW w:w="345" w:type="pct"/>
                  <w:tcBorders>
                    <w:tl2br w:val="nil"/>
                    <w:tr2bl w:val="nil"/>
                  </w:tcBorders>
                  <w:vAlign w:val="center"/>
                </w:tcPr>
                <w:p>
                  <w:pPr>
                    <w:jc w:val="center"/>
                    <w:rPr>
                      <w:rFonts w:cs="Times New Roman"/>
                      <w:szCs w:val="21"/>
                    </w:rPr>
                  </w:pPr>
                  <w:r>
                    <w:rPr>
                      <w:rFonts w:cs="Times New Roman"/>
                    </w:rPr>
                    <w:t>17.92</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9.68</w:t>
                  </w:r>
                </w:p>
              </w:tc>
              <w:tc>
                <w:tcPr>
                  <w:tcW w:w="277" w:type="pct"/>
                  <w:tcBorders>
                    <w:tl2br w:val="nil"/>
                    <w:tr2bl w:val="nil"/>
                  </w:tcBorders>
                  <w:vAlign w:val="center"/>
                </w:tcPr>
                <w:p>
                  <w:pPr>
                    <w:jc w:val="center"/>
                    <w:rPr>
                      <w:rFonts w:cs="Times New Roman"/>
                      <w:szCs w:val="21"/>
                    </w:rPr>
                  </w:pPr>
                  <w:r>
                    <w:rPr>
                      <w:rFonts w:cs="Times New Roman"/>
                    </w:rPr>
                    <w:t>57.02</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31.02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w:t>
                  </w:r>
                </w:p>
              </w:tc>
              <w:tc>
                <w:tcPr>
                  <w:tcW w:w="445" w:type="pct"/>
                  <w:tcBorders>
                    <w:tl2br w:val="nil"/>
                    <w:tr2bl w:val="nil"/>
                  </w:tcBorders>
                  <w:vAlign w:val="center"/>
                </w:tcPr>
                <w:p>
                  <w:pPr>
                    <w:jc w:val="center"/>
                    <w:textAlignment w:val="baseline"/>
                    <w:rPr>
                      <w:rFonts w:cs="Times New Roman"/>
                      <w:szCs w:val="21"/>
                    </w:rPr>
                  </w:pPr>
                  <w:r>
                    <w:rPr>
                      <w:rFonts w:cs="Times New Roman"/>
                      <w:szCs w:val="21"/>
                    </w:rPr>
                    <w:t>上浆分配器</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-15.82</w:t>
                  </w:r>
                </w:p>
              </w:tc>
              <w:tc>
                <w:tcPr>
                  <w:tcW w:w="345" w:type="pct"/>
                  <w:tcBorders>
                    <w:tl2br w:val="nil"/>
                    <w:tr2bl w:val="nil"/>
                  </w:tcBorders>
                  <w:vAlign w:val="center"/>
                </w:tcPr>
                <w:p>
                  <w:pPr>
                    <w:jc w:val="center"/>
                    <w:rPr>
                      <w:rFonts w:cs="Times New Roman"/>
                      <w:szCs w:val="21"/>
                    </w:rPr>
                  </w:pPr>
                  <w:r>
                    <w:rPr>
                      <w:rFonts w:cs="Times New Roman"/>
                    </w:rPr>
                    <w:t>17.92</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9.68</w:t>
                  </w:r>
                </w:p>
              </w:tc>
              <w:tc>
                <w:tcPr>
                  <w:tcW w:w="277" w:type="pct"/>
                  <w:tcBorders>
                    <w:tl2br w:val="nil"/>
                    <w:tr2bl w:val="nil"/>
                  </w:tcBorders>
                  <w:vAlign w:val="center"/>
                </w:tcPr>
                <w:p>
                  <w:pPr>
                    <w:jc w:val="center"/>
                    <w:rPr>
                      <w:rFonts w:cs="Times New Roman"/>
                      <w:szCs w:val="21"/>
                    </w:rPr>
                  </w:pPr>
                  <w:r>
                    <w:rPr>
                      <w:rFonts w:cs="Times New Roman"/>
                    </w:rPr>
                    <w:t>57.02</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31.02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w:t>
                  </w:r>
                </w:p>
              </w:tc>
              <w:tc>
                <w:tcPr>
                  <w:tcW w:w="445" w:type="pct"/>
                  <w:tcBorders>
                    <w:tl2br w:val="nil"/>
                    <w:tr2bl w:val="nil"/>
                  </w:tcBorders>
                  <w:vAlign w:val="center"/>
                </w:tcPr>
                <w:p>
                  <w:pPr>
                    <w:jc w:val="center"/>
                    <w:textAlignment w:val="baseline"/>
                    <w:rPr>
                      <w:rFonts w:cs="Times New Roman"/>
                      <w:szCs w:val="21"/>
                    </w:rPr>
                  </w:pPr>
                  <w:r>
                    <w:rPr>
                      <w:rFonts w:cs="Times New Roman"/>
                      <w:szCs w:val="21"/>
                    </w:rPr>
                    <w:t>包装机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-66.39</w:t>
                  </w:r>
                </w:p>
              </w:tc>
              <w:tc>
                <w:tcPr>
                  <w:tcW w:w="345" w:type="pct"/>
                  <w:tcBorders>
                    <w:tl2br w:val="nil"/>
                    <w:tr2bl w:val="nil"/>
                  </w:tcBorders>
                  <w:vAlign w:val="center"/>
                </w:tcPr>
                <w:p>
                  <w:pPr>
                    <w:jc w:val="center"/>
                    <w:rPr>
                      <w:rFonts w:cs="Times New Roman"/>
                      <w:szCs w:val="21"/>
                    </w:rPr>
                  </w:pPr>
                  <w:r>
                    <w:rPr>
                      <w:rFonts w:cs="Times New Roman"/>
                    </w:rPr>
                    <w:t>47.3</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5.30</w:t>
                  </w:r>
                </w:p>
              </w:tc>
              <w:tc>
                <w:tcPr>
                  <w:tcW w:w="277" w:type="pct"/>
                  <w:tcBorders>
                    <w:tl2br w:val="nil"/>
                    <w:tr2bl w:val="nil"/>
                  </w:tcBorders>
                  <w:vAlign w:val="center"/>
                </w:tcPr>
                <w:p>
                  <w:pPr>
                    <w:jc w:val="center"/>
                    <w:rPr>
                      <w:rFonts w:cs="Times New Roman"/>
                      <w:szCs w:val="21"/>
                    </w:rPr>
                  </w:pPr>
                  <w:r>
                    <w:rPr>
                      <w:rFonts w:cs="Times New Roman"/>
                    </w:rPr>
                    <w:t>67.34</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41.34</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4</w:t>
                  </w:r>
                </w:p>
              </w:tc>
              <w:tc>
                <w:tcPr>
                  <w:tcW w:w="445" w:type="pct"/>
                  <w:tcBorders>
                    <w:tl2br w:val="nil"/>
                    <w:tr2bl w:val="nil"/>
                  </w:tcBorders>
                  <w:vAlign w:val="center"/>
                </w:tcPr>
                <w:p>
                  <w:pPr>
                    <w:jc w:val="center"/>
                    <w:textAlignment w:val="baseline"/>
                    <w:rPr>
                      <w:rFonts w:cs="Times New Roman"/>
                      <w:szCs w:val="21"/>
                    </w:rPr>
                  </w:pPr>
                  <w:r>
                    <w:rPr>
                      <w:rFonts w:cs="Times New Roman"/>
                      <w:szCs w:val="21"/>
                    </w:rPr>
                    <w:t>包装机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-66.39</w:t>
                  </w:r>
                </w:p>
              </w:tc>
              <w:tc>
                <w:tcPr>
                  <w:tcW w:w="345" w:type="pct"/>
                  <w:tcBorders>
                    <w:tl2br w:val="nil"/>
                    <w:tr2bl w:val="nil"/>
                  </w:tcBorders>
                  <w:vAlign w:val="center"/>
                </w:tcPr>
                <w:p>
                  <w:pPr>
                    <w:jc w:val="center"/>
                    <w:rPr>
                      <w:rFonts w:cs="Times New Roman"/>
                      <w:szCs w:val="21"/>
                    </w:rPr>
                  </w:pPr>
                  <w:r>
                    <w:rPr>
                      <w:rFonts w:cs="Times New Roman"/>
                    </w:rPr>
                    <w:t>47.3</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5.30</w:t>
                  </w:r>
                </w:p>
              </w:tc>
              <w:tc>
                <w:tcPr>
                  <w:tcW w:w="277" w:type="pct"/>
                  <w:tcBorders>
                    <w:tl2br w:val="nil"/>
                    <w:tr2bl w:val="nil"/>
                  </w:tcBorders>
                  <w:vAlign w:val="center"/>
                </w:tcPr>
                <w:p>
                  <w:pPr>
                    <w:jc w:val="center"/>
                    <w:rPr>
                      <w:rFonts w:cs="Times New Roman"/>
                      <w:szCs w:val="21"/>
                    </w:rPr>
                  </w:pPr>
                  <w:r>
                    <w:rPr>
                      <w:rFonts w:cs="Times New Roman"/>
                    </w:rPr>
                    <w:t>67.34</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41.34</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5</w:t>
                  </w:r>
                </w:p>
              </w:tc>
              <w:tc>
                <w:tcPr>
                  <w:tcW w:w="445" w:type="pct"/>
                  <w:tcBorders>
                    <w:tl2br w:val="nil"/>
                    <w:tr2bl w:val="nil"/>
                  </w:tcBorders>
                  <w:vAlign w:val="center"/>
                </w:tcPr>
                <w:p>
                  <w:pPr>
                    <w:jc w:val="center"/>
                    <w:rPr>
                      <w:rFonts w:cs="Times New Roman"/>
                      <w:szCs w:val="21"/>
                    </w:rPr>
                  </w:pPr>
                  <w:r>
                    <w:rPr>
                      <w:rFonts w:cs="Times New Roman"/>
                      <w:szCs w:val="21"/>
                    </w:rPr>
                    <w:t>双位收卷机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-62.06</w:t>
                  </w:r>
                </w:p>
              </w:tc>
              <w:tc>
                <w:tcPr>
                  <w:tcW w:w="345" w:type="pct"/>
                  <w:tcBorders>
                    <w:tl2br w:val="nil"/>
                    <w:tr2bl w:val="nil"/>
                  </w:tcBorders>
                  <w:vAlign w:val="center"/>
                </w:tcPr>
                <w:p>
                  <w:pPr>
                    <w:jc w:val="center"/>
                    <w:rPr>
                      <w:rFonts w:cs="Times New Roman"/>
                      <w:szCs w:val="21"/>
                    </w:rPr>
                  </w:pPr>
                  <w:r>
                    <w:rPr>
                      <w:rFonts w:cs="Times New Roman"/>
                    </w:rPr>
                    <w:t>41.34</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8.78</w:t>
                  </w:r>
                </w:p>
              </w:tc>
              <w:tc>
                <w:tcPr>
                  <w:tcW w:w="277" w:type="pct"/>
                  <w:tcBorders>
                    <w:tl2br w:val="nil"/>
                    <w:tr2bl w:val="nil"/>
                  </w:tcBorders>
                  <w:vAlign w:val="center"/>
                </w:tcPr>
                <w:p>
                  <w:pPr>
                    <w:jc w:val="center"/>
                    <w:rPr>
                      <w:rFonts w:cs="Times New Roman"/>
                      <w:szCs w:val="21"/>
                    </w:rPr>
                  </w:pPr>
                  <w:r>
                    <w:rPr>
                      <w:rFonts w:cs="Times New Roman"/>
                    </w:rPr>
                    <w:t>67.05</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41.05</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6</w:t>
                  </w:r>
                </w:p>
              </w:tc>
              <w:tc>
                <w:tcPr>
                  <w:tcW w:w="445" w:type="pct"/>
                  <w:tcBorders>
                    <w:tl2br w:val="nil"/>
                    <w:tr2bl w:val="nil"/>
                  </w:tcBorders>
                  <w:vAlign w:val="center"/>
                </w:tcPr>
                <w:p>
                  <w:pPr>
                    <w:jc w:val="center"/>
                    <w:rPr>
                      <w:rFonts w:cs="Times New Roman"/>
                      <w:szCs w:val="21"/>
                    </w:rPr>
                  </w:pPr>
                  <w:r>
                    <w:rPr>
                      <w:rFonts w:cs="Times New Roman"/>
                      <w:szCs w:val="21"/>
                    </w:rPr>
                    <w:t>双位收卷机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-62.06</w:t>
                  </w:r>
                </w:p>
              </w:tc>
              <w:tc>
                <w:tcPr>
                  <w:tcW w:w="345" w:type="pct"/>
                  <w:tcBorders>
                    <w:tl2br w:val="nil"/>
                    <w:tr2bl w:val="nil"/>
                  </w:tcBorders>
                  <w:vAlign w:val="center"/>
                </w:tcPr>
                <w:p>
                  <w:pPr>
                    <w:jc w:val="center"/>
                    <w:rPr>
                      <w:rFonts w:cs="Times New Roman"/>
                      <w:szCs w:val="21"/>
                    </w:rPr>
                  </w:pPr>
                  <w:r>
                    <w:rPr>
                      <w:rFonts w:cs="Times New Roman"/>
                    </w:rPr>
                    <w:t>41.34</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8.78</w:t>
                  </w:r>
                </w:p>
              </w:tc>
              <w:tc>
                <w:tcPr>
                  <w:tcW w:w="277" w:type="pct"/>
                  <w:tcBorders>
                    <w:tl2br w:val="nil"/>
                    <w:tr2bl w:val="nil"/>
                  </w:tcBorders>
                  <w:vAlign w:val="center"/>
                </w:tcPr>
                <w:p>
                  <w:pPr>
                    <w:jc w:val="center"/>
                    <w:rPr>
                      <w:rFonts w:cs="Times New Roman"/>
                      <w:szCs w:val="21"/>
                    </w:rPr>
                  </w:pPr>
                  <w:r>
                    <w:rPr>
                      <w:rFonts w:cs="Times New Roman"/>
                    </w:rPr>
                    <w:t>67.05</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41.05</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7</w:t>
                  </w:r>
                </w:p>
              </w:tc>
              <w:tc>
                <w:tcPr>
                  <w:tcW w:w="445" w:type="pct"/>
                  <w:tcBorders>
                    <w:tl2br w:val="nil"/>
                    <w:tr2bl w:val="nil"/>
                  </w:tcBorders>
                  <w:vAlign w:val="center"/>
                </w:tcPr>
                <w:p>
                  <w:pPr>
                    <w:jc w:val="center"/>
                    <w:textAlignment w:val="baseline"/>
                    <w:rPr>
                      <w:rFonts w:cs="Times New Roman"/>
                      <w:szCs w:val="21"/>
                    </w:rPr>
                  </w:pPr>
                  <w:r>
                    <w:rPr>
                      <w:rFonts w:cs="Times New Roman"/>
                      <w:szCs w:val="21"/>
                    </w:rPr>
                    <w:t>变频电机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78.01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-17.31</w:t>
                  </w:r>
                </w:p>
              </w:tc>
              <w:tc>
                <w:tcPr>
                  <w:tcW w:w="345" w:type="pct"/>
                  <w:tcBorders>
                    <w:tl2br w:val="nil"/>
                    <w:tr2bl w:val="nil"/>
                  </w:tcBorders>
                  <w:vAlign w:val="center"/>
                </w:tcPr>
                <w:p>
                  <w:pPr>
                    <w:jc w:val="center"/>
                    <w:rPr>
                      <w:rFonts w:cs="Times New Roman"/>
                      <w:szCs w:val="21"/>
                    </w:rPr>
                  </w:pPr>
                  <w:r>
                    <w:rPr>
                      <w:rFonts w:cs="Times New Roman"/>
                    </w:rPr>
                    <w:t>22.54</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6.17</w:t>
                  </w:r>
                </w:p>
              </w:tc>
              <w:tc>
                <w:tcPr>
                  <w:tcW w:w="277" w:type="pct"/>
                  <w:tcBorders>
                    <w:tl2br w:val="nil"/>
                    <w:tr2bl w:val="nil"/>
                  </w:tcBorders>
                  <w:vAlign w:val="center"/>
                </w:tcPr>
                <w:p>
                  <w:pPr>
                    <w:jc w:val="center"/>
                    <w:rPr>
                      <w:rFonts w:cs="Times New Roman"/>
                      <w:szCs w:val="21"/>
                    </w:rPr>
                  </w:pPr>
                  <w:r>
                    <w:rPr>
                      <w:rFonts w:cs="Times New Roman"/>
                    </w:rPr>
                    <w:t>62.22</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36.22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8</w:t>
                  </w:r>
                </w:p>
              </w:tc>
              <w:tc>
                <w:tcPr>
                  <w:tcW w:w="445" w:type="pct"/>
                  <w:tcBorders>
                    <w:tl2br w:val="nil"/>
                    <w:tr2bl w:val="nil"/>
                  </w:tcBorders>
                  <w:vAlign w:val="center"/>
                </w:tcPr>
                <w:p>
                  <w:pPr>
                    <w:jc w:val="center"/>
                    <w:textAlignment w:val="baseline"/>
                    <w:rPr>
                      <w:rFonts w:cs="Times New Roman"/>
                      <w:szCs w:val="21"/>
                    </w:rPr>
                  </w:pPr>
                  <w:r>
                    <w:rPr>
                      <w:rFonts w:cs="Times New Roman"/>
                      <w:szCs w:val="21"/>
                    </w:rPr>
                    <w:t>变频电机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78.01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-17.31</w:t>
                  </w:r>
                </w:p>
              </w:tc>
              <w:tc>
                <w:tcPr>
                  <w:tcW w:w="345" w:type="pct"/>
                  <w:tcBorders>
                    <w:tl2br w:val="nil"/>
                    <w:tr2bl w:val="nil"/>
                  </w:tcBorders>
                  <w:vAlign w:val="center"/>
                </w:tcPr>
                <w:p>
                  <w:pPr>
                    <w:jc w:val="center"/>
                    <w:rPr>
                      <w:rFonts w:cs="Times New Roman"/>
                      <w:szCs w:val="21"/>
                    </w:rPr>
                  </w:pPr>
                  <w:r>
                    <w:rPr>
                      <w:rFonts w:cs="Times New Roman"/>
                    </w:rPr>
                    <w:t>22.54</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6.17</w:t>
                  </w:r>
                </w:p>
              </w:tc>
              <w:tc>
                <w:tcPr>
                  <w:tcW w:w="277" w:type="pct"/>
                  <w:tcBorders>
                    <w:tl2br w:val="nil"/>
                    <w:tr2bl w:val="nil"/>
                  </w:tcBorders>
                  <w:vAlign w:val="center"/>
                </w:tcPr>
                <w:p>
                  <w:pPr>
                    <w:jc w:val="center"/>
                    <w:rPr>
                      <w:rFonts w:cs="Times New Roman"/>
                      <w:szCs w:val="21"/>
                    </w:rPr>
                  </w:pPr>
                  <w:r>
                    <w:rPr>
                      <w:rFonts w:cs="Times New Roman"/>
                    </w:rPr>
                    <w:t>62.22</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36.22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9</w:t>
                  </w:r>
                </w:p>
              </w:tc>
              <w:tc>
                <w:tcPr>
                  <w:tcW w:w="445" w:type="pct"/>
                  <w:tcBorders>
                    <w:tl2br w:val="nil"/>
                    <w:tr2bl w:val="nil"/>
                  </w:tcBorders>
                  <w:vAlign w:val="center"/>
                </w:tcPr>
                <w:p>
                  <w:pPr>
                    <w:jc w:val="center"/>
                    <w:rPr>
                      <w:rFonts w:cs="Times New Roman"/>
                      <w:szCs w:val="21"/>
                    </w:rPr>
                  </w:pPr>
                  <w:r>
                    <w:rPr>
                      <w:rFonts w:cs="Times New Roman"/>
                      <w:szCs w:val="21"/>
                    </w:rPr>
                    <w:t>喂料泵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11.71</w:t>
                  </w:r>
                </w:p>
              </w:tc>
              <w:tc>
                <w:tcPr>
                  <w:tcW w:w="345" w:type="pct"/>
                  <w:tcBorders>
                    <w:tl2br w:val="nil"/>
                    <w:tr2bl w:val="nil"/>
                  </w:tcBorders>
                  <w:vAlign w:val="center"/>
                </w:tcPr>
                <w:p>
                  <w:pPr>
                    <w:jc w:val="center"/>
                    <w:rPr>
                      <w:rFonts w:cs="Times New Roman"/>
                      <w:szCs w:val="21"/>
                    </w:rPr>
                  </w:pPr>
                  <w:r>
                    <w:rPr>
                      <w:rFonts w:cs="Times New Roman"/>
                    </w:rPr>
                    <w:t>4.18</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10.03</w:t>
                  </w:r>
                </w:p>
              </w:tc>
              <w:tc>
                <w:tcPr>
                  <w:tcW w:w="277" w:type="pct"/>
                  <w:tcBorders>
                    <w:tl2br w:val="nil"/>
                    <w:tr2bl w:val="nil"/>
                  </w:tcBorders>
                  <w:vAlign w:val="center"/>
                </w:tcPr>
                <w:p>
                  <w:pPr>
                    <w:jc w:val="center"/>
                    <w:rPr>
                      <w:rFonts w:cs="Times New Roman"/>
                      <w:szCs w:val="21"/>
                    </w:rPr>
                  </w:pPr>
                  <w:r>
                    <w:rPr>
                      <w:rFonts w:cs="Times New Roman"/>
                    </w:rPr>
                    <w:t>67.01</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41.01</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10</w:t>
                  </w:r>
                </w:p>
              </w:tc>
              <w:tc>
                <w:tcPr>
                  <w:tcW w:w="445" w:type="pct"/>
                  <w:tcBorders>
                    <w:tl2br w:val="nil"/>
                    <w:tr2bl w:val="nil"/>
                  </w:tcBorders>
                  <w:vAlign w:val="center"/>
                </w:tcPr>
                <w:p>
                  <w:pPr>
                    <w:jc w:val="center"/>
                    <w:rPr>
                      <w:rFonts w:cs="Times New Roman"/>
                      <w:szCs w:val="21"/>
                    </w:rPr>
                  </w:pPr>
                  <w:r>
                    <w:rPr>
                      <w:rFonts w:cs="Times New Roman"/>
                      <w:szCs w:val="21"/>
                    </w:rPr>
                    <w:t>喂料泵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11.71</w:t>
                  </w:r>
                </w:p>
              </w:tc>
              <w:tc>
                <w:tcPr>
                  <w:tcW w:w="345" w:type="pct"/>
                  <w:tcBorders>
                    <w:tl2br w:val="nil"/>
                    <w:tr2bl w:val="nil"/>
                  </w:tcBorders>
                  <w:vAlign w:val="center"/>
                </w:tcPr>
                <w:p>
                  <w:pPr>
                    <w:jc w:val="center"/>
                    <w:rPr>
                      <w:rFonts w:cs="Times New Roman"/>
                      <w:szCs w:val="21"/>
                    </w:rPr>
                  </w:pPr>
                  <w:r>
                    <w:rPr>
                      <w:rFonts w:cs="Times New Roman"/>
                    </w:rPr>
                    <w:t>4.18</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10.03</w:t>
                  </w:r>
                </w:p>
              </w:tc>
              <w:tc>
                <w:tcPr>
                  <w:tcW w:w="277" w:type="pct"/>
                  <w:tcBorders>
                    <w:tl2br w:val="nil"/>
                    <w:tr2bl w:val="nil"/>
                  </w:tcBorders>
                  <w:vAlign w:val="center"/>
                </w:tcPr>
                <w:p>
                  <w:pPr>
                    <w:jc w:val="center"/>
                    <w:rPr>
                      <w:rFonts w:cs="Times New Roman"/>
                      <w:szCs w:val="21"/>
                    </w:rPr>
                  </w:pPr>
                  <w:r>
                    <w:rPr>
                      <w:rFonts w:cs="Times New Roman"/>
                    </w:rPr>
                    <w:t>67.01</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41.01</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11</w:t>
                  </w:r>
                </w:p>
              </w:tc>
              <w:tc>
                <w:tcPr>
                  <w:tcW w:w="445" w:type="pct"/>
                  <w:tcBorders>
                    <w:tl2br w:val="nil"/>
                    <w:tr2bl w:val="nil"/>
                  </w:tcBorders>
                  <w:vAlign w:val="center"/>
                </w:tcPr>
                <w:p>
                  <w:pPr>
                    <w:jc w:val="center"/>
                    <w:rPr>
                      <w:rFonts w:cs="Times New Roman"/>
                      <w:szCs w:val="21"/>
                    </w:rPr>
                  </w:pPr>
                  <w:r>
                    <w:rPr>
                      <w:rFonts w:cs="Times New Roman"/>
                      <w:szCs w:val="21"/>
                    </w:rPr>
                    <w:t>喷淋泵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7.52</w:t>
                  </w:r>
                </w:p>
              </w:tc>
              <w:tc>
                <w:tcPr>
                  <w:tcW w:w="345" w:type="pct"/>
                  <w:tcBorders>
                    <w:tl2br w:val="nil"/>
                    <w:tr2bl w:val="nil"/>
                  </w:tcBorders>
                  <w:vAlign w:val="center"/>
                </w:tcPr>
                <w:p>
                  <w:pPr>
                    <w:jc w:val="center"/>
                    <w:rPr>
                      <w:rFonts w:cs="Times New Roman"/>
                      <w:szCs w:val="21"/>
                    </w:rPr>
                  </w:pPr>
                  <w:r>
                    <w:rPr>
                      <w:rFonts w:cs="Times New Roman"/>
                    </w:rPr>
                    <w:t>8.61</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7.88</w:t>
                  </w:r>
                </w:p>
              </w:tc>
              <w:tc>
                <w:tcPr>
                  <w:tcW w:w="277" w:type="pct"/>
                  <w:tcBorders>
                    <w:tl2br w:val="nil"/>
                    <w:tr2bl w:val="nil"/>
                  </w:tcBorders>
                  <w:vAlign w:val="center"/>
                </w:tcPr>
                <w:p>
                  <w:pPr>
                    <w:jc w:val="center"/>
                    <w:rPr>
                      <w:rFonts w:cs="Times New Roman"/>
                      <w:szCs w:val="21"/>
                    </w:rPr>
                  </w:pPr>
                  <w:r>
                    <w:rPr>
                      <w:rFonts w:cs="Times New Roman"/>
                    </w:rPr>
                    <w:t>67.09</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41.09</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12</w:t>
                  </w:r>
                </w:p>
              </w:tc>
              <w:tc>
                <w:tcPr>
                  <w:tcW w:w="445" w:type="pct"/>
                  <w:tcBorders>
                    <w:tl2br w:val="nil"/>
                    <w:tr2bl w:val="nil"/>
                  </w:tcBorders>
                  <w:vAlign w:val="center"/>
                </w:tcPr>
                <w:p>
                  <w:pPr>
                    <w:jc w:val="center"/>
                    <w:rPr>
                      <w:rFonts w:cs="Times New Roman"/>
                      <w:szCs w:val="21"/>
                    </w:rPr>
                  </w:pPr>
                  <w:r>
                    <w:rPr>
                      <w:rFonts w:cs="Times New Roman"/>
                      <w:szCs w:val="21"/>
                    </w:rPr>
                    <w:t>喷淋泵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7.52</w:t>
                  </w:r>
                </w:p>
              </w:tc>
              <w:tc>
                <w:tcPr>
                  <w:tcW w:w="345" w:type="pct"/>
                  <w:tcBorders>
                    <w:tl2br w:val="nil"/>
                    <w:tr2bl w:val="nil"/>
                  </w:tcBorders>
                  <w:vAlign w:val="center"/>
                </w:tcPr>
                <w:p>
                  <w:pPr>
                    <w:jc w:val="center"/>
                    <w:rPr>
                      <w:rFonts w:cs="Times New Roman"/>
                      <w:szCs w:val="21"/>
                    </w:rPr>
                  </w:pPr>
                  <w:r>
                    <w:rPr>
                      <w:rFonts w:cs="Times New Roman"/>
                    </w:rPr>
                    <w:t>8.61</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7.88</w:t>
                  </w:r>
                </w:p>
              </w:tc>
              <w:tc>
                <w:tcPr>
                  <w:tcW w:w="277" w:type="pct"/>
                  <w:tcBorders>
                    <w:tl2br w:val="nil"/>
                    <w:tr2bl w:val="nil"/>
                  </w:tcBorders>
                  <w:vAlign w:val="center"/>
                </w:tcPr>
                <w:p>
                  <w:pPr>
                    <w:jc w:val="center"/>
                    <w:rPr>
                      <w:rFonts w:cs="Times New Roman"/>
                      <w:szCs w:val="21"/>
                    </w:rPr>
                  </w:pPr>
                  <w:r>
                    <w:rPr>
                      <w:rFonts w:cs="Times New Roman"/>
                    </w:rPr>
                    <w:t>67.09</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41.09</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13</w:t>
                  </w:r>
                </w:p>
              </w:tc>
              <w:tc>
                <w:tcPr>
                  <w:tcW w:w="445" w:type="pct"/>
                  <w:tcBorders>
                    <w:tl2br w:val="nil"/>
                    <w:tr2bl w:val="nil"/>
                  </w:tcBorders>
                  <w:vAlign w:val="center"/>
                </w:tcPr>
                <w:p>
                  <w:pPr>
                    <w:jc w:val="center"/>
                    <w:rPr>
                      <w:rFonts w:cs="Times New Roman"/>
                      <w:szCs w:val="21"/>
                    </w:rPr>
                  </w:pPr>
                  <w:r>
                    <w:rPr>
                      <w:rFonts w:cs="Times New Roman"/>
                      <w:szCs w:val="21"/>
                    </w:rPr>
                    <w:t>增稠剂搅拌罐</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-6.58</w:t>
                  </w:r>
                </w:p>
              </w:tc>
              <w:tc>
                <w:tcPr>
                  <w:tcW w:w="345" w:type="pct"/>
                  <w:tcBorders>
                    <w:tl2br w:val="nil"/>
                    <w:tr2bl w:val="nil"/>
                  </w:tcBorders>
                  <w:vAlign w:val="center"/>
                </w:tcPr>
                <w:p>
                  <w:pPr>
                    <w:jc w:val="center"/>
                    <w:rPr>
                      <w:rFonts w:cs="Times New Roman"/>
                      <w:szCs w:val="21"/>
                    </w:rPr>
                  </w:pPr>
                  <w:r>
                    <w:rPr>
                      <w:rFonts w:cs="Times New Roman"/>
                    </w:rPr>
                    <w:t>17.89</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5.68</w:t>
                  </w:r>
                </w:p>
              </w:tc>
              <w:tc>
                <w:tcPr>
                  <w:tcW w:w="277" w:type="pct"/>
                  <w:tcBorders>
                    <w:tl2br w:val="nil"/>
                    <w:tr2bl w:val="nil"/>
                  </w:tcBorders>
                  <w:vAlign w:val="center"/>
                </w:tcPr>
                <w:p>
                  <w:pPr>
                    <w:jc w:val="center"/>
                    <w:rPr>
                      <w:rFonts w:cs="Times New Roman"/>
                      <w:szCs w:val="21"/>
                    </w:rPr>
                  </w:pPr>
                  <w:r>
                    <w:rPr>
                      <w:rFonts w:cs="Times New Roman"/>
                    </w:rPr>
                    <w:t>67.29</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41.29</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14</w:t>
                  </w:r>
                </w:p>
              </w:tc>
              <w:tc>
                <w:tcPr>
                  <w:tcW w:w="445" w:type="pct"/>
                  <w:tcBorders>
                    <w:tl2br w:val="nil"/>
                    <w:tr2bl w:val="nil"/>
                  </w:tcBorders>
                  <w:vAlign w:val="center"/>
                </w:tcPr>
                <w:p>
                  <w:pPr>
                    <w:jc w:val="center"/>
                    <w:rPr>
                      <w:rFonts w:cs="Times New Roman"/>
                      <w:szCs w:val="21"/>
                    </w:rPr>
                  </w:pPr>
                  <w:r>
                    <w:rPr>
                      <w:rFonts w:cs="Times New Roman"/>
                      <w:szCs w:val="21"/>
                    </w:rPr>
                    <w:t>增稠剂搅拌罐</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-6.58</w:t>
                  </w:r>
                </w:p>
              </w:tc>
              <w:tc>
                <w:tcPr>
                  <w:tcW w:w="345" w:type="pct"/>
                  <w:tcBorders>
                    <w:tl2br w:val="nil"/>
                    <w:tr2bl w:val="nil"/>
                  </w:tcBorders>
                  <w:vAlign w:val="center"/>
                </w:tcPr>
                <w:p>
                  <w:pPr>
                    <w:jc w:val="center"/>
                    <w:rPr>
                      <w:rFonts w:cs="Times New Roman"/>
                      <w:szCs w:val="21"/>
                    </w:rPr>
                  </w:pPr>
                  <w:r>
                    <w:rPr>
                      <w:rFonts w:cs="Times New Roman"/>
                    </w:rPr>
                    <w:t>17.89</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5.68</w:t>
                  </w:r>
                </w:p>
              </w:tc>
              <w:tc>
                <w:tcPr>
                  <w:tcW w:w="277" w:type="pct"/>
                  <w:tcBorders>
                    <w:tl2br w:val="nil"/>
                    <w:tr2bl w:val="nil"/>
                  </w:tcBorders>
                  <w:vAlign w:val="center"/>
                </w:tcPr>
                <w:p>
                  <w:pPr>
                    <w:jc w:val="center"/>
                    <w:rPr>
                      <w:rFonts w:cs="Times New Roman"/>
                      <w:szCs w:val="21"/>
                    </w:rPr>
                  </w:pPr>
                  <w:r>
                    <w:rPr>
                      <w:rFonts w:cs="Times New Roman"/>
                    </w:rPr>
                    <w:t>67.29</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41.29</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15</w:t>
                  </w:r>
                </w:p>
              </w:tc>
              <w:tc>
                <w:tcPr>
                  <w:tcW w:w="445" w:type="pct"/>
                  <w:tcBorders>
                    <w:tl2br w:val="nil"/>
                    <w:tr2bl w:val="nil"/>
                  </w:tcBorders>
                  <w:vAlign w:val="center"/>
                </w:tcPr>
                <w:p>
                  <w:pPr>
                    <w:jc w:val="center"/>
                    <w:rPr>
                      <w:rFonts w:cs="Times New Roman"/>
                      <w:szCs w:val="21"/>
                    </w:rPr>
                  </w:pPr>
                  <w:r>
                    <w:rPr>
                      <w:rFonts w:cs="Times New Roman"/>
                      <w:szCs w:val="21"/>
                    </w:rPr>
                    <w:t>废浆罐回水泵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10.82</w:t>
                  </w:r>
                </w:p>
              </w:tc>
              <w:tc>
                <w:tcPr>
                  <w:tcW w:w="345" w:type="pct"/>
                  <w:tcBorders>
                    <w:tl2br w:val="nil"/>
                    <w:tr2bl w:val="nil"/>
                  </w:tcBorders>
                  <w:vAlign w:val="center"/>
                </w:tcPr>
                <w:p>
                  <w:pPr>
                    <w:jc w:val="center"/>
                    <w:rPr>
                      <w:rFonts w:cs="Times New Roman"/>
                      <w:szCs w:val="21"/>
                    </w:rPr>
                  </w:pPr>
                  <w:r>
                    <w:rPr>
                      <w:rFonts w:cs="Times New Roman"/>
                    </w:rPr>
                    <w:t>7.9</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7.08</w:t>
                  </w:r>
                </w:p>
              </w:tc>
              <w:tc>
                <w:tcPr>
                  <w:tcW w:w="277" w:type="pct"/>
                  <w:tcBorders>
                    <w:tl2br w:val="nil"/>
                    <w:tr2bl w:val="nil"/>
                  </w:tcBorders>
                  <w:vAlign w:val="center"/>
                </w:tcPr>
                <w:p>
                  <w:pPr>
                    <w:jc w:val="center"/>
                    <w:rPr>
                      <w:rFonts w:cs="Times New Roman"/>
                      <w:szCs w:val="21"/>
                    </w:rPr>
                  </w:pPr>
                  <w:r>
                    <w:rPr>
                      <w:rFonts w:cs="Times New Roman"/>
                    </w:rPr>
                    <w:t>67.14</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41.14</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16</w:t>
                  </w:r>
                </w:p>
              </w:tc>
              <w:tc>
                <w:tcPr>
                  <w:tcW w:w="445" w:type="pct"/>
                  <w:tcBorders>
                    <w:tl2br w:val="nil"/>
                    <w:tr2bl w:val="nil"/>
                  </w:tcBorders>
                  <w:vAlign w:val="center"/>
                </w:tcPr>
                <w:p>
                  <w:pPr>
                    <w:jc w:val="center"/>
                    <w:rPr>
                      <w:rFonts w:cs="Times New Roman"/>
                      <w:szCs w:val="21"/>
                    </w:rPr>
                  </w:pPr>
                  <w:r>
                    <w:rPr>
                      <w:rFonts w:cs="Times New Roman"/>
                      <w:szCs w:val="21"/>
                    </w:rPr>
                    <w:t>废浆罐回水泵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10.82</w:t>
                  </w:r>
                </w:p>
              </w:tc>
              <w:tc>
                <w:tcPr>
                  <w:tcW w:w="345" w:type="pct"/>
                  <w:tcBorders>
                    <w:tl2br w:val="nil"/>
                    <w:tr2bl w:val="nil"/>
                  </w:tcBorders>
                  <w:vAlign w:val="center"/>
                </w:tcPr>
                <w:p>
                  <w:pPr>
                    <w:jc w:val="center"/>
                    <w:rPr>
                      <w:rFonts w:cs="Times New Roman"/>
                      <w:szCs w:val="21"/>
                    </w:rPr>
                  </w:pPr>
                  <w:r>
                    <w:rPr>
                      <w:rFonts w:cs="Times New Roman"/>
                    </w:rPr>
                    <w:t>7.9</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7.08</w:t>
                  </w:r>
                </w:p>
              </w:tc>
              <w:tc>
                <w:tcPr>
                  <w:tcW w:w="277" w:type="pct"/>
                  <w:tcBorders>
                    <w:tl2br w:val="nil"/>
                    <w:tr2bl w:val="nil"/>
                  </w:tcBorders>
                  <w:vAlign w:val="center"/>
                </w:tcPr>
                <w:p>
                  <w:pPr>
                    <w:jc w:val="center"/>
                    <w:rPr>
                      <w:rFonts w:cs="Times New Roman"/>
                      <w:szCs w:val="21"/>
                    </w:rPr>
                  </w:pPr>
                  <w:r>
                    <w:rPr>
                      <w:rFonts w:cs="Times New Roman"/>
                    </w:rPr>
                    <w:t>67.14</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41.14</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17</w:t>
                  </w:r>
                </w:p>
              </w:tc>
              <w:tc>
                <w:tcPr>
                  <w:tcW w:w="445" w:type="pct"/>
                  <w:tcBorders>
                    <w:tl2br w:val="nil"/>
                    <w:tr2bl w:val="nil"/>
                  </w:tcBorders>
                  <w:vAlign w:val="center"/>
                </w:tcPr>
                <w:p>
                  <w:pPr>
                    <w:jc w:val="center"/>
                    <w:rPr>
                      <w:rFonts w:cs="Times New Roman"/>
                      <w:szCs w:val="21"/>
                    </w:rPr>
                  </w:pPr>
                  <w:r>
                    <w:rPr>
                      <w:rFonts w:cs="Times New Roman"/>
                      <w:szCs w:val="21"/>
                    </w:rPr>
                    <w:t>抽吸风机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91.02</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-3.33</w:t>
                  </w:r>
                </w:p>
              </w:tc>
              <w:tc>
                <w:tcPr>
                  <w:tcW w:w="345" w:type="pct"/>
                  <w:tcBorders>
                    <w:tl2br w:val="nil"/>
                    <w:tr2bl w:val="nil"/>
                  </w:tcBorders>
                  <w:vAlign w:val="center"/>
                </w:tcPr>
                <w:p>
                  <w:pPr>
                    <w:jc w:val="center"/>
                    <w:rPr>
                      <w:rFonts w:cs="Times New Roman"/>
                      <w:szCs w:val="21"/>
                    </w:rPr>
                  </w:pPr>
                  <w:r>
                    <w:rPr>
                      <w:rFonts w:cs="Times New Roman"/>
                    </w:rPr>
                    <w:t>11.51</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10.00</w:t>
                  </w:r>
                </w:p>
              </w:tc>
              <w:tc>
                <w:tcPr>
                  <w:tcW w:w="277" w:type="pct"/>
                  <w:tcBorders>
                    <w:tl2br w:val="nil"/>
                    <w:tr2bl w:val="nil"/>
                  </w:tcBorders>
                  <w:vAlign w:val="center"/>
                </w:tcPr>
                <w:p>
                  <w:pPr>
                    <w:jc w:val="center"/>
                    <w:rPr>
                      <w:rFonts w:cs="Times New Roman"/>
                      <w:szCs w:val="21"/>
                    </w:rPr>
                  </w:pPr>
                  <w:r>
                    <w:rPr>
                      <w:rFonts w:cs="Times New Roman"/>
                    </w:rPr>
                    <w:t>75.02</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49.02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18</w:t>
                  </w:r>
                </w:p>
              </w:tc>
              <w:tc>
                <w:tcPr>
                  <w:tcW w:w="445" w:type="pct"/>
                  <w:tcBorders>
                    <w:tl2br w:val="nil"/>
                    <w:tr2bl w:val="nil"/>
                  </w:tcBorders>
                  <w:vAlign w:val="center"/>
                </w:tcPr>
                <w:p>
                  <w:pPr>
                    <w:jc w:val="center"/>
                    <w:rPr>
                      <w:rFonts w:cs="Times New Roman"/>
                      <w:szCs w:val="21"/>
                    </w:rPr>
                  </w:pPr>
                  <w:r>
                    <w:rPr>
                      <w:rFonts w:cs="Times New Roman"/>
                      <w:szCs w:val="21"/>
                    </w:rPr>
                    <w:t>抽吸风机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91.02</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-3.33</w:t>
                  </w:r>
                </w:p>
              </w:tc>
              <w:tc>
                <w:tcPr>
                  <w:tcW w:w="345" w:type="pct"/>
                  <w:tcBorders>
                    <w:tl2br w:val="nil"/>
                    <w:tr2bl w:val="nil"/>
                  </w:tcBorders>
                  <w:vAlign w:val="center"/>
                </w:tcPr>
                <w:p>
                  <w:pPr>
                    <w:jc w:val="center"/>
                    <w:rPr>
                      <w:rFonts w:cs="Times New Roman"/>
                      <w:szCs w:val="21"/>
                    </w:rPr>
                  </w:pPr>
                  <w:r>
                    <w:rPr>
                      <w:rFonts w:cs="Times New Roman"/>
                    </w:rPr>
                    <w:t>11.51</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10.00</w:t>
                  </w:r>
                </w:p>
              </w:tc>
              <w:tc>
                <w:tcPr>
                  <w:tcW w:w="277" w:type="pct"/>
                  <w:tcBorders>
                    <w:tl2br w:val="nil"/>
                    <w:tr2bl w:val="nil"/>
                  </w:tcBorders>
                  <w:vAlign w:val="center"/>
                </w:tcPr>
                <w:p>
                  <w:pPr>
                    <w:jc w:val="center"/>
                    <w:rPr>
                      <w:rFonts w:cs="Times New Roman"/>
                      <w:szCs w:val="21"/>
                    </w:rPr>
                  </w:pPr>
                  <w:r>
                    <w:rPr>
                      <w:rFonts w:cs="Times New Roman"/>
                    </w:rPr>
                    <w:t>75.02</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49.02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19</w:t>
                  </w:r>
                </w:p>
              </w:tc>
              <w:tc>
                <w:tcPr>
                  <w:tcW w:w="445" w:type="pct"/>
                  <w:tcBorders>
                    <w:tl2br w:val="nil"/>
                    <w:tr2bl w:val="nil"/>
                  </w:tcBorders>
                  <w:vAlign w:val="center"/>
                </w:tcPr>
                <w:p>
                  <w:pPr>
                    <w:jc w:val="center"/>
                    <w:rPr>
                      <w:rFonts w:cs="Times New Roman"/>
                      <w:szCs w:val="21"/>
                    </w:rPr>
                  </w:pPr>
                  <w:r>
                    <w:rPr>
                      <w:rFonts w:cs="Times New Roman"/>
                      <w:szCs w:val="21"/>
                    </w:rPr>
                    <w:t>提升机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78.01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31.42</w:t>
                  </w:r>
                </w:p>
              </w:tc>
              <w:tc>
                <w:tcPr>
                  <w:tcW w:w="345" w:type="pct"/>
                  <w:tcBorders>
                    <w:tl2br w:val="nil"/>
                    <w:tr2bl w:val="nil"/>
                  </w:tcBorders>
                  <w:vAlign w:val="center"/>
                </w:tcPr>
                <w:p>
                  <w:pPr>
                    <w:jc w:val="center"/>
                    <w:rPr>
                      <w:rFonts w:cs="Times New Roman"/>
                      <w:szCs w:val="21"/>
                    </w:rPr>
                  </w:pPr>
                  <w:r>
                    <w:rPr>
                      <w:rFonts w:cs="Times New Roman"/>
                    </w:rPr>
                    <w:t>-3.5</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8.35</w:t>
                  </w:r>
                </w:p>
              </w:tc>
              <w:tc>
                <w:tcPr>
                  <w:tcW w:w="277" w:type="pct"/>
                  <w:tcBorders>
                    <w:tl2br w:val="nil"/>
                    <w:tr2bl w:val="nil"/>
                  </w:tcBorders>
                  <w:vAlign w:val="center"/>
                </w:tcPr>
                <w:p>
                  <w:pPr>
                    <w:jc w:val="center"/>
                    <w:rPr>
                      <w:rFonts w:cs="Times New Roman"/>
                      <w:szCs w:val="21"/>
                    </w:rPr>
                  </w:pPr>
                  <w:r>
                    <w:rPr>
                      <w:rFonts w:cs="Times New Roman"/>
                    </w:rPr>
                    <w:t>62.07</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36.07</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20</w:t>
                  </w:r>
                </w:p>
              </w:tc>
              <w:tc>
                <w:tcPr>
                  <w:tcW w:w="445" w:type="pct"/>
                  <w:tcBorders>
                    <w:tl2br w:val="nil"/>
                    <w:tr2bl w:val="nil"/>
                  </w:tcBorders>
                  <w:vAlign w:val="center"/>
                </w:tcPr>
                <w:p>
                  <w:pPr>
                    <w:jc w:val="center"/>
                    <w:rPr>
                      <w:rFonts w:cs="Times New Roman"/>
                      <w:szCs w:val="21"/>
                    </w:rPr>
                  </w:pPr>
                  <w:r>
                    <w:rPr>
                      <w:rFonts w:cs="Times New Roman"/>
                      <w:szCs w:val="21"/>
                    </w:rPr>
                    <w:t>提升机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78.01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31.42</w:t>
                  </w:r>
                </w:p>
              </w:tc>
              <w:tc>
                <w:tcPr>
                  <w:tcW w:w="345" w:type="pct"/>
                  <w:tcBorders>
                    <w:tl2br w:val="nil"/>
                    <w:tr2bl w:val="nil"/>
                  </w:tcBorders>
                  <w:vAlign w:val="center"/>
                </w:tcPr>
                <w:p>
                  <w:pPr>
                    <w:jc w:val="center"/>
                    <w:rPr>
                      <w:rFonts w:cs="Times New Roman"/>
                      <w:szCs w:val="21"/>
                    </w:rPr>
                  </w:pPr>
                  <w:r>
                    <w:rPr>
                      <w:rFonts w:cs="Times New Roman"/>
                    </w:rPr>
                    <w:t>-3.5</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8.35</w:t>
                  </w:r>
                </w:p>
              </w:tc>
              <w:tc>
                <w:tcPr>
                  <w:tcW w:w="277" w:type="pct"/>
                  <w:tcBorders>
                    <w:tl2br w:val="nil"/>
                    <w:tr2bl w:val="nil"/>
                  </w:tcBorders>
                  <w:vAlign w:val="center"/>
                </w:tcPr>
                <w:p>
                  <w:pPr>
                    <w:jc w:val="center"/>
                    <w:rPr>
                      <w:rFonts w:cs="Times New Roman"/>
                      <w:szCs w:val="21"/>
                    </w:rPr>
                  </w:pPr>
                  <w:r>
                    <w:rPr>
                      <w:rFonts w:cs="Times New Roman"/>
                    </w:rPr>
                    <w:t>62.07</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36.07</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21</w:t>
                  </w:r>
                </w:p>
              </w:tc>
              <w:tc>
                <w:tcPr>
                  <w:tcW w:w="445" w:type="pct"/>
                  <w:tcBorders>
                    <w:tl2br w:val="nil"/>
                    <w:tr2bl w:val="nil"/>
                  </w:tcBorders>
                  <w:vAlign w:val="center"/>
                </w:tcPr>
                <w:p>
                  <w:pPr>
                    <w:jc w:val="center"/>
                    <w:rPr>
                      <w:rFonts w:cs="Times New Roman"/>
                      <w:szCs w:val="21"/>
                    </w:rPr>
                  </w:pPr>
                  <w:r>
                    <w:rPr>
                      <w:rFonts w:cs="Times New Roman"/>
                      <w:szCs w:val="21"/>
                    </w:rPr>
                    <w:t>料浆罐及搅拌装置</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21.27</w:t>
                  </w:r>
                </w:p>
              </w:tc>
              <w:tc>
                <w:tcPr>
                  <w:tcW w:w="345" w:type="pct"/>
                  <w:tcBorders>
                    <w:tl2br w:val="nil"/>
                    <w:tr2bl w:val="nil"/>
                  </w:tcBorders>
                  <w:vAlign w:val="center"/>
                </w:tcPr>
                <w:p>
                  <w:pPr>
                    <w:jc w:val="center"/>
                    <w:rPr>
                      <w:rFonts w:cs="Times New Roman"/>
                      <w:szCs w:val="21"/>
                    </w:rPr>
                  </w:pPr>
                  <w:r>
                    <w:rPr>
                      <w:rFonts w:cs="Times New Roman"/>
                    </w:rPr>
                    <w:t>0.27</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9.38</w:t>
                  </w:r>
                </w:p>
              </w:tc>
              <w:tc>
                <w:tcPr>
                  <w:tcW w:w="277" w:type="pct"/>
                  <w:tcBorders>
                    <w:tl2br w:val="nil"/>
                    <w:tr2bl w:val="nil"/>
                  </w:tcBorders>
                  <w:vAlign w:val="center"/>
                </w:tcPr>
                <w:p>
                  <w:pPr>
                    <w:jc w:val="center"/>
                    <w:rPr>
                      <w:rFonts w:cs="Times New Roman"/>
                      <w:szCs w:val="21"/>
                    </w:rPr>
                  </w:pPr>
                  <w:r>
                    <w:rPr>
                      <w:rFonts w:cs="Times New Roman"/>
                    </w:rPr>
                    <w:t>57.02</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31.02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22</w:t>
                  </w:r>
                </w:p>
              </w:tc>
              <w:tc>
                <w:tcPr>
                  <w:tcW w:w="445" w:type="pct"/>
                  <w:tcBorders>
                    <w:tl2br w:val="nil"/>
                    <w:tr2bl w:val="nil"/>
                  </w:tcBorders>
                  <w:vAlign w:val="center"/>
                </w:tcPr>
                <w:p>
                  <w:pPr>
                    <w:jc w:val="center"/>
                    <w:rPr>
                      <w:rFonts w:cs="Times New Roman"/>
                      <w:szCs w:val="21"/>
                    </w:rPr>
                  </w:pPr>
                  <w:r>
                    <w:rPr>
                      <w:rFonts w:cs="Times New Roman"/>
                      <w:szCs w:val="21"/>
                    </w:rPr>
                    <w:t>料浆罐及搅拌装置</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21.27</w:t>
                  </w:r>
                </w:p>
              </w:tc>
              <w:tc>
                <w:tcPr>
                  <w:tcW w:w="345" w:type="pct"/>
                  <w:tcBorders>
                    <w:tl2br w:val="nil"/>
                    <w:tr2bl w:val="nil"/>
                  </w:tcBorders>
                  <w:vAlign w:val="center"/>
                </w:tcPr>
                <w:p>
                  <w:pPr>
                    <w:jc w:val="center"/>
                    <w:rPr>
                      <w:rFonts w:cs="Times New Roman"/>
                      <w:szCs w:val="21"/>
                    </w:rPr>
                  </w:pPr>
                  <w:r>
                    <w:rPr>
                      <w:rFonts w:cs="Times New Roman"/>
                    </w:rPr>
                    <w:t>0.27</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9.38</w:t>
                  </w:r>
                </w:p>
              </w:tc>
              <w:tc>
                <w:tcPr>
                  <w:tcW w:w="277" w:type="pct"/>
                  <w:tcBorders>
                    <w:tl2br w:val="nil"/>
                    <w:tr2bl w:val="nil"/>
                  </w:tcBorders>
                  <w:vAlign w:val="center"/>
                </w:tcPr>
                <w:p>
                  <w:pPr>
                    <w:jc w:val="center"/>
                    <w:rPr>
                      <w:rFonts w:cs="Times New Roman"/>
                      <w:szCs w:val="21"/>
                    </w:rPr>
                  </w:pPr>
                  <w:r>
                    <w:rPr>
                      <w:rFonts w:cs="Times New Roman"/>
                    </w:rPr>
                    <w:t>57.02</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31.02</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23</w:t>
                  </w:r>
                </w:p>
              </w:tc>
              <w:tc>
                <w:tcPr>
                  <w:tcW w:w="445" w:type="pct"/>
                  <w:tcBorders>
                    <w:tl2br w:val="nil"/>
                    <w:tr2bl w:val="nil"/>
                  </w:tcBorders>
                  <w:vAlign w:val="center"/>
                </w:tcPr>
                <w:p>
                  <w:pPr>
                    <w:jc w:val="center"/>
                    <w:rPr>
                      <w:rFonts w:cs="Times New Roman"/>
                      <w:szCs w:val="21"/>
                    </w:rPr>
                  </w:pPr>
                  <w:r>
                    <w:rPr>
                      <w:rFonts w:cs="Times New Roman"/>
                      <w:szCs w:val="21"/>
                    </w:rPr>
                    <w:t>施胶槽</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-20.74</w:t>
                  </w:r>
                </w:p>
              </w:tc>
              <w:tc>
                <w:tcPr>
                  <w:tcW w:w="345" w:type="pct"/>
                  <w:tcBorders>
                    <w:tl2br w:val="nil"/>
                    <w:tr2bl w:val="nil"/>
                  </w:tcBorders>
                  <w:vAlign w:val="center"/>
                </w:tcPr>
                <w:p>
                  <w:pPr>
                    <w:jc w:val="center"/>
                    <w:rPr>
                      <w:rFonts w:cs="Times New Roman"/>
                      <w:szCs w:val="21"/>
                    </w:rPr>
                  </w:pPr>
                  <w:r>
                    <w:rPr>
                      <w:rFonts w:cs="Times New Roman"/>
                    </w:rPr>
                    <w:t>19.11</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10.76</w:t>
                  </w:r>
                </w:p>
              </w:tc>
              <w:tc>
                <w:tcPr>
                  <w:tcW w:w="277" w:type="pct"/>
                  <w:tcBorders>
                    <w:tl2br w:val="nil"/>
                    <w:tr2bl w:val="nil"/>
                  </w:tcBorders>
                  <w:vAlign w:val="center"/>
                </w:tcPr>
                <w:p>
                  <w:pPr>
                    <w:jc w:val="center"/>
                    <w:rPr>
                      <w:rFonts w:cs="Times New Roman"/>
                      <w:szCs w:val="21"/>
                    </w:rPr>
                  </w:pPr>
                  <w:r>
                    <w:rPr>
                      <w:rFonts w:cs="Times New Roman"/>
                    </w:rPr>
                    <w:t>56.99</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30.99</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24</w:t>
                  </w:r>
                </w:p>
              </w:tc>
              <w:tc>
                <w:tcPr>
                  <w:tcW w:w="445" w:type="pct"/>
                  <w:tcBorders>
                    <w:tl2br w:val="nil"/>
                    <w:tr2bl w:val="nil"/>
                  </w:tcBorders>
                  <w:vAlign w:val="center"/>
                </w:tcPr>
                <w:p>
                  <w:pPr>
                    <w:jc w:val="center"/>
                    <w:rPr>
                      <w:rFonts w:cs="Times New Roman"/>
                      <w:szCs w:val="21"/>
                    </w:rPr>
                  </w:pPr>
                  <w:r>
                    <w:rPr>
                      <w:rFonts w:cs="Times New Roman"/>
                      <w:szCs w:val="21"/>
                    </w:rPr>
                    <w:t>施胶槽</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-20.74</w:t>
                  </w:r>
                </w:p>
              </w:tc>
              <w:tc>
                <w:tcPr>
                  <w:tcW w:w="345" w:type="pct"/>
                  <w:tcBorders>
                    <w:tl2br w:val="nil"/>
                    <w:tr2bl w:val="nil"/>
                  </w:tcBorders>
                  <w:vAlign w:val="center"/>
                </w:tcPr>
                <w:p>
                  <w:pPr>
                    <w:jc w:val="center"/>
                    <w:rPr>
                      <w:rFonts w:cs="Times New Roman"/>
                      <w:szCs w:val="21"/>
                    </w:rPr>
                  </w:pPr>
                  <w:r>
                    <w:rPr>
                      <w:rFonts w:cs="Times New Roman"/>
                    </w:rPr>
                    <w:t>19.11</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10.76</w:t>
                  </w:r>
                </w:p>
              </w:tc>
              <w:tc>
                <w:tcPr>
                  <w:tcW w:w="277" w:type="pct"/>
                  <w:tcBorders>
                    <w:tl2br w:val="nil"/>
                    <w:tr2bl w:val="nil"/>
                  </w:tcBorders>
                  <w:vAlign w:val="center"/>
                </w:tcPr>
                <w:p>
                  <w:pPr>
                    <w:jc w:val="center"/>
                    <w:rPr>
                      <w:rFonts w:cs="Times New Roman"/>
                      <w:szCs w:val="21"/>
                    </w:rPr>
                  </w:pPr>
                  <w:r>
                    <w:rPr>
                      <w:rFonts w:cs="Times New Roman"/>
                    </w:rPr>
                    <w:t>56.99</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30.99</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25</w:t>
                  </w:r>
                </w:p>
              </w:tc>
              <w:tc>
                <w:tcPr>
                  <w:tcW w:w="445" w:type="pct"/>
                  <w:tcBorders>
                    <w:tl2br w:val="nil"/>
                    <w:tr2bl w:val="nil"/>
                  </w:tcBorders>
                  <w:vAlign w:val="center"/>
                </w:tcPr>
                <w:p>
                  <w:pPr>
                    <w:jc w:val="center"/>
                    <w:rPr>
                      <w:rFonts w:cs="Times New Roman"/>
                      <w:szCs w:val="21"/>
                    </w:rPr>
                  </w:pPr>
                  <w:r>
                    <w:rPr>
                      <w:rFonts w:cs="Times New Roman"/>
                      <w:szCs w:val="21"/>
                    </w:rPr>
                    <w:t>活性炭吸附装置</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-25.07</w:t>
                  </w:r>
                </w:p>
              </w:tc>
              <w:tc>
                <w:tcPr>
                  <w:tcW w:w="345" w:type="pct"/>
                  <w:tcBorders>
                    <w:tl2br w:val="nil"/>
                    <w:tr2bl w:val="nil"/>
                  </w:tcBorders>
                  <w:vAlign w:val="center"/>
                </w:tcPr>
                <w:p>
                  <w:pPr>
                    <w:jc w:val="center"/>
                    <w:rPr>
                      <w:rFonts w:cs="Times New Roman"/>
                    </w:rPr>
                  </w:pPr>
                  <w:r>
                    <w:rPr>
                      <w:rFonts w:cs="Times New Roman"/>
                    </w:rPr>
                    <w:t>20</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11.84</w:t>
                  </w:r>
                </w:p>
              </w:tc>
              <w:tc>
                <w:tcPr>
                  <w:tcW w:w="277" w:type="pct"/>
                  <w:tcBorders>
                    <w:tl2br w:val="nil"/>
                    <w:tr2bl w:val="nil"/>
                  </w:tcBorders>
                  <w:vAlign w:val="center"/>
                </w:tcPr>
                <w:p>
                  <w:pPr>
                    <w:jc w:val="center"/>
                    <w:rPr>
                      <w:rFonts w:cs="Times New Roman"/>
                    </w:rPr>
                  </w:pPr>
                  <w:r>
                    <w:rPr>
                      <w:rFonts w:cs="Times New Roman"/>
                    </w:rPr>
                    <w:t>56.97</w:t>
                  </w:r>
                </w:p>
              </w:tc>
              <w:tc>
                <w:tcPr>
                  <w:tcW w:w="241" w:type="pct"/>
                  <w:tcBorders>
                    <w:tl2br w:val="nil"/>
                    <w:tr2bl w:val="nil"/>
                  </w:tcBorders>
                  <w:vAlign w:val="center"/>
                </w:tcPr>
                <w:p>
                  <w:pPr>
                    <w:jc w:val="center"/>
                    <w:rPr>
                      <w:rFonts w:cs="Times New Roman"/>
                    </w:rPr>
                  </w:pPr>
                  <w:r>
                    <w:rPr>
                      <w:rFonts w:cs="Times New Roman"/>
                    </w:rPr>
                    <w:t>昼间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30.97</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26</w:t>
                  </w:r>
                </w:p>
              </w:tc>
              <w:tc>
                <w:tcPr>
                  <w:tcW w:w="445" w:type="pct"/>
                  <w:tcBorders>
                    <w:tl2br w:val="nil"/>
                    <w:tr2bl w:val="nil"/>
                  </w:tcBorders>
                  <w:vAlign w:val="center"/>
                </w:tcPr>
                <w:p>
                  <w:pPr>
                    <w:jc w:val="center"/>
                    <w:rPr>
                      <w:rFonts w:cs="Times New Roman"/>
                      <w:szCs w:val="21"/>
                    </w:rPr>
                  </w:pPr>
                  <w:r>
                    <w:rPr>
                      <w:rFonts w:cs="Times New Roman"/>
                      <w:szCs w:val="21"/>
                    </w:rPr>
                    <w:t>活性炭吸附装置</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-25.07</w:t>
                  </w:r>
                </w:p>
              </w:tc>
              <w:tc>
                <w:tcPr>
                  <w:tcW w:w="345" w:type="pct"/>
                  <w:tcBorders>
                    <w:tl2br w:val="nil"/>
                    <w:tr2bl w:val="nil"/>
                  </w:tcBorders>
                  <w:vAlign w:val="center"/>
                </w:tcPr>
                <w:p>
                  <w:pPr>
                    <w:jc w:val="center"/>
                    <w:rPr>
                      <w:rFonts w:cs="Times New Roman"/>
                    </w:rPr>
                  </w:pPr>
                  <w:r>
                    <w:rPr>
                      <w:rFonts w:cs="Times New Roman"/>
                    </w:rPr>
                    <w:t>20</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11.84</w:t>
                  </w:r>
                </w:p>
              </w:tc>
              <w:tc>
                <w:tcPr>
                  <w:tcW w:w="277" w:type="pct"/>
                  <w:tcBorders>
                    <w:tl2br w:val="nil"/>
                    <w:tr2bl w:val="nil"/>
                  </w:tcBorders>
                  <w:vAlign w:val="center"/>
                </w:tcPr>
                <w:p>
                  <w:pPr>
                    <w:jc w:val="center"/>
                    <w:rPr>
                      <w:rFonts w:cs="Times New Roman"/>
                    </w:rPr>
                  </w:pPr>
                  <w:r>
                    <w:rPr>
                      <w:rFonts w:cs="Times New Roman"/>
                    </w:rPr>
                    <w:t>56.97</w:t>
                  </w:r>
                </w:p>
              </w:tc>
              <w:tc>
                <w:tcPr>
                  <w:tcW w:w="241" w:type="pct"/>
                  <w:tcBorders>
                    <w:tl2br w:val="nil"/>
                    <w:tr2bl w:val="nil"/>
                  </w:tcBorders>
                  <w:vAlign w:val="center"/>
                </w:tcPr>
                <w:p>
                  <w:pPr>
                    <w:jc w:val="center"/>
                    <w:rPr>
                      <w:rFonts w:cs="Times New Roman"/>
                    </w:rPr>
                  </w:pPr>
                  <w:r>
                    <w:rPr>
                      <w:rFonts w:cs="Times New Roman"/>
                    </w:rPr>
                    <w:t>夜间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30.97</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27</w:t>
                  </w:r>
                </w:p>
              </w:tc>
              <w:tc>
                <w:tcPr>
                  <w:tcW w:w="445" w:type="pct"/>
                  <w:tcBorders>
                    <w:tl2br w:val="nil"/>
                    <w:tr2bl w:val="nil"/>
                  </w:tcBorders>
                  <w:vAlign w:val="center"/>
                </w:tcPr>
                <w:p>
                  <w:pPr>
                    <w:jc w:val="center"/>
                    <w:rPr>
                      <w:rFonts w:cs="Times New Roman"/>
                      <w:szCs w:val="21"/>
                    </w:rPr>
                  </w:pPr>
                  <w:r>
                    <w:rPr>
                      <w:rFonts w:cs="Times New Roman"/>
                      <w:szCs w:val="21"/>
                    </w:rPr>
                    <w:t>添加剂搅拌罐</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86.02</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-3.57</w:t>
                  </w:r>
                </w:p>
              </w:tc>
              <w:tc>
                <w:tcPr>
                  <w:tcW w:w="345" w:type="pct"/>
                  <w:tcBorders>
                    <w:tl2br w:val="nil"/>
                    <w:tr2bl w:val="nil"/>
                  </w:tcBorders>
                  <w:vAlign w:val="center"/>
                </w:tcPr>
                <w:p>
                  <w:pPr>
                    <w:jc w:val="center"/>
                    <w:rPr>
                      <w:rFonts w:cs="Times New Roman"/>
                    </w:rPr>
                  </w:pPr>
                  <w:r>
                    <w:rPr>
                      <w:rFonts w:cs="Times New Roman"/>
                    </w:rPr>
                    <w:t>16.57</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5.55</w:t>
                  </w:r>
                </w:p>
              </w:tc>
              <w:tc>
                <w:tcPr>
                  <w:tcW w:w="277" w:type="pct"/>
                  <w:tcBorders>
                    <w:tl2br w:val="nil"/>
                    <w:tr2bl w:val="nil"/>
                  </w:tcBorders>
                  <w:vAlign w:val="center"/>
                </w:tcPr>
                <w:p>
                  <w:pPr>
                    <w:jc w:val="center"/>
                    <w:rPr>
                      <w:rFonts w:cs="Times New Roman"/>
                    </w:rPr>
                  </w:pPr>
                  <w:r>
                    <w:rPr>
                      <w:rFonts w:cs="Times New Roman"/>
                    </w:rPr>
                    <w:t>70.31</w:t>
                  </w:r>
                </w:p>
              </w:tc>
              <w:tc>
                <w:tcPr>
                  <w:tcW w:w="241" w:type="pct"/>
                  <w:tcBorders>
                    <w:tl2br w:val="nil"/>
                    <w:tr2bl w:val="nil"/>
                  </w:tcBorders>
                  <w:vAlign w:val="center"/>
                </w:tcPr>
                <w:p>
                  <w:pPr>
                    <w:jc w:val="center"/>
                    <w:rPr>
                      <w:rFonts w:cs="Times New Roman"/>
                    </w:rPr>
                  </w:pPr>
                  <w:r>
                    <w:rPr>
                      <w:rFonts w:cs="Times New Roman"/>
                    </w:rPr>
                    <w:t>昼间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44.31</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28</w:t>
                  </w:r>
                </w:p>
              </w:tc>
              <w:tc>
                <w:tcPr>
                  <w:tcW w:w="445" w:type="pct"/>
                  <w:tcBorders>
                    <w:tl2br w:val="nil"/>
                    <w:tr2bl w:val="nil"/>
                  </w:tcBorders>
                  <w:vAlign w:val="center"/>
                </w:tcPr>
                <w:p>
                  <w:pPr>
                    <w:jc w:val="center"/>
                    <w:rPr>
                      <w:rFonts w:cs="Times New Roman"/>
                      <w:szCs w:val="21"/>
                    </w:rPr>
                  </w:pPr>
                  <w:r>
                    <w:rPr>
                      <w:rFonts w:cs="Times New Roman"/>
                      <w:szCs w:val="21"/>
                    </w:rPr>
                    <w:t>添加剂搅拌罐</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86.02</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-3.57</w:t>
                  </w:r>
                </w:p>
              </w:tc>
              <w:tc>
                <w:tcPr>
                  <w:tcW w:w="345" w:type="pct"/>
                  <w:tcBorders>
                    <w:tl2br w:val="nil"/>
                    <w:tr2bl w:val="nil"/>
                  </w:tcBorders>
                  <w:vAlign w:val="center"/>
                </w:tcPr>
                <w:p>
                  <w:pPr>
                    <w:jc w:val="center"/>
                    <w:rPr>
                      <w:rFonts w:cs="Times New Roman"/>
                    </w:rPr>
                  </w:pPr>
                  <w:r>
                    <w:rPr>
                      <w:rFonts w:cs="Times New Roman"/>
                    </w:rPr>
                    <w:t>16.57</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5.55</w:t>
                  </w:r>
                </w:p>
              </w:tc>
              <w:tc>
                <w:tcPr>
                  <w:tcW w:w="277" w:type="pct"/>
                  <w:tcBorders>
                    <w:tl2br w:val="nil"/>
                    <w:tr2bl w:val="nil"/>
                  </w:tcBorders>
                  <w:vAlign w:val="center"/>
                </w:tcPr>
                <w:p>
                  <w:pPr>
                    <w:jc w:val="center"/>
                    <w:rPr>
                      <w:rFonts w:cs="Times New Roman"/>
                    </w:rPr>
                  </w:pPr>
                  <w:r>
                    <w:rPr>
                      <w:rFonts w:cs="Times New Roman"/>
                    </w:rPr>
                    <w:t>70.31</w:t>
                  </w:r>
                </w:p>
              </w:tc>
              <w:tc>
                <w:tcPr>
                  <w:tcW w:w="241" w:type="pct"/>
                  <w:tcBorders>
                    <w:tl2br w:val="nil"/>
                    <w:tr2bl w:val="nil"/>
                  </w:tcBorders>
                  <w:vAlign w:val="center"/>
                </w:tcPr>
                <w:p>
                  <w:pPr>
                    <w:jc w:val="center"/>
                    <w:rPr>
                      <w:rFonts w:cs="Times New Roman"/>
                    </w:rPr>
                  </w:pPr>
                  <w:r>
                    <w:rPr>
                      <w:rFonts w:cs="Times New Roman"/>
                    </w:rPr>
                    <w:t>夜间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44.31</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29</w:t>
                  </w:r>
                </w:p>
              </w:tc>
              <w:tc>
                <w:tcPr>
                  <w:tcW w:w="445" w:type="pct"/>
                  <w:tcBorders>
                    <w:tl2br w:val="nil"/>
                    <w:tr2bl w:val="nil"/>
                  </w:tcBorders>
                  <w:vAlign w:val="center"/>
                </w:tcPr>
                <w:p>
                  <w:pPr>
                    <w:jc w:val="center"/>
                    <w:rPr>
                      <w:rFonts w:cs="Times New Roman"/>
                      <w:szCs w:val="21"/>
                    </w:rPr>
                  </w:pPr>
                  <w:r>
                    <w:rPr>
                      <w:rFonts w:cs="Times New Roman"/>
                      <w:szCs w:val="21"/>
                    </w:rPr>
                    <w:t>烘干炉</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845" w:type="dxa"/>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-27.75</w:t>
                  </w:r>
                </w:p>
              </w:tc>
              <w:tc>
                <w:tcPr>
                  <w:tcW w:w="345" w:type="pct"/>
                  <w:tcBorders>
                    <w:tl2br w:val="nil"/>
                    <w:tr2bl w:val="nil"/>
                  </w:tcBorders>
                  <w:vAlign w:val="center"/>
                </w:tcPr>
                <w:p>
                  <w:pPr>
                    <w:jc w:val="center"/>
                    <w:rPr>
                      <w:rFonts w:cs="Times New Roman"/>
                    </w:rPr>
                  </w:pPr>
                  <w:r>
                    <w:rPr>
                      <w:rFonts w:cs="Times New Roman"/>
                    </w:rPr>
                    <w:t>25.08</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8.44</w:t>
                  </w:r>
                </w:p>
              </w:tc>
              <w:tc>
                <w:tcPr>
                  <w:tcW w:w="277" w:type="pct"/>
                  <w:tcBorders>
                    <w:tl2br w:val="nil"/>
                    <w:tr2bl w:val="nil"/>
                  </w:tcBorders>
                  <w:vAlign w:val="center"/>
                </w:tcPr>
                <w:p>
                  <w:pPr>
                    <w:jc w:val="center"/>
                    <w:rPr>
                      <w:rFonts w:cs="Times New Roman"/>
                    </w:rPr>
                  </w:pPr>
                  <w:r>
                    <w:rPr>
                      <w:rFonts w:cs="Times New Roman"/>
                    </w:rPr>
                    <w:t>67.06</w:t>
                  </w:r>
                </w:p>
              </w:tc>
              <w:tc>
                <w:tcPr>
                  <w:tcW w:w="241" w:type="pct"/>
                  <w:tcBorders>
                    <w:tl2br w:val="nil"/>
                    <w:tr2bl w:val="nil"/>
                  </w:tcBorders>
                  <w:vAlign w:val="center"/>
                </w:tcPr>
                <w:p>
                  <w:pPr>
                    <w:jc w:val="center"/>
                    <w:rPr>
                      <w:rFonts w:cs="Times New Roman"/>
                    </w:rPr>
                  </w:pPr>
                  <w:r>
                    <w:rPr>
                      <w:rFonts w:cs="Times New Roman"/>
                    </w:rPr>
                    <w:t>昼间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41.06</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30</w:t>
                  </w:r>
                </w:p>
              </w:tc>
              <w:tc>
                <w:tcPr>
                  <w:tcW w:w="445" w:type="pct"/>
                  <w:tcBorders>
                    <w:tl2br w:val="nil"/>
                    <w:tr2bl w:val="nil"/>
                  </w:tcBorders>
                  <w:vAlign w:val="center"/>
                </w:tcPr>
                <w:p>
                  <w:pPr>
                    <w:jc w:val="center"/>
                    <w:rPr>
                      <w:rFonts w:cs="Times New Roman"/>
                      <w:szCs w:val="21"/>
                    </w:rPr>
                  </w:pPr>
                  <w:r>
                    <w:rPr>
                      <w:rFonts w:cs="Times New Roman"/>
                      <w:szCs w:val="21"/>
                    </w:rPr>
                    <w:t>烘干炉</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845" w:type="dxa"/>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-27.75</w:t>
                  </w:r>
                </w:p>
              </w:tc>
              <w:tc>
                <w:tcPr>
                  <w:tcW w:w="345" w:type="pct"/>
                  <w:tcBorders>
                    <w:tl2br w:val="nil"/>
                    <w:tr2bl w:val="nil"/>
                  </w:tcBorders>
                  <w:vAlign w:val="center"/>
                </w:tcPr>
                <w:p>
                  <w:pPr>
                    <w:jc w:val="center"/>
                    <w:rPr>
                      <w:rFonts w:cs="Times New Roman"/>
                      <w:szCs w:val="21"/>
                    </w:rPr>
                  </w:pPr>
                  <w:r>
                    <w:rPr>
                      <w:rFonts w:cs="Times New Roman"/>
                    </w:rPr>
                    <w:t>25.08</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8.44</w:t>
                  </w:r>
                </w:p>
              </w:tc>
              <w:tc>
                <w:tcPr>
                  <w:tcW w:w="277" w:type="pct"/>
                  <w:tcBorders>
                    <w:tl2br w:val="nil"/>
                    <w:tr2bl w:val="nil"/>
                  </w:tcBorders>
                  <w:vAlign w:val="center"/>
                </w:tcPr>
                <w:p>
                  <w:pPr>
                    <w:jc w:val="center"/>
                    <w:rPr>
                      <w:rFonts w:cs="Times New Roman"/>
                      <w:szCs w:val="21"/>
                    </w:rPr>
                  </w:pPr>
                  <w:r>
                    <w:rPr>
                      <w:rFonts w:cs="Times New Roman"/>
                    </w:rPr>
                    <w:t>67.06</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41.06</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31</w:t>
                  </w:r>
                </w:p>
              </w:tc>
              <w:tc>
                <w:tcPr>
                  <w:tcW w:w="445" w:type="pct"/>
                  <w:tcBorders>
                    <w:tl2br w:val="nil"/>
                    <w:tr2bl w:val="nil"/>
                  </w:tcBorders>
                  <w:vAlign w:val="center"/>
                </w:tcPr>
                <w:p>
                  <w:pPr>
                    <w:jc w:val="center"/>
                    <w:rPr>
                      <w:rFonts w:cs="Times New Roman"/>
                      <w:szCs w:val="21"/>
                    </w:rPr>
                  </w:pPr>
                  <w:r>
                    <w:rPr>
                      <w:rFonts w:cs="Times New Roman"/>
                      <w:szCs w:val="21"/>
                    </w:rPr>
                    <w:t>白水循环泵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7.72</w:t>
                  </w:r>
                </w:p>
              </w:tc>
              <w:tc>
                <w:tcPr>
                  <w:tcW w:w="345" w:type="pct"/>
                  <w:tcBorders>
                    <w:tl2br w:val="nil"/>
                    <w:tr2bl w:val="nil"/>
                  </w:tcBorders>
                  <w:vAlign w:val="center"/>
                </w:tcPr>
                <w:p>
                  <w:pPr>
                    <w:jc w:val="center"/>
                    <w:rPr>
                      <w:rFonts w:cs="Times New Roman"/>
                    </w:rPr>
                  </w:pPr>
                  <w:r>
                    <w:rPr>
                      <w:rFonts w:cs="Times New Roman"/>
                    </w:rPr>
                    <w:t>5.73</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10.38</w:t>
                  </w:r>
                </w:p>
              </w:tc>
              <w:tc>
                <w:tcPr>
                  <w:tcW w:w="277" w:type="pct"/>
                  <w:tcBorders>
                    <w:tl2br w:val="nil"/>
                    <w:tr2bl w:val="nil"/>
                  </w:tcBorders>
                  <w:vAlign w:val="center"/>
                </w:tcPr>
                <w:p>
                  <w:pPr>
                    <w:jc w:val="center"/>
                    <w:rPr>
                      <w:rFonts w:cs="Times New Roman"/>
                    </w:rPr>
                  </w:pPr>
                  <w:r>
                    <w:rPr>
                      <w:rFonts w:cs="Times New Roman"/>
                    </w:rPr>
                    <w:t>67.00</w:t>
                  </w:r>
                </w:p>
              </w:tc>
              <w:tc>
                <w:tcPr>
                  <w:tcW w:w="241" w:type="pct"/>
                  <w:tcBorders>
                    <w:tl2br w:val="nil"/>
                    <w:tr2bl w:val="nil"/>
                  </w:tcBorders>
                  <w:vAlign w:val="center"/>
                </w:tcPr>
                <w:p>
                  <w:pPr>
                    <w:jc w:val="center"/>
                    <w:rPr>
                      <w:rFonts w:cs="Times New Roman"/>
                    </w:rPr>
                  </w:pPr>
                  <w:r>
                    <w:rPr>
                      <w:rFonts w:cs="Times New Roman"/>
                    </w:rPr>
                    <w:t>昼间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41.00</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32</w:t>
                  </w:r>
                </w:p>
              </w:tc>
              <w:tc>
                <w:tcPr>
                  <w:tcW w:w="445" w:type="pct"/>
                  <w:tcBorders>
                    <w:tl2br w:val="nil"/>
                    <w:tr2bl w:val="nil"/>
                  </w:tcBorders>
                  <w:vAlign w:val="center"/>
                </w:tcPr>
                <w:p>
                  <w:pPr>
                    <w:jc w:val="center"/>
                    <w:rPr>
                      <w:rFonts w:cs="Times New Roman"/>
                      <w:szCs w:val="21"/>
                    </w:rPr>
                  </w:pPr>
                  <w:r>
                    <w:rPr>
                      <w:rFonts w:cs="Times New Roman"/>
                      <w:szCs w:val="21"/>
                    </w:rPr>
                    <w:t>白水循环泵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7.72</w:t>
                  </w:r>
                </w:p>
              </w:tc>
              <w:tc>
                <w:tcPr>
                  <w:tcW w:w="345" w:type="pct"/>
                  <w:tcBorders>
                    <w:tl2br w:val="nil"/>
                    <w:tr2bl w:val="nil"/>
                  </w:tcBorders>
                  <w:vAlign w:val="center"/>
                </w:tcPr>
                <w:p>
                  <w:pPr>
                    <w:jc w:val="center"/>
                    <w:rPr>
                      <w:rFonts w:cs="Times New Roman"/>
                    </w:rPr>
                  </w:pPr>
                  <w:r>
                    <w:rPr>
                      <w:rFonts w:cs="Times New Roman"/>
                    </w:rPr>
                    <w:t>5.73</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10.38</w:t>
                  </w:r>
                </w:p>
              </w:tc>
              <w:tc>
                <w:tcPr>
                  <w:tcW w:w="277" w:type="pct"/>
                  <w:tcBorders>
                    <w:tl2br w:val="nil"/>
                    <w:tr2bl w:val="nil"/>
                  </w:tcBorders>
                  <w:vAlign w:val="center"/>
                </w:tcPr>
                <w:p>
                  <w:pPr>
                    <w:jc w:val="center"/>
                    <w:rPr>
                      <w:rFonts w:cs="Times New Roman"/>
                    </w:rPr>
                  </w:pPr>
                  <w:r>
                    <w:rPr>
                      <w:rFonts w:cs="Times New Roman"/>
                    </w:rPr>
                    <w:t>67.00</w:t>
                  </w:r>
                </w:p>
              </w:tc>
              <w:tc>
                <w:tcPr>
                  <w:tcW w:w="241" w:type="pct"/>
                  <w:tcBorders>
                    <w:tl2br w:val="nil"/>
                    <w:tr2bl w:val="nil"/>
                  </w:tcBorders>
                  <w:vAlign w:val="center"/>
                </w:tcPr>
                <w:p>
                  <w:pPr>
                    <w:jc w:val="center"/>
                    <w:rPr>
                      <w:rFonts w:cs="Times New Roman"/>
                    </w:rPr>
                  </w:pPr>
                  <w:r>
                    <w:rPr>
                      <w:rFonts w:cs="Times New Roman"/>
                    </w:rPr>
                    <w:t>夜间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41.00</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33</w:t>
                  </w:r>
                </w:p>
              </w:tc>
              <w:tc>
                <w:tcPr>
                  <w:tcW w:w="445" w:type="pct"/>
                  <w:tcBorders>
                    <w:tl2br w:val="nil"/>
                    <w:tr2bl w:val="nil"/>
                  </w:tcBorders>
                  <w:vAlign w:val="center"/>
                </w:tcPr>
                <w:p>
                  <w:pPr>
                    <w:jc w:val="center"/>
                    <w:rPr>
                      <w:rFonts w:cs="Times New Roman"/>
                      <w:szCs w:val="21"/>
                    </w:rPr>
                  </w:pPr>
                  <w:r>
                    <w:rPr>
                      <w:rFonts w:cs="Times New Roman"/>
                      <w:szCs w:val="21"/>
                    </w:rPr>
                    <w:t>粘接剂搅拌罐</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-12.83</w:t>
                  </w:r>
                </w:p>
              </w:tc>
              <w:tc>
                <w:tcPr>
                  <w:tcW w:w="345" w:type="pct"/>
                  <w:tcBorders>
                    <w:tl2br w:val="nil"/>
                    <w:tr2bl w:val="nil"/>
                  </w:tcBorders>
                  <w:vAlign w:val="center"/>
                </w:tcPr>
                <w:p>
                  <w:pPr>
                    <w:jc w:val="center"/>
                    <w:rPr>
                      <w:rFonts w:cs="Times New Roman"/>
                    </w:rPr>
                  </w:pPr>
                  <w:r>
                    <w:rPr>
                      <w:rFonts w:cs="Times New Roman"/>
                    </w:rPr>
                    <w:t>17.92</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8.38</w:t>
                  </w:r>
                </w:p>
              </w:tc>
              <w:tc>
                <w:tcPr>
                  <w:tcW w:w="277" w:type="pct"/>
                  <w:tcBorders>
                    <w:tl2br w:val="nil"/>
                    <w:tr2bl w:val="nil"/>
                  </w:tcBorders>
                  <w:vAlign w:val="center"/>
                </w:tcPr>
                <w:p>
                  <w:pPr>
                    <w:jc w:val="center"/>
                    <w:rPr>
                      <w:rFonts w:cs="Times New Roman"/>
                    </w:rPr>
                  </w:pPr>
                  <w:r>
                    <w:rPr>
                      <w:rFonts w:cs="Times New Roman"/>
                    </w:rPr>
                    <w:t>57.06</w:t>
                  </w:r>
                </w:p>
              </w:tc>
              <w:tc>
                <w:tcPr>
                  <w:tcW w:w="241" w:type="pct"/>
                  <w:tcBorders>
                    <w:tl2br w:val="nil"/>
                    <w:tr2bl w:val="nil"/>
                  </w:tcBorders>
                  <w:vAlign w:val="center"/>
                </w:tcPr>
                <w:p>
                  <w:pPr>
                    <w:jc w:val="center"/>
                    <w:rPr>
                      <w:rFonts w:cs="Times New Roman"/>
                    </w:rPr>
                  </w:pPr>
                  <w:r>
                    <w:rPr>
                      <w:rFonts w:cs="Times New Roman"/>
                    </w:rPr>
                    <w:t>昼间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31.06</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34</w:t>
                  </w:r>
                </w:p>
              </w:tc>
              <w:tc>
                <w:tcPr>
                  <w:tcW w:w="445" w:type="pct"/>
                  <w:tcBorders>
                    <w:tl2br w:val="nil"/>
                    <w:tr2bl w:val="nil"/>
                  </w:tcBorders>
                  <w:vAlign w:val="center"/>
                </w:tcPr>
                <w:p>
                  <w:pPr>
                    <w:jc w:val="center"/>
                    <w:rPr>
                      <w:rFonts w:cs="Times New Roman"/>
                      <w:szCs w:val="21"/>
                    </w:rPr>
                  </w:pPr>
                  <w:r>
                    <w:rPr>
                      <w:rFonts w:cs="Times New Roman"/>
                      <w:szCs w:val="21"/>
                    </w:rPr>
                    <w:t>粘接剂搅拌罐</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-12.83</w:t>
                  </w:r>
                </w:p>
              </w:tc>
              <w:tc>
                <w:tcPr>
                  <w:tcW w:w="345" w:type="pct"/>
                  <w:tcBorders>
                    <w:tl2br w:val="nil"/>
                    <w:tr2bl w:val="nil"/>
                  </w:tcBorders>
                  <w:vAlign w:val="center"/>
                </w:tcPr>
                <w:p>
                  <w:pPr>
                    <w:jc w:val="center"/>
                    <w:rPr>
                      <w:rFonts w:cs="Times New Roman"/>
                    </w:rPr>
                  </w:pPr>
                  <w:r>
                    <w:rPr>
                      <w:rFonts w:cs="Times New Roman"/>
                    </w:rPr>
                    <w:t>17.92</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8.38</w:t>
                  </w:r>
                </w:p>
              </w:tc>
              <w:tc>
                <w:tcPr>
                  <w:tcW w:w="277" w:type="pct"/>
                  <w:tcBorders>
                    <w:tl2br w:val="nil"/>
                    <w:tr2bl w:val="nil"/>
                  </w:tcBorders>
                  <w:vAlign w:val="center"/>
                </w:tcPr>
                <w:p>
                  <w:pPr>
                    <w:jc w:val="center"/>
                    <w:rPr>
                      <w:rFonts w:cs="Times New Roman"/>
                    </w:rPr>
                  </w:pPr>
                  <w:r>
                    <w:rPr>
                      <w:rFonts w:cs="Times New Roman"/>
                    </w:rPr>
                    <w:t>57.06</w:t>
                  </w:r>
                </w:p>
              </w:tc>
              <w:tc>
                <w:tcPr>
                  <w:tcW w:w="241" w:type="pct"/>
                  <w:tcBorders>
                    <w:tl2br w:val="nil"/>
                    <w:tr2bl w:val="nil"/>
                  </w:tcBorders>
                  <w:vAlign w:val="center"/>
                </w:tcPr>
                <w:p>
                  <w:pPr>
                    <w:jc w:val="center"/>
                    <w:rPr>
                      <w:rFonts w:cs="Times New Roman"/>
                    </w:rPr>
                  </w:pPr>
                  <w:r>
                    <w:rPr>
                      <w:rFonts w:cs="Times New Roman"/>
                    </w:rPr>
                    <w:t>夜间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31.06</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35</w:t>
                  </w:r>
                </w:p>
              </w:tc>
              <w:tc>
                <w:tcPr>
                  <w:tcW w:w="445" w:type="pct"/>
                  <w:tcBorders>
                    <w:tl2br w:val="nil"/>
                    <w:tr2bl w:val="nil"/>
                  </w:tcBorders>
                  <w:vAlign w:val="center"/>
                </w:tcPr>
                <w:p>
                  <w:pPr>
                    <w:jc w:val="center"/>
                    <w:rPr>
                      <w:rFonts w:cs="Times New Roman"/>
                      <w:szCs w:val="21"/>
                    </w:rPr>
                  </w:pPr>
                  <w:r>
                    <w:rPr>
                      <w:rFonts w:cs="Times New Roman"/>
                      <w:szCs w:val="21"/>
                    </w:rPr>
                    <w:t>给料机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78.01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27.71</w:t>
                  </w:r>
                </w:p>
              </w:tc>
              <w:tc>
                <w:tcPr>
                  <w:tcW w:w="345" w:type="pct"/>
                  <w:tcBorders>
                    <w:tl2br w:val="nil"/>
                    <w:tr2bl w:val="nil"/>
                  </w:tcBorders>
                  <w:vAlign w:val="center"/>
                </w:tcPr>
                <w:p>
                  <w:pPr>
                    <w:jc w:val="center"/>
                    <w:rPr>
                      <w:rFonts w:cs="Times New Roman"/>
                    </w:rPr>
                  </w:pPr>
                  <w:r>
                    <w:rPr>
                      <w:rFonts w:cs="Times New Roman"/>
                    </w:rPr>
                    <w:t>-1.98</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8.60</w:t>
                  </w:r>
                </w:p>
              </w:tc>
              <w:tc>
                <w:tcPr>
                  <w:tcW w:w="277" w:type="pct"/>
                  <w:tcBorders>
                    <w:tl2br w:val="nil"/>
                    <w:tr2bl w:val="nil"/>
                  </w:tcBorders>
                  <w:vAlign w:val="center"/>
                </w:tcPr>
                <w:p>
                  <w:pPr>
                    <w:jc w:val="center"/>
                    <w:rPr>
                      <w:rFonts w:cs="Times New Roman"/>
                    </w:rPr>
                  </w:pPr>
                  <w:r>
                    <w:rPr>
                      <w:rFonts w:cs="Times New Roman"/>
                    </w:rPr>
                    <w:t>62.05</w:t>
                  </w:r>
                </w:p>
              </w:tc>
              <w:tc>
                <w:tcPr>
                  <w:tcW w:w="241" w:type="pct"/>
                  <w:tcBorders>
                    <w:tl2br w:val="nil"/>
                    <w:tr2bl w:val="nil"/>
                  </w:tcBorders>
                  <w:vAlign w:val="center"/>
                </w:tcPr>
                <w:p>
                  <w:pPr>
                    <w:jc w:val="center"/>
                    <w:rPr>
                      <w:rFonts w:cs="Times New Roman"/>
                    </w:rPr>
                  </w:pPr>
                  <w:r>
                    <w:rPr>
                      <w:rFonts w:cs="Times New Roman"/>
                    </w:rPr>
                    <w:t>昼间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36.05</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36</w:t>
                  </w:r>
                </w:p>
              </w:tc>
              <w:tc>
                <w:tcPr>
                  <w:tcW w:w="445" w:type="pct"/>
                  <w:tcBorders>
                    <w:tl2br w:val="nil"/>
                    <w:tr2bl w:val="nil"/>
                  </w:tcBorders>
                  <w:vAlign w:val="center"/>
                </w:tcPr>
                <w:p>
                  <w:pPr>
                    <w:jc w:val="center"/>
                    <w:rPr>
                      <w:rFonts w:cs="Times New Roman"/>
                      <w:szCs w:val="21"/>
                    </w:rPr>
                  </w:pPr>
                  <w:r>
                    <w:rPr>
                      <w:rFonts w:cs="Times New Roman"/>
                      <w:szCs w:val="21"/>
                    </w:rPr>
                    <w:t>给料机</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78.01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27.71</w:t>
                  </w:r>
                </w:p>
              </w:tc>
              <w:tc>
                <w:tcPr>
                  <w:tcW w:w="345" w:type="pct"/>
                  <w:tcBorders>
                    <w:tl2br w:val="nil"/>
                    <w:tr2bl w:val="nil"/>
                  </w:tcBorders>
                  <w:vAlign w:val="center"/>
                </w:tcPr>
                <w:p>
                  <w:pPr>
                    <w:jc w:val="center"/>
                    <w:rPr>
                      <w:rFonts w:cs="Times New Roman"/>
                    </w:rPr>
                  </w:pPr>
                  <w:r>
                    <w:rPr>
                      <w:rFonts w:cs="Times New Roman"/>
                    </w:rPr>
                    <w:t>-1.98</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8.60</w:t>
                  </w:r>
                </w:p>
              </w:tc>
              <w:tc>
                <w:tcPr>
                  <w:tcW w:w="277" w:type="pct"/>
                  <w:tcBorders>
                    <w:tl2br w:val="nil"/>
                    <w:tr2bl w:val="nil"/>
                  </w:tcBorders>
                  <w:vAlign w:val="center"/>
                </w:tcPr>
                <w:p>
                  <w:pPr>
                    <w:jc w:val="center"/>
                    <w:rPr>
                      <w:rFonts w:cs="Times New Roman"/>
                    </w:rPr>
                  </w:pPr>
                  <w:r>
                    <w:rPr>
                      <w:rFonts w:cs="Times New Roman"/>
                    </w:rPr>
                    <w:t>62.05</w:t>
                  </w:r>
                </w:p>
              </w:tc>
              <w:tc>
                <w:tcPr>
                  <w:tcW w:w="241" w:type="pct"/>
                  <w:tcBorders>
                    <w:tl2br w:val="nil"/>
                    <w:tr2bl w:val="nil"/>
                  </w:tcBorders>
                  <w:vAlign w:val="center"/>
                </w:tcPr>
                <w:p>
                  <w:pPr>
                    <w:jc w:val="center"/>
                    <w:rPr>
                      <w:rFonts w:cs="Times New Roman"/>
                    </w:rPr>
                  </w:pPr>
                  <w:r>
                    <w:rPr>
                      <w:rFonts w:cs="Times New Roman"/>
                    </w:rPr>
                    <w:t>夜间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36.05</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37</w:t>
                  </w:r>
                </w:p>
              </w:tc>
              <w:tc>
                <w:tcPr>
                  <w:tcW w:w="445" w:type="pct"/>
                  <w:tcBorders>
                    <w:tl2br w:val="nil"/>
                    <w:tr2bl w:val="nil"/>
                  </w:tcBorders>
                  <w:vAlign w:val="center"/>
                </w:tcPr>
                <w:p>
                  <w:pPr>
                    <w:jc w:val="center"/>
                    <w:rPr>
                      <w:rFonts w:cs="Times New Roman"/>
                      <w:szCs w:val="21"/>
                    </w:rPr>
                  </w:pPr>
                  <w:r>
                    <w:rPr>
                      <w:rFonts w:cs="Times New Roman"/>
                      <w:szCs w:val="21"/>
                    </w:rPr>
                    <w:t>计量泵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86.02</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-5.74</w:t>
                  </w:r>
                </w:p>
              </w:tc>
              <w:tc>
                <w:tcPr>
                  <w:tcW w:w="345" w:type="pct"/>
                  <w:tcBorders>
                    <w:tl2br w:val="nil"/>
                    <w:tr2bl w:val="nil"/>
                  </w:tcBorders>
                  <w:vAlign w:val="center"/>
                </w:tcPr>
                <w:p>
                  <w:pPr>
                    <w:jc w:val="center"/>
                    <w:rPr>
                      <w:rFonts w:cs="Times New Roman"/>
                    </w:rPr>
                  </w:pPr>
                  <w:r>
                    <w:rPr>
                      <w:rFonts w:cs="Times New Roman"/>
                    </w:rPr>
                    <w:t>16.21</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6.82</w:t>
                  </w:r>
                </w:p>
              </w:tc>
              <w:tc>
                <w:tcPr>
                  <w:tcW w:w="277" w:type="pct"/>
                  <w:tcBorders>
                    <w:tl2br w:val="nil"/>
                    <w:tr2bl w:val="nil"/>
                  </w:tcBorders>
                  <w:vAlign w:val="center"/>
                </w:tcPr>
                <w:p>
                  <w:pPr>
                    <w:jc w:val="center"/>
                    <w:rPr>
                      <w:rFonts w:cs="Times New Roman"/>
                    </w:rPr>
                  </w:pPr>
                  <w:r>
                    <w:rPr>
                      <w:rFonts w:cs="Times New Roman"/>
                    </w:rPr>
                    <w:t>70.17</w:t>
                  </w:r>
                </w:p>
              </w:tc>
              <w:tc>
                <w:tcPr>
                  <w:tcW w:w="241" w:type="pct"/>
                  <w:tcBorders>
                    <w:tl2br w:val="nil"/>
                    <w:tr2bl w:val="nil"/>
                  </w:tcBorders>
                  <w:vAlign w:val="center"/>
                </w:tcPr>
                <w:p>
                  <w:pPr>
                    <w:jc w:val="center"/>
                    <w:rPr>
                      <w:rFonts w:cs="Times New Roman"/>
                    </w:rPr>
                  </w:pPr>
                  <w:r>
                    <w:rPr>
                      <w:rFonts w:cs="Times New Roman"/>
                    </w:rPr>
                    <w:t>昼间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44.17</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38</w:t>
                  </w:r>
                </w:p>
              </w:tc>
              <w:tc>
                <w:tcPr>
                  <w:tcW w:w="445" w:type="pct"/>
                  <w:tcBorders>
                    <w:tl2br w:val="nil"/>
                    <w:tr2bl w:val="nil"/>
                  </w:tcBorders>
                  <w:vAlign w:val="center"/>
                </w:tcPr>
                <w:p>
                  <w:pPr>
                    <w:jc w:val="center"/>
                    <w:rPr>
                      <w:rFonts w:cs="Times New Roman"/>
                      <w:szCs w:val="21"/>
                    </w:rPr>
                  </w:pPr>
                  <w:r>
                    <w:rPr>
                      <w:rFonts w:cs="Times New Roman"/>
                      <w:szCs w:val="21"/>
                    </w:rPr>
                    <w:t>计量泵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86.02</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rPr>
                  </w:pPr>
                  <w:r>
                    <w:rPr>
                      <w:rFonts w:cs="Times New Roman"/>
                    </w:rPr>
                    <w:t>-5.74</w:t>
                  </w:r>
                </w:p>
              </w:tc>
              <w:tc>
                <w:tcPr>
                  <w:tcW w:w="345" w:type="pct"/>
                  <w:tcBorders>
                    <w:tl2br w:val="nil"/>
                    <w:tr2bl w:val="nil"/>
                  </w:tcBorders>
                  <w:vAlign w:val="center"/>
                </w:tcPr>
                <w:p>
                  <w:pPr>
                    <w:jc w:val="center"/>
                    <w:rPr>
                      <w:rFonts w:cs="Times New Roman"/>
                    </w:rPr>
                  </w:pPr>
                  <w:r>
                    <w:rPr>
                      <w:rFonts w:cs="Times New Roman"/>
                    </w:rPr>
                    <w:t>16.21</w:t>
                  </w:r>
                </w:p>
              </w:tc>
              <w:tc>
                <w:tcPr>
                  <w:tcW w:w="353" w:type="pct"/>
                  <w:tcBorders>
                    <w:tl2br w:val="nil"/>
                    <w:tr2bl w:val="nil"/>
                  </w:tcBorders>
                  <w:vAlign w:val="center"/>
                </w:tcPr>
                <w:p>
                  <w:pPr>
                    <w:jc w:val="center"/>
                    <w:rPr>
                      <w:rFonts w:cs="Times New Roman"/>
                    </w:rPr>
                  </w:pPr>
                  <w:r>
                    <w:rPr>
                      <w:rFonts w:cs="Times New Roman"/>
                    </w:rPr>
                    <w:t>1</w:t>
                  </w:r>
                </w:p>
              </w:tc>
              <w:tc>
                <w:tcPr>
                  <w:tcW w:w="288" w:type="pct"/>
                  <w:tcBorders>
                    <w:tl2br w:val="nil"/>
                    <w:tr2bl w:val="nil"/>
                  </w:tcBorders>
                  <w:vAlign w:val="center"/>
                </w:tcPr>
                <w:p>
                  <w:pPr>
                    <w:jc w:val="center"/>
                    <w:rPr>
                      <w:rFonts w:cs="Times New Roman"/>
                    </w:rPr>
                  </w:pPr>
                  <w:r>
                    <w:rPr>
                      <w:rFonts w:cs="Times New Roman"/>
                    </w:rPr>
                    <w:t>6.82</w:t>
                  </w:r>
                </w:p>
              </w:tc>
              <w:tc>
                <w:tcPr>
                  <w:tcW w:w="277" w:type="pct"/>
                  <w:tcBorders>
                    <w:tl2br w:val="nil"/>
                    <w:tr2bl w:val="nil"/>
                  </w:tcBorders>
                  <w:vAlign w:val="center"/>
                </w:tcPr>
                <w:p>
                  <w:pPr>
                    <w:jc w:val="center"/>
                    <w:rPr>
                      <w:rFonts w:cs="Times New Roman"/>
                    </w:rPr>
                  </w:pPr>
                  <w:r>
                    <w:rPr>
                      <w:rFonts w:cs="Times New Roman"/>
                    </w:rPr>
                    <w:t>70.17</w:t>
                  </w:r>
                </w:p>
              </w:tc>
              <w:tc>
                <w:tcPr>
                  <w:tcW w:w="241" w:type="pct"/>
                  <w:tcBorders>
                    <w:tl2br w:val="nil"/>
                    <w:tr2bl w:val="nil"/>
                  </w:tcBorders>
                  <w:vAlign w:val="center"/>
                </w:tcPr>
                <w:p>
                  <w:pPr>
                    <w:jc w:val="center"/>
                    <w:rPr>
                      <w:rFonts w:cs="Times New Roman"/>
                    </w:rPr>
                  </w:pPr>
                  <w:r>
                    <w:rPr>
                      <w:rFonts w:cs="Times New Roman"/>
                    </w:rPr>
                    <w:t>夜间</w:t>
                  </w:r>
                </w:p>
              </w:tc>
              <w:tc>
                <w:tcPr>
                  <w:tcW w:w="501" w:type="pct"/>
                  <w:tcBorders>
                    <w:tl2br w:val="nil"/>
                    <w:tr2bl w:val="nil"/>
                  </w:tcBorders>
                  <w:vAlign w:val="center"/>
                </w:tcPr>
                <w:p>
                  <w:pPr>
                    <w:jc w:val="center"/>
                    <w:rPr>
                      <w:rFonts w:cs="Times New Roman"/>
                    </w:rPr>
                  </w:pPr>
                  <w:r>
                    <w:rPr>
                      <w:rFonts w:cs="Times New Roman"/>
                    </w:rPr>
                    <w:t>20</w:t>
                  </w:r>
                </w:p>
              </w:tc>
              <w:tc>
                <w:tcPr>
                  <w:tcW w:w="263" w:type="pct"/>
                  <w:tcBorders>
                    <w:tl2br w:val="nil"/>
                    <w:tr2bl w:val="nil"/>
                  </w:tcBorders>
                  <w:vAlign w:val="center"/>
                </w:tcPr>
                <w:p>
                  <w:pPr>
                    <w:jc w:val="center"/>
                    <w:rPr>
                      <w:rFonts w:cs="Times New Roman"/>
                    </w:rPr>
                  </w:pPr>
                  <w:r>
                    <w:rPr>
                      <w:rFonts w:cs="Times New Roman"/>
                    </w:rPr>
                    <w:t>44.17</w:t>
                  </w:r>
                </w:p>
              </w:tc>
              <w:tc>
                <w:tcPr>
                  <w:tcW w:w="266" w:type="pct"/>
                  <w:tcBorders>
                    <w:tl2br w:val="nil"/>
                    <w:tr2bl w:val="nil"/>
                  </w:tcBorders>
                  <w:vAlign w:val="center"/>
                </w:tcPr>
                <w:p>
                  <w:pPr>
                    <w:jc w:val="center"/>
                    <w:rPr>
                      <w:rFonts w:cs="Times New Roman"/>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39</w:t>
                  </w:r>
                </w:p>
              </w:tc>
              <w:tc>
                <w:tcPr>
                  <w:tcW w:w="445" w:type="pct"/>
                  <w:tcBorders>
                    <w:tl2br w:val="nil"/>
                    <w:tr2bl w:val="nil"/>
                  </w:tcBorders>
                  <w:vAlign w:val="center"/>
                </w:tcPr>
                <w:p>
                  <w:pPr>
                    <w:jc w:val="center"/>
                    <w:rPr>
                      <w:rFonts w:cs="Times New Roman"/>
                      <w:szCs w:val="21"/>
                    </w:rPr>
                  </w:pPr>
                  <w:r>
                    <w:rPr>
                      <w:rFonts w:cs="Times New Roman"/>
                      <w:szCs w:val="21"/>
                    </w:rPr>
                    <w:t>输送泵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16.37</w:t>
                  </w:r>
                </w:p>
              </w:tc>
              <w:tc>
                <w:tcPr>
                  <w:tcW w:w="345" w:type="pct"/>
                  <w:tcBorders>
                    <w:tl2br w:val="nil"/>
                    <w:tr2bl w:val="nil"/>
                  </w:tcBorders>
                  <w:vAlign w:val="center"/>
                </w:tcPr>
                <w:p>
                  <w:pPr>
                    <w:jc w:val="center"/>
                    <w:rPr>
                      <w:rFonts w:cs="Times New Roman"/>
                      <w:szCs w:val="21"/>
                    </w:rPr>
                  </w:pPr>
                  <w:r>
                    <w:rPr>
                      <w:rFonts w:cs="Times New Roman"/>
                    </w:rPr>
                    <w:t>2.18</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9.80</w:t>
                  </w:r>
                </w:p>
              </w:tc>
              <w:tc>
                <w:tcPr>
                  <w:tcW w:w="277" w:type="pct"/>
                  <w:tcBorders>
                    <w:tl2br w:val="nil"/>
                    <w:tr2bl w:val="nil"/>
                  </w:tcBorders>
                  <w:vAlign w:val="center"/>
                </w:tcPr>
                <w:p>
                  <w:pPr>
                    <w:jc w:val="center"/>
                    <w:rPr>
                      <w:rFonts w:cs="Times New Roman"/>
                      <w:szCs w:val="21"/>
                    </w:rPr>
                  </w:pPr>
                  <w:r>
                    <w:rPr>
                      <w:rFonts w:cs="Times New Roman"/>
                    </w:rPr>
                    <w:t>67.01</w:t>
                  </w:r>
                </w:p>
              </w:tc>
              <w:tc>
                <w:tcPr>
                  <w:tcW w:w="241" w:type="pct"/>
                  <w:tcBorders>
                    <w:tl2br w:val="nil"/>
                    <w:tr2bl w:val="nil"/>
                  </w:tcBorders>
                  <w:vAlign w:val="center"/>
                </w:tcPr>
                <w:p>
                  <w:pPr>
                    <w:jc w:val="center"/>
                    <w:rPr>
                      <w:rFonts w:cs="Times New Roman"/>
                      <w:szCs w:val="21"/>
                    </w:rPr>
                  </w:pPr>
                  <w:r>
                    <w:rPr>
                      <w:rFonts w:cs="Times New Roman"/>
                    </w:rPr>
                    <w:t>昼间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41.01</w:t>
                  </w:r>
                </w:p>
              </w:tc>
              <w:tc>
                <w:tcPr>
                  <w:tcW w:w="266" w:type="pct"/>
                  <w:tcBorders>
                    <w:tl2br w:val="nil"/>
                    <w:tr2bl w:val="nil"/>
                  </w:tcBorders>
                  <w:vAlign w:val="center"/>
                </w:tcPr>
                <w:p>
                  <w:pPr>
                    <w:jc w:val="center"/>
                    <w:rPr>
                      <w:rFonts w:cs="Times New Roman"/>
                      <w:szCs w:val="21"/>
                    </w:rPr>
                  </w:pPr>
                  <w:r>
                    <w:rPr>
                      <w:rFonts w:cs="Times New Roma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9" w:type="pct"/>
                  <w:tcBorders>
                    <w:tl2br w:val="nil"/>
                    <w:tr2bl w:val="nil"/>
                  </w:tcBorders>
                  <w:vAlign w:val="center"/>
                </w:tcPr>
                <w:p>
                  <w:pPr>
                    <w:jc w:val="center"/>
                    <w:rPr>
                      <w:rFonts w:cs="Times New Roman"/>
                      <w:szCs w:val="21"/>
                    </w:rPr>
                  </w:pPr>
                  <w:r>
                    <w:rPr>
                      <w:rFonts w:cs="Times New Roman"/>
                      <w:szCs w:val="21"/>
                    </w:rPr>
                    <w:t>40</w:t>
                  </w:r>
                </w:p>
              </w:tc>
              <w:tc>
                <w:tcPr>
                  <w:tcW w:w="445" w:type="pct"/>
                  <w:tcBorders>
                    <w:tl2br w:val="nil"/>
                    <w:tr2bl w:val="nil"/>
                  </w:tcBorders>
                  <w:vAlign w:val="center"/>
                </w:tcPr>
                <w:p>
                  <w:pPr>
                    <w:jc w:val="center"/>
                    <w:rPr>
                      <w:rFonts w:cs="Times New Roman"/>
                      <w:szCs w:val="21"/>
                    </w:rPr>
                  </w:pPr>
                  <w:r>
                    <w:rPr>
                      <w:rFonts w:cs="Times New Roman"/>
                      <w:szCs w:val="21"/>
                    </w:rPr>
                    <w:t>输送泵</w:t>
                  </w:r>
                </w:p>
              </w:tc>
              <w:tc>
                <w:tcPr>
                  <w:tcW w:w="247" w:type="pct"/>
                  <w:tcBorders>
                    <w:tl2br w:val="nil"/>
                    <w:tr2bl w:val="nil"/>
                  </w:tcBorders>
                  <w:vAlign w:val="center"/>
                </w:tcPr>
                <w:p>
                  <w:pPr>
                    <w:jc w:val="center"/>
                    <w:rPr>
                      <w:rFonts w:cs="Times New Roman"/>
                      <w:szCs w:val="21"/>
                    </w:rPr>
                  </w:pPr>
                  <w:r>
                    <w:rPr>
                      <w:rFonts w:cs="Times New Roman"/>
                      <w:szCs w:val="21"/>
                    </w:rPr>
                    <w:t>/</w:t>
                  </w:r>
                </w:p>
              </w:tc>
              <w:tc>
                <w:tcPr>
                  <w:tcW w:w="446" w:type="pct"/>
                  <w:tcBorders>
                    <w:tl2br w:val="nil"/>
                    <w:tr2bl w:val="nil"/>
                  </w:tcBorders>
                  <w:vAlign w:val="center"/>
                </w:tcPr>
                <w:p>
                  <w:pPr>
                    <w:jc w:val="center"/>
                    <w:rPr>
                      <w:rFonts w:cs="Times New Roman"/>
                      <w:szCs w:val="21"/>
                    </w:rPr>
                  </w:pPr>
                  <w:r>
                    <w:rPr>
                      <w:rFonts w:cs="Times New Roman"/>
                      <w:szCs w:val="21"/>
                    </w:rPr>
                    <w:t>/</w:t>
                  </w:r>
                </w:p>
              </w:tc>
              <w:tc>
                <w:tcPr>
                  <w:tcW w:w="290" w:type="pct"/>
                  <w:tcBorders>
                    <w:tl2br w:val="nil"/>
                    <w:tr2bl w:val="nil"/>
                  </w:tcBorders>
                  <w:vAlign w:val="center"/>
                </w:tcPr>
                <w:p>
                  <w:pPr>
                    <w:jc w:val="center"/>
                    <w:rPr>
                      <w:rFonts w:cs="Times New Roman"/>
                      <w:szCs w:val="21"/>
                    </w:rPr>
                  </w:pPr>
                  <w:r>
                    <w:rPr>
                      <w:rFonts w:cs="Times New Roman"/>
                      <w:szCs w:val="21"/>
                    </w:rPr>
                    <w:t>83.01</w:t>
                  </w:r>
                </w:p>
              </w:tc>
              <w:tc>
                <w:tcPr>
                  <w:tcW w:w="400" w:type="pct"/>
                  <w:vMerge w:val="continue"/>
                  <w:tcBorders>
                    <w:tl2br w:val="nil"/>
                    <w:tr2bl w:val="nil"/>
                  </w:tcBorders>
                  <w:vAlign w:val="center"/>
                </w:tcPr>
                <w:p>
                  <w:pPr>
                    <w:jc w:val="center"/>
                    <w:rPr>
                      <w:rFonts w:cs="Times New Roman"/>
                      <w:szCs w:val="21"/>
                    </w:rPr>
                  </w:pPr>
                </w:p>
              </w:tc>
              <w:tc>
                <w:tcPr>
                  <w:tcW w:w="345" w:type="pct"/>
                  <w:tcBorders>
                    <w:tl2br w:val="nil"/>
                    <w:tr2bl w:val="nil"/>
                  </w:tcBorders>
                  <w:vAlign w:val="center"/>
                </w:tcPr>
                <w:p>
                  <w:pPr>
                    <w:jc w:val="center"/>
                    <w:rPr>
                      <w:rFonts w:cs="Times New Roman"/>
                      <w:szCs w:val="21"/>
                    </w:rPr>
                  </w:pPr>
                  <w:r>
                    <w:rPr>
                      <w:rFonts w:cs="Times New Roman"/>
                    </w:rPr>
                    <w:t>16.37</w:t>
                  </w:r>
                </w:p>
              </w:tc>
              <w:tc>
                <w:tcPr>
                  <w:tcW w:w="345" w:type="pct"/>
                  <w:tcBorders>
                    <w:tl2br w:val="nil"/>
                    <w:tr2bl w:val="nil"/>
                  </w:tcBorders>
                  <w:vAlign w:val="center"/>
                </w:tcPr>
                <w:p>
                  <w:pPr>
                    <w:jc w:val="center"/>
                    <w:rPr>
                      <w:rFonts w:cs="Times New Roman"/>
                      <w:szCs w:val="21"/>
                    </w:rPr>
                  </w:pPr>
                  <w:r>
                    <w:rPr>
                      <w:rFonts w:cs="Times New Roman"/>
                    </w:rPr>
                    <w:t>2.18</w:t>
                  </w:r>
                </w:p>
              </w:tc>
              <w:tc>
                <w:tcPr>
                  <w:tcW w:w="353" w:type="pct"/>
                  <w:tcBorders>
                    <w:tl2br w:val="nil"/>
                    <w:tr2bl w:val="nil"/>
                  </w:tcBorders>
                  <w:vAlign w:val="center"/>
                </w:tcPr>
                <w:p>
                  <w:pPr>
                    <w:jc w:val="center"/>
                    <w:rPr>
                      <w:rFonts w:cs="Times New Roman"/>
                      <w:szCs w:val="21"/>
                    </w:rPr>
                  </w:pPr>
                  <w:r>
                    <w:rPr>
                      <w:rFonts w:cs="Times New Roman"/>
                    </w:rPr>
                    <w:t>1</w:t>
                  </w:r>
                </w:p>
              </w:tc>
              <w:tc>
                <w:tcPr>
                  <w:tcW w:w="288" w:type="pct"/>
                  <w:tcBorders>
                    <w:tl2br w:val="nil"/>
                    <w:tr2bl w:val="nil"/>
                  </w:tcBorders>
                  <w:vAlign w:val="center"/>
                </w:tcPr>
                <w:p>
                  <w:pPr>
                    <w:jc w:val="center"/>
                    <w:rPr>
                      <w:rFonts w:cs="Times New Roman"/>
                      <w:szCs w:val="21"/>
                    </w:rPr>
                  </w:pPr>
                  <w:r>
                    <w:rPr>
                      <w:rFonts w:cs="Times New Roman"/>
                    </w:rPr>
                    <w:t>9.80</w:t>
                  </w:r>
                </w:p>
              </w:tc>
              <w:tc>
                <w:tcPr>
                  <w:tcW w:w="277" w:type="pct"/>
                  <w:tcBorders>
                    <w:tl2br w:val="nil"/>
                    <w:tr2bl w:val="nil"/>
                  </w:tcBorders>
                  <w:vAlign w:val="center"/>
                </w:tcPr>
                <w:p>
                  <w:pPr>
                    <w:jc w:val="center"/>
                    <w:rPr>
                      <w:rFonts w:cs="Times New Roman"/>
                      <w:szCs w:val="21"/>
                    </w:rPr>
                  </w:pPr>
                  <w:r>
                    <w:rPr>
                      <w:rFonts w:cs="Times New Roman"/>
                    </w:rPr>
                    <w:t>67.01</w:t>
                  </w:r>
                </w:p>
              </w:tc>
              <w:tc>
                <w:tcPr>
                  <w:tcW w:w="241" w:type="pct"/>
                  <w:tcBorders>
                    <w:tl2br w:val="nil"/>
                    <w:tr2bl w:val="nil"/>
                  </w:tcBorders>
                  <w:vAlign w:val="center"/>
                </w:tcPr>
                <w:p>
                  <w:pPr>
                    <w:jc w:val="center"/>
                    <w:rPr>
                      <w:rFonts w:cs="Times New Roman"/>
                      <w:szCs w:val="21"/>
                    </w:rPr>
                  </w:pPr>
                  <w:r>
                    <w:rPr>
                      <w:rFonts w:cs="Times New Roman"/>
                    </w:rPr>
                    <w:t>夜间</w:t>
                  </w:r>
                </w:p>
              </w:tc>
              <w:tc>
                <w:tcPr>
                  <w:tcW w:w="501" w:type="pct"/>
                  <w:tcBorders>
                    <w:tl2br w:val="nil"/>
                    <w:tr2bl w:val="nil"/>
                  </w:tcBorders>
                  <w:vAlign w:val="center"/>
                </w:tcPr>
                <w:p>
                  <w:pPr>
                    <w:jc w:val="center"/>
                    <w:rPr>
                      <w:rFonts w:cs="Times New Roman"/>
                      <w:szCs w:val="21"/>
                    </w:rPr>
                  </w:pPr>
                  <w:r>
                    <w:rPr>
                      <w:rFonts w:cs="Times New Roman"/>
                    </w:rPr>
                    <w:t>20</w:t>
                  </w:r>
                </w:p>
              </w:tc>
              <w:tc>
                <w:tcPr>
                  <w:tcW w:w="263" w:type="pct"/>
                  <w:tcBorders>
                    <w:tl2br w:val="nil"/>
                    <w:tr2bl w:val="nil"/>
                  </w:tcBorders>
                  <w:vAlign w:val="center"/>
                </w:tcPr>
                <w:p>
                  <w:pPr>
                    <w:jc w:val="center"/>
                    <w:rPr>
                      <w:rFonts w:cs="Times New Roman"/>
                      <w:szCs w:val="21"/>
                    </w:rPr>
                  </w:pPr>
                  <w:r>
                    <w:rPr>
                      <w:rFonts w:cs="Times New Roman"/>
                    </w:rPr>
                    <w:t>41.01</w:t>
                  </w:r>
                </w:p>
              </w:tc>
              <w:tc>
                <w:tcPr>
                  <w:tcW w:w="266" w:type="pct"/>
                  <w:tcBorders>
                    <w:tl2br w:val="nil"/>
                    <w:tr2bl w:val="nil"/>
                  </w:tcBorders>
                  <w:vAlign w:val="center"/>
                </w:tcPr>
                <w:p>
                  <w:pPr>
                    <w:jc w:val="center"/>
                    <w:rPr>
                      <w:rFonts w:cs="Times New Roman"/>
                      <w:szCs w:val="21"/>
                    </w:rPr>
                  </w:pPr>
                  <w:r>
                    <w:rPr>
                      <w:rFonts w:cs="Times New Roman"/>
                    </w:rPr>
                    <w:t>1</w:t>
                  </w:r>
                </w:p>
              </w:tc>
            </w:tr>
          </w:tbl>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spacing w:line="276" w:lineRule="auto"/>
        <w:ind w:firstLine="420" w:firstLineChars="200"/>
        <w:rPr>
          <w:rFonts w:cs="Times New Roman"/>
          <w:szCs w:val="21"/>
        </w:rPr>
        <w:sectPr>
          <w:pgSz w:w="16838" w:h="11906" w:orient="landscape"/>
          <w:pgMar w:top="1134" w:right="1134" w:bottom="1418" w:left="1134" w:header="851" w:footer="992" w:gutter="0"/>
          <w:cols w:space="720" w:num="1"/>
          <w:docGrid w:type="lines" w:linePitch="312" w:charSpace="0"/>
        </w:sectPr>
      </w:pP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8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ind w:firstLine="480" w:firstLineChars="200"/>
              <w:rPr>
                <w:rFonts w:cs="Times New Roman"/>
                <w:sz w:val="24"/>
                <w:szCs w:val="24"/>
              </w:rPr>
            </w:pPr>
            <w:r>
              <w:rPr>
                <w:rFonts w:cs="Times New Roman"/>
                <w:sz w:val="24"/>
                <w:szCs w:val="24"/>
              </w:rPr>
              <w:tab/>
            </w:r>
          </w:p>
        </w:tc>
        <w:tc>
          <w:tcPr>
            <w:tcW w:w="8888" w:type="dxa"/>
          </w:tcPr>
          <w:p>
            <w:pPr>
              <w:spacing w:line="360" w:lineRule="auto"/>
              <w:ind w:firstLine="482" w:firstLineChars="200"/>
              <w:rPr>
                <w:rFonts w:cs="Times New Roman"/>
                <w:b/>
                <w:sz w:val="24"/>
                <w:szCs w:val="24"/>
              </w:rPr>
            </w:pPr>
            <w:r>
              <w:rPr>
                <w:rFonts w:cs="Times New Roman"/>
                <w:b/>
                <w:sz w:val="24"/>
                <w:szCs w:val="24"/>
              </w:rPr>
              <w:t>（2）达标情况分析</w:t>
            </w:r>
          </w:p>
          <w:p>
            <w:pPr>
              <w:spacing w:line="360" w:lineRule="auto"/>
              <w:ind w:firstLine="482" w:firstLineChars="200"/>
              <w:rPr>
                <w:rFonts w:cs="Times New Roman"/>
                <w:b/>
                <w:sz w:val="24"/>
                <w:szCs w:val="24"/>
              </w:rPr>
            </w:pPr>
            <w:r>
              <w:rPr>
                <w:rFonts w:cs="Times New Roman"/>
                <w:b/>
                <w:sz w:val="24"/>
                <w:szCs w:val="24"/>
              </w:rPr>
              <w:t>1）预测模式</w:t>
            </w:r>
          </w:p>
          <w:p>
            <w:pPr>
              <w:spacing w:line="360" w:lineRule="auto"/>
              <w:ind w:firstLine="480" w:firstLineChars="200"/>
              <w:rPr>
                <w:rFonts w:cs="Times New Roman"/>
                <w:sz w:val="24"/>
                <w:szCs w:val="24"/>
              </w:rPr>
            </w:pPr>
            <w:r>
              <w:rPr>
                <w:rFonts w:cs="Times New Roman"/>
                <w:sz w:val="24"/>
                <w:szCs w:val="24"/>
              </w:rPr>
              <w:t>本次评价采用《环境影响评价技术导则一声环境》（HJ2.4-2021）中推荐模式进行预测，用A声级计算，模式如下：</w:t>
            </w:r>
          </w:p>
          <w:p>
            <w:pPr>
              <w:spacing w:line="360" w:lineRule="auto"/>
              <w:ind w:firstLine="480" w:firstLineChars="200"/>
              <w:rPr>
                <w:rFonts w:cs="Times New Roman"/>
                <w:sz w:val="24"/>
                <w:szCs w:val="24"/>
              </w:rPr>
            </w:pPr>
            <w:r>
              <w:rPr>
                <w:rFonts w:cs="Times New Roman"/>
                <w:sz w:val="24"/>
                <w:szCs w:val="24"/>
              </w:rPr>
              <w:t>①室外声源</w:t>
            </w:r>
          </w:p>
          <w:p>
            <w:pPr>
              <w:spacing w:line="360" w:lineRule="auto"/>
              <w:ind w:firstLine="480" w:firstLineChars="200"/>
              <w:rPr>
                <w:rFonts w:cs="Times New Roman"/>
                <w:sz w:val="24"/>
                <w:szCs w:val="24"/>
              </w:rPr>
            </w:pPr>
            <w:r>
              <w:rPr>
                <w:rFonts w:cs="Times New Roman"/>
                <w:sz w:val="24"/>
                <w:szCs w:val="24"/>
              </w:rPr>
              <w:t>在预测点的声压级计算：</w:t>
            </w:r>
          </w:p>
          <w:p>
            <w:pPr>
              <w:spacing w:line="360" w:lineRule="auto"/>
              <w:ind w:firstLine="480" w:firstLineChars="200"/>
              <w:jc w:val="center"/>
              <w:rPr>
                <w:rFonts w:cs="Times New Roman"/>
                <w:sz w:val="24"/>
                <w:szCs w:val="24"/>
              </w:rPr>
            </w:pPr>
            <w:r>
              <w:rPr>
                <w:rFonts w:cs="Times New Roman"/>
                <w:sz w:val="24"/>
                <w:szCs w:val="24"/>
              </w:rPr>
              <w:t>L</w:t>
            </w:r>
            <w:r>
              <w:rPr>
                <w:rFonts w:cs="Times New Roman"/>
                <w:sz w:val="24"/>
                <w:szCs w:val="24"/>
                <w:vertAlign w:val="subscript"/>
              </w:rPr>
              <w:t>p</w:t>
            </w:r>
            <w:r>
              <w:rPr>
                <w:rFonts w:cs="Times New Roman"/>
                <w:sz w:val="24"/>
                <w:szCs w:val="24"/>
              </w:rPr>
              <w:t>(r)＝L</w:t>
            </w:r>
            <w:r>
              <w:rPr>
                <w:rFonts w:cs="Times New Roman"/>
                <w:sz w:val="24"/>
                <w:szCs w:val="24"/>
                <w:vertAlign w:val="subscript"/>
              </w:rPr>
              <w:t>w</w:t>
            </w:r>
            <w:r>
              <w:rPr>
                <w:rFonts w:cs="Times New Roman"/>
                <w:sz w:val="24"/>
                <w:szCs w:val="24"/>
              </w:rPr>
              <w:t>+D</w:t>
            </w:r>
            <w:r>
              <w:rPr>
                <w:rFonts w:cs="Times New Roman"/>
                <w:sz w:val="24"/>
                <w:szCs w:val="24"/>
                <w:vertAlign w:val="subscript"/>
              </w:rPr>
              <w:t>C</w:t>
            </w:r>
            <w:r>
              <w:rPr>
                <w:rFonts w:cs="Times New Roman"/>
                <w:sz w:val="24"/>
                <w:szCs w:val="24"/>
              </w:rPr>
              <w:t>－(A</w:t>
            </w:r>
            <w:r>
              <w:rPr>
                <w:rFonts w:cs="Times New Roman"/>
                <w:sz w:val="24"/>
                <w:szCs w:val="24"/>
                <w:vertAlign w:val="subscript"/>
              </w:rPr>
              <w:t>div</w:t>
            </w:r>
            <w:r>
              <w:rPr>
                <w:rFonts w:cs="Times New Roman"/>
                <w:sz w:val="24"/>
                <w:szCs w:val="24"/>
              </w:rPr>
              <w:t>＋A</w:t>
            </w:r>
            <w:r>
              <w:rPr>
                <w:rFonts w:cs="Times New Roman"/>
                <w:sz w:val="24"/>
                <w:szCs w:val="24"/>
                <w:vertAlign w:val="subscript"/>
              </w:rPr>
              <w:t>atm</w:t>
            </w:r>
            <w:r>
              <w:rPr>
                <w:rFonts w:cs="Times New Roman"/>
                <w:sz w:val="24"/>
                <w:szCs w:val="24"/>
              </w:rPr>
              <w:t>＋A</w:t>
            </w:r>
            <w:r>
              <w:rPr>
                <w:rFonts w:cs="Times New Roman"/>
                <w:sz w:val="24"/>
                <w:szCs w:val="24"/>
                <w:vertAlign w:val="subscript"/>
              </w:rPr>
              <w:t>gr</w:t>
            </w:r>
            <w:r>
              <w:rPr>
                <w:rFonts w:cs="Times New Roman"/>
                <w:sz w:val="24"/>
                <w:szCs w:val="24"/>
              </w:rPr>
              <w:t>＋A</w:t>
            </w:r>
            <w:r>
              <w:rPr>
                <w:rFonts w:cs="Times New Roman"/>
                <w:sz w:val="24"/>
                <w:szCs w:val="24"/>
                <w:vertAlign w:val="subscript"/>
              </w:rPr>
              <w:t>bar</w:t>
            </w:r>
            <w:r>
              <w:rPr>
                <w:rFonts w:cs="Times New Roman"/>
                <w:sz w:val="24"/>
                <w:szCs w:val="24"/>
              </w:rPr>
              <w:t>＋A</w:t>
            </w:r>
            <w:r>
              <w:rPr>
                <w:rFonts w:cs="Times New Roman"/>
                <w:sz w:val="24"/>
                <w:szCs w:val="24"/>
                <w:vertAlign w:val="subscript"/>
              </w:rPr>
              <w:t>misc</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式中：L</w:t>
            </w:r>
            <w:r>
              <w:rPr>
                <w:rFonts w:cs="Times New Roman"/>
                <w:sz w:val="24"/>
                <w:szCs w:val="24"/>
                <w:vertAlign w:val="subscript"/>
              </w:rPr>
              <w:t>p</w:t>
            </w:r>
            <w:r>
              <w:rPr>
                <w:rFonts w:cs="Times New Roman"/>
                <w:sz w:val="24"/>
                <w:szCs w:val="24"/>
              </w:rPr>
              <w:t>(r)——预测点处声压级，dB；</w:t>
            </w:r>
          </w:p>
          <w:p>
            <w:pPr>
              <w:spacing w:line="360" w:lineRule="auto"/>
              <w:ind w:firstLine="480" w:firstLineChars="200"/>
              <w:rPr>
                <w:rFonts w:cs="Times New Roman"/>
                <w:sz w:val="24"/>
                <w:szCs w:val="24"/>
              </w:rPr>
            </w:pPr>
            <w:r>
              <w:rPr>
                <w:rFonts w:cs="Times New Roman"/>
                <w:sz w:val="24"/>
                <w:szCs w:val="24"/>
              </w:rPr>
              <w:t>L</w:t>
            </w:r>
            <w:r>
              <w:rPr>
                <w:rFonts w:cs="Times New Roman"/>
                <w:sz w:val="24"/>
                <w:szCs w:val="24"/>
                <w:vertAlign w:val="subscript"/>
              </w:rPr>
              <w:t>w</w:t>
            </w:r>
            <w:r>
              <w:rPr>
                <w:rFonts w:cs="Times New Roman"/>
                <w:sz w:val="24"/>
                <w:szCs w:val="24"/>
              </w:rPr>
              <w:t>——由点声源产生的声功率级（A计权或倍频带），dB；</w:t>
            </w:r>
          </w:p>
          <w:p>
            <w:pPr>
              <w:spacing w:line="360" w:lineRule="auto"/>
              <w:ind w:firstLine="480" w:firstLineChars="200"/>
              <w:rPr>
                <w:rFonts w:cs="Times New Roman"/>
                <w:sz w:val="24"/>
                <w:szCs w:val="24"/>
              </w:rPr>
            </w:pPr>
            <w:r>
              <w:rPr>
                <w:rFonts w:cs="Times New Roman"/>
                <w:sz w:val="24"/>
                <w:szCs w:val="24"/>
              </w:rPr>
              <w:t>D</w:t>
            </w:r>
            <w:r>
              <w:rPr>
                <w:rFonts w:cs="Times New Roman"/>
                <w:sz w:val="24"/>
                <w:szCs w:val="24"/>
                <w:vertAlign w:val="subscript"/>
              </w:rPr>
              <w:t>C</w:t>
            </w:r>
            <w:r>
              <w:rPr>
                <w:rFonts w:cs="Times New Roman"/>
                <w:sz w:val="24"/>
                <w:szCs w:val="24"/>
              </w:rPr>
              <w:t>——指向性校正，它描述点声源的等效连续声压级与产生声功率级L</w:t>
            </w:r>
            <w:r>
              <w:rPr>
                <w:rFonts w:cs="Times New Roman"/>
                <w:sz w:val="24"/>
                <w:szCs w:val="24"/>
                <w:vertAlign w:val="subscript"/>
              </w:rPr>
              <w:t>w</w:t>
            </w:r>
            <w:r>
              <w:rPr>
                <w:rFonts w:cs="Times New Roman"/>
                <w:sz w:val="24"/>
                <w:szCs w:val="24"/>
              </w:rPr>
              <w:t>的全向点声源在规定方向的声级的偏差程度，dB；</w:t>
            </w:r>
          </w:p>
          <w:p>
            <w:pPr>
              <w:spacing w:line="360" w:lineRule="auto"/>
              <w:ind w:firstLine="480" w:firstLineChars="200"/>
              <w:rPr>
                <w:rFonts w:cs="Times New Roman"/>
                <w:sz w:val="24"/>
                <w:szCs w:val="24"/>
              </w:rPr>
            </w:pPr>
            <w:r>
              <w:rPr>
                <w:rFonts w:cs="Times New Roman"/>
                <w:sz w:val="24"/>
                <w:szCs w:val="24"/>
              </w:rPr>
              <w:t>A</w:t>
            </w:r>
            <w:r>
              <w:rPr>
                <w:rFonts w:cs="Times New Roman"/>
                <w:sz w:val="24"/>
                <w:szCs w:val="24"/>
                <w:vertAlign w:val="subscript"/>
              </w:rPr>
              <w:t>div</w:t>
            </w:r>
            <w:r>
              <w:rPr>
                <w:rFonts w:cs="Times New Roman"/>
                <w:sz w:val="24"/>
                <w:szCs w:val="24"/>
              </w:rPr>
              <w:t>——几何发散引起的衰减，dB；</w:t>
            </w:r>
          </w:p>
          <w:p>
            <w:pPr>
              <w:spacing w:line="360" w:lineRule="auto"/>
              <w:ind w:firstLine="480" w:firstLineChars="200"/>
              <w:rPr>
                <w:rFonts w:cs="Times New Roman"/>
                <w:sz w:val="24"/>
                <w:szCs w:val="24"/>
              </w:rPr>
            </w:pPr>
            <w:r>
              <w:rPr>
                <w:rFonts w:cs="Times New Roman"/>
                <w:sz w:val="24"/>
                <w:szCs w:val="24"/>
              </w:rPr>
              <w:t>A</w:t>
            </w:r>
            <w:r>
              <w:rPr>
                <w:rFonts w:cs="Times New Roman"/>
                <w:sz w:val="24"/>
                <w:szCs w:val="24"/>
                <w:vertAlign w:val="subscript"/>
              </w:rPr>
              <w:t>atm</w:t>
            </w:r>
            <w:r>
              <w:rPr>
                <w:rFonts w:cs="Times New Roman"/>
                <w:sz w:val="24"/>
                <w:szCs w:val="24"/>
              </w:rPr>
              <w:t>——大气吸收引起的衰减，dB；</w:t>
            </w:r>
          </w:p>
          <w:p>
            <w:pPr>
              <w:spacing w:line="360" w:lineRule="auto"/>
              <w:ind w:firstLine="480" w:firstLineChars="200"/>
              <w:rPr>
                <w:rFonts w:cs="Times New Roman"/>
                <w:sz w:val="24"/>
                <w:szCs w:val="24"/>
              </w:rPr>
            </w:pPr>
            <w:r>
              <w:rPr>
                <w:rFonts w:cs="Times New Roman"/>
                <w:sz w:val="24"/>
                <w:szCs w:val="24"/>
              </w:rPr>
              <w:t>A</w:t>
            </w:r>
            <w:r>
              <w:rPr>
                <w:rFonts w:cs="Times New Roman"/>
                <w:sz w:val="24"/>
                <w:szCs w:val="24"/>
                <w:vertAlign w:val="subscript"/>
              </w:rPr>
              <w:t>gr</w:t>
            </w:r>
            <w:r>
              <w:rPr>
                <w:rFonts w:cs="Times New Roman"/>
                <w:sz w:val="24"/>
                <w:szCs w:val="24"/>
              </w:rPr>
              <w:t>——地面效应引起的衰减，dB；</w:t>
            </w:r>
          </w:p>
          <w:p>
            <w:pPr>
              <w:spacing w:line="360" w:lineRule="auto"/>
              <w:ind w:firstLine="480" w:firstLineChars="200"/>
              <w:rPr>
                <w:rFonts w:cs="Times New Roman"/>
                <w:sz w:val="24"/>
                <w:szCs w:val="24"/>
              </w:rPr>
            </w:pPr>
            <w:r>
              <w:rPr>
                <w:rFonts w:cs="Times New Roman"/>
                <w:sz w:val="24"/>
                <w:szCs w:val="24"/>
              </w:rPr>
              <w:t>A</w:t>
            </w:r>
            <w:r>
              <w:rPr>
                <w:rFonts w:cs="Times New Roman"/>
                <w:sz w:val="24"/>
                <w:szCs w:val="24"/>
                <w:vertAlign w:val="subscript"/>
              </w:rPr>
              <w:t>bar</w:t>
            </w:r>
            <w:r>
              <w:rPr>
                <w:rFonts w:cs="Times New Roman"/>
                <w:sz w:val="24"/>
                <w:szCs w:val="24"/>
              </w:rPr>
              <w:t>——障碍物屏蔽引起的衰减，dB；</w:t>
            </w:r>
          </w:p>
          <w:p>
            <w:pPr>
              <w:spacing w:line="360" w:lineRule="auto"/>
              <w:ind w:firstLine="480" w:firstLineChars="200"/>
              <w:rPr>
                <w:rFonts w:cs="Times New Roman"/>
                <w:sz w:val="24"/>
                <w:szCs w:val="24"/>
              </w:rPr>
            </w:pPr>
            <w:r>
              <w:rPr>
                <w:rFonts w:cs="Times New Roman"/>
                <w:sz w:val="24"/>
                <w:szCs w:val="24"/>
              </w:rPr>
              <w:t>A</w:t>
            </w:r>
            <w:r>
              <w:rPr>
                <w:rFonts w:cs="Times New Roman"/>
                <w:sz w:val="24"/>
                <w:szCs w:val="24"/>
                <w:vertAlign w:val="subscript"/>
              </w:rPr>
              <w:t>misc</w:t>
            </w:r>
            <w:r>
              <w:rPr>
                <w:rFonts w:cs="Times New Roman"/>
                <w:sz w:val="24"/>
                <w:szCs w:val="24"/>
              </w:rPr>
              <w:t>——其他多方面效应引起的衰减，dB。</w:t>
            </w:r>
          </w:p>
          <w:p>
            <w:pPr>
              <w:spacing w:line="360" w:lineRule="auto"/>
              <w:ind w:firstLine="480" w:firstLineChars="200"/>
              <w:rPr>
                <w:rFonts w:cs="Times New Roman"/>
                <w:sz w:val="24"/>
                <w:szCs w:val="24"/>
              </w:rPr>
            </w:pPr>
            <w:r>
              <w:rPr>
                <w:rFonts w:cs="Times New Roman"/>
                <w:sz w:val="24"/>
                <w:szCs w:val="24"/>
              </w:rPr>
              <w:t>②室内声源在预测点的声压级计算：</w:t>
            </w:r>
          </w:p>
          <w:p>
            <w:pPr>
              <w:spacing w:line="360" w:lineRule="auto"/>
              <w:ind w:firstLine="480" w:firstLineChars="200"/>
              <w:rPr>
                <w:rFonts w:cs="Times New Roman"/>
                <w:sz w:val="24"/>
                <w:szCs w:val="24"/>
              </w:rPr>
            </w:pPr>
            <w:r>
              <w:rPr>
                <w:rFonts w:cs="Times New Roman"/>
                <w:sz w:val="24"/>
                <w:szCs w:val="24"/>
              </w:rPr>
              <w:t>（一）首先计算某个室内声源在靠近围护结构处的声压级：</w:t>
            </w:r>
          </w:p>
          <w:p>
            <w:pPr>
              <w:spacing w:line="360" w:lineRule="auto"/>
              <w:ind w:firstLine="480" w:firstLineChars="200"/>
              <w:jc w:val="center"/>
              <w:rPr>
                <w:rFonts w:cs="Times New Roman"/>
                <w:sz w:val="24"/>
                <w:szCs w:val="24"/>
              </w:rPr>
            </w:pPr>
            <w:r>
              <w:rPr>
                <w:rFonts w:cs="Times New Roman"/>
                <w:sz w:val="24"/>
                <w:szCs w:val="24"/>
              </w:rPr>
              <w:drawing>
                <wp:inline distT="0" distB="0" distL="114300" distR="114300">
                  <wp:extent cx="3302635" cy="775970"/>
                  <wp:effectExtent l="0" t="0" r="12065" b="5080"/>
                  <wp:docPr id="29"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0"/>
                          <pic:cNvPicPr>
                            <a:picLocks noChangeAspect="1"/>
                          </pic:cNvPicPr>
                        </pic:nvPicPr>
                        <pic:blipFill>
                          <a:blip r:embed="rId34"/>
                          <a:stretch>
                            <a:fillRect/>
                          </a:stretch>
                        </pic:blipFill>
                        <pic:spPr>
                          <a:xfrm>
                            <a:off x="0" y="0"/>
                            <a:ext cx="3302635" cy="775970"/>
                          </a:xfrm>
                          <a:prstGeom prst="rect">
                            <a:avLst/>
                          </a:prstGeom>
                          <a:noFill/>
                          <a:ln>
                            <a:noFill/>
                          </a:ln>
                        </pic:spPr>
                      </pic:pic>
                    </a:graphicData>
                  </a:graphic>
                </wp:inline>
              </w:drawing>
            </w:r>
          </w:p>
          <w:p>
            <w:pPr>
              <w:spacing w:line="360" w:lineRule="auto"/>
              <w:ind w:firstLine="480" w:firstLineChars="200"/>
              <w:rPr>
                <w:rFonts w:cs="Times New Roman"/>
                <w:sz w:val="24"/>
                <w:szCs w:val="24"/>
              </w:rPr>
            </w:pPr>
            <w:r>
              <w:rPr>
                <w:rFonts w:cs="Times New Roman"/>
                <w:sz w:val="24"/>
                <w:szCs w:val="24"/>
              </w:rPr>
              <w:t>式中：L</w:t>
            </w:r>
            <w:r>
              <w:rPr>
                <w:rFonts w:cs="Times New Roman"/>
                <w:sz w:val="24"/>
                <w:szCs w:val="24"/>
                <w:vertAlign w:val="subscript"/>
              </w:rPr>
              <w:t>p1</w:t>
            </w:r>
            <w:r>
              <w:rPr>
                <w:rFonts w:cs="Times New Roman"/>
                <w:sz w:val="24"/>
                <w:szCs w:val="24"/>
              </w:rPr>
              <w:t>——靠近开口处（或窗户）室内某倍频带的声压级或A声级，dB；</w:t>
            </w:r>
          </w:p>
          <w:p>
            <w:pPr>
              <w:spacing w:line="360" w:lineRule="auto"/>
              <w:ind w:firstLine="480" w:firstLineChars="200"/>
              <w:rPr>
                <w:rFonts w:cs="Times New Roman"/>
                <w:sz w:val="24"/>
                <w:szCs w:val="24"/>
              </w:rPr>
            </w:pPr>
            <w:r>
              <w:rPr>
                <w:rFonts w:cs="Times New Roman"/>
                <w:sz w:val="24"/>
                <w:szCs w:val="24"/>
              </w:rPr>
              <w:t>Lw——点声源声功率级（A计权或倍频带），dB；</w:t>
            </w:r>
          </w:p>
          <w:p>
            <w:pPr>
              <w:spacing w:line="360" w:lineRule="auto"/>
              <w:ind w:firstLine="480" w:firstLineChars="200"/>
              <w:rPr>
                <w:rFonts w:cs="Times New Roman"/>
                <w:sz w:val="24"/>
                <w:szCs w:val="24"/>
              </w:rPr>
            </w:pPr>
            <w:r>
              <w:rPr>
                <w:rFonts w:cs="Times New Roman"/>
                <w:sz w:val="24"/>
                <w:szCs w:val="24"/>
              </w:rPr>
              <w:t>Q——指向性因数；通常对无指向性声源，当声源放在房间中心时，Q=1；当放在一面墙的中心时，Q=2；当放在两面墙夹角处时，Q=4；当放在三面墙夹角处时，Q=8；</w:t>
            </w:r>
          </w:p>
          <w:p>
            <w:pPr>
              <w:spacing w:line="360" w:lineRule="auto"/>
              <w:ind w:firstLine="480" w:firstLineChars="200"/>
              <w:rPr>
                <w:rFonts w:cs="Times New Roman"/>
                <w:sz w:val="24"/>
                <w:szCs w:val="24"/>
              </w:rPr>
            </w:pPr>
            <w:r>
              <w:rPr>
                <w:rFonts w:cs="Times New Roman"/>
                <w:sz w:val="24"/>
                <w:szCs w:val="24"/>
              </w:rPr>
              <w:t>R——房间常数；R=Sα/（1-α），S为房间内表面面积，m</w:t>
            </w:r>
            <w:r>
              <w:rPr>
                <w:rFonts w:cs="Times New Roman"/>
                <w:sz w:val="24"/>
                <w:szCs w:val="24"/>
                <w:vertAlign w:val="superscript"/>
              </w:rPr>
              <w:t>2</w:t>
            </w:r>
            <w:r>
              <w:rPr>
                <w:rFonts w:cs="Times New Roman"/>
                <w:sz w:val="24"/>
                <w:szCs w:val="24"/>
              </w:rPr>
              <w:t>；α为平均吸声系数；</w:t>
            </w:r>
          </w:p>
          <w:p>
            <w:pPr>
              <w:spacing w:line="360" w:lineRule="auto"/>
              <w:ind w:firstLine="480" w:firstLineChars="200"/>
              <w:rPr>
                <w:rFonts w:cs="Times New Roman"/>
                <w:sz w:val="24"/>
                <w:szCs w:val="24"/>
              </w:rPr>
            </w:pPr>
            <w:r>
              <w:rPr>
                <w:rFonts w:cs="Times New Roman"/>
                <w:sz w:val="24"/>
                <w:szCs w:val="24"/>
              </w:rPr>
              <w:t>r——声源到靠近围护结构某点处的距离，m。</w:t>
            </w:r>
          </w:p>
          <w:p>
            <w:pPr>
              <w:spacing w:line="360" w:lineRule="auto"/>
              <w:ind w:firstLine="480" w:firstLineChars="200"/>
              <w:rPr>
                <w:rFonts w:cs="Times New Roman"/>
                <w:sz w:val="24"/>
                <w:szCs w:val="24"/>
              </w:rPr>
            </w:pPr>
            <w:r>
              <w:rPr>
                <w:rFonts w:cs="Times New Roman"/>
                <w:sz w:val="24"/>
                <w:szCs w:val="24"/>
              </w:rPr>
              <w:t>（二）然后计算出所有室内声源在围护结构处产生的i倍频带叠加声压级：</w:t>
            </w:r>
          </w:p>
          <w:p>
            <w:pPr>
              <w:pStyle w:val="34"/>
              <w:spacing w:line="360" w:lineRule="auto"/>
              <w:jc w:val="center"/>
              <w:rPr>
                <w:rFonts w:ascii="Times New Roman" w:cs="Times New Roman"/>
                <w:color w:val="auto"/>
              </w:rPr>
            </w:pPr>
            <w:r>
              <w:rPr>
                <w:rFonts w:ascii="Times New Roman" w:cs="Times New Roman"/>
                <w:color w:val="auto"/>
              </w:rPr>
              <w:drawing>
                <wp:inline distT="0" distB="0" distL="114300" distR="114300">
                  <wp:extent cx="3327400" cy="863600"/>
                  <wp:effectExtent l="0" t="0" r="6350" b="12700"/>
                  <wp:docPr id="30"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
                          <pic:cNvPicPr>
                            <a:picLocks noChangeAspect="1"/>
                          </pic:cNvPicPr>
                        </pic:nvPicPr>
                        <pic:blipFill>
                          <a:blip r:embed="rId35"/>
                          <a:stretch>
                            <a:fillRect/>
                          </a:stretch>
                        </pic:blipFill>
                        <pic:spPr>
                          <a:xfrm>
                            <a:off x="0" y="0"/>
                            <a:ext cx="3327400" cy="863600"/>
                          </a:xfrm>
                          <a:prstGeom prst="rect">
                            <a:avLst/>
                          </a:prstGeom>
                          <a:noFill/>
                          <a:ln>
                            <a:noFill/>
                          </a:ln>
                        </pic:spPr>
                      </pic:pic>
                    </a:graphicData>
                  </a:graphic>
                </wp:inline>
              </w:drawing>
            </w:r>
          </w:p>
          <w:p>
            <w:pPr>
              <w:spacing w:line="360" w:lineRule="auto"/>
              <w:ind w:firstLine="480" w:firstLineChars="200"/>
              <w:rPr>
                <w:rFonts w:cs="Times New Roman"/>
                <w:sz w:val="24"/>
                <w:szCs w:val="24"/>
              </w:rPr>
            </w:pPr>
            <w:r>
              <w:rPr>
                <w:rFonts w:cs="Times New Roman"/>
                <w:sz w:val="24"/>
                <w:szCs w:val="24"/>
              </w:rPr>
              <w:t>式中：</w:t>
            </w:r>
          </w:p>
          <w:p>
            <w:pPr>
              <w:spacing w:line="360" w:lineRule="auto"/>
              <w:ind w:firstLine="480" w:firstLineChars="200"/>
              <w:rPr>
                <w:rFonts w:cs="Times New Roman"/>
                <w:sz w:val="24"/>
                <w:szCs w:val="24"/>
              </w:rPr>
            </w:pPr>
            <w:r>
              <w:rPr>
                <w:rFonts w:cs="Times New Roman"/>
                <w:sz w:val="24"/>
                <w:szCs w:val="24"/>
              </w:rPr>
              <w:t>L</w:t>
            </w:r>
            <w:r>
              <w:rPr>
                <w:rFonts w:cs="Times New Roman"/>
                <w:sz w:val="24"/>
                <w:szCs w:val="24"/>
                <w:vertAlign w:val="subscript"/>
              </w:rPr>
              <w:t>pli（T）</w:t>
            </w:r>
            <w:r>
              <w:rPr>
                <w:rFonts w:cs="Times New Roman"/>
                <w:sz w:val="24"/>
                <w:szCs w:val="24"/>
              </w:rPr>
              <w:t>——靠近围护结构处室内N个声源i倍频带的叠加声压级，dB；</w:t>
            </w:r>
          </w:p>
          <w:p>
            <w:pPr>
              <w:spacing w:line="360" w:lineRule="auto"/>
              <w:ind w:firstLine="480" w:firstLineChars="200"/>
              <w:rPr>
                <w:rFonts w:cs="Times New Roman"/>
                <w:sz w:val="24"/>
                <w:szCs w:val="24"/>
              </w:rPr>
            </w:pPr>
            <w:r>
              <w:rPr>
                <w:rFonts w:cs="Times New Roman"/>
                <w:sz w:val="24"/>
                <w:szCs w:val="24"/>
              </w:rPr>
              <w:t>L</w:t>
            </w:r>
            <w:r>
              <w:rPr>
                <w:rFonts w:cs="Times New Roman"/>
                <w:sz w:val="24"/>
                <w:szCs w:val="24"/>
                <w:vertAlign w:val="subscript"/>
              </w:rPr>
              <w:t>pli</w:t>
            </w:r>
            <w:r>
              <w:rPr>
                <w:rFonts w:cs="Times New Roman"/>
                <w:sz w:val="24"/>
                <w:szCs w:val="24"/>
              </w:rPr>
              <w:t>——室内j声源i倍频带的声压级，dB；</w:t>
            </w:r>
          </w:p>
          <w:p>
            <w:pPr>
              <w:spacing w:line="360" w:lineRule="auto"/>
              <w:ind w:firstLine="480" w:firstLineChars="200"/>
              <w:rPr>
                <w:rFonts w:cs="Times New Roman"/>
                <w:sz w:val="24"/>
                <w:szCs w:val="24"/>
              </w:rPr>
            </w:pPr>
            <w:r>
              <w:rPr>
                <w:rFonts w:cs="Times New Roman"/>
                <w:sz w:val="24"/>
                <w:szCs w:val="24"/>
              </w:rPr>
              <w:t>N——室内声源总数。</w:t>
            </w:r>
          </w:p>
          <w:p>
            <w:pPr>
              <w:spacing w:line="360" w:lineRule="auto"/>
              <w:ind w:firstLine="480" w:firstLineChars="200"/>
              <w:rPr>
                <w:rFonts w:cs="Times New Roman"/>
                <w:sz w:val="24"/>
                <w:szCs w:val="24"/>
              </w:rPr>
            </w:pPr>
            <w:r>
              <w:rPr>
                <w:rFonts w:cs="Times New Roman"/>
                <w:sz w:val="24"/>
                <w:szCs w:val="24"/>
              </w:rPr>
              <w:t>（三）计算出室外靠近围护结构处的声压级：</w:t>
            </w:r>
          </w:p>
          <w:p>
            <w:pPr>
              <w:spacing w:line="360" w:lineRule="auto"/>
              <w:ind w:firstLine="480" w:firstLineChars="200"/>
              <w:jc w:val="center"/>
              <w:rPr>
                <w:rFonts w:cs="Times New Roman"/>
                <w:sz w:val="24"/>
                <w:szCs w:val="24"/>
              </w:rPr>
            </w:pPr>
            <w:r>
              <w:rPr>
                <w:rFonts w:cs="Times New Roman"/>
                <w:sz w:val="24"/>
                <w:szCs w:val="24"/>
              </w:rPr>
              <w:t>L</w:t>
            </w:r>
            <w:r>
              <w:rPr>
                <w:rFonts w:cs="Times New Roman"/>
                <w:sz w:val="24"/>
                <w:szCs w:val="24"/>
                <w:vertAlign w:val="subscript"/>
              </w:rPr>
              <w:t>p2i</w:t>
            </w:r>
            <w:r>
              <w:rPr>
                <w:rFonts w:cs="Times New Roman"/>
                <w:sz w:val="24"/>
                <w:szCs w:val="24"/>
              </w:rPr>
              <w:t>（T）=L</w:t>
            </w:r>
            <w:r>
              <w:rPr>
                <w:rFonts w:cs="Times New Roman"/>
                <w:sz w:val="24"/>
                <w:szCs w:val="24"/>
                <w:vertAlign w:val="subscript"/>
              </w:rPr>
              <w:t>pli</w:t>
            </w:r>
            <w:r>
              <w:rPr>
                <w:rFonts w:cs="Times New Roman"/>
                <w:sz w:val="24"/>
                <w:szCs w:val="24"/>
              </w:rPr>
              <w:t>（T）-（TL</w:t>
            </w:r>
            <w:r>
              <w:rPr>
                <w:rFonts w:cs="Times New Roman"/>
                <w:sz w:val="24"/>
                <w:szCs w:val="24"/>
                <w:vertAlign w:val="subscript"/>
              </w:rPr>
              <w:t>i</w:t>
            </w:r>
            <w:r>
              <w:rPr>
                <w:rFonts w:cs="Times New Roman"/>
                <w:sz w:val="24"/>
                <w:szCs w:val="24"/>
              </w:rPr>
              <w:t>+6）</w:t>
            </w:r>
          </w:p>
          <w:p>
            <w:pPr>
              <w:spacing w:line="360" w:lineRule="auto"/>
              <w:ind w:firstLine="480" w:firstLineChars="200"/>
              <w:rPr>
                <w:rFonts w:cs="Times New Roman"/>
                <w:sz w:val="24"/>
                <w:szCs w:val="24"/>
              </w:rPr>
            </w:pPr>
            <w:r>
              <w:rPr>
                <w:rFonts w:cs="Times New Roman"/>
                <w:sz w:val="24"/>
                <w:szCs w:val="24"/>
              </w:rPr>
              <w:t>式中：</w:t>
            </w:r>
          </w:p>
          <w:p>
            <w:pPr>
              <w:spacing w:line="360" w:lineRule="auto"/>
              <w:ind w:firstLine="480" w:firstLineChars="200"/>
              <w:rPr>
                <w:rFonts w:cs="Times New Roman"/>
                <w:sz w:val="24"/>
                <w:szCs w:val="24"/>
              </w:rPr>
            </w:pPr>
            <w:r>
              <w:rPr>
                <w:rFonts w:cs="Times New Roman"/>
                <w:sz w:val="24"/>
                <w:szCs w:val="24"/>
              </w:rPr>
              <w:t>L</w:t>
            </w:r>
            <w:r>
              <w:rPr>
                <w:rFonts w:cs="Times New Roman"/>
                <w:sz w:val="24"/>
                <w:szCs w:val="24"/>
                <w:vertAlign w:val="subscript"/>
              </w:rPr>
              <w:t>p2i</w:t>
            </w:r>
            <w:r>
              <w:rPr>
                <w:rFonts w:cs="Times New Roman"/>
                <w:sz w:val="24"/>
                <w:szCs w:val="24"/>
              </w:rPr>
              <w:t>（T）——靠近围护结构处室外N个声源i倍频带的叠加声压级，dB；</w:t>
            </w:r>
          </w:p>
          <w:p>
            <w:pPr>
              <w:spacing w:line="360" w:lineRule="auto"/>
              <w:ind w:firstLine="480" w:firstLineChars="200"/>
              <w:rPr>
                <w:rFonts w:cs="Times New Roman"/>
                <w:sz w:val="24"/>
                <w:szCs w:val="24"/>
              </w:rPr>
            </w:pPr>
            <w:r>
              <w:rPr>
                <w:rFonts w:cs="Times New Roman"/>
                <w:sz w:val="24"/>
                <w:szCs w:val="24"/>
              </w:rPr>
              <w:t>L</w:t>
            </w:r>
            <w:r>
              <w:rPr>
                <w:rFonts w:cs="Times New Roman"/>
                <w:sz w:val="24"/>
                <w:szCs w:val="24"/>
                <w:vertAlign w:val="subscript"/>
              </w:rPr>
              <w:t>pli</w:t>
            </w:r>
            <w:r>
              <w:rPr>
                <w:rFonts w:cs="Times New Roman"/>
                <w:sz w:val="24"/>
                <w:szCs w:val="24"/>
              </w:rPr>
              <w:t>（T）——靠近围护结构处室内N个声源i倍频带的叠加声压级，dB；</w:t>
            </w:r>
          </w:p>
          <w:p>
            <w:pPr>
              <w:spacing w:line="360" w:lineRule="auto"/>
              <w:ind w:firstLine="480" w:firstLineChars="200"/>
              <w:rPr>
                <w:rFonts w:cs="Times New Roman"/>
                <w:sz w:val="24"/>
                <w:szCs w:val="24"/>
              </w:rPr>
            </w:pPr>
            <w:r>
              <w:rPr>
                <w:rFonts w:cs="Times New Roman"/>
                <w:sz w:val="24"/>
                <w:szCs w:val="24"/>
              </w:rPr>
              <w:t>TL</w:t>
            </w:r>
            <w:r>
              <w:rPr>
                <w:rFonts w:cs="Times New Roman"/>
                <w:sz w:val="24"/>
                <w:szCs w:val="24"/>
                <w:vertAlign w:val="subscript"/>
              </w:rPr>
              <w:t>i</w:t>
            </w:r>
            <w:r>
              <w:rPr>
                <w:rFonts w:cs="Times New Roman"/>
                <w:sz w:val="24"/>
                <w:szCs w:val="24"/>
              </w:rPr>
              <w:t>——围护结构i倍频带的隔声量，dB。</w:t>
            </w:r>
          </w:p>
          <w:p>
            <w:pPr>
              <w:spacing w:line="360" w:lineRule="auto"/>
              <w:ind w:firstLine="480" w:firstLineChars="200"/>
              <w:rPr>
                <w:rFonts w:cs="Times New Roman"/>
                <w:sz w:val="24"/>
                <w:szCs w:val="24"/>
              </w:rPr>
            </w:pPr>
            <w:r>
              <w:rPr>
                <w:rFonts w:cs="Times New Roman"/>
                <w:sz w:val="24"/>
                <w:szCs w:val="24"/>
              </w:rPr>
              <w:t>（四）将室外声级和透声面积换算成等效的室外声源，计算出等效声源第i个倍频带的声功率级：</w:t>
            </w:r>
          </w:p>
          <w:p>
            <w:pPr>
              <w:spacing w:line="360" w:lineRule="auto"/>
              <w:ind w:firstLine="480" w:firstLineChars="200"/>
              <w:jc w:val="center"/>
              <w:rPr>
                <w:rFonts w:cs="Times New Roman"/>
                <w:sz w:val="24"/>
                <w:szCs w:val="24"/>
              </w:rPr>
            </w:pPr>
            <w:r>
              <w:rPr>
                <w:rFonts w:cs="Times New Roman"/>
                <w:sz w:val="24"/>
                <w:szCs w:val="24"/>
              </w:rPr>
              <w:t>L</w:t>
            </w:r>
            <w:r>
              <w:rPr>
                <w:rFonts w:cs="Times New Roman"/>
                <w:sz w:val="24"/>
                <w:szCs w:val="24"/>
                <w:vertAlign w:val="subscript"/>
              </w:rPr>
              <w:t>w</w:t>
            </w:r>
            <w:r>
              <w:rPr>
                <w:rFonts w:cs="Times New Roman"/>
                <w:sz w:val="24"/>
                <w:szCs w:val="24"/>
              </w:rPr>
              <w:t>=L</w:t>
            </w:r>
            <w:r>
              <w:rPr>
                <w:rFonts w:cs="Times New Roman"/>
                <w:sz w:val="24"/>
                <w:szCs w:val="24"/>
                <w:vertAlign w:val="subscript"/>
              </w:rPr>
              <w:t>p2</w:t>
            </w:r>
            <w:r>
              <w:rPr>
                <w:rFonts w:cs="Times New Roman"/>
                <w:sz w:val="24"/>
                <w:szCs w:val="24"/>
              </w:rPr>
              <w:t>（T）+10lgS</w:t>
            </w:r>
          </w:p>
          <w:p>
            <w:pPr>
              <w:spacing w:line="360" w:lineRule="auto"/>
              <w:ind w:firstLine="480" w:firstLineChars="200"/>
              <w:rPr>
                <w:rFonts w:cs="Times New Roman"/>
                <w:sz w:val="24"/>
                <w:szCs w:val="24"/>
              </w:rPr>
            </w:pPr>
            <w:r>
              <w:rPr>
                <w:rFonts w:cs="Times New Roman"/>
                <w:sz w:val="24"/>
                <w:szCs w:val="24"/>
              </w:rPr>
              <w:t>式中：L</w:t>
            </w:r>
            <w:r>
              <w:rPr>
                <w:rFonts w:cs="Times New Roman"/>
                <w:sz w:val="24"/>
                <w:szCs w:val="24"/>
                <w:vertAlign w:val="subscript"/>
              </w:rPr>
              <w:t>w</w:t>
            </w:r>
            <w:r>
              <w:rPr>
                <w:rFonts w:cs="Times New Roman"/>
                <w:sz w:val="24"/>
                <w:szCs w:val="24"/>
              </w:rPr>
              <w:t>——中心位置位于透声面积（S）处的等效声源的倍频带声功率级，dB；</w:t>
            </w:r>
          </w:p>
          <w:p>
            <w:pPr>
              <w:spacing w:line="360" w:lineRule="auto"/>
              <w:ind w:firstLine="480" w:firstLineChars="200"/>
              <w:rPr>
                <w:rFonts w:cs="Times New Roman"/>
                <w:sz w:val="24"/>
                <w:szCs w:val="24"/>
              </w:rPr>
            </w:pPr>
            <w:r>
              <w:rPr>
                <w:rFonts w:cs="Times New Roman"/>
                <w:sz w:val="24"/>
                <w:szCs w:val="24"/>
              </w:rPr>
              <w:t>L</w:t>
            </w:r>
            <w:r>
              <w:rPr>
                <w:rFonts w:cs="Times New Roman"/>
                <w:sz w:val="24"/>
                <w:szCs w:val="24"/>
                <w:vertAlign w:val="subscript"/>
              </w:rPr>
              <w:t>p2</w:t>
            </w:r>
            <w:r>
              <w:rPr>
                <w:rFonts w:cs="Times New Roman"/>
                <w:sz w:val="24"/>
                <w:szCs w:val="24"/>
              </w:rPr>
              <w:t>（T）——靠近围护结构处室外声源的声压级，dB；</w:t>
            </w:r>
          </w:p>
          <w:p>
            <w:pPr>
              <w:spacing w:line="360" w:lineRule="auto"/>
              <w:ind w:firstLine="480" w:firstLineChars="200"/>
              <w:rPr>
                <w:rFonts w:cs="Times New Roman"/>
                <w:sz w:val="24"/>
                <w:szCs w:val="24"/>
              </w:rPr>
            </w:pPr>
            <w:r>
              <w:rPr>
                <w:rFonts w:cs="Times New Roman"/>
                <w:sz w:val="24"/>
                <w:szCs w:val="24"/>
              </w:rPr>
              <w:t>S——透声面积，m</w:t>
            </w:r>
            <w:r>
              <w:rPr>
                <w:rFonts w:cs="Times New Roman"/>
                <w:sz w:val="24"/>
                <w:szCs w:val="24"/>
                <w:vertAlign w:val="superscript"/>
              </w:rPr>
              <w:t>2</w:t>
            </w:r>
            <w:r>
              <w:rPr>
                <w:rFonts w:cs="Times New Roman"/>
                <w:sz w:val="24"/>
                <w:szCs w:val="24"/>
              </w:rPr>
              <w:t>。</w:t>
            </w:r>
          </w:p>
          <w:p>
            <w:pPr>
              <w:numPr>
                <w:ilvl w:val="0"/>
                <w:numId w:val="1"/>
              </w:numPr>
              <w:spacing w:line="360" w:lineRule="auto"/>
              <w:ind w:firstLine="480" w:firstLineChars="200"/>
              <w:rPr>
                <w:rFonts w:cs="Times New Roman"/>
                <w:sz w:val="24"/>
                <w:szCs w:val="24"/>
              </w:rPr>
            </w:pPr>
            <w:r>
              <w:rPr>
                <w:rFonts w:cs="Times New Roman"/>
                <w:sz w:val="24"/>
                <w:szCs w:val="24"/>
              </w:rPr>
              <w:t>等效室外声源的位置为围护结构的位置，其声功率级为L</w:t>
            </w:r>
            <w:r>
              <w:rPr>
                <w:rFonts w:cs="Times New Roman"/>
                <w:sz w:val="24"/>
                <w:szCs w:val="24"/>
                <w:vertAlign w:val="subscript"/>
              </w:rPr>
              <w:t>w</w:t>
            </w:r>
            <w:r>
              <w:rPr>
                <w:rFonts w:cs="Times New Roman"/>
                <w:sz w:val="24"/>
                <w:szCs w:val="24"/>
              </w:rPr>
              <w:t>，由此计算等效声源在预测点产生的声级。</w:t>
            </w:r>
          </w:p>
          <w:p>
            <w:pPr>
              <w:spacing w:line="360" w:lineRule="auto"/>
              <w:ind w:firstLine="480" w:firstLineChars="200"/>
              <w:rPr>
                <w:rFonts w:cs="Times New Roman"/>
                <w:sz w:val="24"/>
                <w:szCs w:val="24"/>
              </w:rPr>
            </w:pPr>
            <w:r>
              <w:rPr>
                <w:rFonts w:cs="Times New Roman"/>
                <w:sz w:val="24"/>
                <w:szCs w:val="24"/>
              </w:rPr>
              <w:t>③总声级的计算</w:t>
            </w:r>
          </w:p>
          <w:p>
            <w:pPr>
              <w:spacing w:line="360" w:lineRule="auto"/>
              <w:ind w:firstLine="480" w:firstLineChars="200"/>
              <w:rPr>
                <w:rFonts w:cs="Times New Roman"/>
                <w:sz w:val="24"/>
                <w:szCs w:val="24"/>
              </w:rPr>
            </w:pPr>
            <w:r>
              <w:rPr>
                <w:rFonts w:cs="Times New Roman"/>
                <w:sz w:val="24"/>
                <w:szCs w:val="24"/>
              </w:rPr>
              <w:t>设第i个室外声源在预测点产生的A声级为L</w:t>
            </w:r>
            <w:r>
              <w:rPr>
                <w:rFonts w:cs="Times New Roman"/>
                <w:sz w:val="24"/>
                <w:szCs w:val="24"/>
                <w:vertAlign w:val="subscript"/>
              </w:rPr>
              <w:t>Ai</w:t>
            </w:r>
            <w:r>
              <w:rPr>
                <w:rFonts w:cs="Times New Roman"/>
                <w:sz w:val="24"/>
                <w:szCs w:val="24"/>
              </w:rPr>
              <w:t>，在T时间内该声源工作时间为t</w:t>
            </w:r>
            <w:r>
              <w:rPr>
                <w:rFonts w:cs="Times New Roman"/>
                <w:sz w:val="24"/>
                <w:szCs w:val="24"/>
                <w:vertAlign w:val="subscript"/>
              </w:rPr>
              <w:t>i</w:t>
            </w:r>
            <w:r>
              <w:rPr>
                <w:rFonts w:cs="Times New Roman"/>
                <w:sz w:val="24"/>
                <w:szCs w:val="24"/>
              </w:rPr>
              <w:t>；第j个等效室外声源在预测点产生的A声级为L</w:t>
            </w:r>
            <w:r>
              <w:rPr>
                <w:rFonts w:cs="Times New Roman"/>
                <w:sz w:val="24"/>
                <w:szCs w:val="24"/>
                <w:vertAlign w:val="subscript"/>
              </w:rPr>
              <w:t>Aj</w:t>
            </w:r>
            <w:r>
              <w:rPr>
                <w:rFonts w:cs="Times New Roman"/>
                <w:sz w:val="24"/>
                <w:szCs w:val="24"/>
              </w:rPr>
              <w:t>，在T时间内该声源工作时间为t</w:t>
            </w:r>
            <w:r>
              <w:rPr>
                <w:rFonts w:cs="Times New Roman"/>
                <w:sz w:val="24"/>
                <w:szCs w:val="24"/>
                <w:vertAlign w:val="subscript"/>
              </w:rPr>
              <w:t>j</w:t>
            </w:r>
            <w:r>
              <w:rPr>
                <w:rFonts w:cs="Times New Roman"/>
                <w:sz w:val="24"/>
                <w:szCs w:val="24"/>
              </w:rPr>
              <w:t>，则拟建工程声源对预测点产生的贡献值（L</w:t>
            </w:r>
            <w:r>
              <w:rPr>
                <w:rFonts w:cs="Times New Roman"/>
                <w:sz w:val="24"/>
                <w:szCs w:val="24"/>
                <w:vertAlign w:val="subscript"/>
              </w:rPr>
              <w:t>eqg</w:t>
            </w:r>
            <w:r>
              <w:rPr>
                <w:rFonts w:cs="Times New Roman"/>
                <w:sz w:val="24"/>
                <w:szCs w:val="24"/>
              </w:rPr>
              <w:t>）为：</w:t>
            </w:r>
          </w:p>
          <w:p>
            <w:pPr>
              <w:spacing w:line="360" w:lineRule="auto"/>
              <w:ind w:firstLine="480" w:firstLineChars="200"/>
              <w:jc w:val="center"/>
              <w:rPr>
                <w:rFonts w:cs="Times New Roman"/>
                <w:sz w:val="24"/>
                <w:szCs w:val="24"/>
              </w:rPr>
            </w:pPr>
            <w:r>
              <w:rPr>
                <w:rFonts w:cs="Times New Roman"/>
                <w:sz w:val="24"/>
                <w:szCs w:val="24"/>
              </w:rPr>
              <w:drawing>
                <wp:inline distT="0" distB="0" distL="114300" distR="114300">
                  <wp:extent cx="3433445" cy="715010"/>
                  <wp:effectExtent l="0" t="0" r="14605" b="889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6"/>
                          <a:stretch>
                            <a:fillRect/>
                          </a:stretch>
                        </pic:blipFill>
                        <pic:spPr>
                          <a:xfrm>
                            <a:off x="0" y="0"/>
                            <a:ext cx="3433445" cy="715010"/>
                          </a:xfrm>
                          <a:prstGeom prst="rect">
                            <a:avLst/>
                          </a:prstGeom>
                          <a:noFill/>
                          <a:ln>
                            <a:noFill/>
                          </a:ln>
                        </pic:spPr>
                      </pic:pic>
                    </a:graphicData>
                  </a:graphic>
                </wp:inline>
              </w:drawing>
            </w:r>
          </w:p>
          <w:p>
            <w:pPr>
              <w:spacing w:line="360" w:lineRule="auto"/>
              <w:ind w:firstLine="480" w:firstLineChars="200"/>
              <w:rPr>
                <w:rFonts w:cs="Times New Roman"/>
                <w:sz w:val="24"/>
                <w:szCs w:val="24"/>
              </w:rPr>
            </w:pPr>
            <w:r>
              <w:rPr>
                <w:rFonts w:cs="Times New Roman"/>
                <w:sz w:val="24"/>
                <w:szCs w:val="24"/>
              </w:rPr>
              <w:t>式中：L</w:t>
            </w:r>
            <w:r>
              <w:rPr>
                <w:rFonts w:cs="Times New Roman"/>
                <w:sz w:val="24"/>
                <w:szCs w:val="24"/>
                <w:vertAlign w:val="subscript"/>
              </w:rPr>
              <w:t>eqg</w:t>
            </w:r>
            <w:r>
              <w:rPr>
                <w:rFonts w:cs="Times New Roman"/>
                <w:sz w:val="24"/>
                <w:szCs w:val="24"/>
              </w:rPr>
              <w:t>——建设项目声源在预测点产生的噪声贡献值，dB；</w:t>
            </w:r>
          </w:p>
          <w:p>
            <w:pPr>
              <w:spacing w:line="360" w:lineRule="auto"/>
              <w:ind w:firstLine="480" w:firstLineChars="200"/>
              <w:rPr>
                <w:rFonts w:cs="Times New Roman"/>
                <w:sz w:val="24"/>
                <w:szCs w:val="24"/>
              </w:rPr>
            </w:pPr>
            <w:r>
              <w:rPr>
                <w:rFonts w:cs="Times New Roman"/>
                <w:sz w:val="24"/>
                <w:szCs w:val="24"/>
              </w:rPr>
              <w:t>T——用于计算等效声级的时间，s；</w:t>
            </w:r>
          </w:p>
          <w:p>
            <w:pPr>
              <w:spacing w:line="360" w:lineRule="auto"/>
              <w:ind w:firstLine="480" w:firstLineChars="200"/>
              <w:rPr>
                <w:rFonts w:cs="Times New Roman"/>
                <w:sz w:val="24"/>
                <w:szCs w:val="24"/>
              </w:rPr>
            </w:pPr>
            <w:r>
              <w:rPr>
                <w:rFonts w:cs="Times New Roman"/>
                <w:sz w:val="24"/>
                <w:szCs w:val="24"/>
              </w:rPr>
              <w:t>N——室外声源个数；</w:t>
            </w:r>
          </w:p>
          <w:p>
            <w:pPr>
              <w:spacing w:line="360" w:lineRule="auto"/>
              <w:ind w:firstLine="480" w:firstLineChars="200"/>
              <w:rPr>
                <w:rFonts w:cs="Times New Roman"/>
                <w:sz w:val="24"/>
                <w:szCs w:val="24"/>
              </w:rPr>
            </w:pPr>
            <w:r>
              <w:rPr>
                <w:rFonts w:cs="Times New Roman"/>
                <w:sz w:val="24"/>
                <w:szCs w:val="24"/>
              </w:rPr>
              <w:t>t</w:t>
            </w:r>
            <w:r>
              <w:rPr>
                <w:rFonts w:cs="Times New Roman"/>
                <w:sz w:val="24"/>
                <w:szCs w:val="24"/>
                <w:vertAlign w:val="subscript"/>
              </w:rPr>
              <w:t>i</w:t>
            </w:r>
            <w:r>
              <w:rPr>
                <w:rFonts w:cs="Times New Roman"/>
                <w:sz w:val="24"/>
                <w:szCs w:val="24"/>
              </w:rPr>
              <w:t>——在T时间内i声源工作时间，s；</w:t>
            </w:r>
          </w:p>
          <w:p>
            <w:pPr>
              <w:spacing w:line="360" w:lineRule="auto"/>
              <w:ind w:firstLine="480" w:firstLineChars="200"/>
              <w:rPr>
                <w:rFonts w:cs="Times New Roman"/>
                <w:sz w:val="24"/>
                <w:szCs w:val="24"/>
              </w:rPr>
            </w:pPr>
            <w:r>
              <w:rPr>
                <w:rFonts w:cs="Times New Roman"/>
                <w:sz w:val="24"/>
                <w:szCs w:val="24"/>
              </w:rPr>
              <w:t>M——等效室外声源个数；</w:t>
            </w:r>
          </w:p>
          <w:p>
            <w:pPr>
              <w:spacing w:line="360" w:lineRule="auto"/>
              <w:ind w:firstLine="480" w:firstLineChars="200"/>
              <w:rPr>
                <w:rFonts w:cs="Times New Roman"/>
                <w:sz w:val="24"/>
                <w:szCs w:val="24"/>
              </w:rPr>
            </w:pPr>
            <w:r>
              <w:rPr>
                <w:rFonts w:cs="Times New Roman"/>
                <w:sz w:val="24"/>
                <w:szCs w:val="24"/>
              </w:rPr>
              <w:t>t</w:t>
            </w:r>
            <w:r>
              <w:rPr>
                <w:rFonts w:cs="Times New Roman"/>
                <w:sz w:val="24"/>
                <w:szCs w:val="24"/>
                <w:vertAlign w:val="subscript"/>
              </w:rPr>
              <w:t>j</w:t>
            </w:r>
            <w:r>
              <w:rPr>
                <w:rFonts w:cs="Times New Roman"/>
                <w:sz w:val="24"/>
                <w:szCs w:val="24"/>
              </w:rPr>
              <w:t>——在T时间内j声源工作时间，s。</w:t>
            </w:r>
          </w:p>
          <w:p>
            <w:pPr>
              <w:spacing w:line="360" w:lineRule="auto"/>
              <w:ind w:firstLine="482" w:firstLineChars="200"/>
              <w:rPr>
                <w:rFonts w:cs="Times New Roman"/>
                <w:b/>
                <w:bCs/>
                <w:sz w:val="24"/>
                <w:szCs w:val="24"/>
              </w:rPr>
            </w:pPr>
            <w:r>
              <w:rPr>
                <w:rFonts w:cs="Times New Roman"/>
                <w:b/>
                <w:bCs/>
                <w:sz w:val="24"/>
                <w:szCs w:val="24"/>
              </w:rPr>
              <w:t>2）参数确定</w:t>
            </w:r>
          </w:p>
          <w:p>
            <w:pPr>
              <w:spacing w:line="360" w:lineRule="auto"/>
              <w:ind w:firstLine="480" w:firstLineChars="200"/>
              <w:rPr>
                <w:rFonts w:cs="Times New Roman"/>
                <w:sz w:val="24"/>
                <w:szCs w:val="24"/>
              </w:rPr>
            </w:pPr>
            <w:r>
              <w:rPr>
                <w:rFonts w:cs="Times New Roman"/>
                <w:sz w:val="24"/>
                <w:szCs w:val="24"/>
              </w:rPr>
              <w:t>①声波几何发散引起的A声级衰减量：</w:t>
            </w:r>
          </w:p>
          <w:p>
            <w:pPr>
              <w:spacing w:line="360" w:lineRule="auto"/>
              <w:ind w:firstLine="480" w:firstLineChars="200"/>
              <w:jc w:val="center"/>
              <w:rPr>
                <w:rFonts w:cs="Times New Roman"/>
                <w:sz w:val="24"/>
                <w:szCs w:val="24"/>
              </w:rPr>
            </w:pPr>
            <w:r>
              <w:rPr>
                <w:rFonts w:cs="Times New Roman"/>
                <w:sz w:val="24"/>
                <w:szCs w:val="24"/>
              </w:rPr>
              <w:t>点声源A</w:t>
            </w:r>
            <w:r>
              <w:rPr>
                <w:rFonts w:cs="Times New Roman"/>
                <w:sz w:val="24"/>
                <w:szCs w:val="24"/>
                <w:vertAlign w:val="subscript"/>
              </w:rPr>
              <w:t>div</w:t>
            </w:r>
            <w:r>
              <w:rPr>
                <w:rFonts w:cs="Times New Roman"/>
                <w:sz w:val="24"/>
                <w:szCs w:val="24"/>
              </w:rPr>
              <w:t>= 201g(r/r</w:t>
            </w:r>
            <w:r>
              <w:rPr>
                <w:rFonts w:cs="Times New Roman"/>
                <w:sz w:val="24"/>
                <w:szCs w:val="24"/>
                <w:vertAlign w:val="subscript"/>
              </w:rPr>
              <w:t>0</w:t>
            </w:r>
            <w:r>
              <w:rPr>
                <w:rFonts w:cs="Times New Roman"/>
                <w:sz w:val="24"/>
                <w:szCs w:val="24"/>
              </w:rPr>
              <w:t>)</w:t>
            </w:r>
          </w:p>
          <w:p>
            <w:pPr>
              <w:spacing w:line="360" w:lineRule="auto"/>
              <w:ind w:firstLine="480" w:firstLineChars="200"/>
              <w:rPr>
                <w:rFonts w:cs="Times New Roman"/>
                <w:sz w:val="24"/>
                <w:szCs w:val="24"/>
                <w:vertAlign w:val="subscript"/>
              </w:rPr>
            </w:pPr>
            <w:r>
              <w:rPr>
                <w:rFonts w:cs="Times New Roman"/>
                <w:sz w:val="24"/>
                <w:szCs w:val="24"/>
              </w:rPr>
              <w:t>②空气吸收衰减量A</w:t>
            </w:r>
            <w:r>
              <w:rPr>
                <w:rFonts w:cs="Times New Roman"/>
                <w:sz w:val="24"/>
                <w:szCs w:val="24"/>
                <w:vertAlign w:val="subscript"/>
              </w:rPr>
              <w:t>atm</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拟建项目噪声以中低频为主，空气吸收性衰减很少，预测时可忽略不计。</w:t>
            </w:r>
          </w:p>
          <w:p>
            <w:pPr>
              <w:spacing w:line="360" w:lineRule="auto"/>
              <w:ind w:firstLine="480" w:firstLineChars="200"/>
              <w:rPr>
                <w:rFonts w:cs="Times New Roman"/>
                <w:sz w:val="24"/>
                <w:szCs w:val="24"/>
              </w:rPr>
            </w:pPr>
            <w:r>
              <w:rPr>
                <w:rFonts w:cs="Times New Roman"/>
                <w:sz w:val="24"/>
                <w:szCs w:val="24"/>
              </w:rPr>
              <w:t>③遮挡物引起的衰减量A</w:t>
            </w:r>
            <w:r>
              <w:rPr>
                <w:rFonts w:cs="Times New Roman"/>
                <w:sz w:val="24"/>
                <w:szCs w:val="24"/>
                <w:vertAlign w:val="subscript"/>
              </w:rPr>
              <w:t>bar</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噪声在向外传播过程中将受到厂房或其它车间的阻挡影响，从而引起声能量的衰减，具体衰减根据不同声级的传播途径而定，一般取0~30dB（A），本次环评取15。</w:t>
            </w:r>
          </w:p>
          <w:p>
            <w:pPr>
              <w:spacing w:line="360" w:lineRule="auto"/>
              <w:ind w:firstLine="480" w:firstLineChars="200"/>
              <w:rPr>
                <w:rFonts w:cs="Times New Roman"/>
                <w:sz w:val="24"/>
                <w:szCs w:val="24"/>
              </w:rPr>
            </w:pPr>
            <w:r>
              <w:rPr>
                <w:rFonts w:cs="Times New Roman"/>
                <w:sz w:val="24"/>
                <w:szCs w:val="24"/>
              </w:rPr>
              <w:t>④地面效应引起的声级衰减量A</w:t>
            </w:r>
            <w:r>
              <w:rPr>
                <w:rFonts w:cs="Times New Roman"/>
                <w:sz w:val="24"/>
                <w:szCs w:val="24"/>
                <w:vertAlign w:val="subscript"/>
              </w:rPr>
              <w:t>gr</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根据项目总平面布置和噪声源强及外环境状况，可以忽略本项附加衰减量。</w:t>
            </w:r>
          </w:p>
          <w:p>
            <w:pPr>
              <w:spacing w:line="360" w:lineRule="auto"/>
              <w:ind w:firstLine="480" w:firstLineChars="200"/>
              <w:rPr>
                <w:rFonts w:cs="Times New Roman"/>
                <w:sz w:val="24"/>
                <w:szCs w:val="24"/>
              </w:rPr>
            </w:pPr>
            <w:r>
              <w:rPr>
                <w:rFonts w:cs="Times New Roman"/>
                <w:sz w:val="24"/>
                <w:szCs w:val="24"/>
              </w:rPr>
              <w:t>⑤其他多方面效应引起的声级衰减量A</w:t>
            </w:r>
            <w:r>
              <w:rPr>
                <w:rFonts w:cs="Times New Roman"/>
                <w:sz w:val="24"/>
                <w:szCs w:val="24"/>
                <w:vertAlign w:val="subscript"/>
              </w:rPr>
              <w:t>misc</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其他衰减包括通过工业场所的衰减，通过房屋群的衰减等。一般情况下，不考虑自然条件（如风、温度梯度、雾）变化引起的附加修正。</w:t>
            </w:r>
          </w:p>
          <w:p>
            <w:pPr>
              <w:spacing w:line="360" w:lineRule="auto"/>
              <w:ind w:firstLine="482" w:firstLineChars="200"/>
              <w:rPr>
                <w:rFonts w:cs="Times New Roman"/>
                <w:b/>
                <w:bCs/>
                <w:sz w:val="24"/>
                <w:szCs w:val="24"/>
              </w:rPr>
            </w:pPr>
            <w:r>
              <w:rPr>
                <w:rFonts w:cs="Times New Roman"/>
                <w:b/>
                <w:bCs/>
                <w:sz w:val="24"/>
                <w:szCs w:val="24"/>
              </w:rPr>
              <w:t>3）预测结果</w:t>
            </w:r>
          </w:p>
          <w:p>
            <w:pPr>
              <w:spacing w:line="360" w:lineRule="auto"/>
              <w:ind w:firstLine="480" w:firstLineChars="200"/>
              <w:rPr>
                <w:rFonts w:cs="Times New Roman"/>
                <w:sz w:val="24"/>
                <w:szCs w:val="24"/>
              </w:rPr>
            </w:pPr>
            <w:r>
              <w:rPr>
                <w:rFonts w:cs="Times New Roman"/>
                <w:sz w:val="24"/>
                <w:szCs w:val="24"/>
              </w:rPr>
              <w:t>根据不同设备的噪声级、确定的预测模式以及拟采取的降噪措施计算出不同距离处的噪声值。项目厂界噪声贡预测结果如下表所示：</w:t>
            </w:r>
          </w:p>
          <w:p>
            <w:pPr>
              <w:spacing w:line="360" w:lineRule="auto"/>
              <w:jc w:val="center"/>
              <w:rPr>
                <w:rFonts w:cs="Times New Roman"/>
                <w:b/>
                <w:bCs/>
                <w:sz w:val="24"/>
                <w:szCs w:val="24"/>
              </w:rPr>
            </w:pPr>
            <w:r>
              <w:rPr>
                <w:rFonts w:cs="Times New Roman"/>
                <w:b/>
                <w:bCs/>
                <w:sz w:val="24"/>
                <w:szCs w:val="24"/>
              </w:rPr>
              <w:t>表4-20  运营期昼间噪声预测结果</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664"/>
              <w:gridCol w:w="694"/>
              <w:gridCol w:w="696"/>
              <w:gridCol w:w="694"/>
              <w:gridCol w:w="696"/>
              <w:gridCol w:w="694"/>
              <w:gridCol w:w="696"/>
              <w:gridCol w:w="694"/>
              <w:gridCol w:w="696"/>
              <w:gridCol w:w="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01" w:type="pct"/>
                  <w:vMerge w:val="restar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编号</w:t>
                  </w:r>
                </w:p>
              </w:tc>
              <w:tc>
                <w:tcPr>
                  <w:tcW w:w="959" w:type="pct"/>
                  <w:vMerge w:val="restar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预测点位置</w:t>
                  </w:r>
                </w:p>
              </w:tc>
              <w:tc>
                <w:tcPr>
                  <w:tcW w:w="801" w:type="pct"/>
                  <w:gridSpan w:val="2"/>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贡献值</w:t>
                  </w:r>
                </w:p>
                <w:p>
                  <w:pPr>
                    <w:jc w:val="center"/>
                    <w:rPr>
                      <w:rFonts w:cs="Times New Roman"/>
                      <w:b/>
                      <w:bCs/>
                      <w:szCs w:val="21"/>
                    </w:rPr>
                  </w:pPr>
                  <w:r>
                    <w:rPr>
                      <w:rFonts w:cs="Times New Roman"/>
                      <w:b/>
                      <w:bCs/>
                      <w:szCs w:val="21"/>
                    </w:rPr>
                    <w:t>[dB（A）]</w:t>
                  </w:r>
                </w:p>
              </w:tc>
              <w:tc>
                <w:tcPr>
                  <w:tcW w:w="801" w:type="pct"/>
                  <w:gridSpan w:val="2"/>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背景值</w:t>
                  </w:r>
                </w:p>
                <w:p>
                  <w:pPr>
                    <w:jc w:val="center"/>
                    <w:rPr>
                      <w:rFonts w:cs="Times New Roman"/>
                      <w:b/>
                      <w:bCs/>
                      <w:szCs w:val="21"/>
                    </w:rPr>
                  </w:pPr>
                  <w:r>
                    <w:rPr>
                      <w:rFonts w:cs="Times New Roman"/>
                      <w:b/>
                      <w:bCs/>
                      <w:szCs w:val="21"/>
                    </w:rPr>
                    <w:t>[dB（A）]</w:t>
                  </w:r>
                </w:p>
              </w:tc>
              <w:tc>
                <w:tcPr>
                  <w:tcW w:w="801" w:type="pct"/>
                  <w:gridSpan w:val="2"/>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预测值</w:t>
                  </w:r>
                </w:p>
                <w:p>
                  <w:pPr>
                    <w:jc w:val="center"/>
                    <w:rPr>
                      <w:rFonts w:cs="Times New Roman"/>
                      <w:b/>
                      <w:bCs/>
                      <w:szCs w:val="21"/>
                    </w:rPr>
                  </w:pPr>
                  <w:r>
                    <w:rPr>
                      <w:rFonts w:cs="Times New Roman"/>
                      <w:b/>
                      <w:bCs/>
                      <w:szCs w:val="21"/>
                    </w:rPr>
                    <w:t>[dB（A）]</w:t>
                  </w:r>
                </w:p>
              </w:tc>
              <w:tc>
                <w:tcPr>
                  <w:tcW w:w="801" w:type="pct"/>
                  <w:gridSpan w:val="2"/>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标准值</w:t>
                  </w:r>
                </w:p>
                <w:p>
                  <w:pPr>
                    <w:jc w:val="center"/>
                    <w:rPr>
                      <w:rFonts w:cs="Times New Roman"/>
                      <w:b/>
                      <w:bCs/>
                      <w:szCs w:val="21"/>
                    </w:rPr>
                  </w:pPr>
                  <w:r>
                    <w:rPr>
                      <w:rFonts w:eastAsia="仿宋" w:cs="Times New Roman"/>
                      <w:b/>
                      <w:bCs/>
                      <w:szCs w:val="21"/>
                    </w:rPr>
                    <w:t>[</w:t>
                  </w:r>
                  <w:r>
                    <w:rPr>
                      <w:rFonts w:cs="Times New Roman"/>
                      <w:b/>
                      <w:bCs/>
                      <w:szCs w:val="21"/>
                    </w:rPr>
                    <w:t>dB（A）</w:t>
                  </w:r>
                  <w:r>
                    <w:rPr>
                      <w:rFonts w:eastAsia="仿宋" w:cs="Times New Roman"/>
                      <w:b/>
                      <w:bCs/>
                      <w:szCs w:val="21"/>
                    </w:rPr>
                    <w:t>]</w:t>
                  </w:r>
                </w:p>
              </w:tc>
              <w:tc>
                <w:tcPr>
                  <w:tcW w:w="431" w:type="pct"/>
                  <w:vMerge w:val="restar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预测结果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vMerge w:val="continue"/>
                  <w:tcBorders>
                    <w:tl2br w:val="nil"/>
                    <w:tr2bl w:val="nil"/>
                  </w:tcBorders>
                  <w:vAlign w:val="center"/>
                </w:tcPr>
                <w:p>
                  <w:pPr>
                    <w:jc w:val="center"/>
                    <w:rPr>
                      <w:rFonts w:cs="Times New Roman"/>
                      <w:szCs w:val="21"/>
                    </w:rPr>
                  </w:pPr>
                </w:p>
              </w:tc>
              <w:tc>
                <w:tcPr>
                  <w:tcW w:w="959" w:type="pct"/>
                  <w:vMerge w:val="continue"/>
                  <w:tcBorders>
                    <w:tl2br w:val="nil"/>
                    <w:tr2bl w:val="nil"/>
                  </w:tcBorders>
                  <w:vAlign w:val="center"/>
                </w:tcPr>
                <w:p>
                  <w:pPr>
                    <w:jc w:val="center"/>
                    <w:rPr>
                      <w:rFonts w:cs="Times New Roman"/>
                      <w:szCs w:val="21"/>
                    </w:rPr>
                  </w:pPr>
                </w:p>
              </w:tc>
              <w:tc>
                <w:tcPr>
                  <w:tcW w:w="400"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昼间</w:t>
                  </w:r>
                </w:p>
              </w:tc>
              <w:tc>
                <w:tcPr>
                  <w:tcW w:w="401"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夜间</w:t>
                  </w:r>
                </w:p>
              </w:tc>
              <w:tc>
                <w:tcPr>
                  <w:tcW w:w="400"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昼间</w:t>
                  </w:r>
                </w:p>
              </w:tc>
              <w:tc>
                <w:tcPr>
                  <w:tcW w:w="401"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夜间</w:t>
                  </w:r>
                </w:p>
              </w:tc>
              <w:tc>
                <w:tcPr>
                  <w:tcW w:w="400"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昼间</w:t>
                  </w:r>
                </w:p>
              </w:tc>
              <w:tc>
                <w:tcPr>
                  <w:tcW w:w="401"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夜间</w:t>
                  </w:r>
                </w:p>
              </w:tc>
              <w:tc>
                <w:tcPr>
                  <w:tcW w:w="400"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昼间</w:t>
                  </w:r>
                </w:p>
              </w:tc>
              <w:tc>
                <w:tcPr>
                  <w:tcW w:w="401" w:type="pct"/>
                  <w:tcBorders>
                    <w:tl2br w:val="nil"/>
                    <w:tr2bl w:val="nil"/>
                  </w:tcBorders>
                  <w:shd w:val="clear" w:color="000000" w:themeColor="text1" w:fill="auto"/>
                  <w:vAlign w:val="center"/>
                </w:tcPr>
                <w:p>
                  <w:pPr>
                    <w:pStyle w:val="77"/>
                    <w:snapToGrid w:val="0"/>
                    <w:spacing w:before="0" w:after="0"/>
                    <w:rPr>
                      <w:rFonts w:cs="Times New Roman"/>
                      <w:b/>
                      <w:bCs/>
                      <w:sz w:val="21"/>
                      <w:szCs w:val="21"/>
                    </w:rPr>
                  </w:pPr>
                  <w:r>
                    <w:rPr>
                      <w:rFonts w:cs="Times New Roman"/>
                      <w:b/>
                      <w:bCs/>
                      <w:sz w:val="21"/>
                      <w:szCs w:val="21"/>
                    </w:rPr>
                    <w:t>夜间</w:t>
                  </w:r>
                </w:p>
              </w:tc>
              <w:tc>
                <w:tcPr>
                  <w:tcW w:w="431"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jc w:val="center"/>
                    <w:rPr>
                      <w:rFonts w:cs="Times New Roman"/>
                      <w:szCs w:val="21"/>
                    </w:rPr>
                  </w:pPr>
                  <w:r>
                    <w:rPr>
                      <w:rFonts w:cs="Times New Roman"/>
                      <w:szCs w:val="21"/>
                    </w:rPr>
                    <w:t>1#</w:t>
                  </w:r>
                </w:p>
              </w:tc>
              <w:tc>
                <w:tcPr>
                  <w:tcW w:w="959" w:type="pct"/>
                  <w:tcBorders>
                    <w:tl2br w:val="nil"/>
                    <w:tr2bl w:val="nil"/>
                  </w:tcBorders>
                  <w:vAlign w:val="center"/>
                </w:tcPr>
                <w:p>
                  <w:pPr>
                    <w:adjustRightInd w:val="0"/>
                    <w:jc w:val="center"/>
                    <w:rPr>
                      <w:rFonts w:cs="Times New Roman"/>
                      <w:szCs w:val="21"/>
                    </w:rPr>
                  </w:pPr>
                  <w:r>
                    <w:rPr>
                      <w:rFonts w:cs="Times New Roman"/>
                      <w:szCs w:val="21"/>
                    </w:rPr>
                    <w:t>项目北面厂界外1m</w:t>
                  </w:r>
                </w:p>
              </w:tc>
              <w:tc>
                <w:tcPr>
                  <w:tcW w:w="400" w:type="pct"/>
                  <w:tcBorders>
                    <w:tl2br w:val="nil"/>
                    <w:tr2bl w:val="nil"/>
                  </w:tcBorders>
                  <w:vAlign w:val="center"/>
                </w:tcPr>
                <w:p>
                  <w:pPr>
                    <w:adjustRightInd w:val="0"/>
                    <w:jc w:val="center"/>
                    <w:rPr>
                      <w:rFonts w:cs="Times New Roman"/>
                      <w:szCs w:val="21"/>
                    </w:rPr>
                  </w:pPr>
                  <w:r>
                    <w:rPr>
                      <w:rFonts w:cs="Times New Roman"/>
                      <w:szCs w:val="21"/>
                    </w:rPr>
                    <w:t>50.6</w:t>
                  </w:r>
                </w:p>
              </w:tc>
              <w:tc>
                <w:tcPr>
                  <w:tcW w:w="401" w:type="pct"/>
                  <w:tcBorders>
                    <w:tl2br w:val="nil"/>
                    <w:tr2bl w:val="nil"/>
                  </w:tcBorders>
                  <w:vAlign w:val="center"/>
                </w:tcPr>
                <w:p>
                  <w:pPr>
                    <w:adjustRightInd w:val="0"/>
                    <w:jc w:val="center"/>
                    <w:rPr>
                      <w:rFonts w:cs="Times New Roman"/>
                      <w:szCs w:val="21"/>
                    </w:rPr>
                  </w:pPr>
                  <w:r>
                    <w:rPr>
                      <w:rFonts w:cs="Times New Roman"/>
                      <w:szCs w:val="21"/>
                    </w:rPr>
                    <w:t>50.6</w:t>
                  </w:r>
                </w:p>
              </w:tc>
              <w:tc>
                <w:tcPr>
                  <w:tcW w:w="400" w:type="pct"/>
                  <w:tcBorders>
                    <w:tl2br w:val="nil"/>
                    <w:tr2bl w:val="nil"/>
                  </w:tcBorders>
                  <w:vAlign w:val="center"/>
                </w:tcPr>
                <w:p>
                  <w:pPr>
                    <w:snapToGrid w:val="0"/>
                    <w:jc w:val="center"/>
                    <w:rPr>
                      <w:rFonts w:cs="Times New Roman"/>
                      <w:bCs/>
                      <w:szCs w:val="21"/>
                    </w:rPr>
                  </w:pPr>
                  <w:r>
                    <w:rPr>
                      <w:rFonts w:cs="Times New Roman"/>
                      <w:bCs/>
                      <w:szCs w:val="21"/>
                    </w:rPr>
                    <w:t>55.0</w:t>
                  </w:r>
                </w:p>
              </w:tc>
              <w:tc>
                <w:tcPr>
                  <w:tcW w:w="401" w:type="pct"/>
                  <w:tcBorders>
                    <w:tl2br w:val="nil"/>
                    <w:tr2bl w:val="nil"/>
                  </w:tcBorders>
                  <w:vAlign w:val="center"/>
                </w:tcPr>
                <w:p>
                  <w:pPr>
                    <w:snapToGrid w:val="0"/>
                    <w:jc w:val="center"/>
                    <w:rPr>
                      <w:rFonts w:cs="Times New Roman"/>
                      <w:bCs/>
                      <w:szCs w:val="21"/>
                    </w:rPr>
                  </w:pPr>
                  <w:r>
                    <w:rPr>
                      <w:rFonts w:cs="Times New Roman"/>
                      <w:bCs/>
                      <w:szCs w:val="21"/>
                    </w:rPr>
                    <w:t>45.0</w:t>
                  </w:r>
                </w:p>
              </w:tc>
              <w:tc>
                <w:tcPr>
                  <w:tcW w:w="400" w:type="pct"/>
                  <w:tcBorders>
                    <w:tl2br w:val="nil"/>
                    <w:tr2bl w:val="nil"/>
                  </w:tcBorders>
                  <w:vAlign w:val="center"/>
                </w:tcPr>
                <w:p>
                  <w:pPr>
                    <w:adjustRightInd w:val="0"/>
                    <w:jc w:val="center"/>
                    <w:rPr>
                      <w:rFonts w:cs="Times New Roman"/>
                      <w:szCs w:val="21"/>
                    </w:rPr>
                  </w:pPr>
                  <w:r>
                    <w:rPr>
                      <w:rFonts w:cs="Times New Roman"/>
                      <w:szCs w:val="21"/>
                    </w:rPr>
                    <w:t>56.</w:t>
                  </w:r>
                  <w:r>
                    <w:rPr>
                      <w:rFonts w:hint="eastAsia" w:cs="Times New Roman"/>
                      <w:szCs w:val="21"/>
                    </w:rPr>
                    <w:t>4</w:t>
                  </w:r>
                </w:p>
              </w:tc>
              <w:tc>
                <w:tcPr>
                  <w:tcW w:w="401" w:type="pct"/>
                  <w:tcBorders>
                    <w:tl2br w:val="nil"/>
                    <w:tr2bl w:val="nil"/>
                  </w:tcBorders>
                  <w:vAlign w:val="center"/>
                </w:tcPr>
                <w:p>
                  <w:pPr>
                    <w:adjustRightInd w:val="0"/>
                    <w:jc w:val="center"/>
                    <w:rPr>
                      <w:rFonts w:cs="Times New Roman"/>
                      <w:szCs w:val="21"/>
                    </w:rPr>
                  </w:pPr>
                  <w:r>
                    <w:rPr>
                      <w:rFonts w:cs="Times New Roman"/>
                      <w:szCs w:val="21"/>
                    </w:rPr>
                    <w:t>51.</w:t>
                  </w:r>
                  <w:r>
                    <w:rPr>
                      <w:rFonts w:hint="eastAsia" w:cs="Times New Roman"/>
                      <w:szCs w:val="21"/>
                    </w:rPr>
                    <w:t>7</w:t>
                  </w:r>
                </w:p>
              </w:tc>
              <w:tc>
                <w:tcPr>
                  <w:tcW w:w="400" w:type="pct"/>
                  <w:tcBorders>
                    <w:tl2br w:val="nil"/>
                    <w:tr2bl w:val="nil"/>
                  </w:tcBorders>
                  <w:vAlign w:val="center"/>
                </w:tcPr>
                <w:p>
                  <w:pPr>
                    <w:jc w:val="center"/>
                    <w:rPr>
                      <w:rFonts w:cs="Times New Roman"/>
                      <w:szCs w:val="21"/>
                    </w:rPr>
                  </w:pPr>
                  <w:r>
                    <w:rPr>
                      <w:rFonts w:cs="Times New Roman"/>
                      <w:szCs w:val="21"/>
                    </w:rPr>
                    <w:t>65</w:t>
                  </w:r>
                </w:p>
              </w:tc>
              <w:tc>
                <w:tcPr>
                  <w:tcW w:w="401" w:type="pct"/>
                  <w:tcBorders>
                    <w:tl2br w:val="nil"/>
                    <w:tr2bl w:val="nil"/>
                  </w:tcBorders>
                  <w:vAlign w:val="center"/>
                </w:tcPr>
                <w:p>
                  <w:pPr>
                    <w:jc w:val="center"/>
                    <w:rPr>
                      <w:rFonts w:cs="Times New Roman"/>
                      <w:szCs w:val="21"/>
                    </w:rPr>
                  </w:pPr>
                  <w:r>
                    <w:rPr>
                      <w:rFonts w:cs="Times New Roman"/>
                      <w:szCs w:val="21"/>
                    </w:rPr>
                    <w:t>55</w:t>
                  </w:r>
                </w:p>
              </w:tc>
              <w:tc>
                <w:tcPr>
                  <w:tcW w:w="431" w:type="pct"/>
                  <w:tcBorders>
                    <w:tl2br w:val="nil"/>
                    <w:tr2bl w:val="nil"/>
                  </w:tcBorders>
                  <w:vAlign w:val="center"/>
                </w:tcPr>
                <w:p>
                  <w:pPr>
                    <w:jc w:val="center"/>
                    <w:rPr>
                      <w:rFonts w:cs="Times New Roman"/>
                      <w:szCs w:val="21"/>
                    </w:rPr>
                  </w:pPr>
                  <w:r>
                    <w:rPr>
                      <w:rFonts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jc w:val="center"/>
                    <w:rPr>
                      <w:rFonts w:cs="Times New Roman"/>
                      <w:szCs w:val="21"/>
                    </w:rPr>
                  </w:pPr>
                  <w:r>
                    <w:rPr>
                      <w:rFonts w:cs="Times New Roman"/>
                      <w:szCs w:val="21"/>
                    </w:rPr>
                    <w:t>2#</w:t>
                  </w:r>
                </w:p>
              </w:tc>
              <w:tc>
                <w:tcPr>
                  <w:tcW w:w="959" w:type="pct"/>
                  <w:tcBorders>
                    <w:tl2br w:val="nil"/>
                    <w:tr2bl w:val="nil"/>
                  </w:tcBorders>
                  <w:vAlign w:val="center"/>
                </w:tcPr>
                <w:p>
                  <w:pPr>
                    <w:adjustRightInd w:val="0"/>
                    <w:jc w:val="center"/>
                    <w:rPr>
                      <w:rFonts w:cs="Times New Roman"/>
                      <w:szCs w:val="21"/>
                    </w:rPr>
                  </w:pPr>
                  <w:r>
                    <w:rPr>
                      <w:rFonts w:cs="Times New Roman"/>
                      <w:szCs w:val="21"/>
                    </w:rPr>
                    <w:t>项目东面厂界外1m</w:t>
                  </w:r>
                </w:p>
              </w:tc>
              <w:tc>
                <w:tcPr>
                  <w:tcW w:w="400" w:type="pct"/>
                  <w:tcBorders>
                    <w:tl2br w:val="nil"/>
                    <w:tr2bl w:val="nil"/>
                  </w:tcBorders>
                  <w:vAlign w:val="center"/>
                </w:tcPr>
                <w:p>
                  <w:pPr>
                    <w:adjustRightInd w:val="0"/>
                    <w:jc w:val="center"/>
                    <w:rPr>
                      <w:rFonts w:cs="Times New Roman"/>
                      <w:szCs w:val="21"/>
                    </w:rPr>
                  </w:pPr>
                  <w:r>
                    <w:rPr>
                      <w:rFonts w:cs="Times New Roman"/>
                      <w:szCs w:val="21"/>
                    </w:rPr>
                    <w:t>39.</w:t>
                  </w:r>
                  <w:r>
                    <w:rPr>
                      <w:rFonts w:hint="eastAsia" w:cs="Times New Roman"/>
                      <w:szCs w:val="21"/>
                    </w:rPr>
                    <w:t>7</w:t>
                  </w:r>
                </w:p>
              </w:tc>
              <w:tc>
                <w:tcPr>
                  <w:tcW w:w="401" w:type="pct"/>
                  <w:tcBorders>
                    <w:tl2br w:val="nil"/>
                    <w:tr2bl w:val="nil"/>
                  </w:tcBorders>
                  <w:vAlign w:val="center"/>
                </w:tcPr>
                <w:p>
                  <w:pPr>
                    <w:adjustRightInd w:val="0"/>
                    <w:jc w:val="center"/>
                    <w:rPr>
                      <w:rFonts w:cs="Times New Roman"/>
                      <w:szCs w:val="21"/>
                    </w:rPr>
                  </w:pPr>
                  <w:r>
                    <w:rPr>
                      <w:rFonts w:cs="Times New Roman"/>
                      <w:szCs w:val="21"/>
                    </w:rPr>
                    <w:t>39.</w:t>
                  </w:r>
                  <w:r>
                    <w:rPr>
                      <w:rFonts w:hint="eastAsia" w:cs="Times New Roman"/>
                      <w:szCs w:val="21"/>
                    </w:rPr>
                    <w:t>7</w:t>
                  </w:r>
                </w:p>
              </w:tc>
              <w:tc>
                <w:tcPr>
                  <w:tcW w:w="400" w:type="pct"/>
                  <w:tcBorders>
                    <w:tl2br w:val="nil"/>
                    <w:tr2bl w:val="nil"/>
                  </w:tcBorders>
                  <w:vAlign w:val="center"/>
                </w:tcPr>
                <w:p>
                  <w:pPr>
                    <w:snapToGrid w:val="0"/>
                    <w:jc w:val="center"/>
                    <w:rPr>
                      <w:rFonts w:cs="Times New Roman"/>
                      <w:bCs/>
                      <w:szCs w:val="21"/>
                    </w:rPr>
                  </w:pPr>
                  <w:r>
                    <w:rPr>
                      <w:rFonts w:cs="Times New Roman"/>
                      <w:bCs/>
                      <w:szCs w:val="21"/>
                    </w:rPr>
                    <w:t>56.0</w:t>
                  </w:r>
                </w:p>
              </w:tc>
              <w:tc>
                <w:tcPr>
                  <w:tcW w:w="401" w:type="pct"/>
                  <w:tcBorders>
                    <w:tl2br w:val="nil"/>
                    <w:tr2bl w:val="nil"/>
                  </w:tcBorders>
                  <w:vAlign w:val="center"/>
                </w:tcPr>
                <w:p>
                  <w:pPr>
                    <w:snapToGrid w:val="0"/>
                    <w:jc w:val="center"/>
                    <w:rPr>
                      <w:rFonts w:cs="Times New Roman"/>
                      <w:bCs/>
                      <w:szCs w:val="21"/>
                    </w:rPr>
                  </w:pPr>
                  <w:r>
                    <w:rPr>
                      <w:rFonts w:cs="Times New Roman"/>
                      <w:bCs/>
                      <w:szCs w:val="21"/>
                    </w:rPr>
                    <w:t>44.0</w:t>
                  </w:r>
                </w:p>
              </w:tc>
              <w:tc>
                <w:tcPr>
                  <w:tcW w:w="400" w:type="pct"/>
                  <w:tcBorders>
                    <w:tl2br w:val="nil"/>
                    <w:tr2bl w:val="nil"/>
                  </w:tcBorders>
                  <w:vAlign w:val="center"/>
                </w:tcPr>
                <w:p>
                  <w:pPr>
                    <w:adjustRightInd w:val="0"/>
                    <w:jc w:val="center"/>
                    <w:rPr>
                      <w:rFonts w:cs="Times New Roman"/>
                      <w:szCs w:val="21"/>
                    </w:rPr>
                  </w:pPr>
                  <w:r>
                    <w:rPr>
                      <w:rFonts w:cs="Times New Roman"/>
                      <w:szCs w:val="21"/>
                    </w:rPr>
                    <w:t>56.1</w:t>
                  </w:r>
                </w:p>
              </w:tc>
              <w:tc>
                <w:tcPr>
                  <w:tcW w:w="401" w:type="pct"/>
                  <w:tcBorders>
                    <w:tl2br w:val="nil"/>
                    <w:tr2bl w:val="nil"/>
                  </w:tcBorders>
                  <w:vAlign w:val="center"/>
                </w:tcPr>
                <w:p>
                  <w:pPr>
                    <w:adjustRightInd w:val="0"/>
                    <w:jc w:val="center"/>
                    <w:rPr>
                      <w:rFonts w:cs="Times New Roman"/>
                      <w:szCs w:val="21"/>
                    </w:rPr>
                  </w:pPr>
                  <w:r>
                    <w:rPr>
                      <w:rFonts w:cs="Times New Roman"/>
                      <w:szCs w:val="21"/>
                    </w:rPr>
                    <w:t>45.</w:t>
                  </w:r>
                  <w:r>
                    <w:rPr>
                      <w:rFonts w:hint="eastAsia" w:cs="Times New Roman"/>
                      <w:szCs w:val="21"/>
                    </w:rPr>
                    <w:t>4</w:t>
                  </w:r>
                </w:p>
              </w:tc>
              <w:tc>
                <w:tcPr>
                  <w:tcW w:w="400" w:type="pct"/>
                  <w:tcBorders>
                    <w:tl2br w:val="nil"/>
                    <w:tr2bl w:val="nil"/>
                  </w:tcBorders>
                  <w:vAlign w:val="center"/>
                </w:tcPr>
                <w:p>
                  <w:pPr>
                    <w:jc w:val="center"/>
                    <w:rPr>
                      <w:rFonts w:cs="Times New Roman"/>
                      <w:szCs w:val="21"/>
                    </w:rPr>
                  </w:pPr>
                  <w:r>
                    <w:rPr>
                      <w:rFonts w:cs="Times New Roman"/>
                      <w:szCs w:val="21"/>
                    </w:rPr>
                    <w:t>65</w:t>
                  </w:r>
                </w:p>
              </w:tc>
              <w:tc>
                <w:tcPr>
                  <w:tcW w:w="401" w:type="pct"/>
                  <w:tcBorders>
                    <w:tl2br w:val="nil"/>
                    <w:tr2bl w:val="nil"/>
                  </w:tcBorders>
                  <w:vAlign w:val="center"/>
                </w:tcPr>
                <w:p>
                  <w:pPr>
                    <w:jc w:val="center"/>
                    <w:rPr>
                      <w:rFonts w:cs="Times New Roman"/>
                      <w:szCs w:val="21"/>
                    </w:rPr>
                  </w:pPr>
                  <w:r>
                    <w:rPr>
                      <w:rFonts w:cs="Times New Roman"/>
                      <w:szCs w:val="21"/>
                    </w:rPr>
                    <w:t>55</w:t>
                  </w:r>
                </w:p>
              </w:tc>
              <w:tc>
                <w:tcPr>
                  <w:tcW w:w="431" w:type="pct"/>
                  <w:tcBorders>
                    <w:tl2br w:val="nil"/>
                    <w:tr2bl w:val="nil"/>
                  </w:tcBorders>
                  <w:vAlign w:val="center"/>
                </w:tcPr>
                <w:p>
                  <w:pPr>
                    <w:jc w:val="center"/>
                    <w:rPr>
                      <w:rFonts w:cs="Times New Roman"/>
                      <w:szCs w:val="21"/>
                    </w:rPr>
                  </w:pPr>
                  <w:r>
                    <w:rPr>
                      <w:rFonts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jc w:val="center"/>
                    <w:rPr>
                      <w:rFonts w:cs="Times New Roman"/>
                      <w:szCs w:val="21"/>
                    </w:rPr>
                  </w:pPr>
                  <w:r>
                    <w:rPr>
                      <w:rFonts w:cs="Times New Roman"/>
                      <w:szCs w:val="21"/>
                    </w:rPr>
                    <w:t>3#</w:t>
                  </w:r>
                </w:p>
              </w:tc>
              <w:tc>
                <w:tcPr>
                  <w:tcW w:w="959" w:type="pct"/>
                  <w:tcBorders>
                    <w:tl2br w:val="nil"/>
                    <w:tr2bl w:val="nil"/>
                  </w:tcBorders>
                  <w:vAlign w:val="center"/>
                </w:tcPr>
                <w:p>
                  <w:pPr>
                    <w:adjustRightInd w:val="0"/>
                    <w:jc w:val="center"/>
                    <w:rPr>
                      <w:rFonts w:cs="Times New Roman"/>
                      <w:szCs w:val="21"/>
                    </w:rPr>
                  </w:pPr>
                  <w:r>
                    <w:rPr>
                      <w:rFonts w:cs="Times New Roman"/>
                      <w:szCs w:val="21"/>
                    </w:rPr>
                    <w:t>项目南面厂界外1m</w:t>
                  </w:r>
                </w:p>
              </w:tc>
              <w:tc>
                <w:tcPr>
                  <w:tcW w:w="400" w:type="pct"/>
                  <w:tcBorders>
                    <w:tl2br w:val="nil"/>
                    <w:tr2bl w:val="nil"/>
                  </w:tcBorders>
                  <w:vAlign w:val="center"/>
                </w:tcPr>
                <w:p>
                  <w:pPr>
                    <w:adjustRightInd w:val="0"/>
                    <w:jc w:val="center"/>
                    <w:rPr>
                      <w:rFonts w:cs="Times New Roman"/>
                      <w:szCs w:val="21"/>
                    </w:rPr>
                  </w:pPr>
                  <w:r>
                    <w:rPr>
                      <w:rFonts w:cs="Times New Roman"/>
                      <w:szCs w:val="21"/>
                    </w:rPr>
                    <w:t>44.0</w:t>
                  </w:r>
                </w:p>
              </w:tc>
              <w:tc>
                <w:tcPr>
                  <w:tcW w:w="401" w:type="pct"/>
                  <w:tcBorders>
                    <w:tl2br w:val="nil"/>
                    <w:tr2bl w:val="nil"/>
                  </w:tcBorders>
                  <w:vAlign w:val="center"/>
                </w:tcPr>
                <w:p>
                  <w:pPr>
                    <w:adjustRightInd w:val="0"/>
                    <w:jc w:val="center"/>
                    <w:rPr>
                      <w:rFonts w:cs="Times New Roman"/>
                      <w:szCs w:val="21"/>
                    </w:rPr>
                  </w:pPr>
                  <w:r>
                    <w:rPr>
                      <w:rFonts w:cs="Times New Roman"/>
                      <w:szCs w:val="21"/>
                    </w:rPr>
                    <w:t>44.0</w:t>
                  </w:r>
                </w:p>
              </w:tc>
              <w:tc>
                <w:tcPr>
                  <w:tcW w:w="400" w:type="pct"/>
                  <w:tcBorders>
                    <w:tl2br w:val="nil"/>
                    <w:tr2bl w:val="nil"/>
                  </w:tcBorders>
                  <w:vAlign w:val="center"/>
                </w:tcPr>
                <w:p>
                  <w:pPr>
                    <w:snapToGrid w:val="0"/>
                    <w:jc w:val="center"/>
                    <w:rPr>
                      <w:rFonts w:cs="Times New Roman"/>
                      <w:bCs/>
                      <w:szCs w:val="21"/>
                    </w:rPr>
                  </w:pPr>
                  <w:r>
                    <w:rPr>
                      <w:rFonts w:cs="Times New Roman"/>
                      <w:bCs/>
                      <w:szCs w:val="21"/>
                    </w:rPr>
                    <w:t>55.0</w:t>
                  </w:r>
                </w:p>
              </w:tc>
              <w:tc>
                <w:tcPr>
                  <w:tcW w:w="401" w:type="pct"/>
                  <w:tcBorders>
                    <w:tl2br w:val="nil"/>
                    <w:tr2bl w:val="nil"/>
                  </w:tcBorders>
                  <w:vAlign w:val="center"/>
                </w:tcPr>
                <w:p>
                  <w:pPr>
                    <w:snapToGrid w:val="0"/>
                    <w:jc w:val="center"/>
                    <w:rPr>
                      <w:rFonts w:cs="Times New Roman"/>
                      <w:bCs/>
                      <w:szCs w:val="21"/>
                    </w:rPr>
                  </w:pPr>
                  <w:r>
                    <w:rPr>
                      <w:rFonts w:cs="Times New Roman"/>
                      <w:bCs/>
                      <w:szCs w:val="21"/>
                    </w:rPr>
                    <w:t>45.0</w:t>
                  </w:r>
                </w:p>
              </w:tc>
              <w:tc>
                <w:tcPr>
                  <w:tcW w:w="400" w:type="pct"/>
                  <w:tcBorders>
                    <w:tl2br w:val="nil"/>
                    <w:tr2bl w:val="nil"/>
                  </w:tcBorders>
                  <w:vAlign w:val="center"/>
                </w:tcPr>
                <w:p>
                  <w:pPr>
                    <w:adjustRightInd w:val="0"/>
                    <w:jc w:val="center"/>
                    <w:rPr>
                      <w:rFonts w:cs="Times New Roman"/>
                      <w:szCs w:val="21"/>
                    </w:rPr>
                  </w:pPr>
                  <w:r>
                    <w:rPr>
                      <w:rFonts w:cs="Times New Roman"/>
                      <w:szCs w:val="21"/>
                    </w:rPr>
                    <w:t>55.3</w:t>
                  </w:r>
                </w:p>
              </w:tc>
              <w:tc>
                <w:tcPr>
                  <w:tcW w:w="401" w:type="pct"/>
                  <w:tcBorders>
                    <w:tl2br w:val="nil"/>
                    <w:tr2bl w:val="nil"/>
                  </w:tcBorders>
                  <w:vAlign w:val="center"/>
                </w:tcPr>
                <w:p>
                  <w:pPr>
                    <w:adjustRightInd w:val="0"/>
                    <w:jc w:val="center"/>
                    <w:rPr>
                      <w:rFonts w:cs="Times New Roman"/>
                      <w:szCs w:val="21"/>
                    </w:rPr>
                  </w:pPr>
                  <w:r>
                    <w:rPr>
                      <w:rFonts w:cs="Times New Roman"/>
                      <w:szCs w:val="21"/>
                    </w:rPr>
                    <w:t>47.</w:t>
                  </w:r>
                  <w:r>
                    <w:rPr>
                      <w:rFonts w:hint="eastAsia" w:cs="Times New Roman"/>
                      <w:szCs w:val="21"/>
                    </w:rPr>
                    <w:t>6</w:t>
                  </w:r>
                </w:p>
              </w:tc>
              <w:tc>
                <w:tcPr>
                  <w:tcW w:w="400" w:type="pct"/>
                  <w:tcBorders>
                    <w:tl2br w:val="nil"/>
                    <w:tr2bl w:val="nil"/>
                  </w:tcBorders>
                  <w:vAlign w:val="center"/>
                </w:tcPr>
                <w:p>
                  <w:pPr>
                    <w:jc w:val="center"/>
                    <w:rPr>
                      <w:rFonts w:cs="Times New Roman"/>
                      <w:szCs w:val="21"/>
                    </w:rPr>
                  </w:pPr>
                  <w:r>
                    <w:rPr>
                      <w:rFonts w:cs="Times New Roman"/>
                      <w:szCs w:val="21"/>
                    </w:rPr>
                    <w:t>65</w:t>
                  </w:r>
                </w:p>
              </w:tc>
              <w:tc>
                <w:tcPr>
                  <w:tcW w:w="401" w:type="pct"/>
                  <w:tcBorders>
                    <w:tl2br w:val="nil"/>
                    <w:tr2bl w:val="nil"/>
                  </w:tcBorders>
                  <w:vAlign w:val="center"/>
                </w:tcPr>
                <w:p>
                  <w:pPr>
                    <w:jc w:val="center"/>
                    <w:rPr>
                      <w:rFonts w:cs="Times New Roman"/>
                      <w:szCs w:val="21"/>
                    </w:rPr>
                  </w:pPr>
                  <w:r>
                    <w:rPr>
                      <w:rFonts w:cs="Times New Roman"/>
                      <w:szCs w:val="21"/>
                    </w:rPr>
                    <w:t>55</w:t>
                  </w:r>
                </w:p>
              </w:tc>
              <w:tc>
                <w:tcPr>
                  <w:tcW w:w="431" w:type="pct"/>
                  <w:tcBorders>
                    <w:tl2br w:val="nil"/>
                    <w:tr2bl w:val="nil"/>
                  </w:tcBorders>
                  <w:vAlign w:val="center"/>
                </w:tcPr>
                <w:p>
                  <w:pPr>
                    <w:jc w:val="center"/>
                    <w:rPr>
                      <w:rFonts w:cs="Times New Roman"/>
                      <w:szCs w:val="21"/>
                    </w:rPr>
                  </w:pPr>
                  <w:r>
                    <w:rPr>
                      <w:rFonts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1" w:type="pct"/>
                  <w:tcBorders>
                    <w:tl2br w:val="nil"/>
                    <w:tr2bl w:val="nil"/>
                  </w:tcBorders>
                  <w:vAlign w:val="center"/>
                </w:tcPr>
                <w:p>
                  <w:pPr>
                    <w:jc w:val="center"/>
                    <w:rPr>
                      <w:rFonts w:cs="Times New Roman"/>
                      <w:szCs w:val="21"/>
                    </w:rPr>
                  </w:pPr>
                  <w:r>
                    <w:rPr>
                      <w:rFonts w:cs="Times New Roman"/>
                      <w:szCs w:val="21"/>
                    </w:rPr>
                    <w:t>4#</w:t>
                  </w:r>
                </w:p>
              </w:tc>
              <w:tc>
                <w:tcPr>
                  <w:tcW w:w="959" w:type="pct"/>
                  <w:tcBorders>
                    <w:tl2br w:val="nil"/>
                    <w:tr2bl w:val="nil"/>
                  </w:tcBorders>
                  <w:vAlign w:val="center"/>
                </w:tcPr>
                <w:p>
                  <w:pPr>
                    <w:adjustRightInd w:val="0"/>
                    <w:jc w:val="center"/>
                    <w:rPr>
                      <w:rFonts w:cs="Times New Roman"/>
                      <w:szCs w:val="21"/>
                    </w:rPr>
                  </w:pPr>
                  <w:r>
                    <w:rPr>
                      <w:rFonts w:cs="Times New Roman"/>
                      <w:szCs w:val="21"/>
                    </w:rPr>
                    <w:t>项目西面厂界外1m</w:t>
                  </w:r>
                </w:p>
              </w:tc>
              <w:tc>
                <w:tcPr>
                  <w:tcW w:w="400" w:type="pct"/>
                  <w:tcBorders>
                    <w:tl2br w:val="nil"/>
                    <w:tr2bl w:val="nil"/>
                  </w:tcBorders>
                  <w:vAlign w:val="center"/>
                </w:tcPr>
                <w:p>
                  <w:pPr>
                    <w:adjustRightInd w:val="0"/>
                    <w:jc w:val="center"/>
                    <w:rPr>
                      <w:rFonts w:cs="Times New Roman"/>
                      <w:szCs w:val="21"/>
                    </w:rPr>
                  </w:pPr>
                  <w:r>
                    <w:rPr>
                      <w:rFonts w:cs="Times New Roman"/>
                      <w:szCs w:val="21"/>
                    </w:rPr>
                    <w:t>53.2</w:t>
                  </w:r>
                </w:p>
              </w:tc>
              <w:tc>
                <w:tcPr>
                  <w:tcW w:w="401" w:type="pct"/>
                  <w:tcBorders>
                    <w:tl2br w:val="nil"/>
                    <w:tr2bl w:val="nil"/>
                  </w:tcBorders>
                  <w:vAlign w:val="center"/>
                </w:tcPr>
                <w:p>
                  <w:pPr>
                    <w:adjustRightInd w:val="0"/>
                    <w:jc w:val="center"/>
                    <w:rPr>
                      <w:rFonts w:cs="Times New Roman"/>
                      <w:szCs w:val="21"/>
                    </w:rPr>
                  </w:pPr>
                  <w:r>
                    <w:rPr>
                      <w:rFonts w:cs="Times New Roman"/>
                      <w:szCs w:val="21"/>
                    </w:rPr>
                    <w:t>53.2</w:t>
                  </w:r>
                </w:p>
              </w:tc>
              <w:tc>
                <w:tcPr>
                  <w:tcW w:w="400" w:type="pct"/>
                  <w:tcBorders>
                    <w:tl2br w:val="nil"/>
                    <w:tr2bl w:val="nil"/>
                  </w:tcBorders>
                  <w:vAlign w:val="center"/>
                </w:tcPr>
                <w:p>
                  <w:pPr>
                    <w:snapToGrid w:val="0"/>
                    <w:jc w:val="center"/>
                    <w:rPr>
                      <w:rFonts w:cs="Times New Roman"/>
                      <w:bCs/>
                      <w:szCs w:val="21"/>
                    </w:rPr>
                  </w:pPr>
                  <w:r>
                    <w:rPr>
                      <w:rFonts w:cs="Times New Roman"/>
                      <w:bCs/>
                      <w:szCs w:val="21"/>
                    </w:rPr>
                    <w:t>58.0</w:t>
                  </w:r>
                </w:p>
              </w:tc>
              <w:tc>
                <w:tcPr>
                  <w:tcW w:w="401" w:type="pct"/>
                  <w:tcBorders>
                    <w:tl2br w:val="nil"/>
                    <w:tr2bl w:val="nil"/>
                  </w:tcBorders>
                  <w:vAlign w:val="center"/>
                </w:tcPr>
                <w:p>
                  <w:pPr>
                    <w:snapToGrid w:val="0"/>
                    <w:jc w:val="center"/>
                    <w:rPr>
                      <w:rFonts w:cs="Times New Roman"/>
                      <w:bCs/>
                      <w:szCs w:val="21"/>
                    </w:rPr>
                  </w:pPr>
                  <w:r>
                    <w:rPr>
                      <w:rFonts w:cs="Times New Roman"/>
                      <w:bCs/>
                      <w:szCs w:val="21"/>
                    </w:rPr>
                    <w:t>48.0</w:t>
                  </w:r>
                </w:p>
              </w:tc>
              <w:tc>
                <w:tcPr>
                  <w:tcW w:w="400" w:type="pct"/>
                  <w:tcBorders>
                    <w:tl2br w:val="nil"/>
                    <w:tr2bl w:val="nil"/>
                  </w:tcBorders>
                  <w:vAlign w:val="center"/>
                </w:tcPr>
                <w:p>
                  <w:pPr>
                    <w:adjustRightInd w:val="0"/>
                    <w:jc w:val="center"/>
                    <w:rPr>
                      <w:rFonts w:cs="Times New Roman"/>
                      <w:szCs w:val="21"/>
                    </w:rPr>
                  </w:pPr>
                  <w:r>
                    <w:rPr>
                      <w:rFonts w:cs="Times New Roman"/>
                      <w:szCs w:val="21"/>
                    </w:rPr>
                    <w:t>59.2</w:t>
                  </w:r>
                </w:p>
              </w:tc>
              <w:tc>
                <w:tcPr>
                  <w:tcW w:w="401" w:type="pct"/>
                  <w:tcBorders>
                    <w:tl2br w:val="nil"/>
                    <w:tr2bl w:val="nil"/>
                  </w:tcBorders>
                  <w:vAlign w:val="center"/>
                </w:tcPr>
                <w:p>
                  <w:pPr>
                    <w:adjustRightInd w:val="0"/>
                    <w:jc w:val="center"/>
                    <w:rPr>
                      <w:rFonts w:cs="Times New Roman"/>
                      <w:szCs w:val="21"/>
                    </w:rPr>
                  </w:pPr>
                  <w:r>
                    <w:rPr>
                      <w:rFonts w:cs="Times New Roman"/>
                      <w:szCs w:val="21"/>
                    </w:rPr>
                    <w:t>54.</w:t>
                  </w:r>
                  <w:r>
                    <w:rPr>
                      <w:rFonts w:hint="eastAsia" w:cs="Times New Roman"/>
                      <w:szCs w:val="21"/>
                    </w:rPr>
                    <w:t>4</w:t>
                  </w:r>
                </w:p>
              </w:tc>
              <w:tc>
                <w:tcPr>
                  <w:tcW w:w="400" w:type="pct"/>
                  <w:tcBorders>
                    <w:tl2br w:val="nil"/>
                    <w:tr2bl w:val="nil"/>
                  </w:tcBorders>
                  <w:vAlign w:val="center"/>
                </w:tcPr>
                <w:p>
                  <w:pPr>
                    <w:jc w:val="center"/>
                    <w:rPr>
                      <w:rFonts w:cs="Times New Roman"/>
                      <w:szCs w:val="21"/>
                    </w:rPr>
                  </w:pPr>
                  <w:r>
                    <w:rPr>
                      <w:rFonts w:cs="Times New Roman"/>
                      <w:szCs w:val="21"/>
                    </w:rPr>
                    <w:t>65</w:t>
                  </w:r>
                </w:p>
              </w:tc>
              <w:tc>
                <w:tcPr>
                  <w:tcW w:w="401" w:type="pct"/>
                  <w:tcBorders>
                    <w:tl2br w:val="nil"/>
                    <w:tr2bl w:val="nil"/>
                  </w:tcBorders>
                  <w:vAlign w:val="center"/>
                </w:tcPr>
                <w:p>
                  <w:pPr>
                    <w:jc w:val="center"/>
                    <w:rPr>
                      <w:rFonts w:cs="Times New Roman"/>
                      <w:szCs w:val="21"/>
                    </w:rPr>
                  </w:pPr>
                  <w:r>
                    <w:rPr>
                      <w:rFonts w:cs="Times New Roman"/>
                      <w:szCs w:val="21"/>
                    </w:rPr>
                    <w:t>55</w:t>
                  </w:r>
                </w:p>
              </w:tc>
              <w:tc>
                <w:tcPr>
                  <w:tcW w:w="431" w:type="pct"/>
                  <w:tcBorders>
                    <w:tl2br w:val="nil"/>
                    <w:tr2bl w:val="nil"/>
                  </w:tcBorders>
                  <w:vAlign w:val="center"/>
                </w:tcPr>
                <w:p>
                  <w:pPr>
                    <w:jc w:val="center"/>
                    <w:rPr>
                      <w:rFonts w:cs="Times New Roman"/>
                      <w:szCs w:val="21"/>
                    </w:rPr>
                  </w:pPr>
                  <w:r>
                    <w:rPr>
                      <w:rFonts w:cs="Times New Roman"/>
                      <w:szCs w:val="21"/>
                    </w:rPr>
                    <w:t>达标</w:t>
                  </w:r>
                </w:p>
              </w:tc>
            </w:tr>
          </w:tbl>
          <w:p>
            <w:pPr>
              <w:spacing w:line="360" w:lineRule="auto"/>
              <w:ind w:firstLine="480" w:firstLineChars="200"/>
              <w:rPr>
                <w:rFonts w:cs="Times New Roman"/>
                <w:sz w:val="24"/>
                <w:szCs w:val="24"/>
              </w:rPr>
            </w:pPr>
            <w:r>
              <w:rPr>
                <w:rFonts w:cs="Times New Roman"/>
                <w:sz w:val="24"/>
                <w:szCs w:val="24"/>
              </w:rPr>
              <w:t>由预测结果可知，营运期昼间和夜间厂界四周预测点噪声排放值均满足《工业企业厂界环境噪声排放标准》（GB12348-2008）3类标准，可实现达标排放。因此，本项目噪声不会对区域声环境造成影响。</w:t>
            </w:r>
          </w:p>
          <w:p>
            <w:pPr>
              <w:spacing w:line="360" w:lineRule="auto"/>
              <w:ind w:firstLine="361" w:firstLineChars="150"/>
              <w:rPr>
                <w:rFonts w:cs="Times New Roman"/>
                <w:b/>
                <w:sz w:val="24"/>
                <w:szCs w:val="24"/>
              </w:rPr>
            </w:pPr>
            <w:r>
              <w:rPr>
                <w:rFonts w:cs="Times New Roman"/>
                <w:b/>
                <w:sz w:val="24"/>
                <w:szCs w:val="24"/>
              </w:rPr>
              <w:t>（3）监测要求</w:t>
            </w:r>
          </w:p>
          <w:p>
            <w:pPr>
              <w:spacing w:line="360" w:lineRule="auto"/>
              <w:ind w:firstLine="480" w:firstLineChars="200"/>
              <w:rPr>
                <w:rFonts w:cs="Times New Roman"/>
                <w:sz w:val="24"/>
                <w:szCs w:val="24"/>
              </w:rPr>
            </w:pPr>
            <w:r>
              <w:rPr>
                <w:rFonts w:cs="Times New Roman"/>
                <w:sz w:val="24"/>
                <w:szCs w:val="24"/>
              </w:rPr>
              <w:t>本次环评根据《排污单位自行监测技术指南 总则》（HJ819-2017）和《排污许可证申请与核发技术规范陶瓷砖瓦工业》（HJ954-2018）提出项目生产运行阶段的污染源监测计划，详见下表：</w:t>
            </w:r>
          </w:p>
          <w:p>
            <w:pPr>
              <w:spacing w:line="360" w:lineRule="auto"/>
              <w:jc w:val="center"/>
              <w:rPr>
                <w:rFonts w:cs="Times New Roman"/>
                <w:b/>
                <w:bCs/>
                <w:sz w:val="24"/>
                <w:szCs w:val="24"/>
              </w:rPr>
            </w:pPr>
            <w:r>
              <w:rPr>
                <w:rFonts w:cs="Times New Roman"/>
                <w:b/>
                <w:bCs/>
                <w:sz w:val="24"/>
                <w:szCs w:val="24"/>
              </w:rPr>
              <w:t>表4-21  噪声监测方案</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2060"/>
              <w:gridCol w:w="1109"/>
              <w:gridCol w:w="3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tcBorders>
                    <w:tl2br w:val="nil"/>
                    <w:tr2bl w:val="nil"/>
                  </w:tcBorders>
                  <w:shd w:val="clear" w:color="auto" w:fill="auto"/>
                  <w:vAlign w:val="center"/>
                </w:tcPr>
                <w:p>
                  <w:pPr>
                    <w:jc w:val="center"/>
                    <w:rPr>
                      <w:rFonts w:cs="Times New Roman"/>
                      <w:b/>
                      <w:bCs/>
                      <w:szCs w:val="21"/>
                    </w:rPr>
                  </w:pPr>
                  <w:r>
                    <w:rPr>
                      <w:rFonts w:cs="Times New Roman"/>
                      <w:b/>
                      <w:bCs/>
                      <w:szCs w:val="21"/>
                    </w:rPr>
                    <w:t>监测点位</w:t>
                  </w:r>
                </w:p>
              </w:tc>
              <w:tc>
                <w:tcPr>
                  <w:tcW w:w="1189" w:type="pct"/>
                  <w:tcBorders>
                    <w:tl2br w:val="nil"/>
                    <w:tr2bl w:val="nil"/>
                  </w:tcBorders>
                  <w:shd w:val="clear" w:color="auto" w:fill="auto"/>
                  <w:vAlign w:val="center"/>
                </w:tcPr>
                <w:p>
                  <w:pPr>
                    <w:jc w:val="center"/>
                    <w:rPr>
                      <w:rFonts w:cs="Times New Roman"/>
                      <w:b/>
                      <w:bCs/>
                      <w:szCs w:val="21"/>
                    </w:rPr>
                  </w:pPr>
                  <w:r>
                    <w:rPr>
                      <w:rFonts w:cs="Times New Roman"/>
                      <w:b/>
                      <w:bCs/>
                      <w:szCs w:val="21"/>
                    </w:rPr>
                    <w:t>监测指标</w:t>
                  </w:r>
                </w:p>
              </w:tc>
              <w:tc>
                <w:tcPr>
                  <w:tcW w:w="640" w:type="pct"/>
                  <w:tcBorders>
                    <w:tl2br w:val="nil"/>
                    <w:tr2bl w:val="nil"/>
                  </w:tcBorders>
                  <w:shd w:val="clear" w:color="auto" w:fill="auto"/>
                  <w:vAlign w:val="center"/>
                </w:tcPr>
                <w:p>
                  <w:pPr>
                    <w:jc w:val="center"/>
                    <w:rPr>
                      <w:rFonts w:cs="Times New Roman"/>
                      <w:b/>
                      <w:bCs/>
                      <w:szCs w:val="21"/>
                    </w:rPr>
                  </w:pPr>
                  <w:r>
                    <w:rPr>
                      <w:rFonts w:cs="Times New Roman"/>
                      <w:b/>
                      <w:bCs/>
                      <w:szCs w:val="21"/>
                    </w:rPr>
                    <w:t>监测频次</w:t>
                  </w:r>
                </w:p>
              </w:tc>
              <w:tc>
                <w:tcPr>
                  <w:tcW w:w="2182" w:type="pct"/>
                  <w:tcBorders>
                    <w:tl2br w:val="nil"/>
                    <w:tr2bl w:val="nil"/>
                  </w:tcBorders>
                </w:tcPr>
                <w:p>
                  <w:pPr>
                    <w:jc w:val="center"/>
                    <w:rPr>
                      <w:rFonts w:cs="Times New Roman"/>
                      <w:b/>
                      <w:bCs/>
                      <w:szCs w:val="21"/>
                    </w:rPr>
                  </w:pPr>
                  <w:r>
                    <w:rPr>
                      <w:rFonts w:cs="Times New Roman"/>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8" w:type="pct"/>
                  <w:tcBorders>
                    <w:tl2br w:val="nil"/>
                    <w:tr2bl w:val="nil"/>
                  </w:tcBorders>
                  <w:shd w:val="clear" w:color="auto" w:fill="auto"/>
                  <w:vAlign w:val="center"/>
                </w:tcPr>
                <w:p>
                  <w:pPr>
                    <w:jc w:val="center"/>
                    <w:rPr>
                      <w:rFonts w:cs="Times New Roman"/>
                      <w:szCs w:val="21"/>
                    </w:rPr>
                  </w:pPr>
                  <w:r>
                    <w:rPr>
                      <w:rFonts w:cs="Times New Roman"/>
                      <w:szCs w:val="21"/>
                    </w:rPr>
                    <w:t>项目厂界四周（厂界外1m处）</w:t>
                  </w:r>
                </w:p>
              </w:tc>
              <w:tc>
                <w:tcPr>
                  <w:tcW w:w="1189" w:type="pct"/>
                  <w:tcBorders>
                    <w:tl2br w:val="nil"/>
                    <w:tr2bl w:val="nil"/>
                  </w:tcBorders>
                  <w:shd w:val="clear" w:color="auto" w:fill="auto"/>
                  <w:vAlign w:val="center"/>
                </w:tcPr>
                <w:p>
                  <w:pPr>
                    <w:jc w:val="center"/>
                    <w:rPr>
                      <w:rFonts w:cs="Times New Roman"/>
                      <w:szCs w:val="21"/>
                    </w:rPr>
                  </w:pPr>
                  <w:r>
                    <w:rPr>
                      <w:rFonts w:cs="Times New Roman"/>
                      <w:szCs w:val="21"/>
                    </w:rPr>
                    <w:t>昼夜等效连续 A 声级</w:t>
                  </w:r>
                </w:p>
              </w:tc>
              <w:tc>
                <w:tcPr>
                  <w:tcW w:w="640" w:type="pct"/>
                  <w:tcBorders>
                    <w:tl2br w:val="nil"/>
                    <w:tr2bl w:val="nil"/>
                  </w:tcBorders>
                  <w:shd w:val="clear" w:color="auto" w:fill="auto"/>
                  <w:vAlign w:val="center"/>
                </w:tcPr>
                <w:p>
                  <w:pPr>
                    <w:jc w:val="center"/>
                    <w:rPr>
                      <w:rFonts w:cs="Times New Roman"/>
                      <w:szCs w:val="21"/>
                    </w:rPr>
                  </w:pPr>
                  <w:r>
                    <w:rPr>
                      <w:rFonts w:cs="Times New Roman"/>
                      <w:szCs w:val="21"/>
                    </w:rPr>
                    <w:t>1季度/次</w:t>
                  </w:r>
                </w:p>
              </w:tc>
              <w:tc>
                <w:tcPr>
                  <w:tcW w:w="2182" w:type="pct"/>
                  <w:tcBorders>
                    <w:tl2br w:val="nil"/>
                    <w:tr2bl w:val="nil"/>
                  </w:tcBorders>
                  <w:vAlign w:val="center"/>
                </w:tcPr>
                <w:p>
                  <w:pPr>
                    <w:jc w:val="center"/>
                    <w:rPr>
                      <w:rFonts w:cs="Times New Roman"/>
                      <w:szCs w:val="21"/>
                    </w:rPr>
                  </w:pPr>
                  <w:r>
                    <w:rPr>
                      <w:rFonts w:cs="Times New Roman"/>
                      <w:szCs w:val="21"/>
                    </w:rPr>
                    <w:t>《工业企业厂界环境噪声排放标准》（GB12348-2008）3类标准</w:t>
                  </w:r>
                </w:p>
              </w:tc>
            </w:tr>
          </w:tbl>
          <w:p>
            <w:pPr>
              <w:spacing w:line="360" w:lineRule="auto"/>
              <w:ind w:firstLine="482" w:firstLineChars="200"/>
              <w:rPr>
                <w:rFonts w:cs="Times New Roman"/>
                <w:b/>
                <w:sz w:val="24"/>
                <w:szCs w:val="24"/>
              </w:rPr>
            </w:pPr>
            <w:r>
              <w:rPr>
                <w:rFonts w:cs="Times New Roman"/>
                <w:b/>
                <w:sz w:val="24"/>
                <w:szCs w:val="24"/>
              </w:rPr>
              <w:t>4、固体废物</w:t>
            </w:r>
          </w:p>
          <w:p>
            <w:pPr>
              <w:spacing w:line="360" w:lineRule="auto"/>
              <w:ind w:firstLine="480" w:firstLineChars="200"/>
              <w:rPr>
                <w:rFonts w:cs="Times New Roman"/>
                <w:sz w:val="24"/>
                <w:szCs w:val="24"/>
              </w:rPr>
            </w:pPr>
            <w:r>
              <w:rPr>
                <w:rFonts w:cs="Times New Roman"/>
                <w:sz w:val="24"/>
                <w:szCs w:val="24"/>
              </w:rPr>
              <w:t>本项目固体废物包含一般固体废物和危险废物。</w:t>
            </w:r>
          </w:p>
          <w:p>
            <w:pPr>
              <w:spacing w:line="360" w:lineRule="auto"/>
              <w:ind w:firstLine="480" w:firstLineChars="200"/>
              <w:rPr>
                <w:rFonts w:cs="Times New Roman"/>
                <w:sz w:val="24"/>
                <w:szCs w:val="24"/>
              </w:rPr>
            </w:pPr>
            <w:r>
              <w:rPr>
                <w:rFonts w:cs="Times New Roman"/>
                <w:sz w:val="24"/>
                <w:szCs w:val="24"/>
              </w:rPr>
              <w:t>一般固体废物：生活垃圾、</w:t>
            </w:r>
            <w:r>
              <w:rPr>
                <w:rFonts w:cs="Times New Roman"/>
                <w:sz w:val="24"/>
                <w:szCs w:val="32"/>
                <w:lang w:bidi="ar"/>
              </w:rPr>
              <w:t>餐厨垃圾、</w:t>
            </w:r>
            <w:r>
              <w:rPr>
                <w:rFonts w:cs="Times New Roman"/>
                <w:sz w:val="24"/>
                <w:szCs w:val="24"/>
              </w:rPr>
              <w:t>不合格品及边角料、废包装材料；</w:t>
            </w:r>
          </w:p>
          <w:p>
            <w:pPr>
              <w:spacing w:line="360" w:lineRule="auto"/>
              <w:ind w:firstLine="480" w:firstLineChars="200"/>
              <w:rPr>
                <w:rFonts w:cs="Times New Roman"/>
                <w:sz w:val="24"/>
                <w:szCs w:val="24"/>
              </w:rPr>
            </w:pPr>
            <w:r>
              <w:rPr>
                <w:rFonts w:cs="Times New Roman"/>
                <w:sz w:val="24"/>
                <w:szCs w:val="24"/>
              </w:rPr>
              <w:t>危险废物：废活性炭、废危化品桶、废机油、含油抹布及手套。</w:t>
            </w:r>
          </w:p>
          <w:p>
            <w:pPr>
              <w:spacing w:line="360" w:lineRule="auto"/>
              <w:ind w:firstLine="361" w:firstLineChars="150"/>
              <w:rPr>
                <w:rFonts w:cs="Times New Roman"/>
                <w:b/>
                <w:sz w:val="24"/>
                <w:szCs w:val="24"/>
              </w:rPr>
            </w:pPr>
            <w:r>
              <w:rPr>
                <w:rFonts w:cs="Times New Roman"/>
                <w:b/>
                <w:sz w:val="24"/>
                <w:szCs w:val="24"/>
              </w:rPr>
              <w:t>（1）一般固体废物产生及处置措施</w:t>
            </w:r>
          </w:p>
          <w:p>
            <w:pPr>
              <w:spacing w:line="360" w:lineRule="auto"/>
              <w:ind w:firstLine="480" w:firstLineChars="200"/>
              <w:rPr>
                <w:rFonts w:cs="Times New Roman"/>
                <w:sz w:val="24"/>
                <w:szCs w:val="24"/>
              </w:rPr>
            </w:pPr>
            <w:r>
              <w:rPr>
                <w:rFonts w:cs="Times New Roman"/>
                <w:sz w:val="24"/>
                <w:szCs w:val="24"/>
              </w:rPr>
              <w:t>①生活垃圾</w:t>
            </w:r>
          </w:p>
          <w:p>
            <w:pPr>
              <w:spacing w:line="360" w:lineRule="auto"/>
              <w:ind w:firstLine="480" w:firstLineChars="200"/>
              <w:rPr>
                <w:rFonts w:cs="Times New Roman"/>
                <w:sz w:val="24"/>
                <w:szCs w:val="24"/>
              </w:rPr>
            </w:pPr>
            <w:r>
              <w:rPr>
                <w:rFonts w:cs="Times New Roman"/>
                <w:sz w:val="24"/>
                <w:szCs w:val="24"/>
              </w:rPr>
              <w:t>本项目新增劳动定员20人，生活垃圾产生量按 0.5kg/人·d 计，年工作330天，则员工生活垃圾产生量约为3.3t/a。集中收集后交由环卫部门进行处理。</w:t>
            </w:r>
          </w:p>
          <w:p>
            <w:pPr>
              <w:spacing w:line="360" w:lineRule="auto"/>
              <w:ind w:firstLine="480" w:firstLineChars="200"/>
              <w:rPr>
                <w:rFonts w:cs="Times New Roman"/>
                <w:sz w:val="24"/>
                <w:szCs w:val="32"/>
                <w:lang w:bidi="ar"/>
              </w:rPr>
            </w:pPr>
            <w:r>
              <w:rPr>
                <w:rFonts w:cs="Times New Roman"/>
                <w:sz w:val="24"/>
                <w:szCs w:val="32"/>
                <w:lang w:bidi="ar"/>
              </w:rPr>
              <w:t>②餐厨垃圾</w:t>
            </w:r>
          </w:p>
          <w:p>
            <w:pPr>
              <w:spacing w:line="360" w:lineRule="auto"/>
              <w:ind w:firstLine="480" w:firstLineChars="200"/>
              <w:rPr>
                <w:rFonts w:cs="Times New Roman"/>
                <w:sz w:val="24"/>
                <w:szCs w:val="32"/>
                <w:lang w:bidi="ar"/>
              </w:rPr>
            </w:pPr>
            <w:r>
              <w:rPr>
                <w:rFonts w:cs="Times New Roman"/>
                <w:sz w:val="24"/>
                <w:szCs w:val="32"/>
                <w:lang w:bidi="ar"/>
              </w:rPr>
              <w:t>食堂产生的餐厨废物和隔油设备浮油的产生量按0.1kg/人·d计，本项目食堂接待量20人/d，则营运期餐厨垃圾（含废油脂）产生量为2.0kg/d（0.66t/a）。餐厨垃圾经桶装收集后交由有资质的单位处理。</w:t>
            </w:r>
          </w:p>
          <w:p>
            <w:pPr>
              <w:spacing w:line="360" w:lineRule="auto"/>
              <w:ind w:firstLine="480" w:firstLineChars="200"/>
              <w:rPr>
                <w:rFonts w:cs="Times New Roman"/>
                <w:sz w:val="24"/>
                <w:szCs w:val="24"/>
              </w:rPr>
            </w:pPr>
            <w:r>
              <w:rPr>
                <w:rFonts w:cs="Times New Roman"/>
                <w:sz w:val="24"/>
                <w:szCs w:val="24"/>
              </w:rPr>
              <w:t>③不合格品及边角料</w:t>
            </w:r>
          </w:p>
          <w:p>
            <w:pPr>
              <w:spacing w:line="360" w:lineRule="auto"/>
              <w:ind w:firstLine="480" w:firstLineChars="200"/>
              <w:rPr>
                <w:rFonts w:cs="Times New Roman"/>
                <w:sz w:val="24"/>
                <w:szCs w:val="24"/>
              </w:rPr>
            </w:pPr>
            <w:r>
              <w:rPr>
                <w:rFonts w:cs="Times New Roman"/>
                <w:sz w:val="24"/>
                <w:szCs w:val="24"/>
              </w:rPr>
              <w:t>不合格品及边角料产生量约为产品的0.1%左右，由企业提供可知，项目产品产能折算为吨，约为8350t/a，则不合格品及边角料的产生量为8.35t/a。返回生产线重新利用。</w:t>
            </w:r>
          </w:p>
          <w:p>
            <w:pPr>
              <w:spacing w:line="360" w:lineRule="auto"/>
              <w:ind w:firstLine="480" w:firstLineChars="200"/>
              <w:rPr>
                <w:rFonts w:cs="Times New Roman"/>
                <w:sz w:val="24"/>
                <w:szCs w:val="24"/>
              </w:rPr>
            </w:pPr>
            <w:r>
              <w:rPr>
                <w:rFonts w:cs="Times New Roman"/>
                <w:sz w:val="24"/>
                <w:szCs w:val="24"/>
              </w:rPr>
              <w:t>④废包装材料</w:t>
            </w:r>
          </w:p>
          <w:p>
            <w:pPr>
              <w:spacing w:line="360" w:lineRule="auto"/>
              <w:ind w:firstLine="480" w:firstLineChars="200"/>
              <w:rPr>
                <w:rFonts w:cs="Times New Roman"/>
                <w:sz w:val="24"/>
                <w:szCs w:val="24"/>
              </w:rPr>
            </w:pPr>
            <w:r>
              <w:rPr>
                <w:rFonts w:cs="Times New Roman"/>
                <w:sz w:val="24"/>
                <w:szCs w:val="24"/>
              </w:rPr>
              <w:t>项目废包装材料的产生量为0.5t/a，外卖给废品回收单位。</w:t>
            </w:r>
          </w:p>
          <w:p>
            <w:pPr>
              <w:spacing w:line="360" w:lineRule="auto"/>
              <w:ind w:firstLine="482" w:firstLineChars="200"/>
              <w:rPr>
                <w:rFonts w:cs="Times New Roman"/>
                <w:b/>
                <w:sz w:val="24"/>
                <w:szCs w:val="24"/>
              </w:rPr>
            </w:pPr>
            <w:r>
              <w:rPr>
                <w:rFonts w:cs="Times New Roman"/>
                <w:b/>
                <w:sz w:val="24"/>
                <w:szCs w:val="24"/>
              </w:rPr>
              <w:t>（2）危险废物产生及处置措施</w:t>
            </w:r>
          </w:p>
          <w:p>
            <w:pPr>
              <w:spacing w:line="360" w:lineRule="auto"/>
              <w:ind w:firstLine="480" w:firstLineChars="200"/>
              <w:rPr>
                <w:rFonts w:cs="Times New Roman"/>
                <w:sz w:val="24"/>
                <w:szCs w:val="24"/>
              </w:rPr>
            </w:pPr>
            <w:r>
              <w:rPr>
                <w:rFonts w:cs="Times New Roman"/>
                <w:sz w:val="24"/>
                <w:szCs w:val="24"/>
              </w:rPr>
              <w:t>①废活性炭</w:t>
            </w:r>
          </w:p>
          <w:p>
            <w:pPr>
              <w:spacing w:line="360" w:lineRule="auto"/>
              <w:ind w:firstLine="480" w:firstLineChars="200"/>
              <w:rPr>
                <w:rFonts w:cs="Times New Roman"/>
                <w:sz w:val="24"/>
                <w:szCs w:val="24"/>
              </w:rPr>
            </w:pPr>
            <w:r>
              <w:rPr>
                <w:rFonts w:cs="Times New Roman"/>
                <w:sz w:val="24"/>
                <w:szCs w:val="24"/>
              </w:rPr>
              <w:t>本项目废活性炭产生量为27.933t/a，其属于《国家危险废物名录》2021年版本中“HW49其他废物-非特定行业 900-041-49 含有或沾染毒性、感染性危险废物的废弃包装物、容器、过滤吸附介质”，暂存于危废暂存间内，定期交由有危废处理资质的单位处理</w:t>
            </w:r>
          </w:p>
          <w:p>
            <w:pPr>
              <w:spacing w:line="360" w:lineRule="auto"/>
              <w:ind w:firstLine="480" w:firstLineChars="200"/>
              <w:rPr>
                <w:rFonts w:cs="Times New Roman"/>
                <w:sz w:val="24"/>
                <w:szCs w:val="24"/>
              </w:rPr>
            </w:pPr>
            <w:r>
              <w:rPr>
                <w:rFonts w:cs="Times New Roman"/>
                <w:sz w:val="24"/>
                <w:szCs w:val="24"/>
              </w:rPr>
              <w:t>②废危化品桶</w:t>
            </w:r>
          </w:p>
          <w:p>
            <w:pPr>
              <w:spacing w:line="360" w:lineRule="auto"/>
              <w:ind w:firstLine="480" w:firstLineChars="200"/>
              <w:rPr>
                <w:rFonts w:cs="Times New Roman"/>
                <w:sz w:val="24"/>
                <w:szCs w:val="24"/>
              </w:rPr>
            </w:pPr>
            <w:r>
              <w:rPr>
                <w:rFonts w:cs="Times New Roman"/>
                <w:sz w:val="24"/>
                <w:szCs w:val="24"/>
              </w:rPr>
              <w:t>废</w:t>
            </w:r>
            <w:r>
              <w:rPr>
                <w:rFonts w:hint="eastAsia" w:cs="Times New Roman"/>
                <w:sz w:val="24"/>
                <w:szCs w:val="24"/>
              </w:rPr>
              <w:t>水性功能乳液</w:t>
            </w:r>
            <w:r>
              <w:rPr>
                <w:rFonts w:cs="Times New Roman"/>
                <w:sz w:val="24"/>
                <w:szCs w:val="24"/>
              </w:rPr>
              <w:t>桶、废脲醛</w:t>
            </w:r>
            <w:r>
              <w:rPr>
                <w:rFonts w:hint="eastAsia" w:cs="Times New Roman"/>
                <w:sz w:val="24"/>
                <w:szCs w:val="24"/>
                <w:lang w:val="en-US" w:eastAsia="zh-CN"/>
              </w:rPr>
              <w:t>胶</w:t>
            </w:r>
            <w:r>
              <w:rPr>
                <w:rFonts w:cs="Times New Roman"/>
                <w:sz w:val="24"/>
                <w:szCs w:val="24"/>
              </w:rPr>
              <w:t>桶、废消泡剂桶产生量为3.0t/a，其属于《国家危险废物名录》2021年版本中“HW49其他废物-非特定行业 900-041-49 含有或沾染毒性、感染性危险废物的废弃包装物、容器、过滤吸附介质”，暂存于危废暂存间内，定期由厂家回收利用。</w:t>
            </w:r>
          </w:p>
          <w:p>
            <w:pPr>
              <w:spacing w:line="360" w:lineRule="auto"/>
              <w:ind w:firstLine="480" w:firstLineChars="200"/>
              <w:rPr>
                <w:rFonts w:cs="Times New Roman"/>
                <w:sz w:val="24"/>
                <w:szCs w:val="24"/>
              </w:rPr>
            </w:pPr>
            <w:r>
              <w:rPr>
                <w:rFonts w:cs="Times New Roman"/>
                <w:sz w:val="24"/>
                <w:szCs w:val="24"/>
              </w:rPr>
              <w:t>③废机油</w:t>
            </w:r>
          </w:p>
          <w:p>
            <w:pPr>
              <w:spacing w:line="360" w:lineRule="auto"/>
              <w:ind w:firstLine="480" w:firstLineChars="200"/>
              <w:rPr>
                <w:rFonts w:cs="Times New Roman"/>
                <w:sz w:val="24"/>
                <w:szCs w:val="24"/>
              </w:rPr>
            </w:pPr>
            <w:r>
              <w:rPr>
                <w:rFonts w:cs="Times New Roman"/>
                <w:sz w:val="24"/>
                <w:szCs w:val="24"/>
              </w:rPr>
              <w:t>项目在设备运行生产、维修过程中会产生废机油，废机油产生量约0.05t/a。其属于《国家危险废物名录》2021年版本中“HW08号：废矿物油与含矿物油废物，其废物代码属于：900-214-08车辆、机械维修和拆解过程中产生的废发动机油、制动器油、自动变速器油、齿轮油等废润滑油”。项目废机油暂存于危废间，定期交由有危废资质单位处置。</w:t>
            </w:r>
          </w:p>
          <w:p>
            <w:pPr>
              <w:spacing w:line="360" w:lineRule="auto"/>
              <w:ind w:firstLine="480" w:firstLineChars="200"/>
              <w:rPr>
                <w:rFonts w:cs="Times New Roman"/>
                <w:sz w:val="24"/>
                <w:szCs w:val="24"/>
              </w:rPr>
            </w:pPr>
            <w:r>
              <w:rPr>
                <w:rFonts w:cs="Times New Roman"/>
                <w:sz w:val="24"/>
                <w:szCs w:val="24"/>
              </w:rPr>
              <w:t>④含油抹布及手套</w:t>
            </w:r>
          </w:p>
          <w:p>
            <w:pPr>
              <w:spacing w:line="360" w:lineRule="auto"/>
              <w:ind w:firstLine="480" w:firstLineChars="200"/>
              <w:rPr>
                <w:rFonts w:cs="Times New Roman"/>
                <w:sz w:val="24"/>
                <w:szCs w:val="24"/>
              </w:rPr>
            </w:pPr>
            <w:r>
              <w:rPr>
                <w:rFonts w:cs="Times New Roman"/>
                <w:sz w:val="24"/>
                <w:szCs w:val="24"/>
              </w:rPr>
              <w:t>项目生产及机修过程中将产生沾油废物（含油废抹布和手套等），产生量约0.01t/a，其属于《国家危险废物名录》2021年版本中“HW49其他废物-非特定行业 900-041-49 含有或沾染毒性、感染性危险废物的废弃包装物、容器、过滤吸附介质”。交由有危废资质单位处置。</w:t>
            </w:r>
          </w:p>
          <w:p>
            <w:pPr>
              <w:spacing w:line="360" w:lineRule="auto"/>
              <w:ind w:firstLine="480" w:firstLineChars="200"/>
              <w:rPr>
                <w:rFonts w:cs="Times New Roman"/>
                <w:sz w:val="24"/>
                <w:szCs w:val="24"/>
              </w:rPr>
            </w:pPr>
            <w:r>
              <w:rPr>
                <w:rFonts w:cs="Times New Roman"/>
                <w:sz w:val="24"/>
                <w:szCs w:val="24"/>
              </w:rPr>
              <w:t>项目固体废物污染源强及处置措施见下表：</w:t>
            </w:r>
          </w:p>
          <w:p>
            <w:pPr>
              <w:spacing w:line="360" w:lineRule="auto"/>
              <w:jc w:val="center"/>
              <w:rPr>
                <w:rFonts w:cs="Times New Roman"/>
                <w:b/>
                <w:sz w:val="24"/>
                <w:szCs w:val="24"/>
              </w:rPr>
            </w:pPr>
            <w:r>
              <w:rPr>
                <w:rFonts w:cs="Times New Roman"/>
                <w:b/>
                <w:sz w:val="24"/>
                <w:szCs w:val="24"/>
              </w:rPr>
              <w:t>表4-22 固体废物污染源强及处置措施表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48"/>
              <w:gridCol w:w="1055"/>
              <w:gridCol w:w="803"/>
              <w:gridCol w:w="1150"/>
              <w:gridCol w:w="1150"/>
              <w:gridCol w:w="1070"/>
              <w:gridCol w:w="1013"/>
              <w:gridCol w:w="13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产生源</w:t>
                  </w:r>
                </w:p>
              </w:tc>
              <w:tc>
                <w:tcPr>
                  <w:tcW w:w="608"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固体废物名称</w:t>
                  </w:r>
                </w:p>
              </w:tc>
              <w:tc>
                <w:tcPr>
                  <w:tcW w:w="463"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固废属性</w:t>
                  </w:r>
                </w:p>
              </w:tc>
              <w:tc>
                <w:tcPr>
                  <w:tcW w:w="663"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一期（2100湿法薄毡）产生量（t/a）</w:t>
                  </w:r>
                </w:p>
              </w:tc>
              <w:tc>
                <w:tcPr>
                  <w:tcW w:w="663"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二期（2600湿法薄毡）产生量（t/a）</w:t>
                  </w:r>
                </w:p>
              </w:tc>
              <w:tc>
                <w:tcPr>
                  <w:tcW w:w="1201" w:type="pct"/>
                  <w:gridSpan w:val="2"/>
                  <w:tcBorders>
                    <w:tl2br w:val="nil"/>
                    <w:tr2bl w:val="nil"/>
                  </w:tcBorders>
                  <w:shd w:val="clear" w:color="auto" w:fill="auto"/>
                  <w:vAlign w:val="center"/>
                </w:tcPr>
                <w:p>
                  <w:pPr>
                    <w:jc w:val="center"/>
                    <w:rPr>
                      <w:rFonts w:cs="Times New Roman"/>
                      <w:b/>
                      <w:bCs/>
                      <w:szCs w:val="21"/>
                    </w:rPr>
                  </w:pPr>
                  <w:r>
                    <w:rPr>
                      <w:rFonts w:cs="Times New Roman"/>
                      <w:b/>
                      <w:bCs/>
                      <w:szCs w:val="21"/>
                    </w:rPr>
                    <w:t>处置措施</w:t>
                  </w:r>
                </w:p>
              </w:tc>
              <w:tc>
                <w:tcPr>
                  <w:tcW w:w="795"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vMerge w:val="continue"/>
                  <w:tcBorders>
                    <w:tl2br w:val="nil"/>
                    <w:tr2bl w:val="nil"/>
                  </w:tcBorders>
                  <w:shd w:val="clear" w:color="auto" w:fill="auto"/>
                  <w:vAlign w:val="center"/>
                </w:tcPr>
                <w:p>
                  <w:pPr>
                    <w:jc w:val="center"/>
                    <w:rPr>
                      <w:rFonts w:cs="Times New Roman"/>
                      <w:szCs w:val="21"/>
                    </w:rPr>
                  </w:pPr>
                </w:p>
              </w:tc>
              <w:tc>
                <w:tcPr>
                  <w:tcW w:w="608" w:type="pct"/>
                  <w:vMerge w:val="continue"/>
                  <w:tcBorders>
                    <w:tl2br w:val="nil"/>
                    <w:tr2bl w:val="nil"/>
                  </w:tcBorders>
                  <w:shd w:val="clear" w:color="auto" w:fill="auto"/>
                  <w:vAlign w:val="center"/>
                </w:tcPr>
                <w:p>
                  <w:pPr>
                    <w:jc w:val="center"/>
                    <w:rPr>
                      <w:rFonts w:cs="Times New Roman"/>
                      <w:szCs w:val="21"/>
                    </w:rPr>
                  </w:pPr>
                </w:p>
              </w:tc>
              <w:tc>
                <w:tcPr>
                  <w:tcW w:w="463" w:type="pct"/>
                  <w:vMerge w:val="continue"/>
                  <w:tcBorders>
                    <w:tl2br w:val="nil"/>
                    <w:tr2bl w:val="nil"/>
                  </w:tcBorders>
                  <w:shd w:val="clear" w:color="auto" w:fill="auto"/>
                  <w:vAlign w:val="center"/>
                </w:tcPr>
                <w:p>
                  <w:pPr>
                    <w:jc w:val="center"/>
                    <w:rPr>
                      <w:rFonts w:cs="Times New Roman"/>
                      <w:szCs w:val="21"/>
                    </w:rPr>
                  </w:pPr>
                </w:p>
              </w:tc>
              <w:tc>
                <w:tcPr>
                  <w:tcW w:w="663" w:type="pct"/>
                  <w:vMerge w:val="continue"/>
                  <w:tcBorders>
                    <w:tl2br w:val="nil"/>
                    <w:tr2bl w:val="nil"/>
                  </w:tcBorders>
                  <w:shd w:val="clear" w:color="auto" w:fill="auto"/>
                  <w:vAlign w:val="center"/>
                </w:tcPr>
                <w:p>
                  <w:pPr>
                    <w:jc w:val="center"/>
                    <w:rPr>
                      <w:rFonts w:cs="Times New Roman"/>
                      <w:b/>
                      <w:bCs/>
                      <w:szCs w:val="21"/>
                    </w:rPr>
                  </w:pPr>
                </w:p>
              </w:tc>
              <w:tc>
                <w:tcPr>
                  <w:tcW w:w="663" w:type="pct"/>
                  <w:vMerge w:val="continue"/>
                  <w:tcBorders>
                    <w:tl2br w:val="nil"/>
                    <w:tr2bl w:val="nil"/>
                  </w:tcBorders>
                  <w:shd w:val="clear" w:color="auto" w:fill="auto"/>
                  <w:vAlign w:val="center"/>
                </w:tcPr>
                <w:p>
                  <w:pPr>
                    <w:jc w:val="center"/>
                    <w:rPr>
                      <w:rFonts w:cs="Times New Roman"/>
                      <w:b/>
                      <w:bCs/>
                      <w:szCs w:val="21"/>
                    </w:rPr>
                  </w:pPr>
                </w:p>
              </w:tc>
              <w:tc>
                <w:tcPr>
                  <w:tcW w:w="617" w:type="pct"/>
                  <w:tcBorders>
                    <w:tl2br w:val="nil"/>
                    <w:tr2bl w:val="nil"/>
                  </w:tcBorders>
                  <w:shd w:val="clear" w:color="auto" w:fill="auto"/>
                  <w:vAlign w:val="center"/>
                </w:tcPr>
                <w:p>
                  <w:pPr>
                    <w:jc w:val="center"/>
                    <w:rPr>
                      <w:rFonts w:cs="Times New Roman"/>
                      <w:b/>
                      <w:bCs/>
                      <w:szCs w:val="21"/>
                    </w:rPr>
                  </w:pPr>
                  <w:r>
                    <w:rPr>
                      <w:rFonts w:cs="Times New Roman"/>
                      <w:b/>
                      <w:bCs/>
                      <w:szCs w:val="21"/>
                    </w:rPr>
                    <w:t>工艺</w:t>
                  </w:r>
                </w:p>
              </w:tc>
              <w:tc>
                <w:tcPr>
                  <w:tcW w:w="584" w:type="pct"/>
                  <w:tcBorders>
                    <w:tl2br w:val="nil"/>
                    <w:tr2bl w:val="nil"/>
                  </w:tcBorders>
                  <w:shd w:val="clear" w:color="auto" w:fill="auto"/>
                  <w:vAlign w:val="center"/>
                </w:tcPr>
                <w:p>
                  <w:pPr>
                    <w:jc w:val="center"/>
                    <w:rPr>
                      <w:rFonts w:cs="Times New Roman"/>
                      <w:b/>
                      <w:bCs/>
                      <w:szCs w:val="21"/>
                    </w:rPr>
                  </w:pPr>
                  <w:r>
                    <w:rPr>
                      <w:rFonts w:cs="Times New Roman"/>
                      <w:b/>
                      <w:bCs/>
                      <w:szCs w:val="21"/>
                    </w:rPr>
                    <w:t>全厂处置量（t/a）</w:t>
                  </w:r>
                </w:p>
              </w:tc>
              <w:tc>
                <w:tcPr>
                  <w:tcW w:w="795" w:type="pct"/>
                  <w:vMerge w:val="continue"/>
                  <w:tcBorders>
                    <w:tl2br w:val="nil"/>
                    <w:tr2bl w:val="nil"/>
                  </w:tcBorders>
                  <w:vAlign w:val="center"/>
                </w:tcPr>
                <w:p>
                  <w:pPr>
                    <w:jc w:val="center"/>
                    <w:rPr>
                      <w:rFonts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autoSpaceDN w:val="0"/>
                    <w:jc w:val="center"/>
                    <w:textAlignment w:val="bottom"/>
                    <w:rPr>
                      <w:rFonts w:cs="Times New Roman"/>
                      <w:szCs w:val="21"/>
                    </w:rPr>
                  </w:pPr>
                  <w:r>
                    <w:rPr>
                      <w:rFonts w:cs="Times New Roman"/>
                      <w:szCs w:val="21"/>
                    </w:rPr>
                    <w:t>办公用房</w:t>
                  </w:r>
                </w:p>
              </w:tc>
              <w:tc>
                <w:tcPr>
                  <w:tcW w:w="608" w:type="pct"/>
                  <w:tcBorders>
                    <w:tl2br w:val="nil"/>
                    <w:tr2bl w:val="nil"/>
                  </w:tcBorders>
                  <w:vAlign w:val="center"/>
                </w:tcPr>
                <w:p>
                  <w:pPr>
                    <w:autoSpaceDN w:val="0"/>
                    <w:jc w:val="center"/>
                    <w:textAlignment w:val="bottom"/>
                    <w:rPr>
                      <w:rFonts w:cs="Times New Roman"/>
                      <w:szCs w:val="21"/>
                    </w:rPr>
                  </w:pPr>
                  <w:r>
                    <w:rPr>
                      <w:rFonts w:cs="Times New Roman"/>
                      <w:szCs w:val="21"/>
                    </w:rPr>
                    <w:t>生活垃圾</w:t>
                  </w:r>
                </w:p>
              </w:tc>
              <w:tc>
                <w:tcPr>
                  <w:tcW w:w="463" w:type="pct"/>
                  <w:vMerge w:val="restart"/>
                  <w:tcBorders>
                    <w:tl2br w:val="nil"/>
                    <w:tr2bl w:val="nil"/>
                  </w:tcBorders>
                  <w:vAlign w:val="center"/>
                </w:tcPr>
                <w:p>
                  <w:pPr>
                    <w:jc w:val="center"/>
                    <w:rPr>
                      <w:rFonts w:cs="Times New Roman"/>
                      <w:szCs w:val="21"/>
                    </w:rPr>
                  </w:pPr>
                  <w:r>
                    <w:rPr>
                      <w:rFonts w:cs="Times New Roman"/>
                      <w:szCs w:val="21"/>
                    </w:rPr>
                    <w:t>一般固废</w:t>
                  </w:r>
                </w:p>
              </w:tc>
              <w:tc>
                <w:tcPr>
                  <w:tcW w:w="663" w:type="pct"/>
                  <w:tcBorders>
                    <w:tl2br w:val="nil"/>
                    <w:tr2bl w:val="nil"/>
                  </w:tcBorders>
                  <w:vAlign w:val="center"/>
                </w:tcPr>
                <w:p>
                  <w:pPr>
                    <w:autoSpaceDN w:val="0"/>
                    <w:jc w:val="center"/>
                    <w:textAlignment w:val="bottom"/>
                    <w:rPr>
                      <w:rFonts w:cs="Times New Roman"/>
                      <w:szCs w:val="21"/>
                    </w:rPr>
                  </w:pPr>
                  <w:r>
                    <w:rPr>
                      <w:rFonts w:cs="Times New Roman"/>
                      <w:szCs w:val="21"/>
                    </w:rPr>
                    <w:t>1.65</w:t>
                  </w:r>
                </w:p>
              </w:tc>
              <w:tc>
                <w:tcPr>
                  <w:tcW w:w="663" w:type="pct"/>
                  <w:tcBorders>
                    <w:tl2br w:val="nil"/>
                    <w:tr2bl w:val="nil"/>
                  </w:tcBorders>
                  <w:vAlign w:val="center"/>
                </w:tcPr>
                <w:p>
                  <w:pPr>
                    <w:tabs>
                      <w:tab w:val="left" w:pos="1134"/>
                    </w:tabs>
                    <w:jc w:val="center"/>
                    <w:rPr>
                      <w:rFonts w:cs="Times New Roman"/>
                      <w:szCs w:val="21"/>
                    </w:rPr>
                  </w:pPr>
                  <w:r>
                    <w:rPr>
                      <w:rFonts w:cs="Times New Roman"/>
                      <w:szCs w:val="21"/>
                    </w:rPr>
                    <w:t>1.65</w:t>
                  </w:r>
                </w:p>
              </w:tc>
              <w:tc>
                <w:tcPr>
                  <w:tcW w:w="617" w:type="pct"/>
                  <w:tcBorders>
                    <w:tl2br w:val="nil"/>
                    <w:tr2bl w:val="nil"/>
                  </w:tcBorders>
                  <w:vAlign w:val="center"/>
                </w:tcPr>
                <w:p>
                  <w:pPr>
                    <w:jc w:val="center"/>
                    <w:rPr>
                      <w:rFonts w:cs="Times New Roman"/>
                      <w:szCs w:val="21"/>
                    </w:rPr>
                  </w:pPr>
                  <w:r>
                    <w:rPr>
                      <w:rFonts w:cs="Times New Roman"/>
                      <w:szCs w:val="21"/>
                    </w:rPr>
                    <w:t>委托处置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3.3</w:t>
                  </w:r>
                </w:p>
              </w:tc>
              <w:tc>
                <w:tcPr>
                  <w:tcW w:w="795" w:type="pct"/>
                  <w:tcBorders>
                    <w:tl2br w:val="nil"/>
                    <w:tr2bl w:val="nil"/>
                  </w:tcBorders>
                  <w:vAlign w:val="center"/>
                </w:tcPr>
                <w:p>
                  <w:pPr>
                    <w:tabs>
                      <w:tab w:val="left" w:pos="1134"/>
                    </w:tabs>
                    <w:jc w:val="center"/>
                    <w:rPr>
                      <w:rFonts w:cs="Times New Roman"/>
                      <w:szCs w:val="21"/>
                    </w:rPr>
                  </w:pPr>
                  <w:r>
                    <w:rPr>
                      <w:rFonts w:cs="Times New Roman"/>
                      <w:szCs w:val="21"/>
                    </w:rPr>
                    <w:t>收集交由环卫部门清运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autoSpaceDN w:val="0"/>
                    <w:jc w:val="center"/>
                    <w:textAlignment w:val="bottom"/>
                    <w:rPr>
                      <w:rFonts w:cs="Times New Roman"/>
                      <w:szCs w:val="21"/>
                    </w:rPr>
                  </w:pPr>
                  <w:r>
                    <w:rPr>
                      <w:rFonts w:cs="Times New Roman"/>
                      <w:szCs w:val="21"/>
                    </w:rPr>
                    <w:t>员工就餐</w:t>
                  </w:r>
                </w:p>
              </w:tc>
              <w:tc>
                <w:tcPr>
                  <w:tcW w:w="608" w:type="pct"/>
                  <w:tcBorders>
                    <w:tl2br w:val="nil"/>
                    <w:tr2bl w:val="nil"/>
                  </w:tcBorders>
                  <w:vAlign w:val="center"/>
                </w:tcPr>
                <w:p>
                  <w:pPr>
                    <w:autoSpaceDN w:val="0"/>
                    <w:jc w:val="center"/>
                    <w:textAlignment w:val="bottom"/>
                    <w:rPr>
                      <w:rFonts w:cs="Times New Roman"/>
                      <w:szCs w:val="21"/>
                    </w:rPr>
                  </w:pPr>
                  <w:r>
                    <w:rPr>
                      <w:rFonts w:cs="Times New Roman"/>
                      <w:szCs w:val="21"/>
                    </w:rPr>
                    <w:t>餐厨垃圾</w:t>
                  </w:r>
                </w:p>
              </w:tc>
              <w:tc>
                <w:tcPr>
                  <w:tcW w:w="463" w:type="pct"/>
                  <w:vMerge w:val="continue"/>
                  <w:tcBorders>
                    <w:tl2br w:val="nil"/>
                    <w:tr2bl w:val="nil"/>
                  </w:tcBorders>
                  <w:vAlign w:val="center"/>
                </w:tcPr>
                <w:p>
                  <w:pPr>
                    <w:jc w:val="center"/>
                    <w:rPr>
                      <w:rFonts w:cs="Times New Roman"/>
                      <w:szCs w:val="21"/>
                    </w:rPr>
                  </w:pPr>
                </w:p>
              </w:tc>
              <w:tc>
                <w:tcPr>
                  <w:tcW w:w="663" w:type="pct"/>
                  <w:tcBorders>
                    <w:tl2br w:val="nil"/>
                    <w:tr2bl w:val="nil"/>
                  </w:tcBorders>
                  <w:vAlign w:val="center"/>
                </w:tcPr>
                <w:p>
                  <w:pPr>
                    <w:autoSpaceDN w:val="0"/>
                    <w:jc w:val="center"/>
                    <w:textAlignment w:val="bottom"/>
                    <w:rPr>
                      <w:rFonts w:cs="Times New Roman"/>
                      <w:szCs w:val="21"/>
                    </w:rPr>
                  </w:pPr>
                  <w:r>
                    <w:rPr>
                      <w:rFonts w:cs="Times New Roman"/>
                      <w:szCs w:val="21"/>
                    </w:rPr>
                    <w:t>0.33</w:t>
                  </w:r>
                </w:p>
              </w:tc>
              <w:tc>
                <w:tcPr>
                  <w:tcW w:w="663" w:type="pct"/>
                  <w:tcBorders>
                    <w:tl2br w:val="nil"/>
                    <w:tr2bl w:val="nil"/>
                  </w:tcBorders>
                  <w:vAlign w:val="center"/>
                </w:tcPr>
                <w:p>
                  <w:pPr>
                    <w:tabs>
                      <w:tab w:val="left" w:pos="1134"/>
                    </w:tabs>
                    <w:jc w:val="center"/>
                    <w:rPr>
                      <w:rFonts w:cs="Times New Roman"/>
                      <w:szCs w:val="21"/>
                    </w:rPr>
                  </w:pPr>
                  <w:r>
                    <w:rPr>
                      <w:rFonts w:cs="Times New Roman"/>
                      <w:szCs w:val="21"/>
                    </w:rPr>
                    <w:t>0.33</w:t>
                  </w:r>
                </w:p>
              </w:tc>
              <w:tc>
                <w:tcPr>
                  <w:tcW w:w="617" w:type="pct"/>
                  <w:tcBorders>
                    <w:tl2br w:val="nil"/>
                    <w:tr2bl w:val="nil"/>
                  </w:tcBorders>
                  <w:vAlign w:val="center"/>
                </w:tcPr>
                <w:p>
                  <w:pPr>
                    <w:jc w:val="center"/>
                    <w:rPr>
                      <w:rFonts w:cs="Times New Roman"/>
                      <w:szCs w:val="21"/>
                    </w:rPr>
                  </w:pPr>
                  <w:r>
                    <w:rPr>
                      <w:rFonts w:cs="Times New Roman"/>
                      <w:szCs w:val="21"/>
                    </w:rPr>
                    <w:t>委托处置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0.66</w:t>
                  </w:r>
                </w:p>
              </w:tc>
              <w:tc>
                <w:tcPr>
                  <w:tcW w:w="795" w:type="pct"/>
                  <w:tcBorders>
                    <w:tl2br w:val="nil"/>
                    <w:tr2bl w:val="nil"/>
                  </w:tcBorders>
                  <w:vAlign w:val="center"/>
                </w:tcPr>
                <w:p>
                  <w:pPr>
                    <w:tabs>
                      <w:tab w:val="left" w:pos="1134"/>
                    </w:tabs>
                    <w:jc w:val="center"/>
                    <w:rPr>
                      <w:rFonts w:cs="Times New Roman"/>
                      <w:szCs w:val="21"/>
                    </w:rPr>
                  </w:pPr>
                  <w:r>
                    <w:rPr>
                      <w:rFonts w:cs="Times New Roman"/>
                      <w:szCs w:val="21"/>
                    </w:rPr>
                    <w:t>交由有资质的单位处理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autoSpaceDN w:val="0"/>
                    <w:jc w:val="center"/>
                    <w:textAlignment w:val="bottom"/>
                    <w:rPr>
                      <w:rFonts w:cs="Times New Roman"/>
                      <w:szCs w:val="21"/>
                    </w:rPr>
                  </w:pPr>
                  <w:r>
                    <w:rPr>
                      <w:rFonts w:cs="Times New Roman"/>
                      <w:szCs w:val="21"/>
                    </w:rPr>
                    <w:t>产品生产及检验</w:t>
                  </w:r>
                </w:p>
              </w:tc>
              <w:tc>
                <w:tcPr>
                  <w:tcW w:w="608" w:type="pct"/>
                  <w:tcBorders>
                    <w:tl2br w:val="nil"/>
                    <w:tr2bl w:val="nil"/>
                  </w:tcBorders>
                  <w:vAlign w:val="center"/>
                </w:tcPr>
                <w:p>
                  <w:pPr>
                    <w:autoSpaceDN w:val="0"/>
                    <w:jc w:val="center"/>
                    <w:textAlignment w:val="bottom"/>
                    <w:rPr>
                      <w:rFonts w:cs="Times New Roman"/>
                      <w:szCs w:val="21"/>
                    </w:rPr>
                  </w:pPr>
                  <w:r>
                    <w:rPr>
                      <w:rFonts w:cs="Times New Roman"/>
                      <w:szCs w:val="21"/>
                    </w:rPr>
                    <w:t>不合格品及边角料</w:t>
                  </w:r>
                </w:p>
              </w:tc>
              <w:tc>
                <w:tcPr>
                  <w:tcW w:w="463" w:type="pct"/>
                  <w:vMerge w:val="continue"/>
                  <w:tcBorders>
                    <w:tl2br w:val="nil"/>
                    <w:tr2bl w:val="nil"/>
                  </w:tcBorders>
                  <w:vAlign w:val="center"/>
                </w:tcPr>
                <w:p>
                  <w:pPr>
                    <w:jc w:val="center"/>
                    <w:rPr>
                      <w:rFonts w:cs="Times New Roman"/>
                      <w:szCs w:val="21"/>
                    </w:rPr>
                  </w:pPr>
                </w:p>
              </w:tc>
              <w:tc>
                <w:tcPr>
                  <w:tcW w:w="663" w:type="pct"/>
                  <w:tcBorders>
                    <w:tl2br w:val="nil"/>
                    <w:tr2bl w:val="nil"/>
                  </w:tcBorders>
                  <w:vAlign w:val="center"/>
                </w:tcPr>
                <w:p>
                  <w:pPr>
                    <w:autoSpaceDN w:val="0"/>
                    <w:jc w:val="center"/>
                    <w:textAlignment w:val="bottom"/>
                    <w:rPr>
                      <w:rFonts w:cs="Times New Roman"/>
                      <w:szCs w:val="21"/>
                    </w:rPr>
                  </w:pPr>
                  <w:r>
                    <w:rPr>
                      <w:rFonts w:cs="Times New Roman"/>
                      <w:szCs w:val="21"/>
                    </w:rPr>
                    <w:t>3.4</w:t>
                  </w:r>
                </w:p>
              </w:tc>
              <w:tc>
                <w:tcPr>
                  <w:tcW w:w="663" w:type="pct"/>
                  <w:tcBorders>
                    <w:tl2br w:val="nil"/>
                    <w:tr2bl w:val="nil"/>
                  </w:tcBorders>
                  <w:vAlign w:val="center"/>
                </w:tcPr>
                <w:p>
                  <w:pPr>
                    <w:tabs>
                      <w:tab w:val="left" w:pos="1134"/>
                    </w:tabs>
                    <w:jc w:val="center"/>
                    <w:rPr>
                      <w:rFonts w:cs="Times New Roman"/>
                      <w:szCs w:val="21"/>
                    </w:rPr>
                  </w:pPr>
                  <w:r>
                    <w:rPr>
                      <w:rFonts w:cs="Times New Roman"/>
                      <w:szCs w:val="21"/>
                    </w:rPr>
                    <w:t>4.95</w:t>
                  </w:r>
                </w:p>
              </w:tc>
              <w:tc>
                <w:tcPr>
                  <w:tcW w:w="617" w:type="pct"/>
                  <w:tcBorders>
                    <w:tl2br w:val="nil"/>
                    <w:tr2bl w:val="nil"/>
                  </w:tcBorders>
                  <w:vAlign w:val="center"/>
                </w:tcPr>
                <w:p>
                  <w:pPr>
                    <w:jc w:val="center"/>
                    <w:rPr>
                      <w:rFonts w:cs="Times New Roman"/>
                      <w:szCs w:val="21"/>
                    </w:rPr>
                  </w:pPr>
                  <w:r>
                    <w:rPr>
                      <w:rFonts w:cs="Times New Roman"/>
                      <w:szCs w:val="21"/>
                    </w:rPr>
                    <w:t>自行处置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8.35</w:t>
                  </w:r>
                </w:p>
              </w:tc>
              <w:tc>
                <w:tcPr>
                  <w:tcW w:w="795" w:type="pct"/>
                  <w:tcBorders>
                    <w:tl2br w:val="nil"/>
                    <w:tr2bl w:val="nil"/>
                  </w:tcBorders>
                  <w:vAlign w:val="center"/>
                </w:tcPr>
                <w:p>
                  <w:pPr>
                    <w:tabs>
                      <w:tab w:val="left" w:pos="1134"/>
                    </w:tabs>
                    <w:jc w:val="center"/>
                    <w:rPr>
                      <w:rFonts w:cs="Times New Roman"/>
                      <w:szCs w:val="21"/>
                    </w:rPr>
                  </w:pPr>
                  <w:r>
                    <w:rPr>
                      <w:rFonts w:cs="Times New Roman"/>
                      <w:szCs w:val="21"/>
                    </w:rPr>
                    <w:t>返回生产线重新利用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autoSpaceDN w:val="0"/>
                    <w:jc w:val="center"/>
                    <w:textAlignment w:val="bottom"/>
                    <w:rPr>
                      <w:rFonts w:cs="Times New Roman"/>
                      <w:szCs w:val="21"/>
                    </w:rPr>
                  </w:pPr>
                  <w:r>
                    <w:rPr>
                      <w:rFonts w:cs="Times New Roman"/>
                      <w:szCs w:val="21"/>
                    </w:rPr>
                    <w:t>包装</w:t>
                  </w:r>
                </w:p>
              </w:tc>
              <w:tc>
                <w:tcPr>
                  <w:tcW w:w="608" w:type="pct"/>
                  <w:tcBorders>
                    <w:tl2br w:val="nil"/>
                    <w:tr2bl w:val="nil"/>
                  </w:tcBorders>
                  <w:vAlign w:val="center"/>
                </w:tcPr>
                <w:p>
                  <w:pPr>
                    <w:autoSpaceDN w:val="0"/>
                    <w:jc w:val="center"/>
                    <w:textAlignment w:val="bottom"/>
                    <w:rPr>
                      <w:rFonts w:cs="Times New Roman"/>
                      <w:szCs w:val="21"/>
                    </w:rPr>
                  </w:pPr>
                  <w:r>
                    <w:rPr>
                      <w:rFonts w:cs="Times New Roman"/>
                      <w:szCs w:val="21"/>
                    </w:rPr>
                    <w:t>废包装材料</w:t>
                  </w:r>
                </w:p>
              </w:tc>
              <w:tc>
                <w:tcPr>
                  <w:tcW w:w="463" w:type="pct"/>
                  <w:vMerge w:val="continue"/>
                  <w:tcBorders>
                    <w:tl2br w:val="nil"/>
                    <w:tr2bl w:val="nil"/>
                  </w:tcBorders>
                  <w:vAlign w:val="center"/>
                </w:tcPr>
                <w:p>
                  <w:pPr>
                    <w:jc w:val="center"/>
                    <w:rPr>
                      <w:rFonts w:cs="Times New Roman"/>
                      <w:szCs w:val="21"/>
                    </w:rPr>
                  </w:pPr>
                </w:p>
              </w:tc>
              <w:tc>
                <w:tcPr>
                  <w:tcW w:w="663" w:type="pct"/>
                  <w:tcBorders>
                    <w:tl2br w:val="nil"/>
                    <w:tr2bl w:val="nil"/>
                  </w:tcBorders>
                  <w:vAlign w:val="center"/>
                </w:tcPr>
                <w:p>
                  <w:pPr>
                    <w:autoSpaceDN w:val="0"/>
                    <w:jc w:val="center"/>
                    <w:textAlignment w:val="bottom"/>
                    <w:rPr>
                      <w:rFonts w:cs="Times New Roman"/>
                      <w:szCs w:val="21"/>
                    </w:rPr>
                  </w:pPr>
                  <w:r>
                    <w:rPr>
                      <w:rFonts w:cs="Times New Roman"/>
                      <w:szCs w:val="21"/>
                    </w:rPr>
                    <w:t>0.25</w:t>
                  </w:r>
                </w:p>
              </w:tc>
              <w:tc>
                <w:tcPr>
                  <w:tcW w:w="663" w:type="pct"/>
                  <w:tcBorders>
                    <w:tl2br w:val="nil"/>
                    <w:tr2bl w:val="nil"/>
                  </w:tcBorders>
                  <w:vAlign w:val="center"/>
                </w:tcPr>
                <w:p>
                  <w:pPr>
                    <w:tabs>
                      <w:tab w:val="left" w:pos="1134"/>
                    </w:tabs>
                    <w:jc w:val="center"/>
                    <w:rPr>
                      <w:rFonts w:cs="Times New Roman"/>
                      <w:szCs w:val="21"/>
                    </w:rPr>
                  </w:pPr>
                  <w:r>
                    <w:rPr>
                      <w:rFonts w:cs="Times New Roman"/>
                      <w:szCs w:val="21"/>
                    </w:rPr>
                    <w:t>0.25</w:t>
                  </w:r>
                </w:p>
              </w:tc>
              <w:tc>
                <w:tcPr>
                  <w:tcW w:w="617" w:type="pct"/>
                  <w:tcBorders>
                    <w:tl2br w:val="nil"/>
                    <w:tr2bl w:val="nil"/>
                  </w:tcBorders>
                  <w:vAlign w:val="center"/>
                </w:tcPr>
                <w:p>
                  <w:pPr>
                    <w:jc w:val="center"/>
                    <w:rPr>
                      <w:rFonts w:cs="Times New Roman"/>
                      <w:szCs w:val="21"/>
                    </w:rPr>
                  </w:pPr>
                  <w:r>
                    <w:rPr>
                      <w:rFonts w:cs="Times New Roman"/>
                      <w:szCs w:val="21"/>
                    </w:rPr>
                    <w:t>委托处置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0.5</w:t>
                  </w:r>
                </w:p>
              </w:tc>
              <w:tc>
                <w:tcPr>
                  <w:tcW w:w="795" w:type="pct"/>
                  <w:tcBorders>
                    <w:tl2br w:val="nil"/>
                    <w:tr2bl w:val="nil"/>
                  </w:tcBorders>
                  <w:vAlign w:val="center"/>
                </w:tcPr>
                <w:p>
                  <w:pPr>
                    <w:tabs>
                      <w:tab w:val="left" w:pos="1134"/>
                    </w:tabs>
                    <w:jc w:val="center"/>
                    <w:rPr>
                      <w:rFonts w:cs="Times New Roman"/>
                      <w:szCs w:val="21"/>
                    </w:rPr>
                  </w:pPr>
                  <w:r>
                    <w:rPr>
                      <w:rFonts w:cs="Times New Roman"/>
                      <w:szCs w:val="21"/>
                    </w:rPr>
                    <w:t>外卖给废品回收单位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jc w:val="center"/>
                    <w:rPr>
                      <w:rFonts w:cs="Times New Roman"/>
                      <w:szCs w:val="21"/>
                    </w:rPr>
                  </w:pPr>
                  <w:r>
                    <w:rPr>
                      <w:rFonts w:cs="Times New Roman"/>
                      <w:szCs w:val="21"/>
                    </w:rPr>
                    <w:t>原料包装</w:t>
                  </w:r>
                </w:p>
              </w:tc>
              <w:tc>
                <w:tcPr>
                  <w:tcW w:w="608" w:type="pct"/>
                  <w:tcBorders>
                    <w:tl2br w:val="nil"/>
                    <w:tr2bl w:val="nil"/>
                  </w:tcBorders>
                  <w:vAlign w:val="center"/>
                </w:tcPr>
                <w:p>
                  <w:pPr>
                    <w:jc w:val="center"/>
                    <w:rPr>
                      <w:rFonts w:cs="Times New Roman"/>
                      <w:szCs w:val="21"/>
                    </w:rPr>
                  </w:pPr>
                  <w:r>
                    <w:rPr>
                      <w:rFonts w:cs="Times New Roman"/>
                      <w:szCs w:val="21"/>
                    </w:rPr>
                    <w:t>废危化品桶</w:t>
                  </w:r>
                </w:p>
              </w:tc>
              <w:tc>
                <w:tcPr>
                  <w:tcW w:w="463" w:type="pct"/>
                  <w:tcBorders>
                    <w:tl2br w:val="nil"/>
                    <w:tr2bl w:val="nil"/>
                  </w:tcBorders>
                  <w:vAlign w:val="center"/>
                </w:tcPr>
                <w:p>
                  <w:pPr>
                    <w:jc w:val="center"/>
                    <w:rPr>
                      <w:rFonts w:cs="Times New Roman"/>
                      <w:szCs w:val="21"/>
                    </w:rPr>
                  </w:pPr>
                </w:p>
              </w:tc>
              <w:tc>
                <w:tcPr>
                  <w:tcW w:w="663" w:type="pct"/>
                  <w:tcBorders>
                    <w:tl2br w:val="nil"/>
                    <w:tr2bl w:val="nil"/>
                  </w:tcBorders>
                  <w:vAlign w:val="center"/>
                </w:tcPr>
                <w:p>
                  <w:pPr>
                    <w:autoSpaceDN w:val="0"/>
                    <w:jc w:val="center"/>
                    <w:textAlignment w:val="bottom"/>
                    <w:rPr>
                      <w:rFonts w:cs="Times New Roman"/>
                      <w:szCs w:val="21"/>
                    </w:rPr>
                  </w:pPr>
                  <w:r>
                    <w:rPr>
                      <w:rFonts w:cs="Times New Roman"/>
                      <w:szCs w:val="21"/>
                    </w:rPr>
                    <w:t>1.4</w:t>
                  </w:r>
                </w:p>
              </w:tc>
              <w:tc>
                <w:tcPr>
                  <w:tcW w:w="663" w:type="pct"/>
                  <w:tcBorders>
                    <w:tl2br w:val="nil"/>
                    <w:tr2bl w:val="nil"/>
                  </w:tcBorders>
                  <w:vAlign w:val="center"/>
                </w:tcPr>
                <w:p>
                  <w:pPr>
                    <w:tabs>
                      <w:tab w:val="left" w:pos="1134"/>
                    </w:tabs>
                    <w:jc w:val="center"/>
                    <w:rPr>
                      <w:rFonts w:cs="Times New Roman"/>
                      <w:szCs w:val="21"/>
                    </w:rPr>
                  </w:pPr>
                  <w:r>
                    <w:rPr>
                      <w:rFonts w:cs="Times New Roman"/>
                      <w:szCs w:val="21"/>
                    </w:rPr>
                    <w:t>1.6</w:t>
                  </w:r>
                </w:p>
              </w:tc>
              <w:tc>
                <w:tcPr>
                  <w:tcW w:w="617" w:type="pct"/>
                  <w:tcBorders>
                    <w:tl2br w:val="nil"/>
                    <w:tr2bl w:val="nil"/>
                  </w:tcBorders>
                  <w:vAlign w:val="center"/>
                </w:tcPr>
                <w:p>
                  <w:pPr>
                    <w:jc w:val="center"/>
                    <w:rPr>
                      <w:rFonts w:cs="Times New Roman"/>
                      <w:szCs w:val="21"/>
                    </w:rPr>
                  </w:pPr>
                  <w:r>
                    <w:rPr>
                      <w:rFonts w:cs="Times New Roman"/>
                      <w:szCs w:val="21"/>
                    </w:rPr>
                    <w:t>委托处置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3.0</w:t>
                  </w:r>
                </w:p>
              </w:tc>
              <w:tc>
                <w:tcPr>
                  <w:tcW w:w="795" w:type="pct"/>
                  <w:tcBorders>
                    <w:tl2br w:val="nil"/>
                    <w:tr2bl w:val="nil"/>
                  </w:tcBorders>
                  <w:vAlign w:val="center"/>
                </w:tcPr>
                <w:p>
                  <w:pPr>
                    <w:tabs>
                      <w:tab w:val="left" w:pos="1134"/>
                    </w:tabs>
                    <w:jc w:val="center"/>
                    <w:rPr>
                      <w:rFonts w:cs="Times New Roman"/>
                      <w:szCs w:val="21"/>
                    </w:rPr>
                  </w:pPr>
                  <w:r>
                    <w:rPr>
                      <w:rFonts w:cs="Times New Roman"/>
                      <w:szCs w:val="21"/>
                    </w:rPr>
                    <w:t>定期由厂家回收利用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jc w:val="center"/>
                    <w:rPr>
                      <w:rFonts w:cs="Times New Roman"/>
                      <w:szCs w:val="21"/>
                    </w:rPr>
                  </w:pPr>
                  <w:r>
                    <w:rPr>
                      <w:rFonts w:cs="Times New Roman"/>
                      <w:szCs w:val="21"/>
                    </w:rPr>
                    <w:t>废气治理</w:t>
                  </w:r>
                </w:p>
              </w:tc>
              <w:tc>
                <w:tcPr>
                  <w:tcW w:w="608" w:type="pct"/>
                  <w:tcBorders>
                    <w:tl2br w:val="nil"/>
                    <w:tr2bl w:val="nil"/>
                  </w:tcBorders>
                  <w:vAlign w:val="center"/>
                </w:tcPr>
                <w:p>
                  <w:pPr>
                    <w:jc w:val="center"/>
                    <w:rPr>
                      <w:rFonts w:cs="Times New Roman"/>
                      <w:szCs w:val="21"/>
                    </w:rPr>
                  </w:pPr>
                  <w:r>
                    <w:rPr>
                      <w:rFonts w:cs="Times New Roman"/>
                      <w:szCs w:val="21"/>
                    </w:rPr>
                    <w:t>废活性炭</w:t>
                  </w:r>
                </w:p>
              </w:tc>
              <w:tc>
                <w:tcPr>
                  <w:tcW w:w="463" w:type="pct"/>
                  <w:vMerge w:val="restart"/>
                  <w:tcBorders>
                    <w:tl2br w:val="nil"/>
                    <w:tr2bl w:val="nil"/>
                  </w:tcBorders>
                  <w:vAlign w:val="center"/>
                </w:tcPr>
                <w:p>
                  <w:pPr>
                    <w:jc w:val="center"/>
                    <w:rPr>
                      <w:rFonts w:cs="Times New Roman"/>
                      <w:szCs w:val="21"/>
                    </w:rPr>
                  </w:pPr>
                  <w:r>
                    <w:rPr>
                      <w:rFonts w:cs="Times New Roman"/>
                      <w:szCs w:val="21"/>
                    </w:rPr>
                    <w:t>危险废物</w:t>
                  </w:r>
                </w:p>
              </w:tc>
              <w:tc>
                <w:tcPr>
                  <w:tcW w:w="663" w:type="pct"/>
                  <w:tcBorders>
                    <w:tl2br w:val="nil"/>
                    <w:tr2bl w:val="nil"/>
                  </w:tcBorders>
                  <w:vAlign w:val="center"/>
                </w:tcPr>
                <w:p>
                  <w:pPr>
                    <w:autoSpaceDN w:val="0"/>
                    <w:jc w:val="center"/>
                    <w:textAlignment w:val="bottom"/>
                    <w:rPr>
                      <w:rFonts w:cs="Times New Roman"/>
                      <w:szCs w:val="21"/>
                    </w:rPr>
                  </w:pPr>
                  <w:r>
                    <w:rPr>
                      <w:rFonts w:cs="Times New Roman"/>
                      <w:bCs/>
                      <w:szCs w:val="21"/>
                    </w:rPr>
                    <w:t>12.969</w:t>
                  </w:r>
                </w:p>
              </w:tc>
              <w:tc>
                <w:tcPr>
                  <w:tcW w:w="663" w:type="pct"/>
                  <w:tcBorders>
                    <w:tl2br w:val="nil"/>
                    <w:tr2bl w:val="nil"/>
                  </w:tcBorders>
                  <w:vAlign w:val="center"/>
                </w:tcPr>
                <w:p>
                  <w:pPr>
                    <w:tabs>
                      <w:tab w:val="left" w:pos="1134"/>
                    </w:tabs>
                    <w:jc w:val="center"/>
                    <w:rPr>
                      <w:rFonts w:cs="Times New Roman"/>
                      <w:szCs w:val="21"/>
                    </w:rPr>
                  </w:pPr>
                  <w:r>
                    <w:rPr>
                      <w:rFonts w:cs="Times New Roman"/>
                      <w:bCs/>
                      <w:szCs w:val="21"/>
                    </w:rPr>
                    <w:t>14.964</w:t>
                  </w:r>
                </w:p>
              </w:tc>
              <w:tc>
                <w:tcPr>
                  <w:tcW w:w="617" w:type="pct"/>
                  <w:tcBorders>
                    <w:tl2br w:val="nil"/>
                    <w:tr2bl w:val="nil"/>
                  </w:tcBorders>
                  <w:vAlign w:val="center"/>
                </w:tcPr>
                <w:p>
                  <w:pPr>
                    <w:jc w:val="center"/>
                    <w:rPr>
                      <w:rFonts w:cs="Times New Roman"/>
                      <w:szCs w:val="21"/>
                    </w:rPr>
                  </w:pPr>
                  <w:r>
                    <w:rPr>
                      <w:rFonts w:cs="Times New Roman"/>
                      <w:szCs w:val="21"/>
                    </w:rPr>
                    <w:t>委托处置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27.933</w:t>
                  </w:r>
                </w:p>
              </w:tc>
              <w:tc>
                <w:tcPr>
                  <w:tcW w:w="795" w:type="pct"/>
                  <w:vMerge w:val="restart"/>
                  <w:tcBorders>
                    <w:tl2br w:val="nil"/>
                    <w:tr2bl w:val="nil"/>
                  </w:tcBorders>
                  <w:vAlign w:val="center"/>
                </w:tcPr>
                <w:p>
                  <w:pPr>
                    <w:tabs>
                      <w:tab w:val="left" w:pos="1134"/>
                    </w:tabs>
                    <w:jc w:val="center"/>
                    <w:rPr>
                      <w:rFonts w:cs="Times New Roman"/>
                      <w:szCs w:val="21"/>
                    </w:rPr>
                  </w:pPr>
                  <w:r>
                    <w:rPr>
                      <w:rFonts w:cs="Times New Roman"/>
                      <w:szCs w:val="21"/>
                    </w:rPr>
                    <w:t>交由有危废资质单位处置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jc w:val="center"/>
                    <w:rPr>
                      <w:rFonts w:cs="Times New Roman"/>
                      <w:szCs w:val="21"/>
                    </w:rPr>
                  </w:pPr>
                  <w:r>
                    <w:rPr>
                      <w:rFonts w:cs="Times New Roman"/>
                      <w:szCs w:val="21"/>
                    </w:rPr>
                    <w:t>设备保养</w:t>
                  </w:r>
                </w:p>
              </w:tc>
              <w:tc>
                <w:tcPr>
                  <w:tcW w:w="608" w:type="pct"/>
                  <w:tcBorders>
                    <w:tl2br w:val="nil"/>
                    <w:tr2bl w:val="nil"/>
                  </w:tcBorders>
                  <w:vAlign w:val="center"/>
                </w:tcPr>
                <w:p>
                  <w:pPr>
                    <w:jc w:val="center"/>
                    <w:rPr>
                      <w:rFonts w:cs="Times New Roman"/>
                      <w:szCs w:val="21"/>
                    </w:rPr>
                  </w:pPr>
                  <w:r>
                    <w:rPr>
                      <w:rFonts w:cs="Times New Roman"/>
                      <w:szCs w:val="21"/>
                    </w:rPr>
                    <w:t>废机油</w:t>
                  </w:r>
                </w:p>
              </w:tc>
              <w:tc>
                <w:tcPr>
                  <w:tcW w:w="463" w:type="pct"/>
                  <w:vMerge w:val="continue"/>
                  <w:tcBorders>
                    <w:tl2br w:val="nil"/>
                    <w:tr2bl w:val="nil"/>
                  </w:tcBorders>
                  <w:vAlign w:val="center"/>
                </w:tcPr>
                <w:p>
                  <w:pPr>
                    <w:jc w:val="center"/>
                    <w:rPr>
                      <w:rFonts w:cs="Times New Roman"/>
                      <w:szCs w:val="21"/>
                    </w:rPr>
                  </w:pPr>
                </w:p>
              </w:tc>
              <w:tc>
                <w:tcPr>
                  <w:tcW w:w="663" w:type="pct"/>
                  <w:tcBorders>
                    <w:tl2br w:val="nil"/>
                    <w:tr2bl w:val="nil"/>
                  </w:tcBorders>
                  <w:vAlign w:val="center"/>
                </w:tcPr>
                <w:p>
                  <w:pPr>
                    <w:autoSpaceDN w:val="0"/>
                    <w:jc w:val="center"/>
                    <w:textAlignment w:val="bottom"/>
                    <w:rPr>
                      <w:rFonts w:cs="Times New Roman"/>
                      <w:szCs w:val="21"/>
                    </w:rPr>
                  </w:pPr>
                  <w:r>
                    <w:rPr>
                      <w:rFonts w:cs="Times New Roman"/>
                      <w:szCs w:val="21"/>
                    </w:rPr>
                    <w:t>0.025</w:t>
                  </w:r>
                </w:p>
              </w:tc>
              <w:tc>
                <w:tcPr>
                  <w:tcW w:w="663" w:type="pct"/>
                  <w:tcBorders>
                    <w:tl2br w:val="nil"/>
                    <w:tr2bl w:val="nil"/>
                  </w:tcBorders>
                  <w:vAlign w:val="center"/>
                </w:tcPr>
                <w:p>
                  <w:pPr>
                    <w:tabs>
                      <w:tab w:val="left" w:pos="1134"/>
                    </w:tabs>
                    <w:jc w:val="center"/>
                    <w:rPr>
                      <w:rFonts w:cs="Times New Roman"/>
                      <w:szCs w:val="21"/>
                    </w:rPr>
                  </w:pPr>
                  <w:r>
                    <w:rPr>
                      <w:rFonts w:cs="Times New Roman"/>
                      <w:szCs w:val="21"/>
                    </w:rPr>
                    <w:t>0.025</w:t>
                  </w:r>
                </w:p>
              </w:tc>
              <w:tc>
                <w:tcPr>
                  <w:tcW w:w="617" w:type="pct"/>
                  <w:tcBorders>
                    <w:tl2br w:val="nil"/>
                    <w:tr2bl w:val="nil"/>
                  </w:tcBorders>
                  <w:vAlign w:val="center"/>
                </w:tcPr>
                <w:p>
                  <w:pPr>
                    <w:jc w:val="center"/>
                    <w:rPr>
                      <w:rFonts w:cs="Times New Roman"/>
                      <w:szCs w:val="21"/>
                    </w:rPr>
                  </w:pPr>
                  <w:r>
                    <w:rPr>
                      <w:rFonts w:cs="Times New Roman"/>
                      <w:szCs w:val="21"/>
                    </w:rPr>
                    <w:t>委托处置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0.05</w:t>
                  </w:r>
                </w:p>
              </w:tc>
              <w:tc>
                <w:tcPr>
                  <w:tcW w:w="795" w:type="pct"/>
                  <w:vMerge w:val="continue"/>
                  <w:tcBorders>
                    <w:tl2br w:val="nil"/>
                    <w:tr2bl w:val="nil"/>
                  </w:tcBorders>
                  <w:vAlign w:val="center"/>
                </w:tcPr>
                <w:p>
                  <w:pPr>
                    <w:tabs>
                      <w:tab w:val="left" w:pos="1134"/>
                    </w:tabs>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04" w:type="pct"/>
                  <w:tcBorders>
                    <w:tl2br w:val="nil"/>
                    <w:tr2bl w:val="nil"/>
                  </w:tcBorders>
                  <w:vAlign w:val="center"/>
                </w:tcPr>
                <w:p>
                  <w:pPr>
                    <w:jc w:val="center"/>
                    <w:rPr>
                      <w:rFonts w:cs="Times New Roman"/>
                      <w:szCs w:val="21"/>
                    </w:rPr>
                  </w:pPr>
                  <w:r>
                    <w:rPr>
                      <w:rFonts w:cs="Times New Roman"/>
                      <w:szCs w:val="21"/>
                    </w:rPr>
                    <w:t>生产及设备保养</w:t>
                  </w:r>
                </w:p>
              </w:tc>
              <w:tc>
                <w:tcPr>
                  <w:tcW w:w="608" w:type="pct"/>
                  <w:tcBorders>
                    <w:tl2br w:val="nil"/>
                    <w:tr2bl w:val="nil"/>
                  </w:tcBorders>
                  <w:vAlign w:val="center"/>
                </w:tcPr>
                <w:p>
                  <w:pPr>
                    <w:jc w:val="center"/>
                    <w:rPr>
                      <w:rFonts w:cs="Times New Roman"/>
                      <w:szCs w:val="21"/>
                    </w:rPr>
                  </w:pPr>
                  <w:r>
                    <w:rPr>
                      <w:rFonts w:cs="Times New Roman"/>
                      <w:szCs w:val="21"/>
                    </w:rPr>
                    <w:t>含油抹布及手套</w:t>
                  </w:r>
                </w:p>
              </w:tc>
              <w:tc>
                <w:tcPr>
                  <w:tcW w:w="463" w:type="pct"/>
                  <w:vMerge w:val="continue"/>
                  <w:tcBorders>
                    <w:tl2br w:val="nil"/>
                    <w:tr2bl w:val="nil"/>
                  </w:tcBorders>
                  <w:vAlign w:val="center"/>
                </w:tcPr>
                <w:p>
                  <w:pPr>
                    <w:jc w:val="center"/>
                    <w:rPr>
                      <w:rFonts w:cs="Times New Roman"/>
                      <w:szCs w:val="21"/>
                    </w:rPr>
                  </w:pPr>
                </w:p>
              </w:tc>
              <w:tc>
                <w:tcPr>
                  <w:tcW w:w="663" w:type="pct"/>
                  <w:tcBorders>
                    <w:tl2br w:val="nil"/>
                    <w:tr2bl w:val="nil"/>
                  </w:tcBorders>
                  <w:vAlign w:val="center"/>
                </w:tcPr>
                <w:p>
                  <w:pPr>
                    <w:autoSpaceDN w:val="0"/>
                    <w:jc w:val="center"/>
                    <w:textAlignment w:val="bottom"/>
                    <w:rPr>
                      <w:rFonts w:cs="Times New Roman"/>
                      <w:szCs w:val="21"/>
                    </w:rPr>
                  </w:pPr>
                  <w:r>
                    <w:rPr>
                      <w:rFonts w:cs="Times New Roman"/>
                      <w:szCs w:val="21"/>
                    </w:rPr>
                    <w:t>0.005</w:t>
                  </w:r>
                </w:p>
              </w:tc>
              <w:tc>
                <w:tcPr>
                  <w:tcW w:w="663" w:type="pct"/>
                  <w:tcBorders>
                    <w:tl2br w:val="nil"/>
                    <w:tr2bl w:val="nil"/>
                  </w:tcBorders>
                  <w:vAlign w:val="center"/>
                </w:tcPr>
                <w:p>
                  <w:pPr>
                    <w:tabs>
                      <w:tab w:val="left" w:pos="1134"/>
                    </w:tabs>
                    <w:jc w:val="center"/>
                    <w:rPr>
                      <w:rFonts w:cs="Times New Roman"/>
                      <w:szCs w:val="21"/>
                    </w:rPr>
                  </w:pPr>
                  <w:r>
                    <w:rPr>
                      <w:rFonts w:cs="Times New Roman"/>
                      <w:szCs w:val="21"/>
                    </w:rPr>
                    <w:t>0.005</w:t>
                  </w:r>
                </w:p>
              </w:tc>
              <w:tc>
                <w:tcPr>
                  <w:tcW w:w="617" w:type="pct"/>
                  <w:tcBorders>
                    <w:tl2br w:val="nil"/>
                    <w:tr2bl w:val="nil"/>
                  </w:tcBorders>
                  <w:vAlign w:val="center"/>
                </w:tcPr>
                <w:p>
                  <w:pPr>
                    <w:jc w:val="center"/>
                    <w:rPr>
                      <w:rFonts w:cs="Times New Roman"/>
                      <w:szCs w:val="21"/>
                    </w:rPr>
                  </w:pPr>
                  <w:r>
                    <w:rPr>
                      <w:rFonts w:cs="Times New Roman"/>
                      <w:szCs w:val="21"/>
                    </w:rPr>
                    <w:t>委托处置</w:t>
                  </w:r>
                </w:p>
              </w:tc>
              <w:tc>
                <w:tcPr>
                  <w:tcW w:w="584" w:type="pct"/>
                  <w:tcBorders>
                    <w:tl2br w:val="nil"/>
                    <w:tr2bl w:val="nil"/>
                  </w:tcBorders>
                  <w:vAlign w:val="center"/>
                </w:tcPr>
                <w:p>
                  <w:pPr>
                    <w:tabs>
                      <w:tab w:val="left" w:pos="1134"/>
                    </w:tabs>
                    <w:jc w:val="center"/>
                    <w:rPr>
                      <w:rFonts w:cs="Times New Roman"/>
                      <w:szCs w:val="21"/>
                    </w:rPr>
                  </w:pPr>
                  <w:r>
                    <w:rPr>
                      <w:rFonts w:cs="Times New Roman"/>
                      <w:szCs w:val="21"/>
                    </w:rPr>
                    <w:t>0.01</w:t>
                  </w:r>
                </w:p>
              </w:tc>
              <w:tc>
                <w:tcPr>
                  <w:tcW w:w="795" w:type="pct"/>
                  <w:vMerge w:val="continue"/>
                  <w:tcBorders>
                    <w:tl2br w:val="nil"/>
                    <w:tr2bl w:val="nil"/>
                  </w:tcBorders>
                  <w:vAlign w:val="center"/>
                </w:tcPr>
                <w:p>
                  <w:pPr>
                    <w:tabs>
                      <w:tab w:val="left" w:pos="1134"/>
                    </w:tabs>
                    <w:jc w:val="center"/>
                    <w:rPr>
                      <w:rFonts w:cs="Times New Roman"/>
                      <w:szCs w:val="21"/>
                    </w:rPr>
                  </w:pPr>
                </w:p>
              </w:tc>
            </w:tr>
          </w:tbl>
          <w:p>
            <w:pPr>
              <w:spacing w:line="360" w:lineRule="auto"/>
              <w:ind w:firstLine="480" w:firstLineChars="200"/>
              <w:rPr>
                <w:rFonts w:cs="Times New Roman"/>
                <w:sz w:val="24"/>
                <w:szCs w:val="24"/>
              </w:rPr>
            </w:pPr>
            <w:r>
              <w:rPr>
                <w:rFonts w:cs="Times New Roman"/>
                <w:sz w:val="24"/>
                <w:szCs w:val="24"/>
              </w:rPr>
              <w:t>项目设置有危废暂存间，进行了重点防渗，并设置有围堰，标识标牌等。综上所述，本项目危废暂存间基本情况见表4-23，危险废物处置措施见表4-24。</w:t>
            </w:r>
          </w:p>
          <w:p>
            <w:pPr>
              <w:spacing w:line="360" w:lineRule="auto"/>
              <w:jc w:val="center"/>
              <w:rPr>
                <w:rFonts w:cs="Times New Roman"/>
                <w:b/>
                <w:bCs/>
                <w:sz w:val="24"/>
                <w:szCs w:val="24"/>
              </w:rPr>
            </w:pPr>
            <w:r>
              <w:rPr>
                <w:rFonts w:cs="Times New Roman"/>
                <w:b/>
                <w:bCs/>
                <w:sz w:val="24"/>
                <w:szCs w:val="24"/>
              </w:rPr>
              <w:t>表4-23 危险废物贮存场所基本情况表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6" w:type="dxa"/>
                <w:bottom w:w="0" w:type="dxa"/>
                <w:right w:w="6" w:type="dxa"/>
              </w:tblCellMar>
            </w:tblPr>
            <w:tblGrid>
              <w:gridCol w:w="743"/>
              <w:gridCol w:w="1283"/>
              <w:gridCol w:w="1068"/>
              <w:gridCol w:w="1201"/>
              <w:gridCol w:w="698"/>
              <w:gridCol w:w="719"/>
              <w:gridCol w:w="1184"/>
              <w:gridCol w:w="851"/>
              <w:gridCol w:w="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28" w:type="pct"/>
                  <w:tcBorders>
                    <w:tl2br w:val="nil"/>
                    <w:tr2bl w:val="nil"/>
                  </w:tcBorders>
                  <w:vAlign w:val="center"/>
                </w:tcPr>
                <w:p>
                  <w:pPr>
                    <w:jc w:val="center"/>
                    <w:rPr>
                      <w:rFonts w:cs="Times New Roman"/>
                      <w:b/>
                      <w:bCs/>
                      <w:szCs w:val="21"/>
                    </w:rPr>
                  </w:pPr>
                  <w:r>
                    <w:rPr>
                      <w:rFonts w:cs="Times New Roman"/>
                      <w:b/>
                      <w:bCs/>
                      <w:szCs w:val="21"/>
                    </w:rPr>
                    <w:t>贮存场所名称</w:t>
                  </w:r>
                </w:p>
              </w:tc>
              <w:tc>
                <w:tcPr>
                  <w:tcW w:w="739" w:type="pct"/>
                  <w:tcBorders>
                    <w:tl2br w:val="nil"/>
                    <w:tr2bl w:val="nil"/>
                  </w:tcBorders>
                  <w:vAlign w:val="center"/>
                </w:tcPr>
                <w:p>
                  <w:pPr>
                    <w:jc w:val="center"/>
                    <w:rPr>
                      <w:rFonts w:cs="Times New Roman"/>
                      <w:b/>
                      <w:bCs/>
                      <w:szCs w:val="21"/>
                    </w:rPr>
                  </w:pPr>
                  <w:r>
                    <w:rPr>
                      <w:rFonts w:cs="Times New Roman"/>
                      <w:b/>
                      <w:bCs/>
                      <w:szCs w:val="21"/>
                    </w:rPr>
                    <w:t>危险废物名称</w:t>
                  </w:r>
                </w:p>
              </w:tc>
              <w:tc>
                <w:tcPr>
                  <w:tcW w:w="615" w:type="pct"/>
                  <w:tcBorders>
                    <w:tl2br w:val="nil"/>
                    <w:tr2bl w:val="nil"/>
                  </w:tcBorders>
                  <w:vAlign w:val="center"/>
                </w:tcPr>
                <w:p>
                  <w:pPr>
                    <w:jc w:val="center"/>
                    <w:rPr>
                      <w:rFonts w:cs="Times New Roman"/>
                      <w:b/>
                      <w:bCs/>
                      <w:szCs w:val="21"/>
                    </w:rPr>
                  </w:pPr>
                  <w:r>
                    <w:rPr>
                      <w:rFonts w:cs="Times New Roman"/>
                      <w:b/>
                      <w:bCs/>
                      <w:szCs w:val="21"/>
                    </w:rPr>
                    <w:t>危险废物类别</w:t>
                  </w:r>
                </w:p>
              </w:tc>
              <w:tc>
                <w:tcPr>
                  <w:tcW w:w="692" w:type="pct"/>
                  <w:tcBorders>
                    <w:tl2br w:val="nil"/>
                    <w:tr2bl w:val="nil"/>
                  </w:tcBorders>
                  <w:vAlign w:val="center"/>
                </w:tcPr>
                <w:p>
                  <w:pPr>
                    <w:jc w:val="center"/>
                    <w:rPr>
                      <w:rFonts w:cs="Times New Roman"/>
                      <w:b/>
                      <w:bCs/>
                      <w:szCs w:val="21"/>
                    </w:rPr>
                  </w:pPr>
                  <w:r>
                    <w:rPr>
                      <w:rFonts w:cs="Times New Roman"/>
                      <w:b/>
                      <w:bCs/>
                      <w:szCs w:val="21"/>
                    </w:rPr>
                    <w:t>危险废物</w:t>
                  </w:r>
                </w:p>
                <w:p>
                  <w:pPr>
                    <w:jc w:val="center"/>
                    <w:rPr>
                      <w:rFonts w:cs="Times New Roman"/>
                      <w:b/>
                      <w:bCs/>
                      <w:szCs w:val="21"/>
                    </w:rPr>
                  </w:pPr>
                  <w:r>
                    <w:rPr>
                      <w:rFonts w:cs="Times New Roman"/>
                      <w:b/>
                      <w:bCs/>
                      <w:szCs w:val="21"/>
                    </w:rPr>
                    <w:t>代码</w:t>
                  </w:r>
                </w:p>
              </w:tc>
              <w:tc>
                <w:tcPr>
                  <w:tcW w:w="402" w:type="pct"/>
                  <w:tcBorders>
                    <w:tl2br w:val="nil"/>
                    <w:tr2bl w:val="nil"/>
                  </w:tcBorders>
                  <w:vAlign w:val="center"/>
                </w:tcPr>
                <w:p>
                  <w:pPr>
                    <w:jc w:val="center"/>
                    <w:rPr>
                      <w:rFonts w:cs="Times New Roman"/>
                      <w:b/>
                      <w:bCs/>
                      <w:szCs w:val="21"/>
                    </w:rPr>
                  </w:pPr>
                  <w:r>
                    <w:rPr>
                      <w:rFonts w:cs="Times New Roman"/>
                      <w:b/>
                      <w:bCs/>
                      <w:szCs w:val="21"/>
                    </w:rPr>
                    <w:t>位置</w:t>
                  </w:r>
                </w:p>
              </w:tc>
              <w:tc>
                <w:tcPr>
                  <w:tcW w:w="414" w:type="pct"/>
                  <w:tcBorders>
                    <w:tl2br w:val="nil"/>
                    <w:tr2bl w:val="nil"/>
                  </w:tcBorders>
                  <w:vAlign w:val="center"/>
                </w:tcPr>
                <w:p>
                  <w:pPr>
                    <w:jc w:val="center"/>
                    <w:rPr>
                      <w:rFonts w:cs="Times New Roman"/>
                      <w:b/>
                      <w:bCs/>
                      <w:szCs w:val="21"/>
                    </w:rPr>
                  </w:pPr>
                  <w:r>
                    <w:rPr>
                      <w:rFonts w:cs="Times New Roman"/>
                      <w:b/>
                      <w:bCs/>
                      <w:szCs w:val="21"/>
                    </w:rPr>
                    <w:t>占地</w:t>
                  </w:r>
                </w:p>
                <w:p>
                  <w:pPr>
                    <w:jc w:val="center"/>
                    <w:rPr>
                      <w:rFonts w:cs="Times New Roman"/>
                      <w:b/>
                      <w:bCs/>
                      <w:szCs w:val="21"/>
                    </w:rPr>
                  </w:pPr>
                  <w:r>
                    <w:rPr>
                      <w:rFonts w:cs="Times New Roman"/>
                      <w:b/>
                      <w:bCs/>
                      <w:szCs w:val="21"/>
                    </w:rPr>
                    <w:t>面积</w:t>
                  </w:r>
                </w:p>
              </w:tc>
              <w:tc>
                <w:tcPr>
                  <w:tcW w:w="682" w:type="pct"/>
                  <w:tcBorders>
                    <w:tl2br w:val="nil"/>
                    <w:tr2bl w:val="nil"/>
                  </w:tcBorders>
                  <w:vAlign w:val="center"/>
                </w:tcPr>
                <w:p>
                  <w:pPr>
                    <w:jc w:val="center"/>
                    <w:rPr>
                      <w:rFonts w:cs="Times New Roman"/>
                      <w:b/>
                      <w:bCs/>
                      <w:szCs w:val="21"/>
                    </w:rPr>
                  </w:pPr>
                  <w:r>
                    <w:rPr>
                      <w:rFonts w:cs="Times New Roman"/>
                      <w:b/>
                      <w:bCs/>
                      <w:szCs w:val="21"/>
                    </w:rPr>
                    <w:t>贮存方式</w:t>
                  </w:r>
                </w:p>
              </w:tc>
              <w:tc>
                <w:tcPr>
                  <w:tcW w:w="490" w:type="pct"/>
                  <w:tcBorders>
                    <w:tl2br w:val="nil"/>
                    <w:tr2bl w:val="nil"/>
                  </w:tcBorders>
                  <w:vAlign w:val="center"/>
                </w:tcPr>
                <w:p>
                  <w:pPr>
                    <w:jc w:val="center"/>
                    <w:rPr>
                      <w:rFonts w:cs="Times New Roman"/>
                      <w:b/>
                      <w:bCs/>
                      <w:szCs w:val="21"/>
                    </w:rPr>
                  </w:pPr>
                  <w:r>
                    <w:rPr>
                      <w:rFonts w:cs="Times New Roman"/>
                      <w:b/>
                      <w:bCs/>
                      <w:szCs w:val="21"/>
                    </w:rPr>
                    <w:t>贮存</w:t>
                  </w:r>
                </w:p>
                <w:p>
                  <w:pPr>
                    <w:jc w:val="center"/>
                    <w:rPr>
                      <w:rFonts w:cs="Times New Roman"/>
                      <w:b/>
                      <w:bCs/>
                      <w:szCs w:val="21"/>
                    </w:rPr>
                  </w:pPr>
                  <w:r>
                    <w:rPr>
                      <w:rFonts w:cs="Times New Roman"/>
                      <w:b/>
                      <w:bCs/>
                      <w:szCs w:val="21"/>
                    </w:rPr>
                    <w:t>能力</w:t>
                  </w:r>
                </w:p>
              </w:tc>
              <w:tc>
                <w:tcPr>
                  <w:tcW w:w="533" w:type="pct"/>
                  <w:tcBorders>
                    <w:tl2br w:val="nil"/>
                    <w:tr2bl w:val="nil"/>
                  </w:tcBorders>
                  <w:vAlign w:val="center"/>
                </w:tcPr>
                <w:p>
                  <w:pPr>
                    <w:jc w:val="center"/>
                    <w:rPr>
                      <w:rFonts w:cs="Times New Roman"/>
                      <w:b/>
                      <w:bCs/>
                      <w:szCs w:val="21"/>
                    </w:rPr>
                  </w:pPr>
                  <w:r>
                    <w:rPr>
                      <w:rFonts w:cs="Times New Roman"/>
                      <w:b/>
                      <w:bCs/>
                      <w:szCs w:val="21"/>
                    </w:rPr>
                    <w:t>贮存</w:t>
                  </w:r>
                </w:p>
                <w:p>
                  <w:pPr>
                    <w:jc w:val="center"/>
                    <w:rPr>
                      <w:rFonts w:cs="Times New Roman"/>
                      <w:b/>
                      <w:bCs/>
                      <w:szCs w:val="21"/>
                    </w:rPr>
                  </w:pPr>
                  <w:r>
                    <w:rPr>
                      <w:rFonts w:cs="Times New Roman"/>
                      <w:b/>
                      <w:bCs/>
                      <w:szCs w:val="21"/>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28" w:type="pct"/>
                  <w:vMerge w:val="restart"/>
                  <w:tcBorders>
                    <w:tl2br w:val="nil"/>
                    <w:tr2bl w:val="nil"/>
                  </w:tcBorders>
                  <w:vAlign w:val="center"/>
                </w:tcPr>
                <w:p>
                  <w:pPr>
                    <w:jc w:val="center"/>
                    <w:rPr>
                      <w:rFonts w:cs="Times New Roman"/>
                      <w:szCs w:val="21"/>
                    </w:rPr>
                  </w:pPr>
                  <w:r>
                    <w:rPr>
                      <w:rFonts w:cs="Times New Roman"/>
                      <w:szCs w:val="21"/>
                    </w:rPr>
                    <w:t>危废暂存间</w:t>
                  </w:r>
                </w:p>
              </w:tc>
              <w:tc>
                <w:tcPr>
                  <w:tcW w:w="739" w:type="pct"/>
                  <w:tcBorders>
                    <w:tl2br w:val="nil"/>
                    <w:tr2bl w:val="nil"/>
                  </w:tcBorders>
                  <w:vAlign w:val="center"/>
                </w:tcPr>
                <w:p>
                  <w:pPr>
                    <w:jc w:val="center"/>
                    <w:rPr>
                      <w:rFonts w:cs="Times New Roman"/>
                      <w:szCs w:val="21"/>
                    </w:rPr>
                  </w:pPr>
                  <w:r>
                    <w:rPr>
                      <w:rFonts w:cs="Times New Roman"/>
                      <w:szCs w:val="21"/>
                    </w:rPr>
                    <w:t>废危化品桶</w:t>
                  </w:r>
                </w:p>
              </w:tc>
              <w:tc>
                <w:tcPr>
                  <w:tcW w:w="615" w:type="pct"/>
                  <w:tcBorders>
                    <w:tl2br w:val="nil"/>
                    <w:tr2bl w:val="nil"/>
                  </w:tcBorders>
                  <w:vAlign w:val="center"/>
                </w:tcPr>
                <w:p>
                  <w:pPr>
                    <w:jc w:val="center"/>
                    <w:rPr>
                      <w:rFonts w:cs="Times New Roman"/>
                      <w:szCs w:val="21"/>
                    </w:rPr>
                  </w:pPr>
                  <w:r>
                    <w:rPr>
                      <w:rFonts w:cs="Times New Roman"/>
                      <w:szCs w:val="21"/>
                    </w:rPr>
                    <w:t>HW49</w:t>
                  </w:r>
                </w:p>
              </w:tc>
              <w:tc>
                <w:tcPr>
                  <w:tcW w:w="692" w:type="pct"/>
                  <w:tcBorders>
                    <w:tl2br w:val="nil"/>
                    <w:tr2bl w:val="nil"/>
                  </w:tcBorders>
                  <w:vAlign w:val="center"/>
                </w:tcPr>
                <w:p>
                  <w:pPr>
                    <w:jc w:val="center"/>
                    <w:rPr>
                      <w:rFonts w:cs="Times New Roman"/>
                      <w:szCs w:val="21"/>
                    </w:rPr>
                  </w:pPr>
                  <w:r>
                    <w:rPr>
                      <w:rFonts w:cs="Times New Roman"/>
                      <w:szCs w:val="21"/>
                    </w:rPr>
                    <w:t xml:space="preserve"> 900-041-49</w:t>
                  </w:r>
                </w:p>
              </w:tc>
              <w:tc>
                <w:tcPr>
                  <w:tcW w:w="402" w:type="pct"/>
                  <w:vMerge w:val="restart"/>
                  <w:tcBorders>
                    <w:tl2br w:val="nil"/>
                    <w:tr2bl w:val="nil"/>
                  </w:tcBorders>
                  <w:vAlign w:val="center"/>
                </w:tcPr>
                <w:p>
                  <w:pPr>
                    <w:jc w:val="center"/>
                    <w:rPr>
                      <w:rFonts w:cs="Times New Roman"/>
                      <w:szCs w:val="21"/>
                    </w:rPr>
                  </w:pPr>
                  <w:r>
                    <w:rPr>
                      <w:rFonts w:cs="Times New Roman"/>
                      <w:szCs w:val="21"/>
                      <w:lang w:bidi="ar"/>
                    </w:rPr>
                    <w:t>生产车间东北侧</w:t>
                  </w:r>
                </w:p>
              </w:tc>
              <w:tc>
                <w:tcPr>
                  <w:tcW w:w="414" w:type="pct"/>
                  <w:vMerge w:val="restart"/>
                  <w:tcBorders>
                    <w:tl2br w:val="nil"/>
                    <w:tr2bl w:val="nil"/>
                  </w:tcBorders>
                  <w:vAlign w:val="center"/>
                </w:tcPr>
                <w:p>
                  <w:pPr>
                    <w:jc w:val="center"/>
                    <w:rPr>
                      <w:rFonts w:cs="Times New Roman"/>
                      <w:szCs w:val="21"/>
                    </w:rPr>
                  </w:pPr>
                  <w:r>
                    <w:rPr>
                      <w:rFonts w:cs="Times New Roman"/>
                      <w:szCs w:val="21"/>
                    </w:rPr>
                    <w:t>15m</w:t>
                  </w:r>
                  <w:r>
                    <w:rPr>
                      <w:rFonts w:cs="Times New Roman"/>
                      <w:szCs w:val="21"/>
                      <w:vertAlign w:val="superscript"/>
                    </w:rPr>
                    <w:t>2</w:t>
                  </w:r>
                </w:p>
              </w:tc>
              <w:tc>
                <w:tcPr>
                  <w:tcW w:w="682" w:type="pct"/>
                  <w:vMerge w:val="restart"/>
                  <w:tcBorders>
                    <w:tl2br w:val="nil"/>
                    <w:tr2bl w:val="nil"/>
                  </w:tcBorders>
                  <w:vAlign w:val="center"/>
                </w:tcPr>
                <w:p>
                  <w:pPr>
                    <w:jc w:val="center"/>
                    <w:rPr>
                      <w:rFonts w:cs="Times New Roman"/>
                      <w:szCs w:val="21"/>
                    </w:rPr>
                  </w:pPr>
                  <w:r>
                    <w:rPr>
                      <w:rFonts w:cs="Times New Roman"/>
                      <w:szCs w:val="21"/>
                    </w:rPr>
                    <w:t>专用桶装</w:t>
                  </w:r>
                </w:p>
              </w:tc>
              <w:tc>
                <w:tcPr>
                  <w:tcW w:w="490" w:type="pct"/>
                  <w:tcBorders>
                    <w:tl2br w:val="nil"/>
                    <w:tr2bl w:val="nil"/>
                  </w:tcBorders>
                  <w:vAlign w:val="center"/>
                </w:tcPr>
                <w:p>
                  <w:pPr>
                    <w:jc w:val="center"/>
                    <w:rPr>
                      <w:rFonts w:cs="Times New Roman"/>
                      <w:szCs w:val="21"/>
                    </w:rPr>
                  </w:pPr>
                  <w:r>
                    <w:rPr>
                      <w:rFonts w:cs="Times New Roman"/>
                      <w:szCs w:val="21"/>
                    </w:rPr>
                    <w:t>5t</w:t>
                  </w:r>
                </w:p>
              </w:tc>
              <w:tc>
                <w:tcPr>
                  <w:tcW w:w="533" w:type="pct"/>
                  <w:tcBorders>
                    <w:tl2br w:val="nil"/>
                    <w:tr2bl w:val="nil"/>
                  </w:tcBorders>
                  <w:vAlign w:val="center"/>
                </w:tcPr>
                <w:p>
                  <w:pPr>
                    <w:jc w:val="center"/>
                    <w:rPr>
                      <w:rFonts w:cs="Times New Roman"/>
                      <w:szCs w:val="21"/>
                    </w:rPr>
                  </w:pPr>
                  <w:r>
                    <w:rPr>
                      <w:rFonts w:cs="Times New Roman"/>
                      <w:szCs w:val="21"/>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28" w:type="pct"/>
                  <w:vMerge w:val="continue"/>
                  <w:tcBorders>
                    <w:tl2br w:val="nil"/>
                    <w:tr2bl w:val="nil"/>
                  </w:tcBorders>
                  <w:vAlign w:val="center"/>
                </w:tcPr>
                <w:p>
                  <w:pPr>
                    <w:jc w:val="center"/>
                    <w:rPr>
                      <w:rFonts w:cs="Times New Roman"/>
                      <w:szCs w:val="21"/>
                    </w:rPr>
                  </w:pPr>
                </w:p>
              </w:tc>
              <w:tc>
                <w:tcPr>
                  <w:tcW w:w="739" w:type="pct"/>
                  <w:tcBorders>
                    <w:tl2br w:val="nil"/>
                    <w:tr2bl w:val="nil"/>
                  </w:tcBorders>
                  <w:vAlign w:val="center"/>
                </w:tcPr>
                <w:p>
                  <w:pPr>
                    <w:jc w:val="center"/>
                    <w:rPr>
                      <w:rFonts w:cs="Times New Roman"/>
                      <w:szCs w:val="21"/>
                    </w:rPr>
                  </w:pPr>
                  <w:r>
                    <w:rPr>
                      <w:rFonts w:cs="Times New Roman"/>
                      <w:szCs w:val="21"/>
                    </w:rPr>
                    <w:t>废活性炭</w:t>
                  </w:r>
                </w:p>
              </w:tc>
              <w:tc>
                <w:tcPr>
                  <w:tcW w:w="615" w:type="pct"/>
                  <w:tcBorders>
                    <w:tl2br w:val="nil"/>
                    <w:tr2bl w:val="nil"/>
                  </w:tcBorders>
                  <w:vAlign w:val="center"/>
                </w:tcPr>
                <w:p>
                  <w:pPr>
                    <w:jc w:val="center"/>
                    <w:rPr>
                      <w:rFonts w:cs="Times New Roman"/>
                      <w:szCs w:val="21"/>
                    </w:rPr>
                  </w:pPr>
                  <w:r>
                    <w:rPr>
                      <w:rFonts w:cs="Times New Roman"/>
                      <w:szCs w:val="21"/>
                    </w:rPr>
                    <w:t>HW49</w:t>
                  </w:r>
                </w:p>
              </w:tc>
              <w:tc>
                <w:tcPr>
                  <w:tcW w:w="692" w:type="pct"/>
                  <w:tcBorders>
                    <w:tl2br w:val="nil"/>
                    <w:tr2bl w:val="nil"/>
                  </w:tcBorders>
                  <w:vAlign w:val="center"/>
                </w:tcPr>
                <w:p>
                  <w:pPr>
                    <w:jc w:val="center"/>
                    <w:rPr>
                      <w:rFonts w:cs="Times New Roman"/>
                      <w:szCs w:val="21"/>
                    </w:rPr>
                  </w:pPr>
                  <w:r>
                    <w:rPr>
                      <w:rFonts w:cs="Times New Roman"/>
                      <w:szCs w:val="21"/>
                    </w:rPr>
                    <w:t>900-041-49</w:t>
                  </w:r>
                </w:p>
              </w:tc>
              <w:tc>
                <w:tcPr>
                  <w:tcW w:w="402" w:type="pct"/>
                  <w:vMerge w:val="continue"/>
                  <w:tcBorders>
                    <w:tl2br w:val="nil"/>
                    <w:tr2bl w:val="nil"/>
                  </w:tcBorders>
                  <w:vAlign w:val="center"/>
                </w:tcPr>
                <w:p>
                  <w:pPr>
                    <w:jc w:val="center"/>
                    <w:rPr>
                      <w:rFonts w:cs="Times New Roman"/>
                      <w:szCs w:val="21"/>
                    </w:rPr>
                  </w:pPr>
                </w:p>
              </w:tc>
              <w:tc>
                <w:tcPr>
                  <w:tcW w:w="414" w:type="pct"/>
                  <w:vMerge w:val="continue"/>
                  <w:tcBorders>
                    <w:tl2br w:val="nil"/>
                    <w:tr2bl w:val="nil"/>
                  </w:tcBorders>
                  <w:vAlign w:val="center"/>
                </w:tcPr>
                <w:p>
                  <w:pPr>
                    <w:jc w:val="center"/>
                    <w:rPr>
                      <w:rFonts w:cs="Times New Roman"/>
                      <w:szCs w:val="21"/>
                    </w:rPr>
                  </w:pPr>
                </w:p>
              </w:tc>
              <w:tc>
                <w:tcPr>
                  <w:tcW w:w="682" w:type="pct"/>
                  <w:vMerge w:val="continue"/>
                  <w:tcBorders>
                    <w:tl2br w:val="nil"/>
                    <w:tr2bl w:val="nil"/>
                  </w:tcBorders>
                  <w:vAlign w:val="center"/>
                </w:tcPr>
                <w:p>
                  <w:pPr>
                    <w:jc w:val="center"/>
                    <w:rPr>
                      <w:rFonts w:cs="Times New Roman"/>
                      <w:szCs w:val="21"/>
                    </w:rPr>
                  </w:pPr>
                </w:p>
              </w:tc>
              <w:tc>
                <w:tcPr>
                  <w:tcW w:w="490" w:type="pct"/>
                  <w:tcBorders>
                    <w:tl2br w:val="nil"/>
                    <w:tr2bl w:val="nil"/>
                  </w:tcBorders>
                  <w:vAlign w:val="center"/>
                </w:tcPr>
                <w:p>
                  <w:pPr>
                    <w:jc w:val="center"/>
                    <w:rPr>
                      <w:rFonts w:cs="Times New Roman"/>
                      <w:szCs w:val="21"/>
                    </w:rPr>
                  </w:pPr>
                  <w:r>
                    <w:rPr>
                      <w:rFonts w:cs="Times New Roman"/>
                      <w:szCs w:val="21"/>
                    </w:rPr>
                    <w:t>15t</w:t>
                  </w:r>
                </w:p>
              </w:tc>
              <w:tc>
                <w:tcPr>
                  <w:tcW w:w="533" w:type="pct"/>
                  <w:tcBorders>
                    <w:tl2br w:val="nil"/>
                    <w:tr2bl w:val="nil"/>
                  </w:tcBorders>
                  <w:vAlign w:val="center"/>
                </w:tcPr>
                <w:p>
                  <w:pPr>
                    <w:jc w:val="center"/>
                    <w:rPr>
                      <w:rFonts w:cs="Times New Roman"/>
                      <w:szCs w:val="21"/>
                    </w:rPr>
                  </w:pPr>
                  <w:r>
                    <w:rPr>
                      <w:rFonts w:cs="Times New Roman"/>
                      <w:szCs w:val="21"/>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28" w:type="pct"/>
                  <w:vMerge w:val="continue"/>
                  <w:tcBorders>
                    <w:tl2br w:val="nil"/>
                    <w:tr2bl w:val="nil"/>
                  </w:tcBorders>
                  <w:vAlign w:val="center"/>
                </w:tcPr>
                <w:p>
                  <w:pPr>
                    <w:jc w:val="center"/>
                    <w:rPr>
                      <w:rFonts w:cs="Times New Roman"/>
                      <w:szCs w:val="21"/>
                    </w:rPr>
                  </w:pPr>
                </w:p>
              </w:tc>
              <w:tc>
                <w:tcPr>
                  <w:tcW w:w="739" w:type="pct"/>
                  <w:tcBorders>
                    <w:tl2br w:val="nil"/>
                    <w:tr2bl w:val="nil"/>
                  </w:tcBorders>
                  <w:vAlign w:val="center"/>
                </w:tcPr>
                <w:p>
                  <w:pPr>
                    <w:jc w:val="center"/>
                    <w:rPr>
                      <w:rFonts w:cs="Times New Roman"/>
                      <w:szCs w:val="21"/>
                    </w:rPr>
                  </w:pPr>
                  <w:r>
                    <w:rPr>
                      <w:rFonts w:cs="Times New Roman"/>
                      <w:szCs w:val="21"/>
                    </w:rPr>
                    <w:t>废机油</w:t>
                  </w:r>
                </w:p>
              </w:tc>
              <w:tc>
                <w:tcPr>
                  <w:tcW w:w="615" w:type="pct"/>
                  <w:tcBorders>
                    <w:tl2br w:val="nil"/>
                    <w:tr2bl w:val="nil"/>
                  </w:tcBorders>
                  <w:vAlign w:val="center"/>
                </w:tcPr>
                <w:p>
                  <w:pPr>
                    <w:jc w:val="center"/>
                    <w:rPr>
                      <w:rFonts w:cs="Times New Roman"/>
                      <w:szCs w:val="21"/>
                    </w:rPr>
                  </w:pPr>
                  <w:r>
                    <w:rPr>
                      <w:rFonts w:cs="Times New Roman"/>
                      <w:szCs w:val="21"/>
                    </w:rPr>
                    <w:t>HW08</w:t>
                  </w:r>
                </w:p>
              </w:tc>
              <w:tc>
                <w:tcPr>
                  <w:tcW w:w="692" w:type="pct"/>
                  <w:tcBorders>
                    <w:tl2br w:val="nil"/>
                    <w:tr2bl w:val="nil"/>
                  </w:tcBorders>
                  <w:vAlign w:val="center"/>
                </w:tcPr>
                <w:p>
                  <w:pPr>
                    <w:jc w:val="center"/>
                    <w:rPr>
                      <w:rFonts w:cs="Times New Roman"/>
                      <w:szCs w:val="21"/>
                    </w:rPr>
                  </w:pPr>
                  <w:r>
                    <w:rPr>
                      <w:rFonts w:cs="Times New Roman"/>
                      <w:szCs w:val="21"/>
                    </w:rPr>
                    <w:t>900-214-08</w:t>
                  </w:r>
                </w:p>
              </w:tc>
              <w:tc>
                <w:tcPr>
                  <w:tcW w:w="402" w:type="pct"/>
                  <w:vMerge w:val="continue"/>
                  <w:tcBorders>
                    <w:tl2br w:val="nil"/>
                    <w:tr2bl w:val="nil"/>
                  </w:tcBorders>
                  <w:vAlign w:val="center"/>
                </w:tcPr>
                <w:p>
                  <w:pPr>
                    <w:jc w:val="center"/>
                    <w:rPr>
                      <w:rFonts w:cs="Times New Roman"/>
                      <w:szCs w:val="21"/>
                    </w:rPr>
                  </w:pPr>
                </w:p>
              </w:tc>
              <w:tc>
                <w:tcPr>
                  <w:tcW w:w="414" w:type="pct"/>
                  <w:vMerge w:val="continue"/>
                  <w:tcBorders>
                    <w:tl2br w:val="nil"/>
                    <w:tr2bl w:val="nil"/>
                  </w:tcBorders>
                  <w:vAlign w:val="center"/>
                </w:tcPr>
                <w:p>
                  <w:pPr>
                    <w:jc w:val="center"/>
                    <w:rPr>
                      <w:rFonts w:cs="Times New Roman"/>
                      <w:szCs w:val="21"/>
                    </w:rPr>
                  </w:pPr>
                </w:p>
              </w:tc>
              <w:tc>
                <w:tcPr>
                  <w:tcW w:w="682" w:type="pct"/>
                  <w:vMerge w:val="continue"/>
                  <w:tcBorders>
                    <w:tl2br w:val="nil"/>
                    <w:tr2bl w:val="nil"/>
                  </w:tcBorders>
                  <w:vAlign w:val="center"/>
                </w:tcPr>
                <w:p>
                  <w:pPr>
                    <w:jc w:val="center"/>
                    <w:rPr>
                      <w:rFonts w:cs="Times New Roman"/>
                      <w:szCs w:val="21"/>
                    </w:rPr>
                  </w:pPr>
                </w:p>
              </w:tc>
              <w:tc>
                <w:tcPr>
                  <w:tcW w:w="490" w:type="pct"/>
                  <w:tcBorders>
                    <w:tl2br w:val="nil"/>
                    <w:tr2bl w:val="nil"/>
                  </w:tcBorders>
                  <w:vAlign w:val="center"/>
                </w:tcPr>
                <w:p>
                  <w:pPr>
                    <w:jc w:val="center"/>
                    <w:rPr>
                      <w:rFonts w:cs="Times New Roman"/>
                      <w:szCs w:val="21"/>
                    </w:rPr>
                  </w:pPr>
                  <w:r>
                    <w:rPr>
                      <w:rFonts w:cs="Times New Roman"/>
                      <w:szCs w:val="21"/>
                    </w:rPr>
                    <w:t>2t</w:t>
                  </w:r>
                </w:p>
              </w:tc>
              <w:tc>
                <w:tcPr>
                  <w:tcW w:w="533" w:type="pct"/>
                  <w:tcBorders>
                    <w:tl2br w:val="nil"/>
                    <w:tr2bl w:val="nil"/>
                  </w:tcBorders>
                  <w:vAlign w:val="center"/>
                </w:tcPr>
                <w:p>
                  <w:pPr>
                    <w:jc w:val="center"/>
                    <w:rPr>
                      <w:rFonts w:cs="Times New Roman"/>
                      <w:szCs w:val="21"/>
                    </w:rPr>
                  </w:pPr>
                  <w:r>
                    <w:rPr>
                      <w:rFonts w:cs="Times New Roman"/>
                      <w:szCs w:val="21"/>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6" w:type="dxa"/>
                  <w:bottom w:w="0" w:type="dxa"/>
                  <w:right w:w="6" w:type="dxa"/>
                </w:tblCellMar>
              </w:tblPrEx>
              <w:trPr>
                <w:trHeight w:val="340" w:hRule="atLeast"/>
                <w:jc w:val="center"/>
              </w:trPr>
              <w:tc>
                <w:tcPr>
                  <w:tcW w:w="428" w:type="pct"/>
                  <w:vMerge w:val="continue"/>
                  <w:tcBorders>
                    <w:tl2br w:val="nil"/>
                    <w:tr2bl w:val="nil"/>
                  </w:tcBorders>
                  <w:vAlign w:val="center"/>
                </w:tcPr>
                <w:p>
                  <w:pPr>
                    <w:jc w:val="center"/>
                    <w:rPr>
                      <w:rFonts w:cs="Times New Roman"/>
                      <w:szCs w:val="21"/>
                    </w:rPr>
                  </w:pPr>
                </w:p>
              </w:tc>
              <w:tc>
                <w:tcPr>
                  <w:tcW w:w="739" w:type="pct"/>
                  <w:tcBorders>
                    <w:tl2br w:val="nil"/>
                    <w:tr2bl w:val="nil"/>
                  </w:tcBorders>
                  <w:vAlign w:val="center"/>
                </w:tcPr>
                <w:p>
                  <w:pPr>
                    <w:jc w:val="center"/>
                    <w:rPr>
                      <w:rFonts w:cs="Times New Roman"/>
                      <w:szCs w:val="21"/>
                    </w:rPr>
                  </w:pPr>
                  <w:r>
                    <w:rPr>
                      <w:rFonts w:cs="Times New Roman"/>
                      <w:szCs w:val="21"/>
                    </w:rPr>
                    <w:t>含油抹布及手套</w:t>
                  </w:r>
                </w:p>
              </w:tc>
              <w:tc>
                <w:tcPr>
                  <w:tcW w:w="615" w:type="pct"/>
                  <w:tcBorders>
                    <w:tl2br w:val="nil"/>
                    <w:tr2bl w:val="nil"/>
                  </w:tcBorders>
                  <w:vAlign w:val="center"/>
                </w:tcPr>
                <w:p>
                  <w:pPr>
                    <w:jc w:val="center"/>
                    <w:rPr>
                      <w:rFonts w:cs="Times New Roman"/>
                      <w:szCs w:val="21"/>
                    </w:rPr>
                  </w:pPr>
                  <w:r>
                    <w:rPr>
                      <w:rFonts w:cs="Times New Roman"/>
                      <w:szCs w:val="21"/>
                    </w:rPr>
                    <w:t>HW49</w:t>
                  </w:r>
                </w:p>
              </w:tc>
              <w:tc>
                <w:tcPr>
                  <w:tcW w:w="692" w:type="pct"/>
                  <w:tcBorders>
                    <w:tl2br w:val="nil"/>
                    <w:tr2bl w:val="nil"/>
                  </w:tcBorders>
                  <w:vAlign w:val="center"/>
                </w:tcPr>
                <w:p>
                  <w:pPr>
                    <w:jc w:val="center"/>
                    <w:rPr>
                      <w:rFonts w:cs="Times New Roman"/>
                      <w:szCs w:val="21"/>
                    </w:rPr>
                  </w:pPr>
                  <w:r>
                    <w:rPr>
                      <w:rFonts w:cs="Times New Roman"/>
                      <w:szCs w:val="21"/>
                    </w:rPr>
                    <w:t>900-041-49</w:t>
                  </w:r>
                </w:p>
              </w:tc>
              <w:tc>
                <w:tcPr>
                  <w:tcW w:w="402" w:type="pct"/>
                  <w:vMerge w:val="continue"/>
                  <w:tcBorders>
                    <w:tl2br w:val="nil"/>
                    <w:tr2bl w:val="nil"/>
                  </w:tcBorders>
                  <w:vAlign w:val="center"/>
                </w:tcPr>
                <w:p>
                  <w:pPr>
                    <w:jc w:val="center"/>
                    <w:rPr>
                      <w:rFonts w:cs="Times New Roman"/>
                      <w:szCs w:val="21"/>
                    </w:rPr>
                  </w:pPr>
                </w:p>
              </w:tc>
              <w:tc>
                <w:tcPr>
                  <w:tcW w:w="414" w:type="pct"/>
                  <w:vMerge w:val="continue"/>
                  <w:tcBorders>
                    <w:tl2br w:val="nil"/>
                    <w:tr2bl w:val="nil"/>
                  </w:tcBorders>
                  <w:vAlign w:val="center"/>
                </w:tcPr>
                <w:p>
                  <w:pPr>
                    <w:jc w:val="center"/>
                    <w:rPr>
                      <w:rFonts w:cs="Times New Roman"/>
                      <w:szCs w:val="21"/>
                    </w:rPr>
                  </w:pPr>
                </w:p>
              </w:tc>
              <w:tc>
                <w:tcPr>
                  <w:tcW w:w="682" w:type="pct"/>
                  <w:vMerge w:val="continue"/>
                  <w:tcBorders>
                    <w:tl2br w:val="nil"/>
                    <w:tr2bl w:val="nil"/>
                  </w:tcBorders>
                  <w:vAlign w:val="center"/>
                </w:tcPr>
                <w:p>
                  <w:pPr>
                    <w:jc w:val="center"/>
                    <w:rPr>
                      <w:rFonts w:cs="Times New Roman"/>
                      <w:szCs w:val="21"/>
                    </w:rPr>
                  </w:pPr>
                </w:p>
              </w:tc>
              <w:tc>
                <w:tcPr>
                  <w:tcW w:w="490" w:type="pct"/>
                  <w:tcBorders>
                    <w:tl2br w:val="nil"/>
                    <w:tr2bl w:val="nil"/>
                  </w:tcBorders>
                  <w:vAlign w:val="center"/>
                </w:tcPr>
                <w:p>
                  <w:pPr>
                    <w:jc w:val="center"/>
                    <w:rPr>
                      <w:rFonts w:cs="Times New Roman"/>
                      <w:szCs w:val="21"/>
                    </w:rPr>
                  </w:pPr>
                  <w:r>
                    <w:rPr>
                      <w:rFonts w:cs="Times New Roman"/>
                      <w:szCs w:val="21"/>
                    </w:rPr>
                    <w:t>1t</w:t>
                  </w:r>
                </w:p>
              </w:tc>
              <w:tc>
                <w:tcPr>
                  <w:tcW w:w="533" w:type="pct"/>
                  <w:tcBorders>
                    <w:tl2br w:val="nil"/>
                    <w:tr2bl w:val="nil"/>
                  </w:tcBorders>
                  <w:vAlign w:val="center"/>
                </w:tcPr>
                <w:p>
                  <w:pPr>
                    <w:jc w:val="center"/>
                    <w:rPr>
                      <w:rFonts w:cs="Times New Roman"/>
                      <w:szCs w:val="21"/>
                    </w:rPr>
                  </w:pPr>
                  <w:r>
                    <w:rPr>
                      <w:rFonts w:cs="Times New Roman"/>
                      <w:szCs w:val="21"/>
                    </w:rPr>
                    <w:t>6个月</w:t>
                  </w:r>
                </w:p>
              </w:tc>
            </w:tr>
          </w:tbl>
          <w:p>
            <w:pPr>
              <w:spacing w:line="360" w:lineRule="auto"/>
              <w:jc w:val="center"/>
              <w:rPr>
                <w:rFonts w:cs="Times New Roman"/>
                <w:b/>
                <w:bCs/>
                <w:sz w:val="24"/>
                <w:szCs w:val="24"/>
              </w:rPr>
            </w:pPr>
            <w:r>
              <w:rPr>
                <w:rFonts w:cs="Times New Roman"/>
                <w:b/>
                <w:bCs/>
                <w:sz w:val="24"/>
                <w:szCs w:val="24"/>
              </w:rPr>
              <w:t>表4-24  危险废物治理措施一览表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80"/>
              <w:gridCol w:w="670"/>
              <w:gridCol w:w="717"/>
              <w:gridCol w:w="1094"/>
              <w:gridCol w:w="785"/>
              <w:gridCol w:w="990"/>
              <w:gridCol w:w="599"/>
              <w:gridCol w:w="682"/>
              <w:gridCol w:w="703"/>
              <w:gridCol w:w="533"/>
              <w:gridCol w:w="627"/>
              <w:gridCol w:w="8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blHeader/>
                <w:jc w:val="center"/>
              </w:trPr>
              <w:tc>
                <w:tcPr>
                  <w:tcW w:w="219" w:type="pct"/>
                  <w:tcBorders>
                    <w:tl2br w:val="nil"/>
                    <w:tr2bl w:val="nil"/>
                  </w:tcBorders>
                  <w:vAlign w:val="center"/>
                </w:tcPr>
                <w:p>
                  <w:pPr>
                    <w:jc w:val="center"/>
                    <w:rPr>
                      <w:rFonts w:cs="Times New Roman"/>
                      <w:b/>
                      <w:bCs/>
                      <w:sz w:val="18"/>
                      <w:szCs w:val="18"/>
                    </w:rPr>
                  </w:pPr>
                  <w:r>
                    <w:rPr>
                      <w:rFonts w:cs="Times New Roman"/>
                      <w:b/>
                      <w:bCs/>
                      <w:sz w:val="18"/>
                      <w:szCs w:val="18"/>
                    </w:rPr>
                    <w:t>序号</w:t>
                  </w:r>
                </w:p>
              </w:tc>
              <w:tc>
                <w:tcPr>
                  <w:tcW w:w="386" w:type="pct"/>
                  <w:tcBorders>
                    <w:tl2br w:val="nil"/>
                    <w:tr2bl w:val="nil"/>
                  </w:tcBorders>
                  <w:vAlign w:val="center"/>
                </w:tcPr>
                <w:p>
                  <w:pPr>
                    <w:jc w:val="center"/>
                    <w:rPr>
                      <w:rFonts w:cs="Times New Roman"/>
                      <w:b/>
                      <w:bCs/>
                      <w:sz w:val="18"/>
                      <w:szCs w:val="18"/>
                    </w:rPr>
                  </w:pPr>
                  <w:r>
                    <w:rPr>
                      <w:rFonts w:cs="Times New Roman"/>
                      <w:b/>
                      <w:bCs/>
                      <w:sz w:val="18"/>
                      <w:szCs w:val="18"/>
                    </w:rPr>
                    <w:t>危险废物名称</w:t>
                  </w:r>
                </w:p>
              </w:tc>
              <w:tc>
                <w:tcPr>
                  <w:tcW w:w="413" w:type="pct"/>
                  <w:tcBorders>
                    <w:tl2br w:val="nil"/>
                    <w:tr2bl w:val="nil"/>
                  </w:tcBorders>
                  <w:vAlign w:val="center"/>
                </w:tcPr>
                <w:p>
                  <w:pPr>
                    <w:jc w:val="center"/>
                    <w:rPr>
                      <w:rFonts w:cs="Times New Roman"/>
                      <w:b/>
                      <w:bCs/>
                      <w:sz w:val="18"/>
                      <w:szCs w:val="18"/>
                    </w:rPr>
                  </w:pPr>
                  <w:r>
                    <w:rPr>
                      <w:rFonts w:cs="Times New Roman"/>
                      <w:b/>
                      <w:bCs/>
                      <w:sz w:val="18"/>
                      <w:szCs w:val="18"/>
                    </w:rPr>
                    <w:t>危险废物类别</w:t>
                  </w:r>
                </w:p>
              </w:tc>
              <w:tc>
                <w:tcPr>
                  <w:tcW w:w="630" w:type="pct"/>
                  <w:tcBorders>
                    <w:tl2br w:val="nil"/>
                    <w:tr2bl w:val="nil"/>
                  </w:tcBorders>
                  <w:vAlign w:val="center"/>
                </w:tcPr>
                <w:p>
                  <w:pPr>
                    <w:jc w:val="center"/>
                    <w:rPr>
                      <w:rFonts w:cs="Times New Roman"/>
                      <w:b/>
                      <w:bCs/>
                      <w:sz w:val="18"/>
                      <w:szCs w:val="18"/>
                    </w:rPr>
                  </w:pPr>
                  <w:r>
                    <w:rPr>
                      <w:rFonts w:cs="Times New Roman"/>
                      <w:b/>
                      <w:bCs/>
                      <w:sz w:val="18"/>
                      <w:szCs w:val="18"/>
                    </w:rPr>
                    <w:t>危险废物代码</w:t>
                  </w:r>
                </w:p>
              </w:tc>
              <w:tc>
                <w:tcPr>
                  <w:tcW w:w="452" w:type="pct"/>
                  <w:tcBorders>
                    <w:tl2br w:val="nil"/>
                    <w:tr2bl w:val="nil"/>
                  </w:tcBorders>
                  <w:vAlign w:val="center"/>
                </w:tcPr>
                <w:p>
                  <w:pPr>
                    <w:jc w:val="center"/>
                    <w:rPr>
                      <w:rFonts w:cs="Times New Roman"/>
                      <w:b/>
                      <w:bCs/>
                      <w:sz w:val="18"/>
                      <w:szCs w:val="18"/>
                    </w:rPr>
                  </w:pPr>
                  <w:r>
                    <w:rPr>
                      <w:rFonts w:cs="Times New Roman"/>
                      <w:b/>
                      <w:bCs/>
                      <w:sz w:val="18"/>
                      <w:szCs w:val="18"/>
                    </w:rPr>
                    <w:t>产生量</w:t>
                  </w:r>
                </w:p>
                <w:p>
                  <w:pPr>
                    <w:jc w:val="center"/>
                    <w:rPr>
                      <w:rFonts w:cs="Times New Roman"/>
                      <w:b/>
                      <w:bCs/>
                      <w:sz w:val="18"/>
                      <w:szCs w:val="18"/>
                    </w:rPr>
                  </w:pPr>
                  <w:r>
                    <w:rPr>
                      <w:rFonts w:cs="Times New Roman"/>
                      <w:b/>
                      <w:bCs/>
                      <w:sz w:val="18"/>
                      <w:szCs w:val="18"/>
                    </w:rPr>
                    <w:t>（t/a）</w:t>
                  </w:r>
                </w:p>
              </w:tc>
              <w:tc>
                <w:tcPr>
                  <w:tcW w:w="570" w:type="pct"/>
                  <w:tcBorders>
                    <w:tl2br w:val="nil"/>
                    <w:tr2bl w:val="nil"/>
                  </w:tcBorders>
                  <w:vAlign w:val="center"/>
                </w:tcPr>
                <w:p>
                  <w:pPr>
                    <w:jc w:val="center"/>
                    <w:rPr>
                      <w:rFonts w:cs="Times New Roman"/>
                      <w:b/>
                      <w:bCs/>
                      <w:sz w:val="18"/>
                      <w:szCs w:val="18"/>
                    </w:rPr>
                  </w:pPr>
                  <w:r>
                    <w:rPr>
                      <w:rFonts w:cs="Times New Roman"/>
                      <w:b/>
                      <w:bCs/>
                      <w:sz w:val="18"/>
                      <w:szCs w:val="18"/>
                    </w:rPr>
                    <w:t>产生工序及装置</w:t>
                  </w:r>
                </w:p>
              </w:tc>
              <w:tc>
                <w:tcPr>
                  <w:tcW w:w="345" w:type="pct"/>
                  <w:tcBorders>
                    <w:tl2br w:val="nil"/>
                    <w:tr2bl w:val="nil"/>
                  </w:tcBorders>
                  <w:vAlign w:val="center"/>
                </w:tcPr>
                <w:p>
                  <w:pPr>
                    <w:jc w:val="center"/>
                    <w:rPr>
                      <w:rFonts w:cs="Times New Roman"/>
                      <w:b/>
                      <w:bCs/>
                      <w:sz w:val="18"/>
                      <w:szCs w:val="18"/>
                    </w:rPr>
                  </w:pPr>
                  <w:r>
                    <w:rPr>
                      <w:rFonts w:cs="Times New Roman"/>
                      <w:b/>
                      <w:bCs/>
                      <w:sz w:val="18"/>
                      <w:szCs w:val="18"/>
                    </w:rPr>
                    <w:t>形态</w:t>
                  </w:r>
                </w:p>
              </w:tc>
              <w:tc>
                <w:tcPr>
                  <w:tcW w:w="393" w:type="pct"/>
                  <w:tcBorders>
                    <w:tl2br w:val="nil"/>
                    <w:tr2bl w:val="nil"/>
                  </w:tcBorders>
                  <w:vAlign w:val="center"/>
                </w:tcPr>
                <w:p>
                  <w:pPr>
                    <w:jc w:val="center"/>
                    <w:rPr>
                      <w:rFonts w:cs="Times New Roman"/>
                      <w:b/>
                      <w:bCs/>
                      <w:sz w:val="18"/>
                      <w:szCs w:val="18"/>
                    </w:rPr>
                  </w:pPr>
                  <w:r>
                    <w:rPr>
                      <w:rFonts w:cs="Times New Roman"/>
                      <w:b/>
                      <w:bCs/>
                      <w:sz w:val="18"/>
                      <w:szCs w:val="18"/>
                    </w:rPr>
                    <w:t>主要成分</w:t>
                  </w:r>
                </w:p>
              </w:tc>
              <w:tc>
                <w:tcPr>
                  <w:tcW w:w="405" w:type="pct"/>
                  <w:tcBorders>
                    <w:tl2br w:val="nil"/>
                    <w:tr2bl w:val="nil"/>
                  </w:tcBorders>
                  <w:vAlign w:val="center"/>
                </w:tcPr>
                <w:p>
                  <w:pPr>
                    <w:jc w:val="center"/>
                    <w:rPr>
                      <w:rFonts w:cs="Times New Roman"/>
                      <w:b/>
                      <w:bCs/>
                      <w:sz w:val="18"/>
                      <w:szCs w:val="18"/>
                    </w:rPr>
                  </w:pPr>
                  <w:r>
                    <w:rPr>
                      <w:rFonts w:cs="Times New Roman"/>
                      <w:b/>
                      <w:bCs/>
                      <w:sz w:val="18"/>
                      <w:szCs w:val="18"/>
                    </w:rPr>
                    <w:t>有害成分</w:t>
                  </w:r>
                </w:p>
              </w:tc>
              <w:tc>
                <w:tcPr>
                  <w:tcW w:w="307" w:type="pct"/>
                  <w:tcBorders>
                    <w:tl2br w:val="nil"/>
                    <w:tr2bl w:val="nil"/>
                  </w:tcBorders>
                  <w:vAlign w:val="center"/>
                </w:tcPr>
                <w:p>
                  <w:pPr>
                    <w:jc w:val="center"/>
                    <w:rPr>
                      <w:rFonts w:cs="Times New Roman"/>
                      <w:b/>
                      <w:bCs/>
                      <w:sz w:val="18"/>
                      <w:szCs w:val="18"/>
                    </w:rPr>
                  </w:pPr>
                  <w:r>
                    <w:rPr>
                      <w:rFonts w:cs="Times New Roman"/>
                      <w:b/>
                      <w:bCs/>
                      <w:sz w:val="18"/>
                      <w:szCs w:val="18"/>
                    </w:rPr>
                    <w:t>产废周期</w:t>
                  </w:r>
                </w:p>
              </w:tc>
              <w:tc>
                <w:tcPr>
                  <w:tcW w:w="361" w:type="pct"/>
                  <w:tcBorders>
                    <w:tl2br w:val="nil"/>
                    <w:tr2bl w:val="nil"/>
                  </w:tcBorders>
                  <w:vAlign w:val="center"/>
                </w:tcPr>
                <w:p>
                  <w:pPr>
                    <w:jc w:val="center"/>
                    <w:rPr>
                      <w:rFonts w:cs="Times New Roman"/>
                      <w:b/>
                      <w:bCs/>
                      <w:sz w:val="18"/>
                      <w:szCs w:val="18"/>
                    </w:rPr>
                  </w:pPr>
                  <w:r>
                    <w:rPr>
                      <w:rFonts w:cs="Times New Roman"/>
                      <w:b/>
                      <w:bCs/>
                      <w:sz w:val="18"/>
                      <w:szCs w:val="18"/>
                    </w:rPr>
                    <w:t>危险特性</w:t>
                  </w:r>
                </w:p>
              </w:tc>
              <w:tc>
                <w:tcPr>
                  <w:tcW w:w="514" w:type="pct"/>
                  <w:tcBorders>
                    <w:tl2br w:val="nil"/>
                    <w:tr2bl w:val="nil"/>
                  </w:tcBorders>
                  <w:vAlign w:val="center"/>
                </w:tcPr>
                <w:p>
                  <w:pPr>
                    <w:jc w:val="center"/>
                    <w:rPr>
                      <w:rFonts w:cs="Times New Roman"/>
                      <w:b/>
                      <w:bCs/>
                      <w:sz w:val="18"/>
                      <w:szCs w:val="18"/>
                    </w:rPr>
                  </w:pPr>
                  <w:r>
                    <w:rPr>
                      <w:rFonts w:cs="Times New Roman"/>
                      <w:b/>
                      <w:bCs/>
                      <w:sz w:val="18"/>
                      <w:szCs w:val="18"/>
                    </w:rPr>
                    <w:t>污染物防治措施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19" w:type="pct"/>
                  <w:tcBorders>
                    <w:tl2br w:val="nil"/>
                    <w:tr2bl w:val="nil"/>
                  </w:tcBorders>
                  <w:vAlign w:val="center"/>
                </w:tcPr>
                <w:p>
                  <w:pPr>
                    <w:jc w:val="center"/>
                    <w:rPr>
                      <w:rFonts w:cs="Times New Roman"/>
                      <w:sz w:val="18"/>
                      <w:szCs w:val="18"/>
                    </w:rPr>
                  </w:pPr>
                  <w:r>
                    <w:rPr>
                      <w:rFonts w:cs="Times New Roman"/>
                      <w:sz w:val="18"/>
                      <w:szCs w:val="18"/>
                    </w:rPr>
                    <w:t>1</w:t>
                  </w:r>
                </w:p>
              </w:tc>
              <w:tc>
                <w:tcPr>
                  <w:tcW w:w="386" w:type="pct"/>
                  <w:tcBorders>
                    <w:tl2br w:val="nil"/>
                    <w:tr2bl w:val="nil"/>
                  </w:tcBorders>
                  <w:vAlign w:val="center"/>
                </w:tcPr>
                <w:p>
                  <w:pPr>
                    <w:jc w:val="center"/>
                    <w:rPr>
                      <w:rFonts w:cs="Times New Roman"/>
                      <w:sz w:val="18"/>
                      <w:szCs w:val="18"/>
                    </w:rPr>
                  </w:pPr>
                  <w:r>
                    <w:rPr>
                      <w:rFonts w:cs="Times New Roman"/>
                      <w:sz w:val="18"/>
                      <w:szCs w:val="18"/>
                    </w:rPr>
                    <w:t>废危化品桶</w:t>
                  </w:r>
                </w:p>
              </w:tc>
              <w:tc>
                <w:tcPr>
                  <w:tcW w:w="413" w:type="pct"/>
                  <w:tcBorders>
                    <w:tl2br w:val="nil"/>
                    <w:tr2bl w:val="nil"/>
                  </w:tcBorders>
                  <w:vAlign w:val="center"/>
                </w:tcPr>
                <w:p>
                  <w:pPr>
                    <w:jc w:val="center"/>
                    <w:rPr>
                      <w:rFonts w:cs="Times New Roman"/>
                      <w:sz w:val="18"/>
                      <w:szCs w:val="18"/>
                    </w:rPr>
                  </w:pPr>
                  <w:r>
                    <w:rPr>
                      <w:rFonts w:cs="Times New Roman"/>
                      <w:sz w:val="18"/>
                      <w:szCs w:val="18"/>
                    </w:rPr>
                    <w:t>HW49</w:t>
                  </w:r>
                </w:p>
              </w:tc>
              <w:tc>
                <w:tcPr>
                  <w:tcW w:w="630" w:type="pct"/>
                  <w:tcBorders>
                    <w:tl2br w:val="nil"/>
                    <w:tr2bl w:val="nil"/>
                  </w:tcBorders>
                  <w:vAlign w:val="center"/>
                </w:tcPr>
                <w:p>
                  <w:pPr>
                    <w:jc w:val="center"/>
                    <w:rPr>
                      <w:rFonts w:cs="Times New Roman"/>
                      <w:sz w:val="18"/>
                      <w:szCs w:val="18"/>
                    </w:rPr>
                  </w:pPr>
                  <w:r>
                    <w:rPr>
                      <w:rFonts w:cs="Times New Roman"/>
                      <w:sz w:val="18"/>
                      <w:szCs w:val="18"/>
                    </w:rPr>
                    <w:t>900-041-49</w:t>
                  </w:r>
                </w:p>
              </w:tc>
              <w:tc>
                <w:tcPr>
                  <w:tcW w:w="452" w:type="pct"/>
                  <w:tcBorders>
                    <w:tl2br w:val="nil"/>
                    <w:tr2bl w:val="nil"/>
                  </w:tcBorders>
                  <w:vAlign w:val="center"/>
                </w:tcPr>
                <w:p>
                  <w:pPr>
                    <w:jc w:val="center"/>
                    <w:rPr>
                      <w:rFonts w:cs="Times New Roman"/>
                      <w:sz w:val="18"/>
                      <w:szCs w:val="18"/>
                    </w:rPr>
                  </w:pPr>
                  <w:r>
                    <w:rPr>
                      <w:rFonts w:cs="Times New Roman"/>
                      <w:sz w:val="18"/>
                      <w:szCs w:val="18"/>
                    </w:rPr>
                    <w:t>3.0</w:t>
                  </w:r>
                </w:p>
              </w:tc>
              <w:tc>
                <w:tcPr>
                  <w:tcW w:w="570" w:type="pct"/>
                  <w:tcBorders>
                    <w:tl2br w:val="nil"/>
                    <w:tr2bl w:val="nil"/>
                  </w:tcBorders>
                  <w:vAlign w:val="center"/>
                </w:tcPr>
                <w:p>
                  <w:pPr>
                    <w:jc w:val="center"/>
                    <w:rPr>
                      <w:rFonts w:cs="Times New Roman"/>
                      <w:sz w:val="18"/>
                      <w:szCs w:val="18"/>
                    </w:rPr>
                  </w:pPr>
                  <w:r>
                    <w:rPr>
                      <w:rFonts w:cs="Times New Roman"/>
                      <w:sz w:val="18"/>
                      <w:szCs w:val="18"/>
                    </w:rPr>
                    <w:t>原料包装</w:t>
                  </w:r>
                </w:p>
              </w:tc>
              <w:tc>
                <w:tcPr>
                  <w:tcW w:w="345" w:type="pct"/>
                  <w:tcBorders>
                    <w:tl2br w:val="nil"/>
                    <w:tr2bl w:val="nil"/>
                  </w:tcBorders>
                  <w:vAlign w:val="center"/>
                </w:tcPr>
                <w:p>
                  <w:pPr>
                    <w:jc w:val="center"/>
                    <w:rPr>
                      <w:rFonts w:cs="Times New Roman"/>
                      <w:sz w:val="18"/>
                      <w:szCs w:val="18"/>
                    </w:rPr>
                  </w:pPr>
                  <w:r>
                    <w:rPr>
                      <w:rFonts w:cs="Times New Roman"/>
                      <w:sz w:val="18"/>
                      <w:szCs w:val="18"/>
                    </w:rPr>
                    <w:t>固态</w:t>
                  </w:r>
                </w:p>
              </w:tc>
              <w:tc>
                <w:tcPr>
                  <w:tcW w:w="393" w:type="pct"/>
                  <w:tcBorders>
                    <w:tl2br w:val="nil"/>
                    <w:tr2bl w:val="nil"/>
                  </w:tcBorders>
                  <w:vAlign w:val="center"/>
                </w:tcPr>
                <w:p>
                  <w:pPr>
                    <w:jc w:val="center"/>
                    <w:rPr>
                      <w:rFonts w:cs="Times New Roman"/>
                      <w:sz w:val="18"/>
                      <w:szCs w:val="18"/>
                    </w:rPr>
                  </w:pPr>
                  <w:r>
                    <w:rPr>
                      <w:rFonts w:cs="Times New Roman"/>
                      <w:sz w:val="18"/>
                      <w:szCs w:val="18"/>
                    </w:rPr>
                    <w:t>甲醛等</w:t>
                  </w:r>
                </w:p>
              </w:tc>
              <w:tc>
                <w:tcPr>
                  <w:tcW w:w="405" w:type="pct"/>
                  <w:tcBorders>
                    <w:tl2br w:val="nil"/>
                    <w:tr2bl w:val="nil"/>
                  </w:tcBorders>
                  <w:vAlign w:val="center"/>
                </w:tcPr>
                <w:p>
                  <w:pPr>
                    <w:jc w:val="center"/>
                    <w:rPr>
                      <w:rFonts w:cs="Times New Roman"/>
                      <w:sz w:val="18"/>
                      <w:szCs w:val="18"/>
                    </w:rPr>
                  </w:pPr>
                  <w:r>
                    <w:rPr>
                      <w:rFonts w:cs="Times New Roman"/>
                      <w:sz w:val="18"/>
                      <w:szCs w:val="18"/>
                    </w:rPr>
                    <w:t>甲醛等</w:t>
                  </w:r>
                </w:p>
              </w:tc>
              <w:tc>
                <w:tcPr>
                  <w:tcW w:w="307" w:type="pct"/>
                  <w:tcBorders>
                    <w:tl2br w:val="nil"/>
                    <w:tr2bl w:val="nil"/>
                  </w:tcBorders>
                  <w:vAlign w:val="center"/>
                </w:tcPr>
                <w:p>
                  <w:pPr>
                    <w:jc w:val="center"/>
                    <w:rPr>
                      <w:rFonts w:cs="Times New Roman"/>
                      <w:sz w:val="18"/>
                      <w:szCs w:val="18"/>
                    </w:rPr>
                  </w:pPr>
                  <w:r>
                    <w:rPr>
                      <w:rFonts w:cs="Times New Roman"/>
                      <w:sz w:val="18"/>
                      <w:szCs w:val="18"/>
                    </w:rPr>
                    <w:t>每周</w:t>
                  </w:r>
                </w:p>
              </w:tc>
              <w:tc>
                <w:tcPr>
                  <w:tcW w:w="361" w:type="pct"/>
                  <w:tcBorders>
                    <w:tl2br w:val="nil"/>
                    <w:tr2bl w:val="nil"/>
                  </w:tcBorders>
                  <w:vAlign w:val="center"/>
                </w:tcPr>
                <w:p>
                  <w:pPr>
                    <w:jc w:val="center"/>
                    <w:rPr>
                      <w:rFonts w:cs="Times New Roman"/>
                      <w:sz w:val="18"/>
                      <w:szCs w:val="18"/>
                    </w:rPr>
                  </w:pPr>
                  <w:r>
                    <w:rPr>
                      <w:rFonts w:cs="Times New Roman"/>
                      <w:sz w:val="18"/>
                      <w:szCs w:val="18"/>
                    </w:rPr>
                    <w:t>T,I</w:t>
                  </w:r>
                </w:p>
              </w:tc>
              <w:tc>
                <w:tcPr>
                  <w:tcW w:w="514" w:type="pct"/>
                  <w:tcBorders>
                    <w:tl2br w:val="nil"/>
                    <w:tr2bl w:val="nil"/>
                  </w:tcBorders>
                  <w:vAlign w:val="center"/>
                </w:tcPr>
                <w:p>
                  <w:pPr>
                    <w:jc w:val="center"/>
                    <w:rPr>
                      <w:rFonts w:cs="Times New Roman"/>
                      <w:sz w:val="18"/>
                      <w:szCs w:val="18"/>
                    </w:rPr>
                  </w:pPr>
                  <w:r>
                    <w:rPr>
                      <w:rFonts w:cs="Times New Roman"/>
                      <w:sz w:val="18"/>
                      <w:szCs w:val="18"/>
                    </w:rPr>
                    <w:t>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19" w:type="pct"/>
                  <w:tcBorders>
                    <w:tl2br w:val="nil"/>
                    <w:tr2bl w:val="nil"/>
                  </w:tcBorders>
                  <w:vAlign w:val="center"/>
                </w:tcPr>
                <w:p>
                  <w:pPr>
                    <w:jc w:val="center"/>
                    <w:rPr>
                      <w:rFonts w:cs="Times New Roman"/>
                      <w:sz w:val="18"/>
                      <w:szCs w:val="18"/>
                    </w:rPr>
                  </w:pPr>
                  <w:r>
                    <w:rPr>
                      <w:rFonts w:cs="Times New Roman"/>
                      <w:sz w:val="18"/>
                      <w:szCs w:val="18"/>
                    </w:rPr>
                    <w:t>2</w:t>
                  </w:r>
                </w:p>
              </w:tc>
              <w:tc>
                <w:tcPr>
                  <w:tcW w:w="386" w:type="pct"/>
                  <w:tcBorders>
                    <w:tl2br w:val="nil"/>
                    <w:tr2bl w:val="nil"/>
                  </w:tcBorders>
                  <w:vAlign w:val="center"/>
                </w:tcPr>
                <w:p>
                  <w:pPr>
                    <w:jc w:val="center"/>
                    <w:rPr>
                      <w:rFonts w:cs="Times New Roman"/>
                      <w:sz w:val="18"/>
                      <w:szCs w:val="18"/>
                    </w:rPr>
                  </w:pPr>
                  <w:r>
                    <w:rPr>
                      <w:rFonts w:cs="Times New Roman"/>
                      <w:sz w:val="18"/>
                      <w:szCs w:val="18"/>
                    </w:rPr>
                    <w:t>废活性炭</w:t>
                  </w:r>
                </w:p>
              </w:tc>
              <w:tc>
                <w:tcPr>
                  <w:tcW w:w="413" w:type="pct"/>
                  <w:tcBorders>
                    <w:tl2br w:val="nil"/>
                    <w:tr2bl w:val="nil"/>
                  </w:tcBorders>
                  <w:vAlign w:val="center"/>
                </w:tcPr>
                <w:p>
                  <w:pPr>
                    <w:jc w:val="center"/>
                    <w:rPr>
                      <w:rFonts w:cs="Times New Roman"/>
                      <w:sz w:val="18"/>
                      <w:szCs w:val="18"/>
                    </w:rPr>
                  </w:pPr>
                  <w:r>
                    <w:rPr>
                      <w:rFonts w:cs="Times New Roman"/>
                      <w:sz w:val="18"/>
                      <w:szCs w:val="18"/>
                    </w:rPr>
                    <w:t>HW49</w:t>
                  </w:r>
                </w:p>
              </w:tc>
              <w:tc>
                <w:tcPr>
                  <w:tcW w:w="630" w:type="pct"/>
                  <w:tcBorders>
                    <w:tl2br w:val="nil"/>
                    <w:tr2bl w:val="nil"/>
                  </w:tcBorders>
                  <w:vAlign w:val="center"/>
                </w:tcPr>
                <w:p>
                  <w:pPr>
                    <w:jc w:val="center"/>
                    <w:rPr>
                      <w:rFonts w:cs="Times New Roman"/>
                      <w:sz w:val="18"/>
                      <w:szCs w:val="18"/>
                    </w:rPr>
                  </w:pPr>
                  <w:r>
                    <w:rPr>
                      <w:rFonts w:cs="Times New Roman"/>
                      <w:sz w:val="18"/>
                      <w:szCs w:val="18"/>
                    </w:rPr>
                    <w:t>900-041-49</w:t>
                  </w:r>
                </w:p>
              </w:tc>
              <w:tc>
                <w:tcPr>
                  <w:tcW w:w="452" w:type="pct"/>
                  <w:tcBorders>
                    <w:tl2br w:val="nil"/>
                    <w:tr2bl w:val="nil"/>
                  </w:tcBorders>
                  <w:vAlign w:val="center"/>
                </w:tcPr>
                <w:p>
                  <w:pPr>
                    <w:tabs>
                      <w:tab w:val="left" w:pos="1134"/>
                    </w:tabs>
                    <w:jc w:val="center"/>
                    <w:rPr>
                      <w:rFonts w:cs="Times New Roman"/>
                      <w:sz w:val="18"/>
                      <w:szCs w:val="18"/>
                    </w:rPr>
                  </w:pPr>
                  <w:r>
                    <w:rPr>
                      <w:rFonts w:cs="Times New Roman"/>
                      <w:sz w:val="18"/>
                      <w:szCs w:val="18"/>
                    </w:rPr>
                    <w:t>27.933</w:t>
                  </w:r>
                </w:p>
              </w:tc>
              <w:tc>
                <w:tcPr>
                  <w:tcW w:w="570" w:type="pct"/>
                  <w:tcBorders>
                    <w:tl2br w:val="nil"/>
                    <w:tr2bl w:val="nil"/>
                  </w:tcBorders>
                  <w:vAlign w:val="center"/>
                </w:tcPr>
                <w:p>
                  <w:pPr>
                    <w:jc w:val="center"/>
                    <w:rPr>
                      <w:rFonts w:cs="Times New Roman"/>
                      <w:sz w:val="18"/>
                      <w:szCs w:val="18"/>
                    </w:rPr>
                  </w:pPr>
                  <w:r>
                    <w:rPr>
                      <w:rFonts w:cs="Times New Roman"/>
                      <w:sz w:val="18"/>
                      <w:szCs w:val="18"/>
                    </w:rPr>
                    <w:t>废气处理</w:t>
                  </w:r>
                </w:p>
              </w:tc>
              <w:tc>
                <w:tcPr>
                  <w:tcW w:w="345" w:type="pct"/>
                  <w:tcBorders>
                    <w:tl2br w:val="nil"/>
                    <w:tr2bl w:val="nil"/>
                  </w:tcBorders>
                  <w:vAlign w:val="center"/>
                </w:tcPr>
                <w:p>
                  <w:pPr>
                    <w:jc w:val="center"/>
                    <w:rPr>
                      <w:rFonts w:cs="Times New Roman"/>
                      <w:sz w:val="18"/>
                      <w:szCs w:val="18"/>
                    </w:rPr>
                  </w:pPr>
                  <w:r>
                    <w:rPr>
                      <w:rFonts w:cs="Times New Roman"/>
                      <w:sz w:val="18"/>
                      <w:szCs w:val="18"/>
                    </w:rPr>
                    <w:t>固态</w:t>
                  </w:r>
                </w:p>
              </w:tc>
              <w:tc>
                <w:tcPr>
                  <w:tcW w:w="393" w:type="pct"/>
                  <w:tcBorders>
                    <w:tl2br w:val="nil"/>
                    <w:tr2bl w:val="nil"/>
                  </w:tcBorders>
                  <w:vAlign w:val="center"/>
                </w:tcPr>
                <w:p>
                  <w:pPr>
                    <w:jc w:val="center"/>
                    <w:rPr>
                      <w:rFonts w:cs="Times New Roman"/>
                      <w:sz w:val="18"/>
                      <w:szCs w:val="18"/>
                    </w:rPr>
                  </w:pPr>
                  <w:r>
                    <w:rPr>
                      <w:rFonts w:cs="Times New Roman"/>
                      <w:sz w:val="18"/>
                      <w:szCs w:val="18"/>
                    </w:rPr>
                    <w:t>有机物质</w:t>
                  </w:r>
                </w:p>
              </w:tc>
              <w:tc>
                <w:tcPr>
                  <w:tcW w:w="405" w:type="pct"/>
                  <w:tcBorders>
                    <w:tl2br w:val="nil"/>
                    <w:tr2bl w:val="nil"/>
                  </w:tcBorders>
                  <w:vAlign w:val="center"/>
                </w:tcPr>
                <w:p>
                  <w:pPr>
                    <w:jc w:val="center"/>
                    <w:rPr>
                      <w:rFonts w:cs="Times New Roman"/>
                      <w:sz w:val="18"/>
                      <w:szCs w:val="18"/>
                    </w:rPr>
                  </w:pPr>
                  <w:r>
                    <w:rPr>
                      <w:rFonts w:cs="Times New Roman"/>
                      <w:sz w:val="18"/>
                      <w:szCs w:val="18"/>
                    </w:rPr>
                    <w:t>有机物质</w:t>
                  </w:r>
                </w:p>
              </w:tc>
              <w:tc>
                <w:tcPr>
                  <w:tcW w:w="307" w:type="pct"/>
                  <w:tcBorders>
                    <w:tl2br w:val="nil"/>
                    <w:tr2bl w:val="nil"/>
                  </w:tcBorders>
                  <w:vAlign w:val="center"/>
                </w:tcPr>
                <w:p>
                  <w:pPr>
                    <w:jc w:val="center"/>
                    <w:rPr>
                      <w:rFonts w:cs="Times New Roman"/>
                      <w:sz w:val="18"/>
                      <w:szCs w:val="18"/>
                    </w:rPr>
                  </w:pPr>
                  <w:r>
                    <w:rPr>
                      <w:rFonts w:cs="Times New Roman"/>
                      <w:sz w:val="18"/>
                      <w:szCs w:val="18"/>
                    </w:rPr>
                    <w:t>每三个月</w:t>
                  </w:r>
                </w:p>
              </w:tc>
              <w:tc>
                <w:tcPr>
                  <w:tcW w:w="361" w:type="pct"/>
                  <w:tcBorders>
                    <w:tl2br w:val="nil"/>
                    <w:tr2bl w:val="nil"/>
                  </w:tcBorders>
                  <w:vAlign w:val="center"/>
                </w:tcPr>
                <w:p>
                  <w:pPr>
                    <w:jc w:val="center"/>
                    <w:rPr>
                      <w:rFonts w:cs="Times New Roman"/>
                      <w:sz w:val="18"/>
                      <w:szCs w:val="18"/>
                    </w:rPr>
                  </w:pPr>
                  <w:r>
                    <w:rPr>
                      <w:rFonts w:cs="Times New Roman"/>
                      <w:sz w:val="18"/>
                      <w:szCs w:val="18"/>
                    </w:rPr>
                    <w:t>T,I</w:t>
                  </w:r>
                </w:p>
              </w:tc>
              <w:tc>
                <w:tcPr>
                  <w:tcW w:w="514" w:type="pct"/>
                  <w:vMerge w:val="restart"/>
                  <w:tcBorders>
                    <w:tl2br w:val="nil"/>
                    <w:tr2bl w:val="nil"/>
                  </w:tcBorders>
                  <w:vAlign w:val="center"/>
                </w:tcPr>
                <w:p>
                  <w:pPr>
                    <w:jc w:val="center"/>
                    <w:rPr>
                      <w:rFonts w:cs="Times New Roman"/>
                      <w:sz w:val="18"/>
                      <w:szCs w:val="18"/>
                    </w:rPr>
                  </w:pPr>
                  <w:r>
                    <w:rPr>
                      <w:rFonts w:cs="Times New Roman"/>
                      <w:sz w:val="18"/>
                      <w:szCs w:val="18"/>
                    </w:rPr>
                    <w:t>交由有危废资质单位处置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19" w:type="pct"/>
                  <w:tcBorders>
                    <w:tl2br w:val="nil"/>
                    <w:tr2bl w:val="nil"/>
                  </w:tcBorders>
                  <w:vAlign w:val="center"/>
                </w:tcPr>
                <w:p>
                  <w:pPr>
                    <w:jc w:val="center"/>
                    <w:rPr>
                      <w:rFonts w:cs="Times New Roman"/>
                      <w:sz w:val="18"/>
                      <w:szCs w:val="18"/>
                    </w:rPr>
                  </w:pPr>
                  <w:r>
                    <w:rPr>
                      <w:rFonts w:cs="Times New Roman"/>
                      <w:sz w:val="18"/>
                      <w:szCs w:val="18"/>
                    </w:rPr>
                    <w:t>3</w:t>
                  </w:r>
                </w:p>
              </w:tc>
              <w:tc>
                <w:tcPr>
                  <w:tcW w:w="386" w:type="pct"/>
                  <w:tcBorders>
                    <w:tl2br w:val="nil"/>
                    <w:tr2bl w:val="nil"/>
                  </w:tcBorders>
                  <w:vAlign w:val="center"/>
                </w:tcPr>
                <w:p>
                  <w:pPr>
                    <w:jc w:val="center"/>
                    <w:rPr>
                      <w:rFonts w:cs="Times New Roman"/>
                      <w:sz w:val="18"/>
                      <w:szCs w:val="18"/>
                    </w:rPr>
                  </w:pPr>
                  <w:r>
                    <w:rPr>
                      <w:rFonts w:cs="Times New Roman"/>
                      <w:sz w:val="18"/>
                      <w:szCs w:val="18"/>
                    </w:rPr>
                    <w:t>废机油</w:t>
                  </w:r>
                </w:p>
              </w:tc>
              <w:tc>
                <w:tcPr>
                  <w:tcW w:w="413" w:type="pct"/>
                  <w:tcBorders>
                    <w:tl2br w:val="nil"/>
                    <w:tr2bl w:val="nil"/>
                  </w:tcBorders>
                  <w:vAlign w:val="center"/>
                </w:tcPr>
                <w:p>
                  <w:pPr>
                    <w:jc w:val="center"/>
                    <w:rPr>
                      <w:rFonts w:cs="Times New Roman"/>
                      <w:sz w:val="18"/>
                      <w:szCs w:val="18"/>
                    </w:rPr>
                  </w:pPr>
                  <w:r>
                    <w:rPr>
                      <w:rFonts w:cs="Times New Roman"/>
                      <w:sz w:val="18"/>
                      <w:szCs w:val="18"/>
                    </w:rPr>
                    <w:t>HW08</w:t>
                  </w:r>
                </w:p>
              </w:tc>
              <w:tc>
                <w:tcPr>
                  <w:tcW w:w="630" w:type="pct"/>
                  <w:tcBorders>
                    <w:tl2br w:val="nil"/>
                    <w:tr2bl w:val="nil"/>
                  </w:tcBorders>
                  <w:vAlign w:val="center"/>
                </w:tcPr>
                <w:p>
                  <w:pPr>
                    <w:jc w:val="center"/>
                    <w:rPr>
                      <w:rFonts w:cs="Times New Roman"/>
                      <w:sz w:val="18"/>
                      <w:szCs w:val="18"/>
                    </w:rPr>
                  </w:pPr>
                  <w:r>
                    <w:rPr>
                      <w:rFonts w:cs="Times New Roman"/>
                      <w:sz w:val="18"/>
                      <w:szCs w:val="18"/>
                    </w:rPr>
                    <w:t>900-214-08</w:t>
                  </w:r>
                </w:p>
              </w:tc>
              <w:tc>
                <w:tcPr>
                  <w:tcW w:w="452" w:type="pct"/>
                  <w:tcBorders>
                    <w:tl2br w:val="nil"/>
                    <w:tr2bl w:val="nil"/>
                  </w:tcBorders>
                  <w:vAlign w:val="center"/>
                </w:tcPr>
                <w:p>
                  <w:pPr>
                    <w:tabs>
                      <w:tab w:val="left" w:pos="1134"/>
                    </w:tabs>
                    <w:jc w:val="center"/>
                    <w:rPr>
                      <w:rFonts w:cs="Times New Roman"/>
                      <w:sz w:val="18"/>
                      <w:szCs w:val="18"/>
                    </w:rPr>
                  </w:pPr>
                  <w:r>
                    <w:rPr>
                      <w:rFonts w:cs="Times New Roman"/>
                      <w:sz w:val="18"/>
                      <w:szCs w:val="18"/>
                    </w:rPr>
                    <w:t>0.05</w:t>
                  </w:r>
                </w:p>
              </w:tc>
              <w:tc>
                <w:tcPr>
                  <w:tcW w:w="570" w:type="pct"/>
                  <w:vMerge w:val="restart"/>
                  <w:tcBorders>
                    <w:tl2br w:val="nil"/>
                    <w:tr2bl w:val="nil"/>
                  </w:tcBorders>
                  <w:vAlign w:val="center"/>
                </w:tcPr>
                <w:p>
                  <w:pPr>
                    <w:jc w:val="center"/>
                    <w:rPr>
                      <w:rFonts w:cs="Times New Roman"/>
                      <w:sz w:val="18"/>
                      <w:szCs w:val="18"/>
                    </w:rPr>
                  </w:pPr>
                  <w:r>
                    <w:rPr>
                      <w:rFonts w:cs="Times New Roman"/>
                      <w:sz w:val="18"/>
                      <w:szCs w:val="18"/>
                    </w:rPr>
                    <w:t>设备保养</w:t>
                  </w:r>
                </w:p>
              </w:tc>
              <w:tc>
                <w:tcPr>
                  <w:tcW w:w="345" w:type="pct"/>
                  <w:tcBorders>
                    <w:tl2br w:val="nil"/>
                    <w:tr2bl w:val="nil"/>
                  </w:tcBorders>
                  <w:vAlign w:val="center"/>
                </w:tcPr>
                <w:p>
                  <w:pPr>
                    <w:jc w:val="center"/>
                    <w:rPr>
                      <w:rFonts w:cs="Times New Roman"/>
                      <w:sz w:val="18"/>
                      <w:szCs w:val="18"/>
                    </w:rPr>
                  </w:pPr>
                  <w:r>
                    <w:rPr>
                      <w:rFonts w:cs="Times New Roman"/>
                      <w:sz w:val="18"/>
                      <w:szCs w:val="18"/>
                    </w:rPr>
                    <w:t>液态</w:t>
                  </w:r>
                </w:p>
              </w:tc>
              <w:tc>
                <w:tcPr>
                  <w:tcW w:w="393" w:type="pct"/>
                  <w:tcBorders>
                    <w:tl2br w:val="nil"/>
                    <w:tr2bl w:val="nil"/>
                  </w:tcBorders>
                  <w:vAlign w:val="center"/>
                </w:tcPr>
                <w:p>
                  <w:pPr>
                    <w:jc w:val="center"/>
                    <w:rPr>
                      <w:rFonts w:cs="Times New Roman"/>
                      <w:sz w:val="18"/>
                      <w:szCs w:val="18"/>
                    </w:rPr>
                  </w:pPr>
                  <w:r>
                    <w:rPr>
                      <w:rFonts w:cs="Times New Roman"/>
                      <w:sz w:val="18"/>
                      <w:szCs w:val="18"/>
                    </w:rPr>
                    <w:t>矿物油</w:t>
                  </w:r>
                </w:p>
              </w:tc>
              <w:tc>
                <w:tcPr>
                  <w:tcW w:w="405" w:type="pct"/>
                  <w:tcBorders>
                    <w:tl2br w:val="nil"/>
                    <w:tr2bl w:val="nil"/>
                  </w:tcBorders>
                  <w:vAlign w:val="center"/>
                </w:tcPr>
                <w:p>
                  <w:pPr>
                    <w:jc w:val="center"/>
                    <w:rPr>
                      <w:rFonts w:cs="Times New Roman"/>
                      <w:sz w:val="18"/>
                      <w:szCs w:val="18"/>
                    </w:rPr>
                  </w:pPr>
                  <w:r>
                    <w:rPr>
                      <w:rFonts w:cs="Times New Roman"/>
                      <w:sz w:val="18"/>
                      <w:szCs w:val="18"/>
                    </w:rPr>
                    <w:t>矿物油</w:t>
                  </w:r>
                </w:p>
              </w:tc>
              <w:tc>
                <w:tcPr>
                  <w:tcW w:w="307" w:type="pct"/>
                  <w:tcBorders>
                    <w:tl2br w:val="nil"/>
                    <w:tr2bl w:val="nil"/>
                  </w:tcBorders>
                  <w:vAlign w:val="center"/>
                </w:tcPr>
                <w:p>
                  <w:pPr>
                    <w:jc w:val="center"/>
                    <w:rPr>
                      <w:rFonts w:cs="Times New Roman"/>
                      <w:sz w:val="18"/>
                      <w:szCs w:val="18"/>
                    </w:rPr>
                  </w:pPr>
                  <w:r>
                    <w:rPr>
                      <w:rFonts w:cs="Times New Roman"/>
                      <w:sz w:val="18"/>
                      <w:szCs w:val="18"/>
                    </w:rPr>
                    <w:t>每月</w:t>
                  </w:r>
                </w:p>
              </w:tc>
              <w:tc>
                <w:tcPr>
                  <w:tcW w:w="361" w:type="pct"/>
                  <w:tcBorders>
                    <w:tl2br w:val="nil"/>
                    <w:tr2bl w:val="nil"/>
                  </w:tcBorders>
                  <w:vAlign w:val="center"/>
                </w:tcPr>
                <w:p>
                  <w:pPr>
                    <w:jc w:val="center"/>
                    <w:rPr>
                      <w:rFonts w:cs="Times New Roman"/>
                      <w:sz w:val="18"/>
                      <w:szCs w:val="18"/>
                    </w:rPr>
                  </w:pPr>
                  <w:r>
                    <w:rPr>
                      <w:rFonts w:cs="Times New Roman"/>
                      <w:sz w:val="18"/>
                      <w:szCs w:val="18"/>
                    </w:rPr>
                    <w:t>T,I</w:t>
                  </w:r>
                </w:p>
              </w:tc>
              <w:tc>
                <w:tcPr>
                  <w:tcW w:w="514" w:type="pct"/>
                  <w:vMerge w:val="continue"/>
                  <w:tcBorders>
                    <w:tl2br w:val="nil"/>
                    <w:tr2bl w:val="nil"/>
                  </w:tcBorders>
                  <w:vAlign w:val="center"/>
                </w:tcPr>
                <w:p>
                  <w:pPr>
                    <w:jc w:val="center"/>
                    <w:rPr>
                      <w:rFonts w:cs="Times New Roman"/>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219" w:type="pct"/>
                  <w:tcBorders>
                    <w:tl2br w:val="nil"/>
                    <w:tr2bl w:val="nil"/>
                  </w:tcBorders>
                  <w:vAlign w:val="center"/>
                </w:tcPr>
                <w:p>
                  <w:pPr>
                    <w:jc w:val="center"/>
                    <w:rPr>
                      <w:rFonts w:cs="Times New Roman"/>
                      <w:sz w:val="18"/>
                      <w:szCs w:val="18"/>
                    </w:rPr>
                  </w:pPr>
                  <w:r>
                    <w:rPr>
                      <w:rFonts w:cs="Times New Roman"/>
                      <w:sz w:val="18"/>
                      <w:szCs w:val="18"/>
                    </w:rPr>
                    <w:t>4</w:t>
                  </w:r>
                </w:p>
              </w:tc>
              <w:tc>
                <w:tcPr>
                  <w:tcW w:w="386" w:type="pct"/>
                  <w:tcBorders>
                    <w:tl2br w:val="nil"/>
                    <w:tr2bl w:val="nil"/>
                  </w:tcBorders>
                  <w:vAlign w:val="center"/>
                </w:tcPr>
                <w:p>
                  <w:pPr>
                    <w:jc w:val="center"/>
                    <w:rPr>
                      <w:rFonts w:cs="Times New Roman"/>
                      <w:sz w:val="18"/>
                      <w:szCs w:val="18"/>
                    </w:rPr>
                  </w:pPr>
                  <w:r>
                    <w:rPr>
                      <w:rFonts w:cs="Times New Roman"/>
                      <w:sz w:val="18"/>
                      <w:szCs w:val="18"/>
                    </w:rPr>
                    <w:t>含油抹布及手套</w:t>
                  </w:r>
                </w:p>
              </w:tc>
              <w:tc>
                <w:tcPr>
                  <w:tcW w:w="413" w:type="pct"/>
                  <w:tcBorders>
                    <w:tl2br w:val="nil"/>
                    <w:tr2bl w:val="nil"/>
                  </w:tcBorders>
                  <w:vAlign w:val="center"/>
                </w:tcPr>
                <w:p>
                  <w:pPr>
                    <w:jc w:val="center"/>
                    <w:rPr>
                      <w:rFonts w:cs="Times New Roman"/>
                      <w:sz w:val="18"/>
                      <w:szCs w:val="18"/>
                    </w:rPr>
                  </w:pPr>
                  <w:r>
                    <w:rPr>
                      <w:rFonts w:cs="Times New Roman"/>
                      <w:sz w:val="18"/>
                      <w:szCs w:val="18"/>
                    </w:rPr>
                    <w:t>HW49</w:t>
                  </w:r>
                </w:p>
              </w:tc>
              <w:tc>
                <w:tcPr>
                  <w:tcW w:w="630" w:type="pct"/>
                  <w:tcBorders>
                    <w:tl2br w:val="nil"/>
                    <w:tr2bl w:val="nil"/>
                  </w:tcBorders>
                  <w:vAlign w:val="center"/>
                </w:tcPr>
                <w:p>
                  <w:pPr>
                    <w:jc w:val="center"/>
                    <w:rPr>
                      <w:rFonts w:cs="Times New Roman"/>
                      <w:sz w:val="18"/>
                      <w:szCs w:val="18"/>
                    </w:rPr>
                  </w:pPr>
                  <w:r>
                    <w:rPr>
                      <w:rFonts w:cs="Times New Roman"/>
                      <w:sz w:val="18"/>
                      <w:szCs w:val="18"/>
                    </w:rPr>
                    <w:t>900-041-49</w:t>
                  </w:r>
                </w:p>
              </w:tc>
              <w:tc>
                <w:tcPr>
                  <w:tcW w:w="452" w:type="pct"/>
                  <w:tcBorders>
                    <w:tl2br w:val="nil"/>
                    <w:tr2bl w:val="nil"/>
                  </w:tcBorders>
                  <w:vAlign w:val="center"/>
                </w:tcPr>
                <w:p>
                  <w:pPr>
                    <w:tabs>
                      <w:tab w:val="left" w:pos="1134"/>
                    </w:tabs>
                    <w:jc w:val="center"/>
                    <w:rPr>
                      <w:rFonts w:cs="Times New Roman"/>
                      <w:sz w:val="18"/>
                      <w:szCs w:val="18"/>
                    </w:rPr>
                  </w:pPr>
                  <w:r>
                    <w:rPr>
                      <w:rFonts w:cs="Times New Roman"/>
                      <w:sz w:val="18"/>
                      <w:szCs w:val="18"/>
                    </w:rPr>
                    <w:t>0.01</w:t>
                  </w:r>
                </w:p>
              </w:tc>
              <w:tc>
                <w:tcPr>
                  <w:tcW w:w="570" w:type="pct"/>
                  <w:vMerge w:val="continue"/>
                  <w:tcBorders>
                    <w:tl2br w:val="nil"/>
                    <w:tr2bl w:val="nil"/>
                  </w:tcBorders>
                  <w:vAlign w:val="center"/>
                </w:tcPr>
                <w:p>
                  <w:pPr>
                    <w:jc w:val="center"/>
                    <w:rPr>
                      <w:rFonts w:cs="Times New Roman"/>
                      <w:sz w:val="18"/>
                      <w:szCs w:val="18"/>
                    </w:rPr>
                  </w:pPr>
                </w:p>
              </w:tc>
              <w:tc>
                <w:tcPr>
                  <w:tcW w:w="345" w:type="pct"/>
                  <w:tcBorders>
                    <w:tl2br w:val="nil"/>
                    <w:tr2bl w:val="nil"/>
                  </w:tcBorders>
                  <w:vAlign w:val="center"/>
                </w:tcPr>
                <w:p>
                  <w:pPr>
                    <w:jc w:val="center"/>
                    <w:rPr>
                      <w:rFonts w:cs="Times New Roman"/>
                      <w:sz w:val="18"/>
                      <w:szCs w:val="18"/>
                    </w:rPr>
                  </w:pPr>
                  <w:r>
                    <w:rPr>
                      <w:rFonts w:cs="Times New Roman"/>
                      <w:sz w:val="18"/>
                      <w:szCs w:val="18"/>
                    </w:rPr>
                    <w:t>固态</w:t>
                  </w:r>
                </w:p>
              </w:tc>
              <w:tc>
                <w:tcPr>
                  <w:tcW w:w="393" w:type="pct"/>
                  <w:tcBorders>
                    <w:tl2br w:val="nil"/>
                    <w:tr2bl w:val="nil"/>
                  </w:tcBorders>
                  <w:vAlign w:val="center"/>
                </w:tcPr>
                <w:p>
                  <w:pPr>
                    <w:jc w:val="center"/>
                    <w:rPr>
                      <w:rFonts w:cs="Times New Roman"/>
                      <w:sz w:val="18"/>
                      <w:szCs w:val="18"/>
                    </w:rPr>
                  </w:pPr>
                  <w:r>
                    <w:rPr>
                      <w:rFonts w:cs="Times New Roman"/>
                      <w:sz w:val="18"/>
                      <w:szCs w:val="18"/>
                    </w:rPr>
                    <w:t>矿物油</w:t>
                  </w:r>
                </w:p>
              </w:tc>
              <w:tc>
                <w:tcPr>
                  <w:tcW w:w="405" w:type="pct"/>
                  <w:tcBorders>
                    <w:tl2br w:val="nil"/>
                    <w:tr2bl w:val="nil"/>
                  </w:tcBorders>
                  <w:vAlign w:val="center"/>
                </w:tcPr>
                <w:p>
                  <w:pPr>
                    <w:jc w:val="center"/>
                    <w:rPr>
                      <w:rFonts w:cs="Times New Roman"/>
                      <w:sz w:val="18"/>
                      <w:szCs w:val="18"/>
                    </w:rPr>
                  </w:pPr>
                  <w:r>
                    <w:rPr>
                      <w:rFonts w:cs="Times New Roman"/>
                      <w:sz w:val="18"/>
                      <w:szCs w:val="18"/>
                    </w:rPr>
                    <w:t>矿物油</w:t>
                  </w:r>
                </w:p>
              </w:tc>
              <w:tc>
                <w:tcPr>
                  <w:tcW w:w="307" w:type="pct"/>
                  <w:tcBorders>
                    <w:tl2br w:val="nil"/>
                    <w:tr2bl w:val="nil"/>
                  </w:tcBorders>
                  <w:vAlign w:val="center"/>
                </w:tcPr>
                <w:p>
                  <w:pPr>
                    <w:jc w:val="center"/>
                    <w:rPr>
                      <w:rFonts w:cs="Times New Roman"/>
                      <w:sz w:val="18"/>
                      <w:szCs w:val="18"/>
                    </w:rPr>
                  </w:pPr>
                  <w:r>
                    <w:rPr>
                      <w:rFonts w:cs="Times New Roman"/>
                      <w:sz w:val="18"/>
                      <w:szCs w:val="18"/>
                    </w:rPr>
                    <w:t>每周</w:t>
                  </w:r>
                </w:p>
              </w:tc>
              <w:tc>
                <w:tcPr>
                  <w:tcW w:w="361" w:type="pct"/>
                  <w:tcBorders>
                    <w:tl2br w:val="nil"/>
                    <w:tr2bl w:val="nil"/>
                  </w:tcBorders>
                  <w:vAlign w:val="center"/>
                </w:tcPr>
                <w:p>
                  <w:pPr>
                    <w:jc w:val="center"/>
                    <w:rPr>
                      <w:rFonts w:cs="Times New Roman"/>
                      <w:sz w:val="18"/>
                      <w:szCs w:val="18"/>
                    </w:rPr>
                  </w:pPr>
                  <w:r>
                    <w:rPr>
                      <w:rFonts w:cs="Times New Roman"/>
                      <w:sz w:val="18"/>
                      <w:szCs w:val="18"/>
                    </w:rPr>
                    <w:t>T,I</w:t>
                  </w:r>
                </w:p>
              </w:tc>
              <w:tc>
                <w:tcPr>
                  <w:tcW w:w="514" w:type="pct"/>
                  <w:vMerge w:val="continue"/>
                  <w:tcBorders>
                    <w:tl2br w:val="nil"/>
                    <w:tr2bl w:val="nil"/>
                  </w:tcBorders>
                  <w:vAlign w:val="center"/>
                </w:tcPr>
                <w:p>
                  <w:pPr>
                    <w:jc w:val="center"/>
                    <w:rPr>
                      <w:rFonts w:cs="Times New Roman"/>
                      <w:sz w:val="18"/>
                      <w:szCs w:val="18"/>
                    </w:rPr>
                  </w:pPr>
                </w:p>
              </w:tc>
            </w:tr>
          </w:tbl>
          <w:p>
            <w:pPr>
              <w:spacing w:line="360" w:lineRule="auto"/>
              <w:ind w:firstLine="482" w:firstLineChars="200"/>
              <w:rPr>
                <w:rFonts w:cs="Times New Roman"/>
                <w:b/>
                <w:sz w:val="24"/>
                <w:szCs w:val="24"/>
              </w:rPr>
            </w:pPr>
            <w:r>
              <w:rPr>
                <w:rFonts w:cs="Times New Roman"/>
                <w:b/>
                <w:sz w:val="24"/>
                <w:szCs w:val="24"/>
              </w:rPr>
              <w:t>危险废物收集和暂存要求</w:t>
            </w:r>
          </w:p>
          <w:p>
            <w:pPr>
              <w:spacing w:line="360" w:lineRule="auto"/>
              <w:ind w:firstLine="482" w:firstLineChars="200"/>
              <w:rPr>
                <w:rFonts w:cs="Times New Roman"/>
                <w:b/>
                <w:sz w:val="24"/>
                <w:szCs w:val="24"/>
              </w:rPr>
            </w:pPr>
            <w:r>
              <w:rPr>
                <w:rFonts w:cs="Times New Roman"/>
                <w:b/>
                <w:sz w:val="24"/>
                <w:szCs w:val="24"/>
              </w:rPr>
              <w:t>（1）贮存要求</w:t>
            </w:r>
          </w:p>
          <w:p>
            <w:pPr>
              <w:spacing w:line="360" w:lineRule="auto"/>
              <w:ind w:firstLine="480" w:firstLineChars="200"/>
              <w:rPr>
                <w:rFonts w:cs="Times New Roman"/>
                <w:bCs/>
                <w:sz w:val="24"/>
                <w:szCs w:val="24"/>
              </w:rPr>
            </w:pPr>
            <w:r>
              <w:rPr>
                <w:rFonts w:cs="Times New Roman"/>
                <w:bCs/>
                <w:sz w:val="24"/>
                <w:szCs w:val="24"/>
              </w:rPr>
              <w:t>危险废物应分类收集储存在危废暂存间，危废暂存间应采取防风、防晒、防雨、防漏、防渗、防腐的“</w:t>
            </w:r>
            <w:r>
              <w:rPr>
                <w:rFonts w:hint="eastAsia" w:cs="Times New Roman"/>
                <w:bCs/>
                <w:sz w:val="24"/>
                <w:szCs w:val="24"/>
              </w:rPr>
              <w:t>六</w:t>
            </w:r>
            <w:r>
              <w:rPr>
                <w:rFonts w:cs="Times New Roman"/>
                <w:bCs/>
                <w:sz w:val="24"/>
                <w:szCs w:val="24"/>
              </w:rPr>
              <w:t>防”措施，按照《危险废物识别标志设置技术规范》（HJ 1276-2022）和《环境保护图形标志—固体废物贮存（处置）场》（GB15562.2-1995）及其修改单设置警示标识，由专人负责管理。危险废物贮存必须严格按照《危险废物贮存污染控制标准》（GB18597-2023）的要求执行：</w:t>
            </w:r>
          </w:p>
          <w:p>
            <w:pPr>
              <w:spacing w:line="360" w:lineRule="auto"/>
              <w:ind w:firstLine="482" w:firstLineChars="200"/>
              <w:rPr>
                <w:rFonts w:cs="Times New Roman"/>
                <w:b/>
                <w:sz w:val="24"/>
                <w:szCs w:val="24"/>
              </w:rPr>
            </w:pPr>
            <w:r>
              <w:rPr>
                <w:rFonts w:cs="Times New Roman"/>
                <w:b/>
                <w:sz w:val="24"/>
                <w:szCs w:val="24"/>
              </w:rPr>
              <w:t>1）贮存设施污染控制要求</w:t>
            </w:r>
          </w:p>
          <w:p>
            <w:pPr>
              <w:spacing w:line="360" w:lineRule="auto"/>
              <w:ind w:firstLine="480" w:firstLineChars="200"/>
              <w:rPr>
                <w:rFonts w:cs="Times New Roman"/>
                <w:bCs/>
                <w:sz w:val="24"/>
                <w:szCs w:val="24"/>
              </w:rPr>
            </w:pPr>
            <w:r>
              <w:rPr>
                <w:rFonts w:cs="Times New Roman"/>
                <w:bCs/>
                <w:sz w:val="24"/>
                <w:szCs w:val="24"/>
              </w:rPr>
              <w:t>①贮存设施应根据危险废物的形态、物理化学性质、包装形式和污染物迁移途径，采取必要的防风、防晒、防雨、防漏、防渗、防腐以及其他环境污染防治措施，不应露天堆放危险废物。</w:t>
            </w:r>
          </w:p>
          <w:p>
            <w:pPr>
              <w:spacing w:line="360" w:lineRule="auto"/>
              <w:ind w:firstLine="480" w:firstLineChars="200"/>
              <w:rPr>
                <w:rFonts w:cs="Times New Roman"/>
                <w:bCs/>
                <w:sz w:val="24"/>
                <w:szCs w:val="24"/>
              </w:rPr>
            </w:pPr>
            <w:r>
              <w:rPr>
                <w:rFonts w:cs="Times New Roman"/>
                <w:bCs/>
                <w:sz w:val="24"/>
                <w:szCs w:val="24"/>
              </w:rPr>
              <w:t>②贮存设施应根据危险废物的类别、数量、形态、物理化学性质和污染防治等要求设置必要的贮存分区，避免不相容的危险废物接触、混合。③贮存设施或贮存分区内地面、墙面裙脚、堵截泄漏的围堰、接触危险废物的隔板和墙体等应采用坚固的材料建造，表面无裂缝。</w:t>
            </w:r>
          </w:p>
          <w:p>
            <w:pPr>
              <w:spacing w:line="360" w:lineRule="auto"/>
              <w:ind w:firstLine="480" w:firstLineChars="200"/>
              <w:rPr>
                <w:rFonts w:cs="Times New Roman"/>
                <w:bCs/>
                <w:sz w:val="24"/>
                <w:szCs w:val="24"/>
              </w:rPr>
            </w:pPr>
            <w:r>
              <w:rPr>
                <w:rFonts w:cs="Times New Roman"/>
                <w:bCs/>
                <w:sz w:val="24"/>
                <w:szCs w:val="24"/>
              </w:rPr>
              <w:t>④贮存设施地面与裙脚应采取表面防渗措施；表面防渗材料应与所接触的物料或污染物相容，可采用抗渗混凝土、高密度聚乙烯膜、钠基膨润土防水毯或其他防渗性能等效的材料。</w:t>
            </w:r>
          </w:p>
          <w:p>
            <w:pPr>
              <w:spacing w:line="360" w:lineRule="auto"/>
              <w:ind w:firstLine="480" w:firstLineChars="200"/>
              <w:rPr>
                <w:rFonts w:cs="Times New Roman"/>
                <w:bCs/>
                <w:sz w:val="24"/>
                <w:szCs w:val="24"/>
              </w:rPr>
            </w:pPr>
            <w:r>
              <w:rPr>
                <w:rFonts w:cs="Times New Roman"/>
                <w:bCs/>
                <w:sz w:val="24"/>
                <w:szCs w:val="24"/>
              </w:rPr>
              <w:t>⑤同一贮存设施宜采用相同的防渗、防腐工艺（包括防渗、防腐结构或材料），防渗、防腐材料应覆盖所有可能与废物及其渗滤液、渗漏液等接触的构筑物表面；采用不同防渗、防腐工艺应分别建设贮存分区。</w:t>
            </w:r>
          </w:p>
          <w:p>
            <w:pPr>
              <w:spacing w:line="360" w:lineRule="auto"/>
              <w:ind w:firstLine="480" w:firstLineChars="200"/>
              <w:rPr>
                <w:rFonts w:cs="Times New Roman"/>
                <w:bCs/>
                <w:sz w:val="24"/>
                <w:szCs w:val="24"/>
              </w:rPr>
            </w:pPr>
            <w:r>
              <w:rPr>
                <w:rFonts w:cs="Times New Roman"/>
                <w:bCs/>
                <w:sz w:val="24"/>
                <w:szCs w:val="24"/>
              </w:rPr>
              <w:t>⑥贮存设施应采取技术和管理措施防止无关人员进入。</w:t>
            </w:r>
          </w:p>
          <w:p>
            <w:pPr>
              <w:spacing w:line="360" w:lineRule="auto"/>
              <w:ind w:firstLine="482" w:firstLineChars="200"/>
              <w:rPr>
                <w:rFonts w:cs="Times New Roman"/>
                <w:b/>
                <w:sz w:val="24"/>
                <w:szCs w:val="24"/>
              </w:rPr>
            </w:pPr>
            <w:r>
              <w:rPr>
                <w:rFonts w:cs="Times New Roman"/>
                <w:b/>
                <w:sz w:val="24"/>
                <w:szCs w:val="24"/>
              </w:rPr>
              <w:t>2）容器和包装物污染控制要求</w:t>
            </w:r>
          </w:p>
          <w:p>
            <w:pPr>
              <w:spacing w:line="360" w:lineRule="auto"/>
              <w:ind w:firstLine="480" w:firstLineChars="200"/>
              <w:rPr>
                <w:rFonts w:cs="Times New Roman"/>
                <w:bCs/>
                <w:sz w:val="24"/>
                <w:szCs w:val="24"/>
              </w:rPr>
            </w:pPr>
            <w:r>
              <w:rPr>
                <w:rFonts w:cs="Times New Roman"/>
                <w:bCs/>
                <w:sz w:val="24"/>
                <w:szCs w:val="24"/>
              </w:rPr>
              <w:t>①容器和包装物材质、内衬应与盛装的危险废物相容。②针对不同类别、形态、物理化学性质的危险废物，其容器和包装物应满足相应的防渗、防漏、防腐和强度等要求。</w:t>
            </w:r>
          </w:p>
          <w:p>
            <w:pPr>
              <w:spacing w:line="360" w:lineRule="auto"/>
              <w:ind w:firstLine="480" w:firstLineChars="200"/>
              <w:rPr>
                <w:rFonts w:cs="Times New Roman"/>
                <w:bCs/>
                <w:sz w:val="24"/>
                <w:szCs w:val="24"/>
              </w:rPr>
            </w:pPr>
            <w:r>
              <w:rPr>
                <w:rFonts w:cs="Times New Roman"/>
                <w:bCs/>
                <w:sz w:val="24"/>
                <w:szCs w:val="24"/>
              </w:rPr>
              <w:t>③硬质容器和包装物及其支护结构堆叠码放时不应有明显变形，无破损泄漏。④柔性容器和包装物堆叠码放时应封口严密，无破损泄漏。⑤使用容器盛装液态、半固态危险废物时，容器内部应留有适当的空间，以适应因温度变化等可能引发的收缩和膨胀，防止其导致容器渗漏或永久变形。⑥容器和包装物外表面应保持清洁。</w:t>
            </w:r>
          </w:p>
          <w:p>
            <w:pPr>
              <w:spacing w:line="360" w:lineRule="auto"/>
              <w:ind w:firstLine="482" w:firstLineChars="200"/>
              <w:rPr>
                <w:rFonts w:cs="Times New Roman"/>
                <w:b/>
                <w:sz w:val="24"/>
                <w:szCs w:val="24"/>
              </w:rPr>
            </w:pPr>
            <w:r>
              <w:rPr>
                <w:rFonts w:cs="Times New Roman"/>
                <w:b/>
                <w:sz w:val="24"/>
                <w:szCs w:val="24"/>
              </w:rPr>
              <w:t>3）贮存设施运行环境管理要求</w:t>
            </w:r>
          </w:p>
          <w:p>
            <w:pPr>
              <w:spacing w:line="360" w:lineRule="auto"/>
              <w:ind w:firstLine="480" w:firstLineChars="200"/>
              <w:rPr>
                <w:rFonts w:cs="Times New Roman"/>
                <w:bCs/>
                <w:sz w:val="24"/>
                <w:szCs w:val="24"/>
              </w:rPr>
            </w:pPr>
            <w:r>
              <w:rPr>
                <w:rFonts w:cs="Times New Roman"/>
                <w:bCs/>
                <w:sz w:val="24"/>
                <w:szCs w:val="24"/>
              </w:rPr>
              <w:t>①危险废物存入贮存设施前应对危险废物类别和特性与危险废物标签等危险废物识别标志的一致性进行核验，不一致的或类别、特性不明的不应存入。②应定期检查危险废物的贮存状况，及时清理贮存设施地面，更换破损泄漏的危险废物贮存容器和包装物，保证堆存危险废物的防雨、防风、防扬尘等设施功能完好。③贮存设施运行期间，应按国家有关标准和规定建立危险废物管理台账并保存。④贮存设施所有者或运营者应建立贮存设施环境管理制度、管理人员岗位职责制度、设施运行操作制度、人员岗位培训制度等。</w:t>
            </w:r>
          </w:p>
          <w:p>
            <w:pPr>
              <w:spacing w:line="360" w:lineRule="auto"/>
              <w:ind w:firstLine="480" w:firstLineChars="200"/>
              <w:rPr>
                <w:rFonts w:cs="Times New Roman"/>
                <w:bCs/>
                <w:sz w:val="24"/>
                <w:szCs w:val="24"/>
              </w:rPr>
            </w:pPr>
            <w:r>
              <w:rPr>
                <w:rFonts w:cs="Times New Roman"/>
                <w:bCs/>
                <w:sz w:val="24"/>
                <w:szCs w:val="24"/>
              </w:rPr>
              <w:t>⑤贮存设施所有者或运营者应依据国家土壤和地下水污染防治的有关规定，结合贮存设施特点建立土壤和地下水污染隐患排查制度，并定期开展隐患排查；发现隐患应及时采取措施消除隐患，并建立档案。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cs="Times New Roman"/>
                <w:bCs/>
                <w:sz w:val="24"/>
                <w:szCs w:val="24"/>
              </w:rPr>
            </w:pPr>
            <w:r>
              <w:rPr>
                <w:rFonts w:cs="Times New Roman"/>
                <w:bCs/>
                <w:sz w:val="24"/>
                <w:szCs w:val="24"/>
              </w:rPr>
              <w:t>⑥贮存设施所有者或运营者应建立贮存设施全部档案，包括设计、施工、验收、运行、监测和环境应急等，应按国家有关档案管理的法律法规进行整理和归档。</w:t>
            </w:r>
          </w:p>
          <w:p>
            <w:pPr>
              <w:spacing w:line="360" w:lineRule="auto"/>
              <w:ind w:firstLine="482" w:firstLineChars="200"/>
              <w:rPr>
                <w:rFonts w:cs="Times New Roman"/>
                <w:b/>
                <w:sz w:val="24"/>
                <w:szCs w:val="24"/>
              </w:rPr>
            </w:pPr>
            <w:r>
              <w:rPr>
                <w:rFonts w:cs="Times New Roman"/>
                <w:b/>
                <w:sz w:val="24"/>
                <w:szCs w:val="24"/>
              </w:rPr>
              <w:t>4）环境应急要求</w:t>
            </w:r>
          </w:p>
          <w:p>
            <w:pPr>
              <w:spacing w:line="360" w:lineRule="auto"/>
              <w:ind w:firstLine="480" w:firstLineChars="200"/>
              <w:rPr>
                <w:rFonts w:cs="Times New Roman"/>
                <w:bCs/>
                <w:sz w:val="24"/>
                <w:szCs w:val="24"/>
              </w:rPr>
            </w:pPr>
            <w:r>
              <w:rPr>
                <w:rFonts w:cs="Times New Roman"/>
                <w:bCs/>
                <w:sz w:val="24"/>
                <w:szCs w:val="24"/>
              </w:rPr>
              <w:t>①贮存设施所有者或运营者应按照国家有关规定编制突发环境事件应急预案，定期开展必要的培训和环境应急演练，并做好培训、演练记录。②贮存设施所有者或运营者应配备满足其突发环境事件应急要求的应急人员、装备和物资，并应设置应急照明系统。</w:t>
            </w:r>
          </w:p>
          <w:p>
            <w:pPr>
              <w:spacing w:line="360" w:lineRule="auto"/>
              <w:ind w:firstLine="480" w:firstLineChars="200"/>
              <w:rPr>
                <w:rFonts w:cs="Times New Roman"/>
                <w:bCs/>
                <w:sz w:val="24"/>
                <w:szCs w:val="24"/>
              </w:rPr>
            </w:pPr>
            <w:r>
              <w:rPr>
                <w:rFonts w:cs="Times New Roman"/>
                <w:bCs/>
                <w:sz w:val="24"/>
                <w:szCs w:val="24"/>
              </w:rPr>
              <w:t>③相关部门发布自然灾害或恶劣天气预警后，贮存设施所有者或运营者应启动相应防控措施，若有必要可将危险废物转移至其他具有防护条件的地点贮存。</w:t>
            </w:r>
          </w:p>
          <w:p>
            <w:pPr>
              <w:spacing w:line="360" w:lineRule="auto"/>
              <w:ind w:firstLine="480" w:firstLineChars="200"/>
              <w:rPr>
                <w:rFonts w:cs="Times New Roman"/>
                <w:bCs/>
                <w:sz w:val="24"/>
                <w:szCs w:val="24"/>
              </w:rPr>
            </w:pPr>
            <w:r>
              <w:rPr>
                <w:rFonts w:cs="Times New Roman"/>
                <w:bCs/>
                <w:sz w:val="24"/>
                <w:szCs w:val="24"/>
              </w:rPr>
              <w:t>综上所述，本项目营运期严格落实本环评中提出的各类废物处置措施，落实危险废物储存和转运要求，可防止因处置不当出现的环境二次污染。</w:t>
            </w:r>
          </w:p>
          <w:p>
            <w:pPr>
              <w:spacing w:line="360" w:lineRule="auto"/>
              <w:ind w:firstLine="482" w:firstLineChars="200"/>
              <w:rPr>
                <w:rFonts w:cs="Times New Roman"/>
                <w:b/>
                <w:sz w:val="24"/>
                <w:szCs w:val="24"/>
              </w:rPr>
            </w:pPr>
            <w:r>
              <w:rPr>
                <w:rFonts w:cs="Times New Roman"/>
                <w:b/>
                <w:sz w:val="24"/>
                <w:szCs w:val="24"/>
              </w:rPr>
              <w:t>5、地下水、土壤污染防治措施</w:t>
            </w:r>
          </w:p>
          <w:p>
            <w:pPr>
              <w:spacing w:line="360" w:lineRule="auto"/>
              <w:ind w:firstLine="361" w:firstLineChars="150"/>
              <w:rPr>
                <w:rFonts w:cs="Times New Roman"/>
                <w:b/>
                <w:sz w:val="24"/>
                <w:szCs w:val="24"/>
              </w:rPr>
            </w:pPr>
            <w:r>
              <w:rPr>
                <w:rFonts w:cs="Times New Roman"/>
                <w:b/>
                <w:sz w:val="24"/>
                <w:szCs w:val="24"/>
              </w:rPr>
              <w:t>（1）污染途径</w:t>
            </w:r>
          </w:p>
          <w:p>
            <w:pPr>
              <w:spacing w:line="360" w:lineRule="auto"/>
              <w:ind w:firstLine="480" w:firstLineChars="200"/>
              <w:rPr>
                <w:rFonts w:cs="Times New Roman"/>
                <w:sz w:val="24"/>
                <w:szCs w:val="24"/>
              </w:rPr>
            </w:pPr>
            <w:r>
              <w:rPr>
                <w:rFonts w:cs="Times New Roman"/>
                <w:sz w:val="24"/>
                <w:szCs w:val="24"/>
              </w:rPr>
              <w:t>运营期污染物进入地下水环境的途径主要是废水泄漏通过垂直渗透进入包气带，进入包气带的污染物在物理、化学和生物作用下经吸附、转化、迁移和分解后输入地下水，运营期因渗漏可能产生的污染地下水环节为污水管网、污水处理设施发生“跑、冒、滴、漏”使污染物进入地下水环境。</w:t>
            </w:r>
          </w:p>
          <w:p>
            <w:pPr>
              <w:spacing w:line="360" w:lineRule="auto"/>
              <w:ind w:firstLine="361" w:firstLineChars="150"/>
              <w:rPr>
                <w:rFonts w:cs="Times New Roman"/>
                <w:b/>
                <w:sz w:val="24"/>
                <w:szCs w:val="24"/>
              </w:rPr>
            </w:pPr>
            <w:r>
              <w:rPr>
                <w:rFonts w:cs="Times New Roman"/>
                <w:b/>
                <w:sz w:val="24"/>
                <w:szCs w:val="24"/>
              </w:rPr>
              <w:t>（2）防渗分区</w:t>
            </w:r>
          </w:p>
          <w:p>
            <w:pPr>
              <w:spacing w:line="360" w:lineRule="auto"/>
              <w:ind w:firstLine="480" w:firstLineChars="200"/>
              <w:rPr>
                <w:rFonts w:cs="Times New Roman"/>
                <w:sz w:val="24"/>
                <w:szCs w:val="24"/>
              </w:rPr>
            </w:pPr>
            <w:r>
              <w:rPr>
                <w:rFonts w:cs="Times New Roman"/>
                <w:sz w:val="24"/>
                <w:szCs w:val="24"/>
              </w:rPr>
              <w:t>根据《环境影响评价技术导则 地下水环境》（HJ610-2016）防渗分区原则，将本项目分划为重点防渗区、一般防渗区和简单防渗区，划分区域如下：</w:t>
            </w:r>
          </w:p>
          <w:p>
            <w:pPr>
              <w:spacing w:line="360" w:lineRule="auto"/>
              <w:ind w:firstLine="482" w:firstLineChars="200"/>
              <w:rPr>
                <w:rFonts w:cs="Times New Roman"/>
                <w:sz w:val="24"/>
                <w:szCs w:val="24"/>
              </w:rPr>
            </w:pPr>
            <w:r>
              <w:rPr>
                <w:rFonts w:cs="Times New Roman"/>
                <w:b/>
                <w:bCs/>
                <w:sz w:val="24"/>
                <w:szCs w:val="24"/>
              </w:rPr>
              <w:t>重点防渗区：</w:t>
            </w:r>
            <w:r>
              <w:rPr>
                <w:rFonts w:cs="Times New Roman"/>
                <w:sz w:val="24"/>
                <w:szCs w:val="24"/>
              </w:rPr>
              <w:t>主要为危废暂存间、化粪池、危化品暂存间。危废暂存间防渗技术要求为等效黏土防渗层M≧6.0m，K≤10</w:t>
            </w:r>
            <w:r>
              <w:rPr>
                <w:rFonts w:cs="Times New Roman"/>
                <w:sz w:val="24"/>
                <w:szCs w:val="24"/>
                <w:vertAlign w:val="superscript"/>
              </w:rPr>
              <w:t>-10</w:t>
            </w:r>
            <w:r>
              <w:rPr>
                <w:rFonts w:cs="Times New Roman"/>
                <w:sz w:val="24"/>
                <w:szCs w:val="24"/>
              </w:rPr>
              <w:t>cm/s的要求；化粪池、危化品暂存间，防渗技术要求为等效粘土防渗层Mb≥1.5m，K≤10</w:t>
            </w:r>
            <w:r>
              <w:rPr>
                <w:rFonts w:cs="Times New Roman"/>
                <w:sz w:val="24"/>
                <w:szCs w:val="24"/>
                <w:vertAlign w:val="superscript"/>
              </w:rPr>
              <w:t>-7</w:t>
            </w:r>
            <w:r>
              <w:rPr>
                <w:rFonts w:cs="Times New Roman"/>
                <w:sz w:val="24"/>
                <w:szCs w:val="24"/>
              </w:rPr>
              <w:t>cm/s。</w:t>
            </w:r>
          </w:p>
          <w:p>
            <w:pPr>
              <w:spacing w:line="360" w:lineRule="auto"/>
              <w:ind w:firstLine="482" w:firstLineChars="200"/>
              <w:rPr>
                <w:rFonts w:cs="Times New Roman"/>
                <w:sz w:val="24"/>
                <w:szCs w:val="24"/>
              </w:rPr>
            </w:pPr>
            <w:r>
              <w:rPr>
                <w:rFonts w:cs="Times New Roman"/>
                <w:b/>
                <w:bCs/>
                <w:sz w:val="24"/>
                <w:szCs w:val="24"/>
              </w:rPr>
              <w:t>一般防渗区：</w:t>
            </w:r>
            <w:r>
              <w:rPr>
                <w:rFonts w:cs="Times New Roman"/>
                <w:sz w:val="24"/>
                <w:szCs w:val="24"/>
              </w:rPr>
              <w:t>其他生产区域和办公区域，防渗技术要求为等效粘土防渗层Mb≥1.5m，K≤10</w:t>
            </w:r>
            <w:r>
              <w:rPr>
                <w:rFonts w:cs="Times New Roman"/>
                <w:sz w:val="24"/>
                <w:szCs w:val="24"/>
                <w:vertAlign w:val="superscript"/>
              </w:rPr>
              <w:t>-7</w:t>
            </w:r>
            <w:r>
              <w:rPr>
                <w:rFonts w:cs="Times New Roman"/>
                <w:sz w:val="24"/>
                <w:szCs w:val="24"/>
              </w:rPr>
              <w:t>cm/s。</w:t>
            </w:r>
          </w:p>
          <w:p>
            <w:pPr>
              <w:spacing w:line="360" w:lineRule="auto"/>
              <w:ind w:firstLine="361" w:firstLineChars="150"/>
              <w:rPr>
                <w:rFonts w:cs="Times New Roman"/>
                <w:b/>
                <w:sz w:val="24"/>
                <w:szCs w:val="24"/>
              </w:rPr>
            </w:pPr>
            <w:r>
              <w:rPr>
                <w:rFonts w:cs="Times New Roman"/>
                <w:b/>
                <w:sz w:val="24"/>
                <w:szCs w:val="24"/>
              </w:rPr>
              <w:t>（3）防控措施</w:t>
            </w:r>
          </w:p>
          <w:p>
            <w:pPr>
              <w:spacing w:line="360" w:lineRule="auto"/>
              <w:ind w:firstLine="480" w:firstLineChars="200"/>
              <w:rPr>
                <w:rFonts w:cs="Times New Roman"/>
                <w:sz w:val="24"/>
                <w:szCs w:val="24"/>
              </w:rPr>
            </w:pPr>
            <w:r>
              <w:rPr>
                <w:rFonts w:cs="Times New Roman"/>
                <w:sz w:val="24"/>
                <w:szCs w:val="24"/>
              </w:rPr>
              <w:t>本项目采取的分区防渗措施见下表。</w:t>
            </w:r>
          </w:p>
          <w:p>
            <w:pPr>
              <w:spacing w:line="360" w:lineRule="auto"/>
              <w:jc w:val="center"/>
              <w:rPr>
                <w:rFonts w:cs="Times New Roman"/>
                <w:b/>
                <w:sz w:val="24"/>
                <w:szCs w:val="24"/>
              </w:rPr>
            </w:pPr>
          </w:p>
          <w:p>
            <w:pPr>
              <w:spacing w:line="360" w:lineRule="auto"/>
              <w:jc w:val="center"/>
              <w:rPr>
                <w:rFonts w:cs="Times New Roman"/>
                <w:b/>
                <w:sz w:val="24"/>
                <w:szCs w:val="24"/>
              </w:rPr>
            </w:pPr>
          </w:p>
          <w:p>
            <w:pPr>
              <w:spacing w:line="360" w:lineRule="auto"/>
              <w:jc w:val="center"/>
              <w:rPr>
                <w:rFonts w:cs="Times New Roman"/>
                <w:b/>
                <w:sz w:val="24"/>
                <w:szCs w:val="24"/>
              </w:rPr>
            </w:pPr>
            <w:r>
              <w:rPr>
                <w:rFonts w:cs="Times New Roman"/>
                <w:b/>
                <w:sz w:val="24"/>
                <w:szCs w:val="24"/>
              </w:rPr>
              <w:t>表4-25 本项目地下水防渗分区表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409"/>
              <w:gridCol w:w="1421"/>
              <w:gridCol w:w="893"/>
              <w:gridCol w:w="2097"/>
              <w:gridCol w:w="1336"/>
              <w:gridCol w:w="789"/>
              <w:gridCol w:w="861"/>
              <w:gridCol w:w="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blHeader/>
                <w:jc w:val="center"/>
              </w:trPr>
              <w:tc>
                <w:tcPr>
                  <w:tcW w:w="236"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序号</w:t>
                  </w:r>
                </w:p>
              </w:tc>
              <w:tc>
                <w:tcPr>
                  <w:tcW w:w="819"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车间名称</w:t>
                  </w:r>
                </w:p>
              </w:tc>
              <w:tc>
                <w:tcPr>
                  <w:tcW w:w="515"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分区类别</w:t>
                  </w:r>
                </w:p>
              </w:tc>
              <w:tc>
                <w:tcPr>
                  <w:tcW w:w="1209"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防渗要求</w:t>
                  </w:r>
                </w:p>
              </w:tc>
              <w:tc>
                <w:tcPr>
                  <w:tcW w:w="770"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采取措施</w:t>
                  </w:r>
                </w:p>
              </w:tc>
              <w:tc>
                <w:tcPr>
                  <w:tcW w:w="455"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是否满足要求</w:t>
                  </w:r>
                </w:p>
              </w:tc>
              <w:tc>
                <w:tcPr>
                  <w:tcW w:w="496"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整改措施</w:t>
                  </w:r>
                </w:p>
              </w:tc>
              <w:tc>
                <w:tcPr>
                  <w:tcW w:w="496" w:type="pct"/>
                  <w:tcBorders>
                    <w:tl2br w:val="nil"/>
                    <w:tr2bl w:val="nil"/>
                  </w:tcBorders>
                  <w:shd w:val="clear" w:color="000000" w:themeColor="text1" w:fill="auto"/>
                  <w:vAlign w:val="center"/>
                </w:tcPr>
                <w:p>
                  <w:pPr>
                    <w:jc w:val="center"/>
                    <w:rPr>
                      <w:rFonts w:cs="Times New Roman"/>
                      <w:b/>
                      <w:bCs/>
                      <w:szCs w:val="21"/>
                    </w:rPr>
                  </w:pPr>
                  <w:r>
                    <w:rPr>
                      <w:rFonts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tcBorders>
                    <w:tl2br w:val="nil"/>
                    <w:tr2bl w:val="nil"/>
                  </w:tcBorders>
                  <w:vAlign w:val="center"/>
                </w:tcPr>
                <w:p>
                  <w:pPr>
                    <w:jc w:val="center"/>
                    <w:rPr>
                      <w:rFonts w:cs="Times New Roman"/>
                      <w:szCs w:val="21"/>
                    </w:rPr>
                  </w:pPr>
                  <w:r>
                    <w:rPr>
                      <w:rFonts w:cs="Times New Roman"/>
                      <w:szCs w:val="21"/>
                    </w:rPr>
                    <w:t>1</w:t>
                  </w:r>
                </w:p>
              </w:tc>
              <w:tc>
                <w:tcPr>
                  <w:tcW w:w="819" w:type="pct"/>
                  <w:tcBorders>
                    <w:tl2br w:val="nil"/>
                    <w:tr2bl w:val="nil"/>
                  </w:tcBorders>
                  <w:shd w:val="clear" w:color="auto" w:fill="auto"/>
                  <w:vAlign w:val="center"/>
                </w:tcPr>
                <w:p>
                  <w:pPr>
                    <w:jc w:val="center"/>
                    <w:rPr>
                      <w:rFonts w:cs="Times New Roman"/>
                      <w:szCs w:val="21"/>
                      <w:lang w:bidi="ar"/>
                    </w:rPr>
                  </w:pPr>
                  <w:r>
                    <w:rPr>
                      <w:rFonts w:cs="Times New Roman"/>
                      <w:szCs w:val="21"/>
                      <w:lang w:bidi="ar"/>
                    </w:rPr>
                    <w:t>危废暂存间</w:t>
                  </w:r>
                </w:p>
              </w:tc>
              <w:tc>
                <w:tcPr>
                  <w:tcW w:w="515" w:type="pct"/>
                  <w:tcBorders>
                    <w:tl2br w:val="nil"/>
                    <w:tr2bl w:val="nil"/>
                  </w:tcBorders>
                  <w:shd w:val="clear" w:color="auto" w:fill="auto"/>
                  <w:vAlign w:val="center"/>
                </w:tcPr>
                <w:p>
                  <w:pPr>
                    <w:jc w:val="center"/>
                    <w:rPr>
                      <w:rFonts w:cs="Times New Roman"/>
                      <w:szCs w:val="21"/>
                    </w:rPr>
                  </w:pPr>
                  <w:r>
                    <w:rPr>
                      <w:rFonts w:cs="Times New Roman"/>
                      <w:szCs w:val="21"/>
                    </w:rPr>
                    <w:t>重点防渗</w:t>
                  </w:r>
                </w:p>
              </w:tc>
              <w:tc>
                <w:tcPr>
                  <w:tcW w:w="1209" w:type="pct"/>
                  <w:tcBorders>
                    <w:tl2br w:val="nil"/>
                    <w:tr2bl w:val="nil"/>
                  </w:tcBorders>
                  <w:shd w:val="clear" w:color="auto" w:fill="auto"/>
                  <w:vAlign w:val="center"/>
                </w:tcPr>
                <w:p>
                  <w:pPr>
                    <w:jc w:val="center"/>
                    <w:rPr>
                      <w:rFonts w:cs="Times New Roman"/>
                      <w:szCs w:val="21"/>
                    </w:rPr>
                  </w:pPr>
                  <w:r>
                    <w:rPr>
                      <w:rFonts w:cs="Times New Roman"/>
                      <w:szCs w:val="21"/>
                    </w:rPr>
                    <w:t>15mm厚的防渗混凝土+高密度聚乙烯膜，达到等效黏土防渗层M≧6.0m，K≤10</w:t>
                  </w:r>
                  <w:r>
                    <w:rPr>
                      <w:rFonts w:cs="Times New Roman"/>
                      <w:szCs w:val="21"/>
                      <w:vertAlign w:val="superscript"/>
                    </w:rPr>
                    <w:t>-10</w:t>
                  </w:r>
                  <w:r>
                    <w:rPr>
                      <w:rFonts w:cs="Times New Roman"/>
                      <w:szCs w:val="21"/>
                    </w:rPr>
                    <w:t>cm/s的要求</w:t>
                  </w:r>
                </w:p>
              </w:tc>
              <w:tc>
                <w:tcPr>
                  <w:tcW w:w="770" w:type="pct"/>
                  <w:tcBorders>
                    <w:tl2br w:val="nil"/>
                    <w:tr2bl w:val="nil"/>
                  </w:tcBorders>
                  <w:shd w:val="clear" w:color="auto" w:fill="auto"/>
                  <w:vAlign w:val="center"/>
                </w:tcPr>
                <w:p>
                  <w:pPr>
                    <w:jc w:val="center"/>
                    <w:rPr>
                      <w:rFonts w:cs="Times New Roman"/>
                      <w:szCs w:val="21"/>
                    </w:rPr>
                  </w:pPr>
                  <w:r>
                    <w:rPr>
                      <w:rFonts w:cs="Times New Roman"/>
                      <w:szCs w:val="21"/>
                      <w:lang w:bidi="ar"/>
                    </w:rPr>
                    <w:t>25cmC30</w:t>
                  </w:r>
                  <w:r>
                    <w:rPr>
                      <w:rFonts w:cs="Times New Roman"/>
                      <w:szCs w:val="21"/>
                    </w:rPr>
                    <w:t>防渗混凝土+高密度聚乙烯材料，</w:t>
                  </w:r>
                  <w:r>
                    <w:rPr>
                      <w:rFonts w:cs="Times New Roman"/>
                      <w:szCs w:val="21"/>
                      <w:lang w:bidi="ar"/>
                    </w:rPr>
                    <w:t>设置了围堰</w:t>
                  </w:r>
                </w:p>
              </w:tc>
              <w:tc>
                <w:tcPr>
                  <w:tcW w:w="455" w:type="pct"/>
                  <w:tcBorders>
                    <w:tl2br w:val="nil"/>
                    <w:tr2bl w:val="nil"/>
                  </w:tcBorders>
                  <w:vAlign w:val="center"/>
                </w:tcPr>
                <w:p>
                  <w:pPr>
                    <w:jc w:val="center"/>
                    <w:rPr>
                      <w:rFonts w:cs="Times New Roman"/>
                      <w:szCs w:val="21"/>
                    </w:rPr>
                  </w:pPr>
                  <w:r>
                    <w:rPr>
                      <w:rFonts w:cs="Times New Roman"/>
                      <w:szCs w:val="21"/>
                    </w:rPr>
                    <w:t>是</w:t>
                  </w:r>
                </w:p>
              </w:tc>
              <w:tc>
                <w:tcPr>
                  <w:tcW w:w="496" w:type="pct"/>
                  <w:tcBorders>
                    <w:tl2br w:val="nil"/>
                    <w:tr2bl w:val="nil"/>
                  </w:tcBorders>
                  <w:vAlign w:val="center"/>
                </w:tcPr>
                <w:p>
                  <w:pPr>
                    <w:jc w:val="center"/>
                    <w:rPr>
                      <w:rFonts w:cs="Times New Roman"/>
                      <w:szCs w:val="21"/>
                    </w:rPr>
                  </w:pPr>
                  <w:r>
                    <w:rPr>
                      <w:rFonts w:cs="Times New Roman"/>
                      <w:szCs w:val="21"/>
                    </w:rPr>
                    <w:t>无</w:t>
                  </w:r>
                </w:p>
              </w:tc>
              <w:tc>
                <w:tcPr>
                  <w:tcW w:w="496" w:type="pct"/>
                  <w:tcBorders>
                    <w:tl2br w:val="nil"/>
                    <w:tr2bl w:val="nil"/>
                  </w:tcBorders>
                  <w:vAlign w:val="center"/>
                </w:tcPr>
                <w:p>
                  <w:pPr>
                    <w:jc w:val="center"/>
                    <w:rPr>
                      <w:rFonts w:cs="Times New Roman"/>
                      <w:szCs w:val="21"/>
                    </w:rPr>
                  </w:pPr>
                  <w:r>
                    <w:rPr>
                      <w:rFonts w:cs="Times New Roman"/>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tcBorders>
                    <w:tl2br w:val="nil"/>
                    <w:tr2bl w:val="nil"/>
                  </w:tcBorders>
                  <w:vAlign w:val="center"/>
                </w:tcPr>
                <w:p>
                  <w:pPr>
                    <w:jc w:val="center"/>
                    <w:rPr>
                      <w:rFonts w:cs="Times New Roman"/>
                      <w:szCs w:val="21"/>
                    </w:rPr>
                  </w:pPr>
                  <w:r>
                    <w:rPr>
                      <w:rFonts w:cs="Times New Roman"/>
                      <w:szCs w:val="21"/>
                    </w:rPr>
                    <w:t>2</w:t>
                  </w:r>
                </w:p>
              </w:tc>
              <w:tc>
                <w:tcPr>
                  <w:tcW w:w="819" w:type="pct"/>
                  <w:tcBorders>
                    <w:tl2br w:val="nil"/>
                    <w:tr2bl w:val="nil"/>
                  </w:tcBorders>
                  <w:shd w:val="clear" w:color="auto" w:fill="auto"/>
                  <w:vAlign w:val="center"/>
                </w:tcPr>
                <w:p>
                  <w:pPr>
                    <w:jc w:val="center"/>
                    <w:rPr>
                      <w:rFonts w:cs="Times New Roman"/>
                      <w:szCs w:val="21"/>
                      <w:lang w:bidi="ar"/>
                    </w:rPr>
                  </w:pPr>
                  <w:r>
                    <w:rPr>
                      <w:rFonts w:cs="Times New Roman"/>
                      <w:szCs w:val="21"/>
                      <w:lang w:bidi="ar"/>
                    </w:rPr>
                    <w:t>化粪池</w:t>
                  </w:r>
                </w:p>
              </w:tc>
              <w:tc>
                <w:tcPr>
                  <w:tcW w:w="515" w:type="pct"/>
                  <w:tcBorders>
                    <w:tl2br w:val="nil"/>
                    <w:tr2bl w:val="nil"/>
                  </w:tcBorders>
                  <w:shd w:val="clear" w:color="auto" w:fill="auto"/>
                  <w:vAlign w:val="center"/>
                </w:tcPr>
                <w:p>
                  <w:pPr>
                    <w:jc w:val="center"/>
                    <w:rPr>
                      <w:rFonts w:cs="Times New Roman"/>
                      <w:szCs w:val="21"/>
                    </w:rPr>
                  </w:pPr>
                  <w:r>
                    <w:rPr>
                      <w:rFonts w:cs="Times New Roman"/>
                      <w:szCs w:val="21"/>
                    </w:rPr>
                    <w:t>重点防渗</w:t>
                  </w:r>
                </w:p>
              </w:tc>
              <w:tc>
                <w:tcPr>
                  <w:tcW w:w="1209" w:type="pct"/>
                  <w:tcBorders>
                    <w:tl2br w:val="nil"/>
                    <w:tr2bl w:val="nil"/>
                  </w:tcBorders>
                  <w:shd w:val="clear" w:color="auto" w:fill="auto"/>
                  <w:vAlign w:val="center"/>
                </w:tcPr>
                <w:p>
                  <w:pPr>
                    <w:jc w:val="center"/>
                    <w:rPr>
                      <w:rFonts w:cs="Times New Roman"/>
                      <w:szCs w:val="21"/>
                    </w:rPr>
                  </w:pPr>
                  <w:r>
                    <w:rPr>
                      <w:rFonts w:cs="Times New Roman"/>
                      <w:szCs w:val="21"/>
                    </w:rPr>
                    <w:t>等效粘土防渗层Mb≥6.0m，K≤10</w:t>
                  </w:r>
                  <w:r>
                    <w:rPr>
                      <w:rFonts w:cs="Times New Roman"/>
                      <w:szCs w:val="21"/>
                      <w:vertAlign w:val="superscript"/>
                    </w:rPr>
                    <w:t>-7</w:t>
                  </w:r>
                  <w:r>
                    <w:rPr>
                      <w:rFonts w:cs="Times New Roman"/>
                      <w:szCs w:val="21"/>
                    </w:rPr>
                    <w:t xml:space="preserve"> cm/s</w:t>
                  </w:r>
                </w:p>
              </w:tc>
              <w:tc>
                <w:tcPr>
                  <w:tcW w:w="770" w:type="pct"/>
                  <w:tcBorders>
                    <w:tl2br w:val="nil"/>
                    <w:tr2bl w:val="nil"/>
                  </w:tcBorders>
                  <w:shd w:val="clear" w:color="auto" w:fill="auto"/>
                  <w:vAlign w:val="center"/>
                </w:tcPr>
                <w:p>
                  <w:pPr>
                    <w:jc w:val="center"/>
                    <w:rPr>
                      <w:rFonts w:cs="Times New Roman"/>
                      <w:szCs w:val="21"/>
                    </w:rPr>
                  </w:pPr>
                  <w:r>
                    <w:rPr>
                      <w:rFonts w:cs="Times New Roman"/>
                      <w:szCs w:val="21"/>
                      <w:lang w:bidi="ar"/>
                    </w:rPr>
                    <w:t>25cmC30防渗混凝土</w:t>
                  </w:r>
                </w:p>
              </w:tc>
              <w:tc>
                <w:tcPr>
                  <w:tcW w:w="455" w:type="pct"/>
                  <w:tcBorders>
                    <w:tl2br w:val="nil"/>
                    <w:tr2bl w:val="nil"/>
                  </w:tcBorders>
                  <w:vAlign w:val="center"/>
                </w:tcPr>
                <w:p>
                  <w:pPr>
                    <w:jc w:val="center"/>
                    <w:rPr>
                      <w:rFonts w:cs="Times New Roman"/>
                      <w:szCs w:val="21"/>
                    </w:rPr>
                  </w:pPr>
                  <w:r>
                    <w:rPr>
                      <w:rFonts w:cs="Times New Roman"/>
                      <w:szCs w:val="21"/>
                    </w:rPr>
                    <w:t>是</w:t>
                  </w:r>
                </w:p>
              </w:tc>
              <w:tc>
                <w:tcPr>
                  <w:tcW w:w="496" w:type="pct"/>
                  <w:tcBorders>
                    <w:tl2br w:val="nil"/>
                    <w:tr2bl w:val="nil"/>
                  </w:tcBorders>
                  <w:vAlign w:val="center"/>
                </w:tcPr>
                <w:p>
                  <w:pPr>
                    <w:jc w:val="center"/>
                    <w:rPr>
                      <w:rFonts w:cs="Times New Roman"/>
                      <w:szCs w:val="21"/>
                    </w:rPr>
                  </w:pPr>
                  <w:r>
                    <w:rPr>
                      <w:rFonts w:cs="Times New Roman"/>
                      <w:szCs w:val="21"/>
                    </w:rPr>
                    <w:t>无</w:t>
                  </w:r>
                </w:p>
              </w:tc>
              <w:tc>
                <w:tcPr>
                  <w:tcW w:w="496" w:type="pct"/>
                  <w:tcBorders>
                    <w:tl2br w:val="nil"/>
                    <w:tr2bl w:val="nil"/>
                  </w:tcBorders>
                  <w:vAlign w:val="center"/>
                </w:tcPr>
                <w:p>
                  <w:pPr>
                    <w:jc w:val="center"/>
                    <w:rPr>
                      <w:rFonts w:cs="Times New Roman"/>
                      <w:szCs w:val="21"/>
                    </w:rPr>
                  </w:pPr>
                  <w:r>
                    <w:rPr>
                      <w:rFonts w:cs="Times New Roman"/>
                      <w:szCs w:val="21"/>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tcBorders>
                    <w:tl2br w:val="nil"/>
                    <w:tr2bl w:val="nil"/>
                  </w:tcBorders>
                  <w:vAlign w:val="center"/>
                </w:tcPr>
                <w:p>
                  <w:pPr>
                    <w:jc w:val="center"/>
                    <w:rPr>
                      <w:rFonts w:cs="Times New Roman"/>
                      <w:szCs w:val="21"/>
                    </w:rPr>
                  </w:pPr>
                  <w:r>
                    <w:rPr>
                      <w:rFonts w:cs="Times New Roman"/>
                      <w:szCs w:val="21"/>
                    </w:rPr>
                    <w:t>3</w:t>
                  </w:r>
                </w:p>
              </w:tc>
              <w:tc>
                <w:tcPr>
                  <w:tcW w:w="819" w:type="pct"/>
                  <w:tcBorders>
                    <w:tl2br w:val="nil"/>
                    <w:tr2bl w:val="nil"/>
                  </w:tcBorders>
                  <w:shd w:val="clear" w:color="auto" w:fill="auto"/>
                  <w:vAlign w:val="center"/>
                </w:tcPr>
                <w:p>
                  <w:pPr>
                    <w:jc w:val="center"/>
                    <w:rPr>
                      <w:rFonts w:cs="Times New Roman"/>
                      <w:szCs w:val="21"/>
                      <w:lang w:bidi="ar"/>
                    </w:rPr>
                  </w:pPr>
                  <w:r>
                    <w:rPr>
                      <w:rFonts w:cs="Times New Roman"/>
                      <w:szCs w:val="21"/>
                      <w:lang w:bidi="ar"/>
                    </w:rPr>
                    <w:t>危化品暂存间</w:t>
                  </w:r>
                </w:p>
              </w:tc>
              <w:tc>
                <w:tcPr>
                  <w:tcW w:w="515" w:type="pct"/>
                  <w:tcBorders>
                    <w:tl2br w:val="nil"/>
                    <w:tr2bl w:val="nil"/>
                  </w:tcBorders>
                  <w:shd w:val="clear" w:color="auto" w:fill="auto"/>
                  <w:vAlign w:val="center"/>
                </w:tcPr>
                <w:p>
                  <w:pPr>
                    <w:jc w:val="center"/>
                    <w:rPr>
                      <w:rFonts w:cs="Times New Roman"/>
                      <w:szCs w:val="21"/>
                    </w:rPr>
                  </w:pPr>
                  <w:r>
                    <w:rPr>
                      <w:rFonts w:cs="Times New Roman"/>
                      <w:szCs w:val="21"/>
                    </w:rPr>
                    <w:t>重点防渗</w:t>
                  </w:r>
                </w:p>
              </w:tc>
              <w:tc>
                <w:tcPr>
                  <w:tcW w:w="1209" w:type="pct"/>
                  <w:tcBorders>
                    <w:tl2br w:val="nil"/>
                    <w:tr2bl w:val="nil"/>
                  </w:tcBorders>
                  <w:shd w:val="clear" w:color="auto" w:fill="auto"/>
                  <w:vAlign w:val="center"/>
                </w:tcPr>
                <w:p>
                  <w:pPr>
                    <w:jc w:val="center"/>
                    <w:rPr>
                      <w:rFonts w:cs="Times New Roman"/>
                      <w:szCs w:val="21"/>
                    </w:rPr>
                  </w:pPr>
                  <w:r>
                    <w:rPr>
                      <w:rFonts w:cs="Times New Roman"/>
                      <w:szCs w:val="21"/>
                    </w:rPr>
                    <w:t>等效粘土防渗层Mb≥6.0m，K≤10</w:t>
                  </w:r>
                  <w:r>
                    <w:rPr>
                      <w:rFonts w:cs="Times New Roman"/>
                      <w:szCs w:val="21"/>
                      <w:vertAlign w:val="superscript"/>
                    </w:rPr>
                    <w:t>-7</w:t>
                  </w:r>
                  <w:r>
                    <w:rPr>
                      <w:rFonts w:cs="Times New Roman"/>
                      <w:szCs w:val="21"/>
                    </w:rPr>
                    <w:t xml:space="preserve"> cm/s</w:t>
                  </w:r>
                </w:p>
              </w:tc>
              <w:tc>
                <w:tcPr>
                  <w:tcW w:w="770" w:type="pct"/>
                  <w:tcBorders>
                    <w:tl2br w:val="nil"/>
                    <w:tr2bl w:val="nil"/>
                  </w:tcBorders>
                  <w:shd w:val="clear" w:color="auto" w:fill="auto"/>
                  <w:vAlign w:val="center"/>
                </w:tcPr>
                <w:p>
                  <w:pPr>
                    <w:jc w:val="center"/>
                    <w:rPr>
                      <w:rFonts w:cs="Times New Roman"/>
                      <w:szCs w:val="21"/>
                      <w:lang w:bidi="ar"/>
                    </w:rPr>
                  </w:pPr>
                  <w:r>
                    <w:rPr>
                      <w:rFonts w:cs="Times New Roman"/>
                      <w:szCs w:val="21"/>
                    </w:rPr>
                    <w:t>防渗混凝土+高密度聚乙烯材料</w:t>
                  </w:r>
                </w:p>
              </w:tc>
              <w:tc>
                <w:tcPr>
                  <w:tcW w:w="455" w:type="pct"/>
                  <w:tcBorders>
                    <w:tl2br w:val="nil"/>
                    <w:tr2bl w:val="nil"/>
                  </w:tcBorders>
                  <w:vAlign w:val="center"/>
                </w:tcPr>
                <w:p>
                  <w:pPr>
                    <w:jc w:val="center"/>
                    <w:rPr>
                      <w:rFonts w:cs="Times New Roman"/>
                      <w:szCs w:val="21"/>
                    </w:rPr>
                  </w:pPr>
                  <w:r>
                    <w:rPr>
                      <w:rFonts w:cs="Times New Roman"/>
                      <w:szCs w:val="21"/>
                    </w:rPr>
                    <w:t>/</w:t>
                  </w:r>
                </w:p>
              </w:tc>
              <w:tc>
                <w:tcPr>
                  <w:tcW w:w="496" w:type="pct"/>
                  <w:tcBorders>
                    <w:tl2br w:val="nil"/>
                    <w:tr2bl w:val="nil"/>
                  </w:tcBorders>
                  <w:vAlign w:val="center"/>
                </w:tcPr>
                <w:p>
                  <w:pPr>
                    <w:jc w:val="center"/>
                    <w:rPr>
                      <w:rFonts w:cs="Times New Roman"/>
                      <w:szCs w:val="21"/>
                    </w:rPr>
                  </w:pPr>
                  <w:r>
                    <w:rPr>
                      <w:rFonts w:cs="Times New Roman"/>
                      <w:szCs w:val="21"/>
                    </w:rPr>
                    <w:t>/</w:t>
                  </w:r>
                </w:p>
              </w:tc>
              <w:tc>
                <w:tcPr>
                  <w:tcW w:w="496" w:type="pct"/>
                  <w:tcBorders>
                    <w:tl2br w:val="nil"/>
                    <w:tr2bl w:val="nil"/>
                  </w:tcBorders>
                  <w:vAlign w:val="center"/>
                </w:tcPr>
                <w:p>
                  <w:pPr>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36" w:type="pct"/>
                  <w:tcBorders>
                    <w:tl2br w:val="nil"/>
                    <w:tr2bl w:val="nil"/>
                  </w:tcBorders>
                  <w:vAlign w:val="center"/>
                </w:tcPr>
                <w:p>
                  <w:pPr>
                    <w:jc w:val="center"/>
                    <w:rPr>
                      <w:rFonts w:cs="Times New Roman"/>
                      <w:szCs w:val="21"/>
                    </w:rPr>
                  </w:pPr>
                  <w:r>
                    <w:rPr>
                      <w:rFonts w:cs="Times New Roman"/>
                      <w:szCs w:val="21"/>
                    </w:rPr>
                    <w:t>4</w:t>
                  </w:r>
                </w:p>
              </w:tc>
              <w:tc>
                <w:tcPr>
                  <w:tcW w:w="819" w:type="pct"/>
                  <w:tcBorders>
                    <w:tl2br w:val="nil"/>
                    <w:tr2bl w:val="nil"/>
                  </w:tcBorders>
                  <w:shd w:val="clear" w:color="auto" w:fill="auto"/>
                  <w:vAlign w:val="center"/>
                </w:tcPr>
                <w:p>
                  <w:pPr>
                    <w:jc w:val="center"/>
                    <w:rPr>
                      <w:rFonts w:cs="Times New Roman"/>
                      <w:szCs w:val="21"/>
                      <w:lang w:bidi="ar"/>
                    </w:rPr>
                  </w:pPr>
                  <w:r>
                    <w:rPr>
                      <w:rFonts w:cs="Times New Roman"/>
                      <w:szCs w:val="21"/>
                    </w:rPr>
                    <w:t>其他生产区域和办公区域</w:t>
                  </w:r>
                </w:p>
              </w:tc>
              <w:tc>
                <w:tcPr>
                  <w:tcW w:w="515" w:type="pct"/>
                  <w:tcBorders>
                    <w:tl2br w:val="nil"/>
                    <w:tr2bl w:val="nil"/>
                  </w:tcBorders>
                  <w:shd w:val="clear" w:color="auto" w:fill="auto"/>
                  <w:vAlign w:val="center"/>
                </w:tcPr>
                <w:p>
                  <w:pPr>
                    <w:jc w:val="center"/>
                    <w:rPr>
                      <w:rFonts w:cs="Times New Roman"/>
                      <w:szCs w:val="21"/>
                    </w:rPr>
                  </w:pPr>
                  <w:r>
                    <w:rPr>
                      <w:rFonts w:cs="Times New Roman"/>
                      <w:szCs w:val="21"/>
                    </w:rPr>
                    <w:t>一般防渗</w:t>
                  </w:r>
                </w:p>
              </w:tc>
              <w:tc>
                <w:tcPr>
                  <w:tcW w:w="1209" w:type="pct"/>
                  <w:tcBorders>
                    <w:tl2br w:val="nil"/>
                    <w:tr2bl w:val="nil"/>
                  </w:tcBorders>
                  <w:shd w:val="clear" w:color="auto" w:fill="auto"/>
                  <w:vAlign w:val="center"/>
                </w:tcPr>
                <w:p>
                  <w:pPr>
                    <w:jc w:val="center"/>
                    <w:rPr>
                      <w:rFonts w:cs="Times New Roman"/>
                      <w:szCs w:val="21"/>
                    </w:rPr>
                  </w:pPr>
                  <w:r>
                    <w:rPr>
                      <w:rFonts w:cs="Times New Roman"/>
                      <w:szCs w:val="21"/>
                    </w:rPr>
                    <w:t>生产区域采用水泥砂浆防腐防渗处理，满足等效黏土防渗层Mb≥1.50m、防渗层渗透系数K≤1.0×10</w:t>
                  </w:r>
                  <w:r>
                    <w:rPr>
                      <w:rFonts w:cs="Times New Roman"/>
                      <w:szCs w:val="21"/>
                      <w:vertAlign w:val="superscript"/>
                    </w:rPr>
                    <w:t>-7</w:t>
                  </w:r>
                  <w:r>
                    <w:rPr>
                      <w:rFonts w:cs="Times New Roman"/>
                      <w:szCs w:val="21"/>
                    </w:rPr>
                    <w:t>cm/s的要求</w:t>
                  </w:r>
                </w:p>
              </w:tc>
              <w:tc>
                <w:tcPr>
                  <w:tcW w:w="770" w:type="pct"/>
                  <w:tcBorders>
                    <w:tl2br w:val="nil"/>
                    <w:tr2bl w:val="nil"/>
                  </w:tcBorders>
                  <w:shd w:val="clear" w:color="auto" w:fill="auto"/>
                  <w:vAlign w:val="center"/>
                </w:tcPr>
                <w:p>
                  <w:pPr>
                    <w:jc w:val="center"/>
                    <w:rPr>
                      <w:rFonts w:cs="Times New Roman"/>
                      <w:szCs w:val="21"/>
                    </w:rPr>
                  </w:pPr>
                  <w:r>
                    <w:rPr>
                      <w:rFonts w:cs="Times New Roman"/>
                      <w:szCs w:val="21"/>
                      <w:lang w:bidi="ar"/>
                    </w:rPr>
                    <w:t>25cmC30防渗混凝土</w:t>
                  </w:r>
                </w:p>
              </w:tc>
              <w:tc>
                <w:tcPr>
                  <w:tcW w:w="455" w:type="pct"/>
                  <w:tcBorders>
                    <w:tl2br w:val="nil"/>
                    <w:tr2bl w:val="nil"/>
                  </w:tcBorders>
                  <w:vAlign w:val="center"/>
                </w:tcPr>
                <w:p>
                  <w:pPr>
                    <w:jc w:val="center"/>
                    <w:rPr>
                      <w:rFonts w:cs="Times New Roman"/>
                      <w:szCs w:val="21"/>
                    </w:rPr>
                  </w:pPr>
                  <w:r>
                    <w:rPr>
                      <w:rFonts w:cs="Times New Roman"/>
                      <w:szCs w:val="21"/>
                    </w:rPr>
                    <w:t>是</w:t>
                  </w:r>
                </w:p>
              </w:tc>
              <w:tc>
                <w:tcPr>
                  <w:tcW w:w="496" w:type="pct"/>
                  <w:tcBorders>
                    <w:tl2br w:val="nil"/>
                    <w:tr2bl w:val="nil"/>
                  </w:tcBorders>
                  <w:vAlign w:val="center"/>
                </w:tcPr>
                <w:p>
                  <w:pPr>
                    <w:jc w:val="center"/>
                    <w:rPr>
                      <w:rFonts w:cs="Times New Roman"/>
                      <w:szCs w:val="21"/>
                    </w:rPr>
                  </w:pPr>
                  <w:r>
                    <w:rPr>
                      <w:rFonts w:cs="Times New Roman"/>
                      <w:szCs w:val="21"/>
                    </w:rPr>
                    <w:t>无</w:t>
                  </w:r>
                </w:p>
              </w:tc>
              <w:tc>
                <w:tcPr>
                  <w:tcW w:w="496" w:type="pct"/>
                  <w:tcBorders>
                    <w:tl2br w:val="nil"/>
                    <w:tr2bl w:val="nil"/>
                  </w:tcBorders>
                  <w:vAlign w:val="center"/>
                </w:tcPr>
                <w:p>
                  <w:pPr>
                    <w:jc w:val="center"/>
                    <w:rPr>
                      <w:rFonts w:cs="Times New Roman"/>
                      <w:szCs w:val="21"/>
                    </w:rPr>
                  </w:pPr>
                  <w:r>
                    <w:rPr>
                      <w:rFonts w:cs="Times New Roman"/>
                      <w:szCs w:val="21"/>
                    </w:rPr>
                    <w:t>现有</w:t>
                  </w:r>
                </w:p>
              </w:tc>
            </w:tr>
          </w:tbl>
          <w:p>
            <w:pPr>
              <w:spacing w:line="360" w:lineRule="auto"/>
              <w:ind w:firstLine="480" w:firstLineChars="200"/>
              <w:rPr>
                <w:rFonts w:cs="Times New Roman"/>
                <w:sz w:val="24"/>
                <w:szCs w:val="24"/>
              </w:rPr>
            </w:pPr>
            <w:r>
              <w:rPr>
                <w:rFonts w:cs="Times New Roman"/>
                <w:sz w:val="24"/>
                <w:szCs w:val="24"/>
              </w:rPr>
              <w:t>采取上述治理措施后，本项目防渗措施基本满足《环境影响评价技术导则 地下水环境》（HJ610-2016）中防渗技术要求，可从污染源头和途径上减少因废水或物料泄漏渗、漏入地下水，不会对地下水和土壤环境造成不利影响。</w:t>
            </w:r>
          </w:p>
          <w:p>
            <w:pPr>
              <w:spacing w:line="360" w:lineRule="auto"/>
              <w:ind w:firstLine="482" w:firstLineChars="200"/>
              <w:rPr>
                <w:rFonts w:cs="Times New Roman"/>
                <w:b/>
                <w:sz w:val="24"/>
                <w:szCs w:val="24"/>
              </w:rPr>
            </w:pPr>
            <w:r>
              <w:rPr>
                <w:rFonts w:cs="Times New Roman"/>
                <w:b/>
                <w:sz w:val="24"/>
                <w:szCs w:val="24"/>
              </w:rPr>
              <w:t>6、环境风险</w:t>
            </w:r>
          </w:p>
          <w:p>
            <w:pPr>
              <w:spacing w:line="360" w:lineRule="auto"/>
              <w:ind w:firstLine="361" w:firstLineChars="150"/>
              <w:rPr>
                <w:rFonts w:cs="Times New Roman"/>
                <w:b/>
                <w:sz w:val="24"/>
                <w:szCs w:val="24"/>
              </w:rPr>
            </w:pPr>
            <w:r>
              <w:rPr>
                <w:rFonts w:cs="Times New Roman"/>
                <w:b/>
                <w:sz w:val="24"/>
                <w:szCs w:val="24"/>
              </w:rPr>
              <w:t>（1）风险调查</w:t>
            </w:r>
          </w:p>
          <w:p>
            <w:pPr>
              <w:spacing w:line="360" w:lineRule="auto"/>
              <w:ind w:firstLine="480"/>
              <w:rPr>
                <w:rFonts w:cs="Times New Roman"/>
                <w:sz w:val="24"/>
                <w:szCs w:val="24"/>
              </w:rPr>
            </w:pPr>
            <w:r>
              <w:rPr>
                <w:rFonts w:cs="Times New Roman"/>
                <w:sz w:val="24"/>
                <w:szCs w:val="24"/>
              </w:rPr>
              <w:t>按照《建设项目环境风险评价技术导则》（HJ169-2018）的要求，对照附录B，根据项目原辅材料以及产品，本项目主要涉及的危险物质为废机油、天然气、脲醛</w:t>
            </w:r>
            <w:r>
              <w:rPr>
                <w:rFonts w:hint="eastAsia" w:cs="Times New Roman"/>
                <w:sz w:val="24"/>
                <w:szCs w:val="24"/>
                <w:lang w:val="en-US" w:eastAsia="zh-CN"/>
              </w:rPr>
              <w:t>胶</w:t>
            </w:r>
            <w:r>
              <w:rPr>
                <w:rFonts w:cs="Times New Roman"/>
                <w:sz w:val="24"/>
                <w:szCs w:val="24"/>
              </w:rPr>
              <w:t>。</w:t>
            </w:r>
          </w:p>
          <w:p>
            <w:pPr>
              <w:spacing w:line="360" w:lineRule="auto"/>
              <w:ind w:firstLine="480"/>
              <w:rPr>
                <w:rFonts w:cs="Times New Roman"/>
                <w:sz w:val="24"/>
                <w:szCs w:val="24"/>
              </w:rPr>
            </w:pPr>
            <w:r>
              <w:rPr>
                <w:rFonts w:cs="Times New Roman"/>
                <w:sz w:val="24"/>
                <w:szCs w:val="24"/>
              </w:rPr>
              <w:t>①天然气在线量：项目天然气由园区天然气管网供气，厂内不设储罐，厂内天然气管道约为400m，管径约为4cm，则天然气在线体积约为0.5m</w:t>
            </w:r>
            <w:r>
              <w:rPr>
                <w:rFonts w:cs="Times New Roman"/>
                <w:sz w:val="24"/>
                <w:szCs w:val="24"/>
                <w:vertAlign w:val="superscript"/>
              </w:rPr>
              <w:t>3</w:t>
            </w:r>
            <w:r>
              <w:rPr>
                <w:rFonts w:cs="Times New Roman"/>
                <w:sz w:val="24"/>
                <w:szCs w:val="24"/>
              </w:rPr>
              <w:t>，天然气密度为0.7174kg/m</w:t>
            </w:r>
            <w:r>
              <w:rPr>
                <w:rFonts w:cs="Times New Roman"/>
                <w:sz w:val="24"/>
                <w:szCs w:val="24"/>
                <w:vertAlign w:val="superscript"/>
              </w:rPr>
              <w:t>3</w:t>
            </w:r>
            <w:r>
              <w:rPr>
                <w:rFonts w:cs="Times New Roman"/>
                <w:sz w:val="24"/>
                <w:szCs w:val="24"/>
              </w:rPr>
              <w:t>，则天然气厂内存在量约为0.359kg。</w:t>
            </w:r>
          </w:p>
          <w:p>
            <w:pPr>
              <w:spacing w:line="360" w:lineRule="auto"/>
              <w:ind w:firstLine="480"/>
              <w:rPr>
                <w:rFonts w:cs="Times New Roman"/>
                <w:sz w:val="24"/>
                <w:szCs w:val="24"/>
              </w:rPr>
            </w:pPr>
            <w:r>
              <w:rPr>
                <w:rFonts w:cs="Times New Roman"/>
                <w:sz w:val="24"/>
                <w:szCs w:val="24"/>
              </w:rPr>
              <w:t>②脲醛</w:t>
            </w:r>
            <w:r>
              <w:rPr>
                <w:rFonts w:hint="eastAsia" w:cs="Times New Roman"/>
                <w:sz w:val="24"/>
                <w:szCs w:val="24"/>
                <w:lang w:val="en-US" w:eastAsia="zh-CN"/>
              </w:rPr>
              <w:t>胶</w:t>
            </w:r>
            <w:r>
              <w:rPr>
                <w:rFonts w:cs="Times New Roman"/>
                <w:sz w:val="24"/>
                <w:szCs w:val="24"/>
              </w:rPr>
              <w:t>中甲醛量：本项目脲醛</w:t>
            </w:r>
            <w:r>
              <w:rPr>
                <w:rFonts w:hint="eastAsia" w:cs="Times New Roman"/>
                <w:sz w:val="24"/>
                <w:szCs w:val="24"/>
                <w:lang w:val="en-US" w:eastAsia="zh-CN"/>
              </w:rPr>
              <w:t>胶</w:t>
            </w:r>
            <w:r>
              <w:rPr>
                <w:rFonts w:cs="Times New Roman"/>
                <w:sz w:val="24"/>
                <w:szCs w:val="24"/>
              </w:rPr>
              <w:t>最大储存量为36t，脲醛胶中甲醛含量≤0.3%，按照0.3%计算，为0.108t。</w:t>
            </w:r>
          </w:p>
          <w:p>
            <w:pPr>
              <w:spacing w:line="360" w:lineRule="auto"/>
              <w:ind w:firstLine="480"/>
              <w:rPr>
                <w:rFonts w:cs="Times New Roman"/>
                <w:sz w:val="24"/>
                <w:szCs w:val="24"/>
              </w:rPr>
            </w:pPr>
            <w:r>
              <w:rPr>
                <w:rFonts w:hint="eastAsia" w:cs="Times New Roman"/>
                <w:color w:val="000000" w:themeColor="text1"/>
                <w:sz w:val="24"/>
                <w:szCs w:val="24"/>
                <w14:textFill>
                  <w14:solidFill>
                    <w14:schemeClr w14:val="tx1"/>
                  </w14:solidFill>
                </w14:textFill>
              </w:rPr>
              <w:t>③水性功能乳液中丙烯酸丁脂、甲基丙烯酸甲酯</w:t>
            </w:r>
            <w:r>
              <w:rPr>
                <w:rFonts w:cs="Times New Roman"/>
                <w:color w:val="000000" w:themeColor="text1"/>
                <w:sz w:val="24"/>
                <w:szCs w:val="24"/>
                <w14:textFill>
                  <w14:solidFill>
                    <w14:schemeClr w14:val="tx1"/>
                  </w14:solidFill>
                </w14:textFill>
              </w:rPr>
              <w:t>量：本项目</w:t>
            </w:r>
            <w:r>
              <w:rPr>
                <w:rFonts w:hint="eastAsia" w:cs="Times New Roman"/>
                <w:color w:val="000000" w:themeColor="text1"/>
                <w:sz w:val="24"/>
                <w:szCs w:val="24"/>
                <w14:textFill>
                  <w14:solidFill>
                    <w14:schemeClr w14:val="tx1"/>
                  </w14:solidFill>
                </w14:textFill>
              </w:rPr>
              <w:t>水性功能乳液</w:t>
            </w:r>
            <w:r>
              <w:rPr>
                <w:rFonts w:cs="Times New Roman"/>
                <w:color w:val="000000" w:themeColor="text1"/>
                <w:sz w:val="24"/>
                <w:szCs w:val="24"/>
                <w14:textFill>
                  <w14:solidFill>
                    <w14:schemeClr w14:val="tx1"/>
                  </w14:solidFill>
                </w14:textFill>
              </w:rPr>
              <w:t>最大储存量为</w:t>
            </w:r>
            <w:r>
              <w:rPr>
                <w:rFonts w:hint="eastAsia" w:cs="Times New Roman"/>
                <w:color w:val="000000" w:themeColor="text1"/>
                <w:sz w:val="24"/>
                <w:szCs w:val="24"/>
                <w14:textFill>
                  <w14:solidFill>
                    <w14:schemeClr w14:val="tx1"/>
                  </w14:solidFill>
                </w14:textFill>
              </w:rPr>
              <w:t>20</w:t>
            </w:r>
            <w:r>
              <w:rPr>
                <w:rFonts w:cs="Times New Roman"/>
                <w:color w:val="000000" w:themeColor="text1"/>
                <w:sz w:val="24"/>
                <w:szCs w:val="24"/>
                <w14:textFill>
                  <w14:solidFill>
                    <w14:schemeClr w14:val="tx1"/>
                  </w14:solidFill>
                </w14:textFill>
              </w:rPr>
              <w:t>t，</w:t>
            </w:r>
            <w:r>
              <w:rPr>
                <w:rFonts w:hint="eastAsia" w:cs="Times New Roman"/>
                <w:color w:val="000000" w:themeColor="text1"/>
                <w:sz w:val="24"/>
                <w:szCs w:val="24"/>
                <w14:textFill>
                  <w14:solidFill>
                    <w14:schemeClr w14:val="tx1"/>
                  </w14:solidFill>
                </w14:textFill>
              </w:rPr>
              <w:t>水性功能乳液</w:t>
            </w:r>
            <w:r>
              <w:rPr>
                <w:rFonts w:cs="Times New Roman"/>
                <w:color w:val="000000" w:themeColor="text1"/>
                <w:sz w:val="24"/>
                <w:szCs w:val="24"/>
                <w14:textFill>
                  <w14:solidFill>
                    <w14:schemeClr w14:val="tx1"/>
                  </w14:solidFill>
                </w14:textFill>
              </w:rPr>
              <w:t>中</w:t>
            </w:r>
            <w:r>
              <w:rPr>
                <w:rFonts w:hint="eastAsia" w:cs="Times New Roman"/>
                <w:color w:val="000000" w:themeColor="text1"/>
                <w:sz w:val="24"/>
                <w:szCs w:val="24"/>
                <w14:textFill>
                  <w14:solidFill>
                    <w14:schemeClr w14:val="tx1"/>
                  </w14:solidFill>
                </w14:textFill>
              </w:rPr>
              <w:t>丙烯酸丁脂</w:t>
            </w:r>
            <w:r>
              <w:rPr>
                <w:rFonts w:cs="Times New Roman"/>
                <w:color w:val="000000" w:themeColor="text1"/>
                <w:sz w:val="24"/>
                <w:szCs w:val="24"/>
                <w14:textFill>
                  <w14:solidFill>
                    <w14:schemeClr w14:val="tx1"/>
                  </w14:solidFill>
                </w14:textFill>
              </w:rPr>
              <w:t>含量</w:t>
            </w:r>
            <w:r>
              <w:rPr>
                <w:rFonts w:hint="eastAsia" w:cs="Times New Roman"/>
                <w:color w:val="000000" w:themeColor="text1"/>
                <w:sz w:val="24"/>
                <w:szCs w:val="24"/>
                <w14:textFill>
                  <w14:solidFill>
                    <w14:schemeClr w14:val="tx1"/>
                  </w14:solidFill>
                </w14:textFill>
              </w:rPr>
              <w:t>为42mg/kg</w:t>
            </w:r>
            <w:r>
              <w:rPr>
                <w:rFonts w:cs="Times New Roman"/>
                <w:color w:val="000000" w:themeColor="text1"/>
                <w:sz w:val="24"/>
                <w:szCs w:val="24"/>
                <w14:textFill>
                  <w14:solidFill>
                    <w14:schemeClr w14:val="tx1"/>
                  </w14:solidFill>
                </w14:textFill>
              </w:rPr>
              <w:t>，</w:t>
            </w:r>
            <w:r>
              <w:rPr>
                <w:rFonts w:hint="eastAsia" w:cs="Times New Roman"/>
                <w:color w:val="000000" w:themeColor="text1"/>
                <w:sz w:val="24"/>
                <w:szCs w:val="24"/>
                <w14:textFill>
                  <w14:solidFill>
                    <w14:schemeClr w14:val="tx1"/>
                  </w14:solidFill>
                </w14:textFill>
              </w:rPr>
              <w:t>水性功能乳液</w:t>
            </w:r>
            <w:r>
              <w:rPr>
                <w:rFonts w:cs="Times New Roman"/>
                <w:sz w:val="24"/>
                <w:szCs w:val="24"/>
              </w:rPr>
              <w:t>中</w:t>
            </w:r>
            <w:r>
              <w:rPr>
                <w:rFonts w:hint="eastAsia" w:cs="Times New Roman"/>
                <w:sz w:val="24"/>
                <w:szCs w:val="24"/>
              </w:rPr>
              <w:t>甲基丙烯酸甲酯</w:t>
            </w:r>
            <w:r>
              <w:rPr>
                <w:rFonts w:cs="Times New Roman"/>
                <w:sz w:val="24"/>
                <w:szCs w:val="24"/>
              </w:rPr>
              <w:t>含量</w:t>
            </w:r>
            <w:r>
              <w:rPr>
                <w:rFonts w:hint="eastAsia" w:cs="Times New Roman"/>
                <w:sz w:val="24"/>
                <w:szCs w:val="24"/>
              </w:rPr>
              <w:t>为33mg/kg</w:t>
            </w:r>
            <w:r>
              <w:rPr>
                <w:rFonts w:cs="Times New Roman"/>
                <w:sz w:val="24"/>
                <w:szCs w:val="24"/>
              </w:rPr>
              <w:t>，</w:t>
            </w:r>
            <w:r>
              <w:rPr>
                <w:rFonts w:hint="eastAsia" w:cs="Times New Roman"/>
                <w:sz w:val="24"/>
                <w:szCs w:val="24"/>
              </w:rPr>
              <w:t>则丙烯酸丁脂</w:t>
            </w:r>
            <w:r>
              <w:rPr>
                <w:rFonts w:cs="Times New Roman"/>
                <w:sz w:val="24"/>
                <w:szCs w:val="24"/>
              </w:rPr>
              <w:t>含量为</w:t>
            </w:r>
            <w:r>
              <w:rPr>
                <w:rFonts w:hint="eastAsia" w:cs="Times New Roman"/>
                <w:sz w:val="24"/>
                <w:szCs w:val="24"/>
              </w:rPr>
              <w:t>0.00084</w:t>
            </w:r>
            <w:r>
              <w:rPr>
                <w:rFonts w:cs="Times New Roman"/>
                <w:sz w:val="24"/>
                <w:szCs w:val="24"/>
              </w:rPr>
              <w:t>t</w:t>
            </w:r>
            <w:r>
              <w:rPr>
                <w:rFonts w:hint="eastAsia" w:cs="Times New Roman"/>
                <w:sz w:val="24"/>
                <w:szCs w:val="24"/>
              </w:rPr>
              <w:t>，甲基丙烯酸甲酯</w:t>
            </w:r>
            <w:r>
              <w:rPr>
                <w:rFonts w:cs="Times New Roman"/>
                <w:sz w:val="24"/>
                <w:szCs w:val="24"/>
              </w:rPr>
              <w:t>含量</w:t>
            </w:r>
            <w:r>
              <w:rPr>
                <w:rFonts w:hint="eastAsia" w:cs="Times New Roman"/>
                <w:sz w:val="24"/>
                <w:szCs w:val="24"/>
              </w:rPr>
              <w:t>为0.00066</w:t>
            </w:r>
            <w:r>
              <w:rPr>
                <w:rFonts w:cs="Times New Roman"/>
                <w:sz w:val="24"/>
                <w:szCs w:val="24"/>
              </w:rPr>
              <w:t>t。</w:t>
            </w:r>
          </w:p>
          <w:p>
            <w:pPr>
              <w:spacing w:line="360" w:lineRule="auto"/>
              <w:ind w:firstLine="480"/>
              <w:rPr>
                <w:rFonts w:cs="Times New Roman"/>
                <w:sz w:val="24"/>
                <w:szCs w:val="24"/>
              </w:rPr>
            </w:pPr>
            <w:r>
              <w:rPr>
                <w:rFonts w:cs="Times New Roman"/>
                <w:sz w:val="24"/>
                <w:szCs w:val="24"/>
              </w:rPr>
              <w:t>其危险特性、贮存情况见下表：</w:t>
            </w:r>
          </w:p>
          <w:p>
            <w:pPr>
              <w:spacing w:line="360" w:lineRule="auto"/>
              <w:jc w:val="center"/>
              <w:rPr>
                <w:rFonts w:cs="Times New Roman"/>
                <w:b/>
                <w:bCs/>
                <w:sz w:val="24"/>
                <w:szCs w:val="24"/>
              </w:rPr>
            </w:pPr>
            <w:r>
              <w:rPr>
                <w:rFonts w:cs="Times New Roman"/>
                <w:b/>
                <w:bCs/>
                <w:sz w:val="24"/>
                <w:szCs w:val="24"/>
              </w:rPr>
              <w:t>表4-26  主要危险物质储存及危险特性</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397"/>
              <w:gridCol w:w="1189"/>
              <w:gridCol w:w="1461"/>
              <w:gridCol w:w="1020"/>
              <w:gridCol w:w="1192"/>
              <w:gridCol w:w="17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79" w:type="pct"/>
                  <w:tcBorders>
                    <w:tl2br w:val="nil"/>
                    <w:tr2bl w:val="nil"/>
                  </w:tcBorders>
                  <w:vAlign w:val="center"/>
                </w:tcPr>
                <w:p>
                  <w:pPr>
                    <w:jc w:val="center"/>
                    <w:rPr>
                      <w:rFonts w:cs="Times New Roman"/>
                      <w:b/>
                      <w:bCs/>
                      <w:szCs w:val="21"/>
                    </w:rPr>
                  </w:pPr>
                  <w:r>
                    <w:rPr>
                      <w:rFonts w:cs="Times New Roman"/>
                      <w:b/>
                      <w:bCs/>
                      <w:szCs w:val="21"/>
                    </w:rPr>
                    <w:t>序号</w:t>
                  </w:r>
                </w:p>
              </w:tc>
              <w:tc>
                <w:tcPr>
                  <w:tcW w:w="805" w:type="pct"/>
                  <w:tcBorders>
                    <w:tl2br w:val="nil"/>
                    <w:tr2bl w:val="nil"/>
                  </w:tcBorders>
                  <w:vAlign w:val="center"/>
                </w:tcPr>
                <w:p>
                  <w:pPr>
                    <w:jc w:val="center"/>
                    <w:rPr>
                      <w:rFonts w:cs="Times New Roman"/>
                      <w:b/>
                      <w:bCs/>
                      <w:szCs w:val="21"/>
                    </w:rPr>
                  </w:pPr>
                  <w:r>
                    <w:rPr>
                      <w:rFonts w:cs="Times New Roman"/>
                      <w:b/>
                      <w:bCs/>
                      <w:szCs w:val="21"/>
                    </w:rPr>
                    <w:t>危险单元</w:t>
                  </w:r>
                </w:p>
              </w:tc>
              <w:tc>
                <w:tcPr>
                  <w:tcW w:w="685" w:type="pct"/>
                  <w:tcBorders>
                    <w:tl2br w:val="nil"/>
                    <w:tr2bl w:val="nil"/>
                  </w:tcBorders>
                  <w:vAlign w:val="center"/>
                </w:tcPr>
                <w:p>
                  <w:pPr>
                    <w:jc w:val="center"/>
                    <w:rPr>
                      <w:rFonts w:cs="Times New Roman"/>
                      <w:b/>
                      <w:bCs/>
                      <w:szCs w:val="21"/>
                    </w:rPr>
                  </w:pPr>
                  <w:r>
                    <w:rPr>
                      <w:rFonts w:cs="Times New Roman"/>
                      <w:b/>
                      <w:bCs/>
                      <w:szCs w:val="21"/>
                    </w:rPr>
                    <w:t>危险物质</w:t>
                  </w:r>
                </w:p>
              </w:tc>
              <w:tc>
                <w:tcPr>
                  <w:tcW w:w="842" w:type="pct"/>
                  <w:tcBorders>
                    <w:tl2br w:val="nil"/>
                    <w:tr2bl w:val="nil"/>
                  </w:tcBorders>
                  <w:vAlign w:val="center"/>
                </w:tcPr>
                <w:p>
                  <w:pPr>
                    <w:jc w:val="center"/>
                    <w:rPr>
                      <w:rFonts w:cs="Times New Roman"/>
                      <w:b/>
                      <w:bCs/>
                      <w:szCs w:val="21"/>
                    </w:rPr>
                  </w:pPr>
                  <w:r>
                    <w:rPr>
                      <w:rFonts w:cs="Times New Roman"/>
                      <w:b/>
                      <w:bCs/>
                      <w:szCs w:val="21"/>
                    </w:rPr>
                    <w:t>储存量（t）</w:t>
                  </w:r>
                </w:p>
              </w:tc>
              <w:tc>
                <w:tcPr>
                  <w:tcW w:w="588" w:type="pct"/>
                  <w:tcBorders>
                    <w:tl2br w:val="nil"/>
                    <w:tr2bl w:val="nil"/>
                  </w:tcBorders>
                  <w:vAlign w:val="center"/>
                </w:tcPr>
                <w:p>
                  <w:pPr>
                    <w:jc w:val="center"/>
                    <w:rPr>
                      <w:rFonts w:cs="Times New Roman"/>
                      <w:b/>
                      <w:bCs/>
                      <w:szCs w:val="21"/>
                    </w:rPr>
                  </w:pPr>
                  <w:r>
                    <w:rPr>
                      <w:rFonts w:cs="Times New Roman"/>
                      <w:b/>
                      <w:bCs/>
                      <w:szCs w:val="21"/>
                    </w:rPr>
                    <w:t>形态</w:t>
                  </w:r>
                </w:p>
              </w:tc>
              <w:tc>
                <w:tcPr>
                  <w:tcW w:w="687" w:type="pct"/>
                  <w:tcBorders>
                    <w:tl2br w:val="nil"/>
                    <w:tr2bl w:val="nil"/>
                  </w:tcBorders>
                  <w:vAlign w:val="center"/>
                </w:tcPr>
                <w:p>
                  <w:pPr>
                    <w:jc w:val="center"/>
                    <w:rPr>
                      <w:rFonts w:cs="Times New Roman"/>
                      <w:b/>
                      <w:bCs/>
                      <w:szCs w:val="21"/>
                    </w:rPr>
                  </w:pPr>
                  <w:r>
                    <w:rPr>
                      <w:rFonts w:cs="Times New Roman"/>
                      <w:b/>
                      <w:bCs/>
                      <w:szCs w:val="21"/>
                    </w:rPr>
                    <w:t>储存方式</w:t>
                  </w:r>
                </w:p>
              </w:tc>
              <w:tc>
                <w:tcPr>
                  <w:tcW w:w="1011" w:type="pct"/>
                  <w:tcBorders>
                    <w:tl2br w:val="nil"/>
                    <w:tr2bl w:val="nil"/>
                  </w:tcBorders>
                  <w:vAlign w:val="center"/>
                </w:tcPr>
                <w:p>
                  <w:pPr>
                    <w:jc w:val="center"/>
                    <w:rPr>
                      <w:rFonts w:cs="Times New Roman"/>
                      <w:b/>
                      <w:bCs/>
                      <w:szCs w:val="21"/>
                    </w:rPr>
                  </w:pPr>
                  <w:r>
                    <w:rPr>
                      <w:rFonts w:cs="Times New Roman"/>
                      <w:b/>
                      <w:bCs/>
                      <w:szCs w:val="21"/>
                    </w:rPr>
                    <w:t>危险性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jc w:val="center"/>
                    <w:rPr>
                      <w:rFonts w:cs="Times New Roman"/>
                      <w:szCs w:val="21"/>
                    </w:rPr>
                  </w:pPr>
                  <w:r>
                    <w:rPr>
                      <w:rFonts w:cs="Times New Roman"/>
                      <w:szCs w:val="21"/>
                    </w:rPr>
                    <w:t>1</w:t>
                  </w:r>
                </w:p>
              </w:tc>
              <w:tc>
                <w:tcPr>
                  <w:tcW w:w="805" w:type="pct"/>
                  <w:tcBorders>
                    <w:tl2br w:val="nil"/>
                    <w:tr2bl w:val="nil"/>
                  </w:tcBorders>
                  <w:vAlign w:val="center"/>
                </w:tcPr>
                <w:p>
                  <w:pPr>
                    <w:jc w:val="center"/>
                    <w:rPr>
                      <w:rFonts w:cs="Times New Roman"/>
                      <w:szCs w:val="21"/>
                    </w:rPr>
                  </w:pPr>
                  <w:r>
                    <w:rPr>
                      <w:rFonts w:cs="Times New Roman"/>
                      <w:szCs w:val="21"/>
                    </w:rPr>
                    <w:t>危废暂存间</w:t>
                  </w:r>
                </w:p>
              </w:tc>
              <w:tc>
                <w:tcPr>
                  <w:tcW w:w="685" w:type="pct"/>
                  <w:tcBorders>
                    <w:tl2br w:val="nil"/>
                    <w:tr2bl w:val="nil"/>
                  </w:tcBorders>
                  <w:vAlign w:val="center"/>
                </w:tcPr>
                <w:p>
                  <w:pPr>
                    <w:jc w:val="center"/>
                    <w:rPr>
                      <w:rFonts w:cs="Times New Roman"/>
                      <w:szCs w:val="21"/>
                    </w:rPr>
                  </w:pPr>
                  <w:r>
                    <w:rPr>
                      <w:rFonts w:cs="Times New Roman"/>
                      <w:szCs w:val="21"/>
                    </w:rPr>
                    <w:t>废机油</w:t>
                  </w:r>
                </w:p>
              </w:tc>
              <w:tc>
                <w:tcPr>
                  <w:tcW w:w="842" w:type="pct"/>
                  <w:tcBorders>
                    <w:tl2br w:val="nil"/>
                    <w:tr2bl w:val="nil"/>
                  </w:tcBorders>
                  <w:vAlign w:val="center"/>
                </w:tcPr>
                <w:p>
                  <w:pPr>
                    <w:jc w:val="center"/>
                    <w:rPr>
                      <w:rFonts w:cs="Times New Roman"/>
                      <w:szCs w:val="21"/>
                    </w:rPr>
                  </w:pPr>
                  <w:r>
                    <w:rPr>
                      <w:rFonts w:cs="Times New Roman"/>
                      <w:szCs w:val="21"/>
                    </w:rPr>
                    <w:t>0.05</w:t>
                  </w:r>
                </w:p>
              </w:tc>
              <w:tc>
                <w:tcPr>
                  <w:tcW w:w="588" w:type="pct"/>
                  <w:tcBorders>
                    <w:tl2br w:val="nil"/>
                    <w:tr2bl w:val="nil"/>
                  </w:tcBorders>
                  <w:vAlign w:val="center"/>
                </w:tcPr>
                <w:p>
                  <w:pPr>
                    <w:jc w:val="center"/>
                    <w:rPr>
                      <w:rFonts w:cs="Times New Roman"/>
                      <w:szCs w:val="21"/>
                    </w:rPr>
                  </w:pPr>
                  <w:r>
                    <w:rPr>
                      <w:rFonts w:cs="Times New Roman"/>
                      <w:szCs w:val="21"/>
                    </w:rPr>
                    <w:t>液体</w:t>
                  </w:r>
                </w:p>
              </w:tc>
              <w:tc>
                <w:tcPr>
                  <w:tcW w:w="687" w:type="pct"/>
                  <w:tcBorders>
                    <w:tl2br w:val="nil"/>
                    <w:tr2bl w:val="nil"/>
                  </w:tcBorders>
                  <w:vAlign w:val="center"/>
                </w:tcPr>
                <w:p>
                  <w:pPr>
                    <w:jc w:val="center"/>
                    <w:rPr>
                      <w:rFonts w:cs="Times New Roman"/>
                      <w:szCs w:val="21"/>
                    </w:rPr>
                  </w:pPr>
                  <w:r>
                    <w:rPr>
                      <w:rFonts w:cs="Times New Roman"/>
                      <w:szCs w:val="21"/>
                    </w:rPr>
                    <w:t>桶装</w:t>
                  </w:r>
                </w:p>
              </w:tc>
              <w:tc>
                <w:tcPr>
                  <w:tcW w:w="1011" w:type="pct"/>
                  <w:tcBorders>
                    <w:tl2br w:val="nil"/>
                    <w:tr2bl w:val="nil"/>
                  </w:tcBorders>
                  <w:vAlign w:val="center"/>
                </w:tcPr>
                <w:p>
                  <w:pPr>
                    <w:jc w:val="center"/>
                    <w:rPr>
                      <w:rFonts w:cs="Times New Roman"/>
                      <w:szCs w:val="21"/>
                    </w:rPr>
                  </w:pPr>
                  <w:r>
                    <w:rPr>
                      <w:rFonts w:cs="Times New Roman"/>
                      <w:szCs w:val="21"/>
                    </w:rPr>
                    <w:t>低毒、易燃性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jc w:val="center"/>
                    <w:rPr>
                      <w:rFonts w:cs="Times New Roman"/>
                      <w:szCs w:val="21"/>
                    </w:rPr>
                  </w:pPr>
                  <w:r>
                    <w:rPr>
                      <w:rFonts w:cs="Times New Roman"/>
                      <w:szCs w:val="21"/>
                    </w:rPr>
                    <w:t>2</w:t>
                  </w:r>
                </w:p>
              </w:tc>
              <w:tc>
                <w:tcPr>
                  <w:tcW w:w="805" w:type="pct"/>
                  <w:tcBorders>
                    <w:tl2br w:val="nil"/>
                    <w:tr2bl w:val="nil"/>
                  </w:tcBorders>
                  <w:vAlign w:val="center"/>
                </w:tcPr>
                <w:p>
                  <w:pPr>
                    <w:jc w:val="center"/>
                    <w:rPr>
                      <w:rFonts w:cs="Times New Roman"/>
                      <w:szCs w:val="21"/>
                    </w:rPr>
                  </w:pPr>
                  <w:r>
                    <w:rPr>
                      <w:rFonts w:cs="Times New Roman"/>
                      <w:szCs w:val="21"/>
                    </w:rPr>
                    <w:t>天然气管道</w:t>
                  </w:r>
                </w:p>
              </w:tc>
              <w:tc>
                <w:tcPr>
                  <w:tcW w:w="685" w:type="pct"/>
                  <w:tcBorders>
                    <w:tl2br w:val="nil"/>
                    <w:tr2bl w:val="nil"/>
                  </w:tcBorders>
                  <w:vAlign w:val="center"/>
                </w:tcPr>
                <w:p>
                  <w:pPr>
                    <w:jc w:val="center"/>
                    <w:rPr>
                      <w:rFonts w:cs="Times New Roman"/>
                      <w:szCs w:val="21"/>
                    </w:rPr>
                  </w:pPr>
                  <w:r>
                    <w:rPr>
                      <w:rFonts w:cs="Times New Roman"/>
                      <w:szCs w:val="21"/>
                    </w:rPr>
                    <w:t>甲烷</w:t>
                  </w:r>
                </w:p>
              </w:tc>
              <w:tc>
                <w:tcPr>
                  <w:tcW w:w="842" w:type="pct"/>
                  <w:tcBorders>
                    <w:tl2br w:val="nil"/>
                    <w:tr2bl w:val="nil"/>
                  </w:tcBorders>
                  <w:vAlign w:val="center"/>
                </w:tcPr>
                <w:p>
                  <w:pPr>
                    <w:jc w:val="center"/>
                    <w:rPr>
                      <w:rFonts w:cs="Times New Roman"/>
                      <w:szCs w:val="21"/>
                    </w:rPr>
                  </w:pPr>
                  <w:r>
                    <w:rPr>
                      <w:rFonts w:cs="Times New Roman"/>
                      <w:szCs w:val="21"/>
                    </w:rPr>
                    <w:t>0.000359</w:t>
                  </w:r>
                </w:p>
              </w:tc>
              <w:tc>
                <w:tcPr>
                  <w:tcW w:w="588" w:type="pct"/>
                  <w:tcBorders>
                    <w:tl2br w:val="nil"/>
                    <w:tr2bl w:val="nil"/>
                  </w:tcBorders>
                  <w:vAlign w:val="center"/>
                </w:tcPr>
                <w:p>
                  <w:pPr>
                    <w:jc w:val="center"/>
                    <w:rPr>
                      <w:rFonts w:cs="Times New Roman"/>
                      <w:szCs w:val="21"/>
                    </w:rPr>
                  </w:pPr>
                  <w:r>
                    <w:rPr>
                      <w:rFonts w:cs="Times New Roman"/>
                      <w:szCs w:val="21"/>
                    </w:rPr>
                    <w:t>气体</w:t>
                  </w:r>
                </w:p>
              </w:tc>
              <w:tc>
                <w:tcPr>
                  <w:tcW w:w="687" w:type="pct"/>
                  <w:tcBorders>
                    <w:tl2br w:val="nil"/>
                    <w:tr2bl w:val="nil"/>
                  </w:tcBorders>
                  <w:vAlign w:val="center"/>
                </w:tcPr>
                <w:p>
                  <w:pPr>
                    <w:jc w:val="center"/>
                    <w:rPr>
                      <w:rFonts w:cs="Times New Roman"/>
                      <w:szCs w:val="21"/>
                    </w:rPr>
                  </w:pPr>
                  <w:r>
                    <w:rPr>
                      <w:rFonts w:cs="Times New Roman"/>
                      <w:szCs w:val="21"/>
                    </w:rPr>
                    <w:t>/</w:t>
                  </w:r>
                </w:p>
              </w:tc>
              <w:tc>
                <w:tcPr>
                  <w:tcW w:w="1011" w:type="pct"/>
                  <w:tcBorders>
                    <w:tl2br w:val="nil"/>
                    <w:tr2bl w:val="nil"/>
                  </w:tcBorders>
                  <w:vAlign w:val="center"/>
                </w:tcPr>
                <w:p>
                  <w:pPr>
                    <w:jc w:val="center"/>
                    <w:rPr>
                      <w:rFonts w:cs="Times New Roman"/>
                      <w:szCs w:val="21"/>
                    </w:rPr>
                  </w:pPr>
                  <w:r>
                    <w:rPr>
                      <w:rFonts w:cs="Times New Roman"/>
                      <w:szCs w:val="21"/>
                    </w:rPr>
                    <w:t>易燃、易爆、毒性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jc w:val="center"/>
                    <w:rPr>
                      <w:rFonts w:cs="Times New Roman"/>
                      <w:szCs w:val="21"/>
                    </w:rPr>
                  </w:pPr>
                  <w:r>
                    <w:rPr>
                      <w:rFonts w:cs="Times New Roman"/>
                      <w:szCs w:val="21"/>
                    </w:rPr>
                    <w:t>3</w:t>
                  </w:r>
                </w:p>
              </w:tc>
              <w:tc>
                <w:tcPr>
                  <w:tcW w:w="805" w:type="pct"/>
                  <w:tcBorders>
                    <w:tl2br w:val="nil"/>
                    <w:tr2bl w:val="nil"/>
                  </w:tcBorders>
                  <w:vAlign w:val="center"/>
                </w:tcPr>
                <w:p>
                  <w:pPr>
                    <w:jc w:val="center"/>
                    <w:rPr>
                      <w:rFonts w:hint="eastAsia" w:eastAsia="宋体" w:cs="Times New Roman"/>
                      <w:szCs w:val="21"/>
                      <w:lang w:eastAsia="zh-CN"/>
                    </w:rPr>
                  </w:pPr>
                  <w:r>
                    <w:rPr>
                      <w:rFonts w:cs="Times New Roman"/>
                      <w:szCs w:val="21"/>
                    </w:rPr>
                    <w:t>脲醛</w:t>
                  </w:r>
                  <w:r>
                    <w:rPr>
                      <w:rFonts w:hint="eastAsia" w:cs="Times New Roman"/>
                      <w:szCs w:val="21"/>
                      <w:lang w:val="en-US" w:eastAsia="zh-CN"/>
                    </w:rPr>
                    <w:t>胶</w:t>
                  </w:r>
                </w:p>
              </w:tc>
              <w:tc>
                <w:tcPr>
                  <w:tcW w:w="685" w:type="pct"/>
                  <w:tcBorders>
                    <w:tl2br w:val="nil"/>
                    <w:tr2bl w:val="nil"/>
                  </w:tcBorders>
                  <w:vAlign w:val="center"/>
                </w:tcPr>
                <w:p>
                  <w:pPr>
                    <w:jc w:val="center"/>
                    <w:rPr>
                      <w:rFonts w:cs="Times New Roman"/>
                      <w:szCs w:val="21"/>
                    </w:rPr>
                  </w:pPr>
                  <w:r>
                    <w:rPr>
                      <w:rFonts w:cs="Times New Roman"/>
                      <w:szCs w:val="21"/>
                    </w:rPr>
                    <w:t>甲醛</w:t>
                  </w:r>
                </w:p>
              </w:tc>
              <w:tc>
                <w:tcPr>
                  <w:tcW w:w="842" w:type="pct"/>
                  <w:tcBorders>
                    <w:tl2br w:val="nil"/>
                    <w:tr2bl w:val="nil"/>
                  </w:tcBorders>
                  <w:vAlign w:val="center"/>
                </w:tcPr>
                <w:p>
                  <w:pPr>
                    <w:jc w:val="center"/>
                    <w:rPr>
                      <w:rFonts w:cs="Times New Roman"/>
                      <w:szCs w:val="21"/>
                    </w:rPr>
                  </w:pPr>
                  <w:r>
                    <w:rPr>
                      <w:rFonts w:cs="Times New Roman"/>
                      <w:szCs w:val="21"/>
                    </w:rPr>
                    <w:t>0.108</w:t>
                  </w:r>
                </w:p>
              </w:tc>
              <w:tc>
                <w:tcPr>
                  <w:tcW w:w="588" w:type="pct"/>
                  <w:tcBorders>
                    <w:tl2br w:val="nil"/>
                    <w:tr2bl w:val="nil"/>
                  </w:tcBorders>
                  <w:vAlign w:val="center"/>
                </w:tcPr>
                <w:p>
                  <w:pPr>
                    <w:jc w:val="center"/>
                    <w:rPr>
                      <w:rFonts w:cs="Times New Roman"/>
                      <w:szCs w:val="21"/>
                    </w:rPr>
                  </w:pPr>
                  <w:r>
                    <w:rPr>
                      <w:rFonts w:cs="Times New Roman"/>
                      <w:szCs w:val="21"/>
                    </w:rPr>
                    <w:t>液体</w:t>
                  </w:r>
                </w:p>
              </w:tc>
              <w:tc>
                <w:tcPr>
                  <w:tcW w:w="687" w:type="pct"/>
                  <w:tcBorders>
                    <w:tl2br w:val="nil"/>
                    <w:tr2bl w:val="nil"/>
                  </w:tcBorders>
                  <w:vAlign w:val="center"/>
                </w:tcPr>
                <w:p>
                  <w:pPr>
                    <w:jc w:val="center"/>
                    <w:rPr>
                      <w:rFonts w:cs="Times New Roman"/>
                      <w:szCs w:val="21"/>
                    </w:rPr>
                  </w:pPr>
                  <w:r>
                    <w:rPr>
                      <w:rFonts w:cs="Times New Roman"/>
                      <w:szCs w:val="21"/>
                    </w:rPr>
                    <w:t>桶装</w:t>
                  </w:r>
                </w:p>
              </w:tc>
              <w:tc>
                <w:tcPr>
                  <w:tcW w:w="1011" w:type="pct"/>
                  <w:tcBorders>
                    <w:tl2br w:val="nil"/>
                    <w:tr2bl w:val="nil"/>
                  </w:tcBorders>
                  <w:vAlign w:val="center"/>
                </w:tcPr>
                <w:p>
                  <w:pPr>
                    <w:jc w:val="center"/>
                    <w:rPr>
                      <w:rFonts w:cs="Times New Roman"/>
                      <w:szCs w:val="21"/>
                    </w:rPr>
                  </w:pPr>
                  <w:r>
                    <w:rPr>
                      <w:rFonts w:cs="Times New Roman"/>
                      <w:szCs w:val="21"/>
                    </w:rPr>
                    <w:t>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jc w:val="center"/>
                    <w:rPr>
                      <w:rFonts w:cs="Times New Roman"/>
                      <w:szCs w:val="21"/>
                    </w:rPr>
                  </w:pPr>
                  <w:r>
                    <w:rPr>
                      <w:rFonts w:hint="eastAsia" w:cs="Times New Roman"/>
                      <w:szCs w:val="21"/>
                    </w:rPr>
                    <w:t>4</w:t>
                  </w:r>
                </w:p>
              </w:tc>
              <w:tc>
                <w:tcPr>
                  <w:tcW w:w="80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水性功能乳液</w:t>
                  </w:r>
                </w:p>
              </w:tc>
              <w:tc>
                <w:tcPr>
                  <w:tcW w:w="685" w:type="pct"/>
                  <w:tcBorders>
                    <w:tl2br w:val="nil"/>
                    <w:tr2bl w:val="nil"/>
                  </w:tcBorders>
                  <w:vAlign w:val="center"/>
                </w:tcPr>
                <w:p>
                  <w:pPr>
                    <w:jc w:val="center"/>
                    <w:rPr>
                      <w:rFonts w:cs="Times New Roman"/>
                      <w:szCs w:val="21"/>
                    </w:rPr>
                  </w:pPr>
                  <w:r>
                    <w:rPr>
                      <w:rFonts w:hint="eastAsia" w:cs="Times New Roman"/>
                      <w:szCs w:val="21"/>
                    </w:rPr>
                    <w:t>丙烯酸丁脂</w:t>
                  </w:r>
                </w:p>
              </w:tc>
              <w:tc>
                <w:tcPr>
                  <w:tcW w:w="842" w:type="pct"/>
                  <w:tcBorders>
                    <w:tl2br w:val="nil"/>
                    <w:tr2bl w:val="nil"/>
                  </w:tcBorders>
                  <w:vAlign w:val="center"/>
                </w:tcPr>
                <w:p>
                  <w:pPr>
                    <w:jc w:val="center"/>
                    <w:rPr>
                      <w:rFonts w:cs="Times New Roman"/>
                      <w:szCs w:val="21"/>
                    </w:rPr>
                  </w:pPr>
                  <w:r>
                    <w:rPr>
                      <w:rFonts w:hint="eastAsia" w:cs="Times New Roman"/>
                      <w:szCs w:val="21"/>
                    </w:rPr>
                    <w:t>0.00084</w:t>
                  </w:r>
                </w:p>
              </w:tc>
              <w:tc>
                <w:tcPr>
                  <w:tcW w:w="588" w:type="pct"/>
                  <w:tcBorders>
                    <w:tl2br w:val="nil"/>
                    <w:tr2bl w:val="nil"/>
                  </w:tcBorders>
                  <w:vAlign w:val="center"/>
                </w:tcPr>
                <w:p>
                  <w:pPr>
                    <w:jc w:val="center"/>
                    <w:rPr>
                      <w:rFonts w:cs="Times New Roman"/>
                      <w:szCs w:val="21"/>
                    </w:rPr>
                  </w:pPr>
                  <w:r>
                    <w:rPr>
                      <w:rFonts w:cs="Times New Roman"/>
                      <w:szCs w:val="21"/>
                    </w:rPr>
                    <w:t>液体</w:t>
                  </w:r>
                </w:p>
              </w:tc>
              <w:tc>
                <w:tcPr>
                  <w:tcW w:w="687" w:type="pct"/>
                  <w:tcBorders>
                    <w:tl2br w:val="nil"/>
                    <w:tr2bl w:val="nil"/>
                  </w:tcBorders>
                  <w:vAlign w:val="center"/>
                </w:tcPr>
                <w:p>
                  <w:pPr>
                    <w:jc w:val="center"/>
                    <w:rPr>
                      <w:rFonts w:cs="Times New Roman"/>
                      <w:szCs w:val="21"/>
                    </w:rPr>
                  </w:pPr>
                  <w:r>
                    <w:rPr>
                      <w:rFonts w:cs="Times New Roman"/>
                      <w:szCs w:val="21"/>
                    </w:rPr>
                    <w:t>桶装</w:t>
                  </w:r>
                </w:p>
              </w:tc>
              <w:tc>
                <w:tcPr>
                  <w:tcW w:w="1011" w:type="pct"/>
                  <w:tcBorders>
                    <w:tl2br w:val="nil"/>
                    <w:tr2bl w:val="nil"/>
                  </w:tcBorders>
                  <w:vAlign w:val="center"/>
                </w:tcPr>
                <w:p>
                  <w:pPr>
                    <w:jc w:val="center"/>
                    <w:rPr>
                      <w:rFonts w:cs="Times New Roman"/>
                      <w:szCs w:val="21"/>
                    </w:rPr>
                  </w:pPr>
                  <w:r>
                    <w:rPr>
                      <w:rFonts w:cs="Times New Roman"/>
                      <w:szCs w:val="21"/>
                    </w:rPr>
                    <w:t>毒性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9" w:type="pct"/>
                  <w:tcBorders>
                    <w:tl2br w:val="nil"/>
                    <w:tr2bl w:val="nil"/>
                  </w:tcBorders>
                  <w:vAlign w:val="center"/>
                </w:tcPr>
                <w:p>
                  <w:pPr>
                    <w:jc w:val="center"/>
                    <w:rPr>
                      <w:rFonts w:cs="Times New Roman"/>
                      <w:szCs w:val="21"/>
                    </w:rPr>
                  </w:pPr>
                  <w:r>
                    <w:rPr>
                      <w:rFonts w:hint="eastAsia" w:cs="Times New Roman"/>
                      <w:szCs w:val="21"/>
                    </w:rPr>
                    <w:t>5</w:t>
                  </w:r>
                </w:p>
              </w:tc>
              <w:tc>
                <w:tcPr>
                  <w:tcW w:w="805" w:type="pct"/>
                  <w:tcBorders>
                    <w:tl2br w:val="nil"/>
                    <w:tr2bl w:val="nil"/>
                  </w:tcBorders>
                  <w:vAlign w:val="center"/>
                </w:tcPr>
                <w:p>
                  <w:pPr>
                    <w:jc w:val="center"/>
                    <w:rPr>
                      <w:rFonts w:cs="Times New Roman"/>
                      <w:bCs/>
                      <w:color w:val="000000" w:themeColor="text1"/>
                      <w:szCs w:val="21"/>
                      <w14:textFill>
                        <w14:solidFill>
                          <w14:schemeClr w14:val="tx1"/>
                        </w14:solidFill>
                      </w14:textFill>
                    </w:rPr>
                  </w:pPr>
                  <w:r>
                    <w:rPr>
                      <w:rFonts w:cs="Times New Roman"/>
                      <w:bCs/>
                      <w:color w:val="000000" w:themeColor="text1"/>
                      <w:szCs w:val="21"/>
                      <w14:textFill>
                        <w14:solidFill>
                          <w14:schemeClr w14:val="tx1"/>
                        </w14:solidFill>
                      </w14:textFill>
                    </w:rPr>
                    <w:t>水性功能乳液</w:t>
                  </w:r>
                </w:p>
              </w:tc>
              <w:tc>
                <w:tcPr>
                  <w:tcW w:w="685" w:type="pct"/>
                  <w:tcBorders>
                    <w:tl2br w:val="nil"/>
                    <w:tr2bl w:val="nil"/>
                  </w:tcBorders>
                  <w:vAlign w:val="center"/>
                </w:tcPr>
                <w:p>
                  <w:pPr>
                    <w:jc w:val="center"/>
                    <w:rPr>
                      <w:rFonts w:cs="Times New Roman"/>
                      <w:szCs w:val="21"/>
                    </w:rPr>
                  </w:pPr>
                  <w:r>
                    <w:rPr>
                      <w:rFonts w:hint="eastAsia" w:cs="Times New Roman"/>
                      <w:szCs w:val="21"/>
                    </w:rPr>
                    <w:t>甲基丙烯酸甲酯</w:t>
                  </w:r>
                </w:p>
              </w:tc>
              <w:tc>
                <w:tcPr>
                  <w:tcW w:w="842" w:type="pct"/>
                  <w:tcBorders>
                    <w:tl2br w:val="nil"/>
                    <w:tr2bl w:val="nil"/>
                  </w:tcBorders>
                  <w:vAlign w:val="center"/>
                </w:tcPr>
                <w:p>
                  <w:pPr>
                    <w:jc w:val="center"/>
                    <w:rPr>
                      <w:rFonts w:cs="Times New Roman"/>
                      <w:szCs w:val="21"/>
                    </w:rPr>
                  </w:pPr>
                  <w:r>
                    <w:rPr>
                      <w:rFonts w:hint="eastAsia" w:cs="Times New Roman"/>
                      <w:szCs w:val="21"/>
                    </w:rPr>
                    <w:t>0.00066</w:t>
                  </w:r>
                </w:p>
              </w:tc>
              <w:tc>
                <w:tcPr>
                  <w:tcW w:w="588" w:type="pct"/>
                  <w:tcBorders>
                    <w:tl2br w:val="nil"/>
                    <w:tr2bl w:val="nil"/>
                  </w:tcBorders>
                  <w:vAlign w:val="center"/>
                </w:tcPr>
                <w:p>
                  <w:pPr>
                    <w:jc w:val="center"/>
                    <w:rPr>
                      <w:rFonts w:cs="Times New Roman"/>
                      <w:szCs w:val="21"/>
                    </w:rPr>
                  </w:pPr>
                  <w:r>
                    <w:rPr>
                      <w:rFonts w:cs="Times New Roman"/>
                      <w:szCs w:val="21"/>
                    </w:rPr>
                    <w:t>液体</w:t>
                  </w:r>
                </w:p>
              </w:tc>
              <w:tc>
                <w:tcPr>
                  <w:tcW w:w="687" w:type="pct"/>
                  <w:tcBorders>
                    <w:tl2br w:val="nil"/>
                    <w:tr2bl w:val="nil"/>
                  </w:tcBorders>
                  <w:vAlign w:val="center"/>
                </w:tcPr>
                <w:p>
                  <w:pPr>
                    <w:jc w:val="center"/>
                    <w:rPr>
                      <w:rFonts w:cs="Times New Roman"/>
                      <w:szCs w:val="21"/>
                    </w:rPr>
                  </w:pPr>
                  <w:r>
                    <w:rPr>
                      <w:rFonts w:cs="Times New Roman"/>
                      <w:szCs w:val="21"/>
                    </w:rPr>
                    <w:t>桶装</w:t>
                  </w:r>
                </w:p>
              </w:tc>
              <w:tc>
                <w:tcPr>
                  <w:tcW w:w="1011" w:type="pct"/>
                  <w:tcBorders>
                    <w:tl2br w:val="nil"/>
                    <w:tr2bl w:val="nil"/>
                  </w:tcBorders>
                  <w:vAlign w:val="center"/>
                </w:tcPr>
                <w:p>
                  <w:pPr>
                    <w:jc w:val="center"/>
                    <w:rPr>
                      <w:rFonts w:cs="Times New Roman"/>
                      <w:szCs w:val="21"/>
                    </w:rPr>
                  </w:pPr>
                  <w:r>
                    <w:rPr>
                      <w:rFonts w:cs="Times New Roman"/>
                      <w:szCs w:val="21"/>
                    </w:rPr>
                    <w:t>毒性</w:t>
                  </w:r>
                </w:p>
              </w:tc>
            </w:tr>
          </w:tbl>
          <w:p>
            <w:pPr>
              <w:spacing w:line="360" w:lineRule="auto"/>
              <w:ind w:firstLine="361" w:firstLineChars="150"/>
              <w:rPr>
                <w:rFonts w:cs="Times New Roman"/>
                <w:sz w:val="24"/>
                <w:szCs w:val="24"/>
              </w:rPr>
            </w:pPr>
            <w:r>
              <w:rPr>
                <w:rFonts w:cs="Times New Roman"/>
                <w:b/>
                <w:sz w:val="24"/>
                <w:szCs w:val="24"/>
              </w:rPr>
              <w:t>（2）风险潜势初判</w:t>
            </w:r>
          </w:p>
          <w:p>
            <w:pPr>
              <w:spacing w:line="360" w:lineRule="auto"/>
              <w:ind w:firstLine="480"/>
              <w:rPr>
                <w:rFonts w:cs="Times New Roman"/>
                <w:sz w:val="24"/>
                <w:szCs w:val="24"/>
              </w:rPr>
            </w:pPr>
            <w:r>
              <w:rPr>
                <w:rFonts w:cs="Times New Roman"/>
                <w:sz w:val="24"/>
                <w:szCs w:val="24"/>
              </w:rPr>
              <w:t>建设项目环境风险潜势划分为I、II、III、IV/IV</w:t>
            </w:r>
            <w:r>
              <w:rPr>
                <w:rFonts w:cs="Times New Roman"/>
                <w:sz w:val="24"/>
                <w:szCs w:val="24"/>
                <w:vertAlign w:val="superscript"/>
              </w:rPr>
              <w:t>+</w:t>
            </w:r>
            <w:r>
              <w:rPr>
                <w:rFonts w:cs="Times New Roman"/>
                <w:sz w:val="24"/>
                <w:szCs w:val="24"/>
              </w:rPr>
              <w:t>级，主要根据建设项目涉及的物质和工艺系统的危险性及其所在地的环境敏感程度，结合事故情形下环境影响途径，按照《建设项目环境风险评价技术导则》（HJ169-2018）表2进行确定，其中：危险物质数量与临界量比值（</w:t>
            </w:r>
            <w:r>
              <w:rPr>
                <w:rFonts w:cs="Times New Roman"/>
                <w:i/>
                <w:sz w:val="24"/>
                <w:szCs w:val="24"/>
              </w:rPr>
              <w:t>Q</w:t>
            </w:r>
            <w:r>
              <w:rPr>
                <w:rFonts w:cs="Times New Roman"/>
                <w:sz w:val="24"/>
                <w:szCs w:val="24"/>
              </w:rPr>
              <w:t>）为每种危险物质在厂界内的最大存在总量与其在HJ169-2018附录B中对应临界量的比值，即：</w:t>
            </w:r>
          </w:p>
          <w:p>
            <w:pPr>
              <w:spacing w:line="360" w:lineRule="auto"/>
              <w:jc w:val="center"/>
              <w:rPr>
                <w:rFonts w:cs="Times New Roman"/>
                <w:sz w:val="24"/>
                <w:szCs w:val="24"/>
              </w:rPr>
            </w:pPr>
            <w:r>
              <w:rPr>
                <w:rFonts w:cs="Times New Roman"/>
                <w:position w:val="-30"/>
                <w:sz w:val="24"/>
                <w:szCs w:val="24"/>
              </w:rPr>
              <w:object>
                <v:shape id="_x0000_i1030" o:spt="75" type="#_x0000_t75" style="height:28.3pt;width:79.5pt;" o:ole="t" filled="f" o:preferrelative="t" stroked="f" coordsize="21600,21600">
                  <v:path/>
                  <v:fill on="f" focussize="0,0"/>
                  <v:stroke on="f" joinstyle="miter"/>
                  <v:imagedata r:id="rId38" o:title=""/>
                  <o:lock v:ext="edit" aspectratio="t"/>
                  <w10:wrap type="none"/>
                  <w10:anchorlock/>
                </v:shape>
                <o:OLEObject Type="Embed" ProgID="Equation.DSMT4" ShapeID="_x0000_i1030" DrawAspect="Content" ObjectID="_1468075730" r:id="rId37">
                  <o:LockedField>false</o:LockedField>
                </o:OLEObject>
              </w:object>
            </w:r>
          </w:p>
          <w:p>
            <w:pPr>
              <w:spacing w:line="360" w:lineRule="auto"/>
              <w:ind w:firstLine="480" w:firstLineChars="200"/>
              <w:rPr>
                <w:rFonts w:cs="Times New Roman"/>
                <w:i/>
                <w:sz w:val="24"/>
                <w:szCs w:val="24"/>
              </w:rPr>
            </w:pPr>
            <w:r>
              <w:rPr>
                <w:rFonts w:cs="Times New Roman"/>
                <w:sz w:val="24"/>
                <w:szCs w:val="24"/>
              </w:rPr>
              <w:t>式中：</w:t>
            </w:r>
            <w:r>
              <w:rPr>
                <w:rFonts w:cs="Times New Roman"/>
                <w:i/>
                <w:sz w:val="24"/>
                <w:szCs w:val="24"/>
              </w:rPr>
              <w:t>q</w:t>
            </w:r>
            <w:r>
              <w:rPr>
                <w:rFonts w:cs="Times New Roman"/>
                <w:sz w:val="24"/>
                <w:szCs w:val="24"/>
                <w:vertAlign w:val="subscript"/>
              </w:rPr>
              <w:t>1</w:t>
            </w:r>
            <w:r>
              <w:rPr>
                <w:rFonts w:cs="Times New Roman"/>
                <w:sz w:val="24"/>
                <w:szCs w:val="24"/>
              </w:rPr>
              <w:t>，</w:t>
            </w:r>
            <w:r>
              <w:rPr>
                <w:rFonts w:cs="Times New Roman"/>
                <w:i/>
                <w:sz w:val="24"/>
                <w:szCs w:val="24"/>
              </w:rPr>
              <w:t>q</w:t>
            </w:r>
            <w:r>
              <w:rPr>
                <w:rFonts w:cs="Times New Roman"/>
                <w:sz w:val="24"/>
                <w:szCs w:val="24"/>
                <w:vertAlign w:val="subscript"/>
              </w:rPr>
              <w:t>2</w:t>
            </w:r>
            <w:r>
              <w:rPr>
                <w:rFonts w:cs="Times New Roman"/>
                <w:sz w:val="24"/>
                <w:szCs w:val="24"/>
              </w:rPr>
              <w:t>，···，</w:t>
            </w:r>
            <w:r>
              <w:rPr>
                <w:rFonts w:cs="Times New Roman"/>
                <w:i/>
                <w:sz w:val="24"/>
                <w:szCs w:val="24"/>
              </w:rPr>
              <w:t>q</w:t>
            </w:r>
            <w:r>
              <w:rPr>
                <w:rFonts w:cs="Times New Roman"/>
                <w:i/>
                <w:sz w:val="24"/>
                <w:szCs w:val="24"/>
                <w:vertAlign w:val="subscript"/>
              </w:rPr>
              <w:t>n</w:t>
            </w:r>
            <w:r>
              <w:rPr>
                <w:rFonts w:cs="Times New Roman"/>
                <w:sz w:val="24"/>
                <w:szCs w:val="24"/>
              </w:rPr>
              <w:t>——每种危险物质的最大存在总量，t；</w:t>
            </w:r>
          </w:p>
          <w:p>
            <w:pPr>
              <w:spacing w:line="360" w:lineRule="auto"/>
              <w:ind w:firstLine="480" w:firstLineChars="200"/>
              <w:rPr>
                <w:rFonts w:cs="Times New Roman"/>
                <w:sz w:val="24"/>
                <w:szCs w:val="24"/>
              </w:rPr>
            </w:pPr>
            <w:r>
              <w:rPr>
                <w:rFonts w:cs="Times New Roman"/>
                <w:sz w:val="24"/>
                <w:szCs w:val="24"/>
              </w:rPr>
              <w:t xml:space="preserve">      </w:t>
            </w:r>
            <w:r>
              <w:rPr>
                <w:rFonts w:cs="Times New Roman"/>
                <w:i/>
                <w:sz w:val="24"/>
                <w:szCs w:val="24"/>
              </w:rPr>
              <w:t>Q</w:t>
            </w:r>
            <w:r>
              <w:rPr>
                <w:rFonts w:cs="Times New Roman"/>
                <w:sz w:val="24"/>
                <w:szCs w:val="24"/>
                <w:vertAlign w:val="subscript"/>
              </w:rPr>
              <w:t>1</w:t>
            </w:r>
            <w:r>
              <w:rPr>
                <w:rFonts w:cs="Times New Roman"/>
                <w:sz w:val="24"/>
                <w:szCs w:val="24"/>
              </w:rPr>
              <w:t>，</w:t>
            </w:r>
            <w:r>
              <w:rPr>
                <w:rFonts w:cs="Times New Roman"/>
                <w:i/>
                <w:sz w:val="24"/>
                <w:szCs w:val="24"/>
              </w:rPr>
              <w:t>Q</w:t>
            </w:r>
            <w:r>
              <w:rPr>
                <w:rFonts w:cs="Times New Roman"/>
                <w:sz w:val="24"/>
                <w:szCs w:val="24"/>
                <w:vertAlign w:val="subscript"/>
              </w:rPr>
              <w:t>2</w:t>
            </w:r>
            <w:r>
              <w:rPr>
                <w:rFonts w:cs="Times New Roman"/>
                <w:sz w:val="24"/>
                <w:szCs w:val="24"/>
              </w:rPr>
              <w:t>，···，</w:t>
            </w:r>
            <w:r>
              <w:rPr>
                <w:rFonts w:cs="Times New Roman"/>
                <w:i/>
                <w:sz w:val="24"/>
                <w:szCs w:val="24"/>
              </w:rPr>
              <w:t>Q</w:t>
            </w:r>
            <w:r>
              <w:rPr>
                <w:rFonts w:cs="Times New Roman"/>
                <w:i/>
                <w:sz w:val="24"/>
                <w:szCs w:val="24"/>
                <w:vertAlign w:val="subscript"/>
              </w:rPr>
              <w:t>n</w:t>
            </w:r>
            <w:r>
              <w:rPr>
                <w:rFonts w:cs="Times New Roman"/>
                <w:sz w:val="24"/>
                <w:szCs w:val="24"/>
              </w:rPr>
              <w:t>——每种危险物质的临界量，t。</w:t>
            </w:r>
          </w:p>
          <w:p>
            <w:pPr>
              <w:spacing w:line="360" w:lineRule="auto"/>
              <w:ind w:firstLine="480" w:firstLineChars="200"/>
              <w:rPr>
                <w:rFonts w:cs="Times New Roman"/>
                <w:sz w:val="24"/>
                <w:szCs w:val="24"/>
              </w:rPr>
            </w:pPr>
            <w:r>
              <w:rPr>
                <w:rFonts w:cs="Times New Roman"/>
                <w:sz w:val="24"/>
                <w:szCs w:val="24"/>
              </w:rPr>
              <w:t>当</w:t>
            </w:r>
            <w:r>
              <w:rPr>
                <w:rFonts w:cs="Times New Roman"/>
                <w:i/>
                <w:sz w:val="24"/>
                <w:szCs w:val="24"/>
              </w:rPr>
              <w:t>Q</w:t>
            </w:r>
            <w:r>
              <w:rPr>
                <w:rFonts w:cs="Times New Roman"/>
                <w:sz w:val="24"/>
                <w:szCs w:val="24"/>
              </w:rPr>
              <w:t>&lt;1时，该项目环境风险潜势为I；当</w:t>
            </w:r>
            <w:r>
              <w:rPr>
                <w:rFonts w:cs="Times New Roman"/>
                <w:i/>
                <w:sz w:val="24"/>
                <w:szCs w:val="24"/>
              </w:rPr>
              <w:t>Q</w:t>
            </w:r>
            <w:r>
              <w:rPr>
                <w:rFonts w:cs="Times New Roman"/>
                <w:sz w:val="24"/>
                <w:szCs w:val="24"/>
              </w:rPr>
              <w:t>≥1时，将</w:t>
            </w:r>
            <w:r>
              <w:rPr>
                <w:rFonts w:cs="Times New Roman"/>
                <w:i/>
                <w:sz w:val="24"/>
                <w:szCs w:val="24"/>
              </w:rPr>
              <w:t>Q</w:t>
            </w:r>
            <w:r>
              <w:rPr>
                <w:rFonts w:cs="Times New Roman"/>
                <w:sz w:val="24"/>
                <w:szCs w:val="24"/>
              </w:rPr>
              <w:t>值划分为：a.1≤</w:t>
            </w:r>
            <w:r>
              <w:rPr>
                <w:rFonts w:cs="Times New Roman"/>
                <w:i/>
                <w:sz w:val="24"/>
                <w:szCs w:val="24"/>
              </w:rPr>
              <w:t>Q</w:t>
            </w:r>
            <w:r>
              <w:rPr>
                <w:rFonts w:cs="Times New Roman"/>
                <w:sz w:val="24"/>
                <w:szCs w:val="24"/>
              </w:rPr>
              <w:t>&lt;10；b. 10≤</w:t>
            </w:r>
            <w:r>
              <w:rPr>
                <w:rFonts w:cs="Times New Roman"/>
                <w:i/>
                <w:sz w:val="24"/>
                <w:szCs w:val="24"/>
              </w:rPr>
              <w:t>Q</w:t>
            </w:r>
            <w:r>
              <w:rPr>
                <w:rFonts w:cs="Times New Roman"/>
                <w:sz w:val="24"/>
                <w:szCs w:val="24"/>
              </w:rPr>
              <w:t>&lt;100；c.</w:t>
            </w:r>
            <w:r>
              <w:rPr>
                <w:rFonts w:cs="Times New Roman"/>
                <w:i/>
                <w:sz w:val="24"/>
                <w:szCs w:val="24"/>
              </w:rPr>
              <w:t>Q</w:t>
            </w:r>
            <w:r>
              <w:rPr>
                <w:rFonts w:cs="Times New Roman"/>
                <w:sz w:val="24"/>
                <w:szCs w:val="24"/>
              </w:rPr>
              <w:t>≥100。</w:t>
            </w:r>
          </w:p>
          <w:p>
            <w:pPr>
              <w:spacing w:line="360" w:lineRule="auto"/>
              <w:ind w:firstLine="480"/>
              <w:rPr>
                <w:rFonts w:cs="Times New Roman"/>
                <w:sz w:val="24"/>
                <w:szCs w:val="24"/>
              </w:rPr>
            </w:pPr>
            <w:r>
              <w:rPr>
                <w:rFonts w:cs="Times New Roman"/>
                <w:sz w:val="24"/>
                <w:szCs w:val="24"/>
              </w:rPr>
              <w:t>根据计算，本项目危险物质数量与临界量比值见表4-27。</w:t>
            </w:r>
          </w:p>
          <w:p>
            <w:pPr>
              <w:spacing w:line="360" w:lineRule="auto"/>
              <w:jc w:val="center"/>
              <w:rPr>
                <w:rFonts w:cs="Times New Roman"/>
                <w:b/>
                <w:bCs/>
                <w:sz w:val="24"/>
                <w:szCs w:val="24"/>
              </w:rPr>
            </w:pPr>
            <w:r>
              <w:rPr>
                <w:rFonts w:cs="Times New Roman"/>
                <w:b/>
                <w:bCs/>
                <w:sz w:val="24"/>
                <w:szCs w:val="24"/>
              </w:rPr>
              <w:t>表4-27  危险物质数量与临界量比值表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255"/>
              <w:gridCol w:w="1867"/>
              <w:gridCol w:w="1974"/>
              <w:gridCol w:w="16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8" w:type="pct"/>
                  <w:tcBorders>
                    <w:tl2br w:val="nil"/>
                    <w:tr2bl w:val="nil"/>
                  </w:tcBorders>
                  <w:vAlign w:val="center"/>
                </w:tcPr>
                <w:p>
                  <w:pPr>
                    <w:jc w:val="center"/>
                    <w:rPr>
                      <w:rFonts w:cs="Times New Roman"/>
                      <w:b/>
                      <w:bCs/>
                      <w:szCs w:val="21"/>
                    </w:rPr>
                  </w:pPr>
                  <w:r>
                    <w:rPr>
                      <w:rFonts w:cs="Times New Roman"/>
                      <w:b/>
                      <w:bCs/>
                      <w:szCs w:val="21"/>
                    </w:rPr>
                    <w:t>序号</w:t>
                  </w:r>
                </w:p>
              </w:tc>
              <w:tc>
                <w:tcPr>
                  <w:tcW w:w="1300" w:type="pct"/>
                  <w:tcBorders>
                    <w:tl2br w:val="nil"/>
                    <w:tr2bl w:val="nil"/>
                  </w:tcBorders>
                  <w:vAlign w:val="center"/>
                </w:tcPr>
                <w:p>
                  <w:pPr>
                    <w:jc w:val="center"/>
                    <w:rPr>
                      <w:rFonts w:cs="Times New Roman"/>
                      <w:b/>
                      <w:bCs/>
                      <w:szCs w:val="21"/>
                    </w:rPr>
                  </w:pPr>
                  <w:r>
                    <w:rPr>
                      <w:rFonts w:cs="Times New Roman"/>
                      <w:b/>
                      <w:bCs/>
                      <w:szCs w:val="21"/>
                    </w:rPr>
                    <w:t>危险物质</w:t>
                  </w:r>
                </w:p>
              </w:tc>
              <w:tc>
                <w:tcPr>
                  <w:tcW w:w="1076" w:type="pct"/>
                  <w:tcBorders>
                    <w:tl2br w:val="nil"/>
                    <w:tr2bl w:val="nil"/>
                  </w:tcBorders>
                  <w:vAlign w:val="center"/>
                </w:tcPr>
                <w:p>
                  <w:pPr>
                    <w:jc w:val="center"/>
                    <w:rPr>
                      <w:rFonts w:cs="Times New Roman"/>
                      <w:b/>
                      <w:bCs/>
                      <w:szCs w:val="21"/>
                    </w:rPr>
                  </w:pPr>
                  <w:r>
                    <w:rPr>
                      <w:rFonts w:cs="Times New Roman"/>
                      <w:b/>
                      <w:bCs/>
                      <w:szCs w:val="21"/>
                    </w:rPr>
                    <w:t>储存量（</w:t>
                  </w:r>
                  <w:r>
                    <w:rPr>
                      <w:rFonts w:cs="Times New Roman"/>
                      <w:b/>
                      <w:bCs/>
                      <w:i/>
                      <w:szCs w:val="21"/>
                    </w:rPr>
                    <w:t>q</w:t>
                  </w:r>
                  <w:r>
                    <w:rPr>
                      <w:rFonts w:cs="Times New Roman"/>
                      <w:b/>
                      <w:bCs/>
                      <w:szCs w:val="21"/>
                    </w:rPr>
                    <w:t>）</w:t>
                  </w:r>
                </w:p>
              </w:tc>
              <w:tc>
                <w:tcPr>
                  <w:tcW w:w="1138" w:type="pct"/>
                  <w:tcBorders>
                    <w:tl2br w:val="nil"/>
                    <w:tr2bl w:val="nil"/>
                  </w:tcBorders>
                  <w:vAlign w:val="center"/>
                </w:tcPr>
                <w:p>
                  <w:pPr>
                    <w:jc w:val="center"/>
                    <w:rPr>
                      <w:rFonts w:cs="Times New Roman"/>
                      <w:b/>
                      <w:bCs/>
                      <w:szCs w:val="21"/>
                    </w:rPr>
                  </w:pPr>
                  <w:r>
                    <w:rPr>
                      <w:rFonts w:cs="Times New Roman"/>
                      <w:b/>
                      <w:bCs/>
                      <w:szCs w:val="21"/>
                    </w:rPr>
                    <w:t>临界量（</w:t>
                  </w:r>
                  <w:r>
                    <w:rPr>
                      <w:rFonts w:cs="Times New Roman"/>
                      <w:b/>
                      <w:bCs/>
                      <w:i/>
                      <w:szCs w:val="21"/>
                    </w:rPr>
                    <w:t>Q</w:t>
                  </w:r>
                  <w:r>
                    <w:rPr>
                      <w:rFonts w:cs="Times New Roman"/>
                      <w:b/>
                      <w:bCs/>
                      <w:szCs w:val="21"/>
                    </w:rPr>
                    <w:t>）</w:t>
                  </w:r>
                </w:p>
              </w:tc>
              <w:tc>
                <w:tcPr>
                  <w:tcW w:w="957" w:type="pct"/>
                  <w:tcBorders>
                    <w:tl2br w:val="nil"/>
                    <w:tr2bl w:val="nil"/>
                  </w:tcBorders>
                  <w:vAlign w:val="center"/>
                </w:tcPr>
                <w:p>
                  <w:pPr>
                    <w:jc w:val="center"/>
                    <w:rPr>
                      <w:rFonts w:cs="Times New Roman"/>
                      <w:b/>
                      <w:bCs/>
                      <w:szCs w:val="21"/>
                    </w:rPr>
                  </w:pPr>
                  <w:r>
                    <w:rPr>
                      <w:rFonts w:cs="Times New Roman"/>
                      <w:b/>
                      <w:bCs/>
                      <w:szCs w:val="21"/>
                    </w:rPr>
                    <w:t>比值（</w:t>
                  </w:r>
                  <w:r>
                    <w:rPr>
                      <w:rFonts w:cs="Times New Roman"/>
                      <w:b/>
                      <w:bCs/>
                      <w:i/>
                      <w:szCs w:val="21"/>
                    </w:rPr>
                    <w:t>Q</w:t>
                  </w:r>
                  <w:r>
                    <w:rPr>
                      <w:rFonts w:cs="Times New Roman"/>
                      <w:b/>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Borders>
                    <w:tl2br w:val="nil"/>
                    <w:tr2bl w:val="nil"/>
                  </w:tcBorders>
                  <w:vAlign w:val="center"/>
                </w:tcPr>
                <w:p>
                  <w:pPr>
                    <w:jc w:val="center"/>
                    <w:rPr>
                      <w:rFonts w:cs="Times New Roman"/>
                      <w:szCs w:val="21"/>
                    </w:rPr>
                  </w:pPr>
                  <w:r>
                    <w:rPr>
                      <w:rFonts w:cs="Times New Roman"/>
                      <w:szCs w:val="21"/>
                    </w:rPr>
                    <w:t>1</w:t>
                  </w:r>
                </w:p>
              </w:tc>
              <w:tc>
                <w:tcPr>
                  <w:tcW w:w="1300" w:type="pct"/>
                  <w:tcBorders>
                    <w:tl2br w:val="nil"/>
                    <w:tr2bl w:val="nil"/>
                  </w:tcBorders>
                  <w:vAlign w:val="center"/>
                </w:tcPr>
                <w:p>
                  <w:pPr>
                    <w:jc w:val="center"/>
                    <w:rPr>
                      <w:rFonts w:cs="Times New Roman"/>
                      <w:szCs w:val="21"/>
                    </w:rPr>
                  </w:pPr>
                  <w:r>
                    <w:rPr>
                      <w:rFonts w:cs="Times New Roman"/>
                      <w:szCs w:val="21"/>
                    </w:rPr>
                    <w:t>废机油</w:t>
                  </w:r>
                </w:p>
              </w:tc>
              <w:tc>
                <w:tcPr>
                  <w:tcW w:w="1076" w:type="pct"/>
                  <w:tcBorders>
                    <w:tl2br w:val="nil"/>
                    <w:tr2bl w:val="nil"/>
                  </w:tcBorders>
                  <w:vAlign w:val="center"/>
                </w:tcPr>
                <w:p>
                  <w:pPr>
                    <w:jc w:val="center"/>
                    <w:rPr>
                      <w:rFonts w:cs="Times New Roman"/>
                      <w:szCs w:val="21"/>
                    </w:rPr>
                  </w:pPr>
                  <w:r>
                    <w:rPr>
                      <w:rFonts w:cs="Times New Roman"/>
                      <w:szCs w:val="21"/>
                    </w:rPr>
                    <w:t>0.05t</w:t>
                  </w:r>
                </w:p>
              </w:tc>
              <w:tc>
                <w:tcPr>
                  <w:tcW w:w="1138" w:type="pct"/>
                  <w:tcBorders>
                    <w:tl2br w:val="nil"/>
                    <w:tr2bl w:val="nil"/>
                  </w:tcBorders>
                  <w:vAlign w:val="center"/>
                </w:tcPr>
                <w:p>
                  <w:pPr>
                    <w:jc w:val="center"/>
                    <w:rPr>
                      <w:rFonts w:cs="Times New Roman"/>
                      <w:szCs w:val="21"/>
                    </w:rPr>
                  </w:pPr>
                  <w:r>
                    <w:rPr>
                      <w:rFonts w:cs="Times New Roman"/>
                      <w:szCs w:val="21"/>
                    </w:rPr>
                    <w:t>2500t</w:t>
                  </w:r>
                </w:p>
              </w:tc>
              <w:tc>
                <w:tcPr>
                  <w:tcW w:w="957"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Borders>
                    <w:tl2br w:val="nil"/>
                    <w:tr2bl w:val="nil"/>
                  </w:tcBorders>
                  <w:vAlign w:val="center"/>
                </w:tcPr>
                <w:p>
                  <w:pPr>
                    <w:jc w:val="center"/>
                    <w:rPr>
                      <w:rFonts w:cs="Times New Roman"/>
                      <w:szCs w:val="21"/>
                    </w:rPr>
                  </w:pPr>
                  <w:r>
                    <w:rPr>
                      <w:rFonts w:cs="Times New Roman"/>
                      <w:szCs w:val="21"/>
                    </w:rPr>
                    <w:t>2</w:t>
                  </w:r>
                </w:p>
              </w:tc>
              <w:tc>
                <w:tcPr>
                  <w:tcW w:w="1300" w:type="pct"/>
                  <w:tcBorders>
                    <w:tl2br w:val="nil"/>
                    <w:tr2bl w:val="nil"/>
                  </w:tcBorders>
                  <w:vAlign w:val="center"/>
                </w:tcPr>
                <w:p>
                  <w:pPr>
                    <w:jc w:val="center"/>
                    <w:rPr>
                      <w:rFonts w:cs="Times New Roman"/>
                      <w:szCs w:val="21"/>
                    </w:rPr>
                  </w:pPr>
                  <w:r>
                    <w:rPr>
                      <w:rFonts w:cs="Times New Roman"/>
                      <w:szCs w:val="21"/>
                    </w:rPr>
                    <w:t>甲烷</w:t>
                  </w:r>
                </w:p>
              </w:tc>
              <w:tc>
                <w:tcPr>
                  <w:tcW w:w="1076" w:type="pct"/>
                  <w:tcBorders>
                    <w:tl2br w:val="nil"/>
                    <w:tr2bl w:val="nil"/>
                  </w:tcBorders>
                  <w:vAlign w:val="center"/>
                </w:tcPr>
                <w:p>
                  <w:pPr>
                    <w:jc w:val="center"/>
                    <w:rPr>
                      <w:rFonts w:cs="Times New Roman"/>
                      <w:szCs w:val="21"/>
                    </w:rPr>
                  </w:pPr>
                  <w:r>
                    <w:rPr>
                      <w:rFonts w:cs="Times New Roman"/>
                      <w:szCs w:val="21"/>
                    </w:rPr>
                    <w:t>0.000359t</w:t>
                  </w:r>
                </w:p>
              </w:tc>
              <w:tc>
                <w:tcPr>
                  <w:tcW w:w="1138" w:type="pct"/>
                  <w:tcBorders>
                    <w:tl2br w:val="nil"/>
                    <w:tr2bl w:val="nil"/>
                  </w:tcBorders>
                  <w:vAlign w:val="center"/>
                </w:tcPr>
                <w:p>
                  <w:pPr>
                    <w:jc w:val="center"/>
                    <w:rPr>
                      <w:rFonts w:cs="Times New Roman"/>
                      <w:szCs w:val="21"/>
                    </w:rPr>
                  </w:pPr>
                  <w:r>
                    <w:rPr>
                      <w:rFonts w:cs="Times New Roman"/>
                      <w:szCs w:val="21"/>
                    </w:rPr>
                    <w:t>10t</w:t>
                  </w:r>
                </w:p>
              </w:tc>
              <w:tc>
                <w:tcPr>
                  <w:tcW w:w="957"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0.0000359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Borders>
                    <w:tl2br w:val="nil"/>
                    <w:tr2bl w:val="nil"/>
                  </w:tcBorders>
                  <w:vAlign w:val="center"/>
                </w:tcPr>
                <w:p>
                  <w:pPr>
                    <w:jc w:val="center"/>
                    <w:rPr>
                      <w:rFonts w:cs="Times New Roman"/>
                      <w:szCs w:val="21"/>
                    </w:rPr>
                  </w:pPr>
                  <w:r>
                    <w:rPr>
                      <w:rFonts w:cs="Times New Roman"/>
                      <w:szCs w:val="21"/>
                    </w:rPr>
                    <w:t>3</w:t>
                  </w:r>
                </w:p>
              </w:tc>
              <w:tc>
                <w:tcPr>
                  <w:tcW w:w="1300" w:type="pct"/>
                  <w:tcBorders>
                    <w:tl2br w:val="nil"/>
                    <w:tr2bl w:val="nil"/>
                  </w:tcBorders>
                  <w:vAlign w:val="center"/>
                </w:tcPr>
                <w:p>
                  <w:pPr>
                    <w:jc w:val="center"/>
                    <w:rPr>
                      <w:rFonts w:cs="Times New Roman"/>
                      <w:szCs w:val="21"/>
                    </w:rPr>
                  </w:pPr>
                  <w:r>
                    <w:rPr>
                      <w:rFonts w:cs="Times New Roman"/>
                      <w:szCs w:val="21"/>
                    </w:rPr>
                    <w:t>甲醛</w:t>
                  </w:r>
                </w:p>
              </w:tc>
              <w:tc>
                <w:tcPr>
                  <w:tcW w:w="1076" w:type="pct"/>
                  <w:tcBorders>
                    <w:tl2br w:val="nil"/>
                    <w:tr2bl w:val="nil"/>
                  </w:tcBorders>
                  <w:vAlign w:val="center"/>
                </w:tcPr>
                <w:p>
                  <w:pPr>
                    <w:jc w:val="center"/>
                    <w:rPr>
                      <w:rFonts w:cs="Times New Roman"/>
                      <w:szCs w:val="21"/>
                    </w:rPr>
                  </w:pPr>
                  <w:r>
                    <w:rPr>
                      <w:rFonts w:cs="Times New Roman"/>
                      <w:szCs w:val="21"/>
                    </w:rPr>
                    <w:t>0.108t</w:t>
                  </w:r>
                </w:p>
              </w:tc>
              <w:tc>
                <w:tcPr>
                  <w:tcW w:w="1138" w:type="pct"/>
                  <w:tcBorders>
                    <w:tl2br w:val="nil"/>
                    <w:tr2bl w:val="nil"/>
                  </w:tcBorders>
                  <w:vAlign w:val="center"/>
                </w:tcPr>
                <w:p>
                  <w:pPr>
                    <w:jc w:val="center"/>
                    <w:rPr>
                      <w:rFonts w:cs="Times New Roman"/>
                      <w:szCs w:val="21"/>
                    </w:rPr>
                  </w:pPr>
                  <w:r>
                    <w:rPr>
                      <w:rFonts w:cs="Times New Roman"/>
                      <w:szCs w:val="21"/>
                    </w:rPr>
                    <w:t>0.5t</w:t>
                  </w:r>
                </w:p>
              </w:tc>
              <w:tc>
                <w:tcPr>
                  <w:tcW w:w="957" w:type="pct"/>
                  <w:tcBorders>
                    <w:tl2br w:val="nil"/>
                    <w:tr2bl w:val="nil"/>
                  </w:tcBorders>
                  <w:vAlign w:val="center"/>
                </w:tcPr>
                <w:p>
                  <w:pPr>
                    <w:jc w:val="center"/>
                    <w:rPr>
                      <w:rFonts w:cs="Times New Roman"/>
                      <w:szCs w:val="21"/>
                    </w:rPr>
                  </w:pPr>
                  <w:r>
                    <w:rPr>
                      <w:rFonts w:cs="Times New Roman"/>
                      <w:szCs w:val="21"/>
                    </w:rPr>
                    <w:t>0.216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Borders>
                    <w:tl2br w:val="nil"/>
                    <w:tr2bl w:val="nil"/>
                  </w:tcBorders>
                  <w:vAlign w:val="center"/>
                </w:tcPr>
                <w:p>
                  <w:pPr>
                    <w:jc w:val="center"/>
                    <w:rPr>
                      <w:rFonts w:cs="Times New Roman"/>
                      <w:szCs w:val="21"/>
                    </w:rPr>
                  </w:pPr>
                  <w:r>
                    <w:rPr>
                      <w:rFonts w:hint="eastAsia" w:cs="Times New Roman"/>
                      <w:szCs w:val="21"/>
                    </w:rPr>
                    <w:t>4</w:t>
                  </w:r>
                </w:p>
              </w:tc>
              <w:tc>
                <w:tcPr>
                  <w:tcW w:w="1300" w:type="pct"/>
                  <w:tcBorders>
                    <w:tl2br w:val="nil"/>
                    <w:tr2bl w:val="nil"/>
                  </w:tcBorders>
                  <w:vAlign w:val="center"/>
                </w:tcPr>
                <w:p>
                  <w:pPr>
                    <w:jc w:val="center"/>
                    <w:rPr>
                      <w:rFonts w:cs="Times New Roman"/>
                      <w:szCs w:val="21"/>
                    </w:rPr>
                  </w:pPr>
                  <w:r>
                    <w:rPr>
                      <w:rFonts w:hint="eastAsia" w:cs="Times New Roman"/>
                      <w:szCs w:val="21"/>
                    </w:rPr>
                    <w:t>丙烯酸丁脂</w:t>
                  </w:r>
                </w:p>
              </w:tc>
              <w:tc>
                <w:tcPr>
                  <w:tcW w:w="1076" w:type="pct"/>
                  <w:tcBorders>
                    <w:tl2br w:val="nil"/>
                    <w:tr2bl w:val="nil"/>
                  </w:tcBorders>
                  <w:vAlign w:val="center"/>
                </w:tcPr>
                <w:p>
                  <w:pPr>
                    <w:jc w:val="center"/>
                    <w:rPr>
                      <w:rFonts w:cs="Times New Roman"/>
                      <w:szCs w:val="21"/>
                    </w:rPr>
                  </w:pPr>
                  <w:r>
                    <w:rPr>
                      <w:rFonts w:hint="eastAsia" w:cs="Times New Roman"/>
                      <w:szCs w:val="21"/>
                    </w:rPr>
                    <w:t>0.00084</w:t>
                  </w:r>
                  <w:r>
                    <w:rPr>
                      <w:rFonts w:cs="Times New Roman"/>
                      <w:szCs w:val="21"/>
                    </w:rPr>
                    <w:t>t</w:t>
                  </w:r>
                </w:p>
              </w:tc>
              <w:tc>
                <w:tcPr>
                  <w:tcW w:w="1138" w:type="pct"/>
                  <w:tcBorders>
                    <w:tl2br w:val="nil"/>
                    <w:tr2bl w:val="nil"/>
                  </w:tcBorders>
                  <w:vAlign w:val="center"/>
                </w:tcPr>
                <w:p>
                  <w:pPr>
                    <w:jc w:val="center"/>
                    <w:rPr>
                      <w:rFonts w:cs="Times New Roman"/>
                      <w:szCs w:val="21"/>
                    </w:rPr>
                  </w:pPr>
                  <w:r>
                    <w:rPr>
                      <w:rFonts w:hint="eastAsia" w:cs="Times New Roman"/>
                      <w:szCs w:val="21"/>
                    </w:rPr>
                    <w:t>10t</w:t>
                  </w:r>
                </w:p>
              </w:tc>
              <w:tc>
                <w:tcPr>
                  <w:tcW w:w="957" w:type="pct"/>
                  <w:tcBorders>
                    <w:tl2br w:val="nil"/>
                    <w:tr2bl w:val="nil"/>
                  </w:tcBorders>
                  <w:vAlign w:val="center"/>
                </w:tcPr>
                <w:p>
                  <w:pPr>
                    <w:jc w:val="center"/>
                    <w:rPr>
                      <w:rFonts w:cs="Times New Roman"/>
                      <w:szCs w:val="21"/>
                    </w:rPr>
                  </w:pPr>
                  <w:r>
                    <w:rPr>
                      <w:rFonts w:hint="eastAsia" w:cs="Times New Roman"/>
                      <w:szCs w:val="21"/>
                    </w:rPr>
                    <w:t>0.000084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8" w:type="pct"/>
                  <w:tcBorders>
                    <w:tl2br w:val="nil"/>
                    <w:tr2bl w:val="nil"/>
                  </w:tcBorders>
                  <w:vAlign w:val="center"/>
                </w:tcPr>
                <w:p>
                  <w:pPr>
                    <w:jc w:val="center"/>
                    <w:rPr>
                      <w:rFonts w:cs="Times New Roman"/>
                      <w:szCs w:val="21"/>
                    </w:rPr>
                  </w:pPr>
                  <w:r>
                    <w:rPr>
                      <w:rFonts w:hint="eastAsia" w:cs="Times New Roman"/>
                      <w:szCs w:val="21"/>
                    </w:rPr>
                    <w:t>5</w:t>
                  </w:r>
                </w:p>
              </w:tc>
              <w:tc>
                <w:tcPr>
                  <w:tcW w:w="1300" w:type="pct"/>
                  <w:tcBorders>
                    <w:tl2br w:val="nil"/>
                    <w:tr2bl w:val="nil"/>
                  </w:tcBorders>
                  <w:vAlign w:val="center"/>
                </w:tcPr>
                <w:p>
                  <w:pPr>
                    <w:jc w:val="center"/>
                    <w:rPr>
                      <w:rFonts w:cs="Times New Roman"/>
                      <w:szCs w:val="21"/>
                    </w:rPr>
                  </w:pPr>
                  <w:r>
                    <w:rPr>
                      <w:rFonts w:hint="eastAsia" w:cs="Times New Roman"/>
                      <w:szCs w:val="21"/>
                    </w:rPr>
                    <w:t>甲基丙烯酸甲酯</w:t>
                  </w:r>
                </w:p>
              </w:tc>
              <w:tc>
                <w:tcPr>
                  <w:tcW w:w="1076" w:type="pct"/>
                  <w:tcBorders>
                    <w:tl2br w:val="nil"/>
                    <w:tr2bl w:val="nil"/>
                  </w:tcBorders>
                  <w:vAlign w:val="center"/>
                </w:tcPr>
                <w:p>
                  <w:pPr>
                    <w:jc w:val="center"/>
                    <w:rPr>
                      <w:rFonts w:cs="Times New Roman"/>
                      <w:szCs w:val="21"/>
                    </w:rPr>
                  </w:pPr>
                  <w:r>
                    <w:rPr>
                      <w:rFonts w:hint="eastAsia" w:cs="Times New Roman"/>
                      <w:szCs w:val="21"/>
                    </w:rPr>
                    <w:t>0.00066</w:t>
                  </w:r>
                  <w:r>
                    <w:rPr>
                      <w:rFonts w:cs="Times New Roman"/>
                      <w:szCs w:val="21"/>
                    </w:rPr>
                    <w:t>t</w:t>
                  </w:r>
                </w:p>
              </w:tc>
              <w:tc>
                <w:tcPr>
                  <w:tcW w:w="1138" w:type="pct"/>
                  <w:tcBorders>
                    <w:tl2br w:val="nil"/>
                    <w:tr2bl w:val="nil"/>
                  </w:tcBorders>
                  <w:vAlign w:val="center"/>
                </w:tcPr>
                <w:p>
                  <w:pPr>
                    <w:jc w:val="center"/>
                    <w:rPr>
                      <w:rFonts w:cs="Times New Roman"/>
                      <w:szCs w:val="21"/>
                    </w:rPr>
                  </w:pPr>
                  <w:r>
                    <w:rPr>
                      <w:rFonts w:hint="eastAsia" w:cs="Times New Roman"/>
                      <w:szCs w:val="21"/>
                    </w:rPr>
                    <w:t>10t</w:t>
                  </w:r>
                </w:p>
              </w:tc>
              <w:tc>
                <w:tcPr>
                  <w:tcW w:w="957" w:type="pct"/>
                  <w:tcBorders>
                    <w:tl2br w:val="nil"/>
                    <w:tr2bl w:val="nil"/>
                  </w:tcBorders>
                  <w:vAlign w:val="center"/>
                </w:tcPr>
                <w:p>
                  <w:pPr>
                    <w:jc w:val="center"/>
                    <w:rPr>
                      <w:rFonts w:cs="Times New Roman"/>
                      <w:szCs w:val="21"/>
                    </w:rPr>
                  </w:pPr>
                  <w:r>
                    <w:rPr>
                      <w:rFonts w:hint="eastAsia" w:cs="Times New Roman"/>
                      <w:szCs w:val="21"/>
                    </w:rPr>
                    <w:t>0.000066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042" w:type="pct"/>
                  <w:gridSpan w:val="4"/>
                  <w:tcBorders>
                    <w:tl2br w:val="nil"/>
                    <w:tr2bl w:val="nil"/>
                  </w:tcBorders>
                </w:tcPr>
                <w:p>
                  <w:pPr>
                    <w:jc w:val="center"/>
                    <w:rPr>
                      <w:rFonts w:cs="Times New Roman"/>
                      <w:szCs w:val="21"/>
                    </w:rPr>
                  </w:pPr>
                  <w:r>
                    <w:rPr>
                      <w:rFonts w:cs="Times New Roman"/>
                      <w:szCs w:val="21"/>
                    </w:rPr>
                    <w:t>合计</w:t>
                  </w:r>
                </w:p>
              </w:tc>
              <w:tc>
                <w:tcPr>
                  <w:tcW w:w="957" w:type="pct"/>
                  <w:tcBorders>
                    <w:tl2br w:val="nil"/>
                    <w:tr2bl w:val="nil"/>
                  </w:tcBorders>
                  <w:vAlign w:val="center"/>
                </w:tcPr>
                <w:p>
                  <w:pPr>
                    <w:jc w:val="center"/>
                    <w:rPr>
                      <w:rFonts w:cs="Times New Roman"/>
                      <w:szCs w:val="21"/>
                    </w:rPr>
                  </w:pPr>
                  <w:r>
                    <w:rPr>
                      <w:rFonts w:hint="eastAsia" w:cs="Times New Roman"/>
                      <w:szCs w:val="21"/>
                    </w:rPr>
                    <w:t>0.2162059</w:t>
                  </w:r>
                </w:p>
              </w:tc>
            </w:tr>
          </w:tbl>
          <w:p>
            <w:pPr>
              <w:spacing w:line="360" w:lineRule="auto"/>
              <w:ind w:firstLine="480" w:firstLineChars="200"/>
              <w:rPr>
                <w:rFonts w:cs="Times New Roman"/>
                <w:sz w:val="24"/>
                <w:szCs w:val="24"/>
              </w:rPr>
            </w:pPr>
            <w:r>
              <w:rPr>
                <w:rFonts w:cs="Times New Roman"/>
                <w:sz w:val="24"/>
                <w:szCs w:val="24"/>
              </w:rPr>
              <w:t>由上表可知，本项目危险物质数量与临界量比值（Q）小于1，环境风险潜势为I。</w:t>
            </w:r>
          </w:p>
          <w:p>
            <w:pPr>
              <w:spacing w:line="360" w:lineRule="auto"/>
              <w:ind w:firstLine="482" w:firstLineChars="200"/>
              <w:rPr>
                <w:rFonts w:cs="Times New Roman"/>
                <w:b/>
                <w:sz w:val="24"/>
                <w:szCs w:val="24"/>
              </w:rPr>
            </w:pPr>
            <w:r>
              <w:rPr>
                <w:rFonts w:cs="Times New Roman"/>
                <w:b/>
                <w:sz w:val="24"/>
                <w:szCs w:val="24"/>
              </w:rPr>
              <w:t>（3）评价等级</w:t>
            </w:r>
          </w:p>
          <w:p>
            <w:pPr>
              <w:spacing w:line="360" w:lineRule="auto"/>
              <w:ind w:firstLine="480" w:firstLineChars="200"/>
              <w:rPr>
                <w:rFonts w:cs="Times New Roman"/>
                <w:sz w:val="24"/>
                <w:szCs w:val="24"/>
              </w:rPr>
            </w:pPr>
            <w:r>
              <w:rPr>
                <w:rFonts w:cs="Times New Roman"/>
                <w:sz w:val="24"/>
                <w:szCs w:val="24"/>
              </w:rPr>
              <w:t>根据建设项目涉及的物质及工艺系统危险性和所在地的环境敏感性确定环境风险潜势，按照表4-28确定评价工作等级。</w:t>
            </w:r>
          </w:p>
          <w:p>
            <w:pPr>
              <w:spacing w:line="360" w:lineRule="auto"/>
              <w:jc w:val="center"/>
              <w:rPr>
                <w:rFonts w:cs="Times New Roman"/>
                <w:b/>
                <w:bCs/>
                <w:sz w:val="24"/>
                <w:szCs w:val="24"/>
              </w:rPr>
            </w:pPr>
            <w:r>
              <w:rPr>
                <w:rFonts w:cs="Times New Roman"/>
                <w:b/>
                <w:bCs/>
                <w:sz w:val="24"/>
                <w:szCs w:val="24"/>
              </w:rPr>
              <w:t>表4-28  环境风险评价工作等级划分</w:t>
            </w:r>
          </w:p>
          <w:tbl>
            <w:tblPr>
              <w:tblStyle w:val="26"/>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1734"/>
              <w:gridCol w:w="1734"/>
              <w:gridCol w:w="1735"/>
              <w:gridCol w:w="1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pPr>
                    <w:jc w:val="center"/>
                    <w:rPr>
                      <w:rFonts w:cs="Times New Roman"/>
                      <w:szCs w:val="21"/>
                    </w:rPr>
                  </w:pPr>
                  <w:r>
                    <w:rPr>
                      <w:rFonts w:cs="Times New Roman"/>
                      <w:szCs w:val="21"/>
                    </w:rPr>
                    <w:t>环境风险潜势</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IV、IV</w:t>
                  </w:r>
                  <w:r>
                    <w:rPr>
                      <w:rFonts w:cs="Times New Roman"/>
                      <w:szCs w:val="21"/>
                      <w:vertAlign w:val="superscript"/>
                    </w:rPr>
                    <w:t>+</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III</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II</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tcBorders>
                    <w:tl2br w:val="nil"/>
                    <w:tr2bl w:val="nil"/>
                  </w:tcBorders>
                  <w:shd w:val="clear" w:color="auto" w:fill="auto"/>
                  <w:vAlign w:val="center"/>
                </w:tcPr>
                <w:p>
                  <w:pPr>
                    <w:jc w:val="center"/>
                    <w:rPr>
                      <w:rFonts w:cs="Times New Roman"/>
                      <w:szCs w:val="21"/>
                    </w:rPr>
                  </w:pPr>
                  <w:r>
                    <w:rPr>
                      <w:rFonts w:cs="Times New Roman"/>
                      <w:szCs w:val="21"/>
                    </w:rPr>
                    <w:t>评价工作等级</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一</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二</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三</w:t>
                  </w:r>
                </w:p>
              </w:tc>
              <w:tc>
                <w:tcPr>
                  <w:tcW w:w="1000" w:type="pct"/>
                  <w:tcBorders>
                    <w:tl2br w:val="nil"/>
                    <w:tr2bl w:val="nil"/>
                  </w:tcBorders>
                  <w:shd w:val="clear" w:color="auto" w:fill="auto"/>
                  <w:vAlign w:val="center"/>
                </w:tcPr>
                <w:p>
                  <w:pPr>
                    <w:jc w:val="center"/>
                    <w:rPr>
                      <w:rFonts w:cs="Times New Roman"/>
                      <w:szCs w:val="21"/>
                    </w:rPr>
                  </w:pPr>
                  <w:r>
                    <w:rPr>
                      <w:rFonts w:cs="Times New Roman"/>
                      <w:szCs w:val="21"/>
                    </w:rPr>
                    <w:t>简单分析</w:t>
                  </w:r>
                </w:p>
              </w:tc>
            </w:tr>
          </w:tbl>
          <w:p>
            <w:pPr>
              <w:spacing w:line="360" w:lineRule="auto"/>
              <w:ind w:firstLine="480" w:firstLineChars="200"/>
              <w:rPr>
                <w:rFonts w:cs="Times New Roman"/>
                <w:sz w:val="24"/>
                <w:szCs w:val="24"/>
              </w:rPr>
            </w:pPr>
            <w:r>
              <w:rPr>
                <w:rFonts w:cs="Times New Roman"/>
                <w:sz w:val="24"/>
                <w:szCs w:val="24"/>
              </w:rPr>
              <w:t>本项目环境风险潜势为I，根据上述判定依据，确定本次环评仅开展简单分析。</w:t>
            </w:r>
          </w:p>
          <w:p>
            <w:pPr>
              <w:spacing w:line="360" w:lineRule="auto"/>
              <w:ind w:firstLine="482" w:firstLineChars="200"/>
              <w:rPr>
                <w:rFonts w:cs="Times New Roman"/>
                <w:b/>
                <w:bCs/>
                <w:sz w:val="24"/>
                <w:szCs w:val="24"/>
              </w:rPr>
            </w:pPr>
            <w:r>
              <w:rPr>
                <w:rFonts w:cs="Times New Roman"/>
                <w:b/>
                <w:bCs/>
                <w:sz w:val="24"/>
                <w:szCs w:val="24"/>
              </w:rPr>
              <w:t>（4）环境风险识别</w:t>
            </w:r>
          </w:p>
          <w:p>
            <w:pPr>
              <w:spacing w:line="360" w:lineRule="auto"/>
              <w:ind w:firstLine="480" w:firstLineChars="200"/>
              <w:rPr>
                <w:rFonts w:cs="Times New Roman"/>
                <w:sz w:val="24"/>
                <w:szCs w:val="24"/>
              </w:rPr>
            </w:pPr>
            <w:r>
              <w:rPr>
                <w:rFonts w:cs="Times New Roman"/>
                <w:sz w:val="24"/>
                <w:szCs w:val="24"/>
              </w:rPr>
              <w:t>①废气治理设施运行故障</w:t>
            </w:r>
          </w:p>
          <w:p>
            <w:pPr>
              <w:spacing w:line="360" w:lineRule="auto"/>
              <w:ind w:firstLine="480" w:firstLineChars="200"/>
              <w:rPr>
                <w:rFonts w:cs="Times New Roman"/>
                <w:sz w:val="24"/>
                <w:szCs w:val="24"/>
              </w:rPr>
            </w:pPr>
            <w:r>
              <w:rPr>
                <w:rFonts w:cs="Times New Roman"/>
                <w:sz w:val="24"/>
                <w:szCs w:val="24"/>
              </w:rPr>
              <w:t>项目废气处理设施正常运行时，可以保证废气达标排放。当废气处理设施发生故障时，会造成未达标处理的废气直接排入大气中，造成生气环境污染。导致废气治理设施运行故障的原因主要有：设备故障、电力系统故障、人员操作失误等。</w:t>
            </w:r>
          </w:p>
          <w:p>
            <w:pPr>
              <w:spacing w:line="360" w:lineRule="auto"/>
              <w:ind w:firstLine="480" w:firstLineChars="200"/>
              <w:rPr>
                <w:rFonts w:cs="Times New Roman"/>
                <w:sz w:val="24"/>
                <w:szCs w:val="24"/>
              </w:rPr>
            </w:pPr>
            <w:r>
              <w:rPr>
                <w:rFonts w:cs="Times New Roman"/>
                <w:sz w:val="24"/>
                <w:szCs w:val="24"/>
              </w:rPr>
              <w:t>②危险化学品泄漏</w:t>
            </w:r>
          </w:p>
          <w:p>
            <w:pPr>
              <w:spacing w:line="360" w:lineRule="auto"/>
              <w:ind w:firstLine="480" w:firstLineChars="200"/>
              <w:rPr>
                <w:rFonts w:cs="Times New Roman"/>
                <w:sz w:val="24"/>
                <w:szCs w:val="24"/>
              </w:rPr>
            </w:pPr>
            <w:r>
              <w:rPr>
                <w:rFonts w:cs="Times New Roman"/>
                <w:sz w:val="24"/>
                <w:szCs w:val="24"/>
              </w:rPr>
              <w:t>项目存储的</w:t>
            </w:r>
            <w:r>
              <w:rPr>
                <w:rFonts w:hint="eastAsia" w:cs="Times New Roman"/>
                <w:color w:val="000000" w:themeColor="text1"/>
                <w:sz w:val="24"/>
                <w:szCs w:val="24"/>
                <w14:textFill>
                  <w14:solidFill>
                    <w14:schemeClr w14:val="tx1"/>
                  </w14:solidFill>
                </w14:textFill>
              </w:rPr>
              <w:t>水性功能乳液</w:t>
            </w:r>
            <w:r>
              <w:rPr>
                <w:rFonts w:cs="Times New Roman"/>
                <w:color w:val="000000" w:themeColor="text1"/>
                <w:sz w:val="24"/>
                <w:szCs w:val="24"/>
                <w14:textFill>
                  <w14:solidFill>
                    <w14:schemeClr w14:val="tx1"/>
                  </w14:solidFill>
                </w14:textFill>
              </w:rPr>
              <w:t>、环保型脲醛</w:t>
            </w:r>
            <w:r>
              <w:rPr>
                <w:rFonts w:hint="eastAsia" w:cs="Times New Roman"/>
                <w:color w:val="000000" w:themeColor="text1"/>
                <w:sz w:val="24"/>
                <w:szCs w:val="24"/>
                <w:lang w:val="en-US" w:eastAsia="zh-CN"/>
                <w14:textFill>
                  <w14:solidFill>
                    <w14:schemeClr w14:val="tx1"/>
                  </w14:solidFill>
                </w14:textFill>
              </w:rPr>
              <w:t>胶</w:t>
            </w:r>
            <w:r>
              <w:rPr>
                <w:rFonts w:cs="Times New Roman"/>
                <w:color w:val="000000" w:themeColor="text1"/>
                <w:sz w:val="24"/>
                <w:szCs w:val="24"/>
                <w14:textFill>
                  <w14:solidFill>
                    <w14:schemeClr w14:val="tx1"/>
                  </w14:solidFill>
                </w14:textFill>
              </w:rPr>
              <w:t>（含甲醛）、消泡剂等主要存在泄漏问题，例如：在装卸、搬运过程中若操作不当，会发生化学品泄漏，泄漏的原因有化学品包装桶破裂、搬运过程中物料的泄漏、撞击或者人为破坏等造成物料泄漏等本项目储运过程风险源主要为储运过程中</w:t>
            </w:r>
            <w:r>
              <w:rPr>
                <w:rFonts w:hint="eastAsia" w:cs="Times New Roman"/>
                <w:color w:val="000000" w:themeColor="text1"/>
                <w:sz w:val="24"/>
                <w:szCs w:val="24"/>
                <w14:textFill>
                  <w14:solidFill>
                    <w14:schemeClr w14:val="tx1"/>
                  </w14:solidFill>
                </w14:textFill>
              </w:rPr>
              <w:t>水性功能乳液</w:t>
            </w:r>
            <w:r>
              <w:rPr>
                <w:rFonts w:cs="Times New Roman"/>
                <w:color w:val="000000" w:themeColor="text1"/>
                <w:sz w:val="24"/>
                <w:szCs w:val="24"/>
                <w14:textFill>
                  <w14:solidFill>
                    <w14:schemeClr w14:val="tx1"/>
                  </w14:solidFill>
                </w14:textFill>
              </w:rPr>
              <w:t>、</w:t>
            </w:r>
            <w:r>
              <w:rPr>
                <w:rFonts w:cs="Times New Roman"/>
                <w:sz w:val="24"/>
                <w:szCs w:val="24"/>
              </w:rPr>
              <w:t>环保型脲醛</w:t>
            </w:r>
            <w:r>
              <w:rPr>
                <w:rFonts w:hint="eastAsia" w:cs="Times New Roman"/>
                <w:sz w:val="24"/>
                <w:szCs w:val="24"/>
                <w:lang w:val="en-US" w:eastAsia="zh-CN"/>
              </w:rPr>
              <w:t>胶</w:t>
            </w:r>
            <w:r>
              <w:rPr>
                <w:rFonts w:cs="Times New Roman"/>
                <w:sz w:val="24"/>
                <w:szCs w:val="24"/>
              </w:rPr>
              <w:t>（含甲醛）、消泡剂等发生泄漏。</w:t>
            </w:r>
          </w:p>
          <w:p>
            <w:pPr>
              <w:spacing w:line="360" w:lineRule="auto"/>
              <w:ind w:firstLine="480" w:firstLineChars="200"/>
              <w:rPr>
                <w:rFonts w:cs="Times New Roman"/>
                <w:sz w:val="24"/>
                <w:szCs w:val="24"/>
              </w:rPr>
            </w:pPr>
            <w:r>
              <w:rPr>
                <w:rFonts w:cs="Times New Roman"/>
                <w:sz w:val="24"/>
                <w:szCs w:val="24"/>
              </w:rPr>
              <w:t>③天然气装置事故。</w:t>
            </w:r>
          </w:p>
          <w:p>
            <w:pPr>
              <w:spacing w:line="360" w:lineRule="auto"/>
              <w:ind w:firstLine="480" w:firstLineChars="200"/>
              <w:rPr>
                <w:rFonts w:cs="Times New Roman"/>
                <w:sz w:val="24"/>
                <w:szCs w:val="24"/>
              </w:rPr>
            </w:pPr>
            <w:r>
              <w:rPr>
                <w:rFonts w:cs="Times New Roman"/>
                <w:sz w:val="24"/>
                <w:szCs w:val="24"/>
              </w:rPr>
              <w:t>④废机油泄漏污染环境。</w:t>
            </w:r>
          </w:p>
          <w:p>
            <w:pPr>
              <w:spacing w:line="360" w:lineRule="auto"/>
              <w:ind w:firstLine="480" w:firstLineChars="200"/>
              <w:rPr>
                <w:rFonts w:cs="Times New Roman"/>
                <w:sz w:val="24"/>
                <w:szCs w:val="24"/>
              </w:rPr>
            </w:pPr>
            <w:r>
              <w:rPr>
                <w:rFonts w:cs="Times New Roman"/>
                <w:sz w:val="24"/>
                <w:szCs w:val="24"/>
              </w:rPr>
              <w:t>⑤危废间管理风险。</w:t>
            </w:r>
          </w:p>
          <w:p>
            <w:pPr>
              <w:spacing w:line="360" w:lineRule="auto"/>
              <w:ind w:firstLine="482" w:firstLineChars="200"/>
              <w:rPr>
                <w:rFonts w:cs="Times New Roman"/>
                <w:b/>
                <w:bCs/>
                <w:sz w:val="24"/>
                <w:szCs w:val="24"/>
              </w:rPr>
            </w:pPr>
            <w:r>
              <w:rPr>
                <w:rFonts w:cs="Times New Roman"/>
                <w:b/>
                <w:bCs/>
                <w:sz w:val="24"/>
                <w:szCs w:val="24"/>
              </w:rPr>
              <w:t>（5）环境风险分析</w:t>
            </w:r>
          </w:p>
          <w:p>
            <w:pPr>
              <w:spacing w:line="360" w:lineRule="auto"/>
              <w:ind w:firstLine="480" w:firstLineChars="200"/>
              <w:rPr>
                <w:rFonts w:cs="Times New Roman"/>
                <w:sz w:val="24"/>
                <w:szCs w:val="24"/>
              </w:rPr>
            </w:pPr>
            <w:r>
              <w:rPr>
                <w:rFonts w:cs="Times New Roman"/>
                <w:sz w:val="24"/>
                <w:szCs w:val="24"/>
              </w:rPr>
              <w:t>①废气处理系统事故风险</w:t>
            </w:r>
          </w:p>
          <w:p>
            <w:pPr>
              <w:spacing w:line="360" w:lineRule="auto"/>
              <w:ind w:firstLine="480" w:firstLineChars="200"/>
              <w:rPr>
                <w:rFonts w:cs="Times New Roman"/>
                <w:sz w:val="24"/>
                <w:szCs w:val="24"/>
              </w:rPr>
            </w:pPr>
            <w:r>
              <w:rPr>
                <w:rFonts w:cs="Times New Roman"/>
                <w:sz w:val="24"/>
                <w:szCs w:val="24"/>
              </w:rPr>
              <w:t>废气处理设施发生故障导致废气直接排放时，会影响项目周边的大气环境质量。</w:t>
            </w:r>
          </w:p>
          <w:p>
            <w:pPr>
              <w:spacing w:line="360" w:lineRule="auto"/>
              <w:ind w:firstLine="480" w:firstLineChars="200"/>
              <w:rPr>
                <w:rFonts w:cs="Times New Roman"/>
                <w:sz w:val="24"/>
                <w:szCs w:val="24"/>
              </w:rPr>
            </w:pPr>
            <w:r>
              <w:rPr>
                <w:rFonts w:cs="Times New Roman"/>
                <w:sz w:val="24"/>
                <w:szCs w:val="24"/>
              </w:rPr>
              <w:t>②危险化学品泄漏风险</w:t>
            </w:r>
          </w:p>
          <w:p>
            <w:pPr>
              <w:spacing w:line="360" w:lineRule="auto"/>
              <w:ind w:firstLine="480" w:firstLineChars="200"/>
              <w:rPr>
                <w:rFonts w:cs="Times New Roman"/>
                <w:sz w:val="24"/>
                <w:szCs w:val="24"/>
              </w:rPr>
            </w:pPr>
            <w:r>
              <w:rPr>
                <w:rFonts w:cs="Times New Roman"/>
                <w:sz w:val="24"/>
                <w:szCs w:val="24"/>
              </w:rPr>
              <w:t>危险化学品泄漏物如进入土壤，会对土壤及地下水水质造成污染。</w:t>
            </w:r>
          </w:p>
          <w:p>
            <w:pPr>
              <w:spacing w:line="360" w:lineRule="auto"/>
              <w:ind w:firstLine="480" w:firstLineChars="200"/>
              <w:rPr>
                <w:rFonts w:cs="Times New Roman"/>
                <w:sz w:val="24"/>
                <w:szCs w:val="24"/>
              </w:rPr>
            </w:pPr>
            <w:r>
              <w:rPr>
                <w:rFonts w:cs="Times New Roman"/>
                <w:sz w:val="24"/>
                <w:szCs w:val="24"/>
              </w:rPr>
              <w:t>③天然气装置事故</w:t>
            </w:r>
          </w:p>
          <w:p>
            <w:pPr>
              <w:spacing w:line="360" w:lineRule="auto"/>
              <w:ind w:firstLine="480" w:firstLineChars="200"/>
              <w:rPr>
                <w:rFonts w:cs="Times New Roman"/>
                <w:sz w:val="24"/>
                <w:szCs w:val="24"/>
              </w:rPr>
            </w:pPr>
            <w:r>
              <w:rPr>
                <w:rFonts w:cs="Times New Roman"/>
                <w:sz w:val="24"/>
                <w:szCs w:val="24"/>
              </w:rPr>
              <w:t>天然气管道裂缝、阀门、法兰裂缝或破裂导致天然气泄漏，遇明火容易发生火灾爆炸。</w:t>
            </w:r>
          </w:p>
          <w:p>
            <w:pPr>
              <w:spacing w:line="360" w:lineRule="auto"/>
              <w:ind w:firstLine="480" w:firstLineChars="200"/>
              <w:rPr>
                <w:rFonts w:cs="Times New Roman"/>
                <w:sz w:val="24"/>
                <w:szCs w:val="24"/>
              </w:rPr>
            </w:pPr>
            <w:r>
              <w:rPr>
                <w:rFonts w:cs="Times New Roman"/>
                <w:sz w:val="24"/>
                <w:szCs w:val="24"/>
              </w:rPr>
              <w:t>④废机油泄漏风险</w:t>
            </w:r>
          </w:p>
          <w:p>
            <w:pPr>
              <w:spacing w:line="360" w:lineRule="auto"/>
              <w:ind w:firstLine="480" w:firstLineChars="200"/>
              <w:rPr>
                <w:rFonts w:cs="Times New Roman"/>
                <w:sz w:val="24"/>
                <w:szCs w:val="24"/>
              </w:rPr>
            </w:pPr>
            <w:r>
              <w:rPr>
                <w:rFonts w:cs="Times New Roman"/>
                <w:sz w:val="24"/>
                <w:szCs w:val="24"/>
              </w:rPr>
              <w:t>废机油储存设施破损引起泄漏，全部进入环境，有害物质挥发进入大气环境，对河流、土壤、生物等造成污染，尤其对水体和土壤环境的影响将是一个相当长的过程，被污染的水体和土壤中的各种生物及植被将全部死亡，这种污染一般是范围较广，面积较大、后果较为严重，达到自然环境的完全恢复需要相当长的时间。</w:t>
            </w:r>
          </w:p>
          <w:p>
            <w:pPr>
              <w:spacing w:line="360" w:lineRule="auto"/>
              <w:ind w:firstLine="480" w:firstLineChars="200"/>
              <w:rPr>
                <w:rFonts w:cs="Times New Roman"/>
                <w:sz w:val="24"/>
                <w:szCs w:val="24"/>
              </w:rPr>
            </w:pPr>
            <w:r>
              <w:rPr>
                <w:rFonts w:cs="Times New Roman"/>
                <w:sz w:val="24"/>
                <w:szCs w:val="24"/>
              </w:rPr>
              <w:t>⑤危废间管理风险</w:t>
            </w:r>
          </w:p>
          <w:p>
            <w:pPr>
              <w:spacing w:line="360" w:lineRule="auto"/>
              <w:ind w:firstLine="480" w:firstLineChars="200"/>
              <w:rPr>
                <w:rFonts w:cs="Times New Roman"/>
                <w:sz w:val="24"/>
                <w:szCs w:val="24"/>
              </w:rPr>
            </w:pPr>
            <w:r>
              <w:rPr>
                <w:rFonts w:cs="Times New Roman"/>
                <w:sz w:val="24"/>
                <w:szCs w:val="24"/>
              </w:rPr>
              <w:t>危废间防渗层破损或破裂，且在收集和转运过程中若管理不当，容易导致危险废物渗漏和洒落至地面，并可能进入地表及地下水体，对土壤和水环境造成污染。</w:t>
            </w:r>
          </w:p>
          <w:p>
            <w:pPr>
              <w:spacing w:line="360" w:lineRule="auto"/>
              <w:ind w:firstLine="482" w:firstLineChars="200"/>
              <w:rPr>
                <w:rFonts w:cs="Times New Roman"/>
                <w:b/>
                <w:bCs/>
                <w:sz w:val="24"/>
                <w:szCs w:val="24"/>
              </w:rPr>
            </w:pPr>
            <w:r>
              <w:rPr>
                <w:rFonts w:cs="Times New Roman"/>
                <w:b/>
                <w:bCs/>
                <w:sz w:val="24"/>
                <w:szCs w:val="24"/>
              </w:rPr>
              <w:t>（6）环境风险防范措施及应急措施</w:t>
            </w:r>
          </w:p>
          <w:p>
            <w:pPr>
              <w:spacing w:line="360" w:lineRule="auto"/>
              <w:ind w:firstLine="480" w:firstLineChars="200"/>
              <w:rPr>
                <w:rFonts w:cs="Times New Roman"/>
                <w:sz w:val="24"/>
                <w:szCs w:val="24"/>
              </w:rPr>
            </w:pPr>
            <w:r>
              <w:rPr>
                <w:rFonts w:cs="Times New Roman"/>
                <w:sz w:val="24"/>
                <w:szCs w:val="24"/>
              </w:rPr>
              <w:t>①废气处理设施事故防范及应急措施</w:t>
            </w:r>
          </w:p>
          <w:p>
            <w:pPr>
              <w:spacing w:line="360" w:lineRule="auto"/>
              <w:ind w:firstLine="480" w:firstLineChars="200"/>
              <w:rPr>
                <w:rFonts w:cs="Times New Roman"/>
                <w:sz w:val="24"/>
                <w:szCs w:val="24"/>
              </w:rPr>
            </w:pPr>
            <w:r>
              <w:rPr>
                <w:rFonts w:cs="Times New Roman"/>
                <w:sz w:val="24"/>
                <w:szCs w:val="24"/>
              </w:rPr>
              <w:t>项目环保方面的负责部门对废气处理装置定期巡查，编制《废气处理设施运行巡查制度》；当设备出现异常时，应立即停止相关车间的生产，并通知设备部对废气处理装置进行检修，正常后方可开启工作。</w:t>
            </w:r>
          </w:p>
          <w:p>
            <w:pPr>
              <w:spacing w:line="360" w:lineRule="auto"/>
              <w:ind w:firstLine="480" w:firstLineChars="200"/>
              <w:rPr>
                <w:rFonts w:cs="Times New Roman"/>
                <w:sz w:val="24"/>
                <w:szCs w:val="24"/>
              </w:rPr>
            </w:pPr>
            <w:r>
              <w:rPr>
                <w:rFonts w:cs="Times New Roman"/>
                <w:sz w:val="24"/>
                <w:szCs w:val="24"/>
              </w:rPr>
              <w:t>②危险化学品泄漏事故防范及应急措施</w:t>
            </w:r>
          </w:p>
          <w:p>
            <w:pPr>
              <w:spacing w:line="360" w:lineRule="auto"/>
              <w:ind w:firstLine="480" w:firstLineChars="200"/>
              <w:rPr>
                <w:rFonts w:cs="Times New Roman"/>
                <w:sz w:val="24"/>
                <w:szCs w:val="24"/>
              </w:rPr>
            </w:pPr>
            <w:r>
              <w:rPr>
                <w:rFonts w:cs="Times New Roman"/>
                <w:sz w:val="24"/>
                <w:szCs w:val="24"/>
              </w:rPr>
              <w:t>防范措施：</w:t>
            </w:r>
          </w:p>
          <w:p>
            <w:pPr>
              <w:spacing w:line="360" w:lineRule="auto"/>
              <w:ind w:firstLine="480" w:firstLineChars="200"/>
              <w:rPr>
                <w:rFonts w:cs="Times New Roman"/>
                <w:sz w:val="24"/>
                <w:szCs w:val="24"/>
              </w:rPr>
            </w:pPr>
            <w:r>
              <w:rPr>
                <w:rFonts w:cs="Times New Roman"/>
                <w:sz w:val="24"/>
                <w:szCs w:val="24"/>
              </w:rPr>
              <w:t>1）制定严格的生产操作规程，加强作业工人的安全教育，杜绝工作失误造成的事故；</w:t>
            </w:r>
          </w:p>
          <w:p>
            <w:pPr>
              <w:spacing w:line="360" w:lineRule="auto"/>
              <w:ind w:firstLine="480" w:firstLineChars="200"/>
              <w:rPr>
                <w:rFonts w:cs="Times New Roman"/>
                <w:sz w:val="24"/>
                <w:szCs w:val="24"/>
              </w:rPr>
            </w:pPr>
            <w:r>
              <w:rPr>
                <w:rFonts w:cs="Times New Roman"/>
                <w:sz w:val="24"/>
                <w:szCs w:val="24"/>
              </w:rPr>
              <w:t>2）在液体储存区做好地面防渗、防漏措施，设置围堰，防止原料泄漏时大面积扩散；</w:t>
            </w:r>
          </w:p>
          <w:p>
            <w:pPr>
              <w:spacing w:line="360" w:lineRule="auto"/>
              <w:ind w:firstLine="480" w:firstLineChars="200"/>
              <w:rPr>
                <w:rFonts w:cs="Times New Roman"/>
                <w:sz w:val="24"/>
                <w:szCs w:val="24"/>
              </w:rPr>
            </w:pPr>
            <w:r>
              <w:rPr>
                <w:rFonts w:cs="Times New Roman"/>
                <w:sz w:val="24"/>
                <w:szCs w:val="24"/>
              </w:rPr>
              <w:t>3）储存辅助材料的桶上应注明物质的名称、危险特性、安全使用说明以及事故应对措施等内容；</w:t>
            </w:r>
          </w:p>
          <w:p>
            <w:pPr>
              <w:spacing w:line="360" w:lineRule="auto"/>
              <w:ind w:firstLine="480" w:firstLineChars="200"/>
              <w:rPr>
                <w:rFonts w:cs="Times New Roman"/>
                <w:sz w:val="24"/>
                <w:szCs w:val="24"/>
              </w:rPr>
            </w:pPr>
            <w:r>
              <w:rPr>
                <w:rFonts w:cs="Times New Roman"/>
                <w:sz w:val="24"/>
                <w:szCs w:val="24"/>
              </w:rPr>
              <w:t>4）搬运和装卸时，应轻拿轻放，防止撞击；</w:t>
            </w:r>
          </w:p>
          <w:p>
            <w:pPr>
              <w:spacing w:line="360" w:lineRule="auto"/>
              <w:ind w:firstLine="480" w:firstLineChars="200"/>
              <w:rPr>
                <w:rFonts w:cs="Times New Roman"/>
                <w:sz w:val="24"/>
                <w:szCs w:val="24"/>
              </w:rPr>
            </w:pPr>
            <w:r>
              <w:rPr>
                <w:rFonts w:cs="Times New Roman"/>
                <w:sz w:val="24"/>
                <w:szCs w:val="24"/>
              </w:rPr>
              <w:t>5）仓库应安排专人管理，做好入库记录，并定期检查材料存储的安全状态，定期检查其包装有无破损，以防止泄漏。</w:t>
            </w:r>
          </w:p>
          <w:p>
            <w:pPr>
              <w:spacing w:line="360" w:lineRule="auto"/>
              <w:ind w:firstLine="480" w:firstLineChars="200"/>
              <w:rPr>
                <w:rFonts w:cs="Times New Roman"/>
                <w:sz w:val="24"/>
                <w:szCs w:val="24"/>
              </w:rPr>
            </w:pPr>
            <w:r>
              <w:rPr>
                <w:rFonts w:cs="Times New Roman"/>
                <w:sz w:val="24"/>
                <w:szCs w:val="24"/>
              </w:rPr>
              <w:t>应急措施：</w:t>
            </w:r>
          </w:p>
          <w:p>
            <w:pPr>
              <w:spacing w:line="360" w:lineRule="auto"/>
              <w:ind w:firstLine="480" w:firstLineChars="200"/>
              <w:rPr>
                <w:rFonts w:cs="Times New Roman"/>
                <w:sz w:val="24"/>
                <w:szCs w:val="24"/>
              </w:rPr>
            </w:pPr>
            <w:r>
              <w:rPr>
                <w:rFonts w:cs="Times New Roman"/>
                <w:sz w:val="24"/>
                <w:szCs w:val="24"/>
              </w:rPr>
              <w:t>1）建立事故应急预案，成立事故应急处理小组，由车间安全负责人担任事故应急小组组长，一旦发生泄漏事故，应立即启动事故应急预案，并向有关环境管理部门汇报情况，协助环境管理部门进行应急监测等工作；</w:t>
            </w:r>
          </w:p>
          <w:p>
            <w:pPr>
              <w:spacing w:line="360" w:lineRule="auto"/>
              <w:ind w:firstLine="480" w:firstLineChars="200"/>
              <w:rPr>
                <w:rFonts w:cs="Times New Roman"/>
                <w:sz w:val="24"/>
                <w:szCs w:val="24"/>
              </w:rPr>
            </w:pPr>
            <w:r>
              <w:rPr>
                <w:rFonts w:cs="Times New Roman"/>
                <w:sz w:val="24"/>
                <w:szCs w:val="24"/>
              </w:rPr>
              <w:t>2）在原料储藏地面铺设防渗防腐材料，一旦发生泄漏事故时，避免泄漏物质下渗，同时应立即切断一切火源，对原料间喷施泡沫覆盖泄漏物，降低蒸汽危害，并尽快封堵泄漏源；</w:t>
            </w:r>
          </w:p>
          <w:p>
            <w:pPr>
              <w:spacing w:line="360" w:lineRule="auto"/>
              <w:ind w:firstLine="480" w:firstLineChars="200"/>
              <w:rPr>
                <w:rFonts w:cs="Times New Roman"/>
                <w:sz w:val="24"/>
                <w:szCs w:val="24"/>
              </w:rPr>
            </w:pPr>
            <w:r>
              <w:rPr>
                <w:rFonts w:cs="Times New Roman"/>
                <w:sz w:val="24"/>
                <w:szCs w:val="24"/>
              </w:rPr>
              <w:t>3）事故处理完毕后应将泄漏物转移至专用的收集容器内，再做进一步处置。</w:t>
            </w:r>
          </w:p>
          <w:p>
            <w:pPr>
              <w:spacing w:line="360" w:lineRule="auto"/>
              <w:ind w:firstLine="480" w:firstLineChars="200"/>
              <w:rPr>
                <w:rFonts w:cs="Times New Roman"/>
                <w:sz w:val="24"/>
                <w:szCs w:val="24"/>
              </w:rPr>
            </w:pPr>
            <w:r>
              <w:rPr>
                <w:rFonts w:cs="Times New Roman"/>
                <w:sz w:val="24"/>
                <w:szCs w:val="24"/>
              </w:rPr>
              <w:t>③天然气装置事故防范措施</w:t>
            </w:r>
          </w:p>
          <w:p>
            <w:pPr>
              <w:spacing w:line="360" w:lineRule="auto"/>
              <w:ind w:firstLine="480" w:firstLineChars="200"/>
              <w:rPr>
                <w:rFonts w:cs="Times New Roman"/>
                <w:sz w:val="24"/>
                <w:szCs w:val="24"/>
              </w:rPr>
            </w:pPr>
            <w:r>
              <w:rPr>
                <w:rFonts w:cs="Times New Roman"/>
                <w:sz w:val="24"/>
                <w:szCs w:val="24"/>
              </w:rPr>
              <w:t>1）天然气输送管道的设计、布置须符合《建筑设计防火规范》、《城镇燃气设计规范》等相关要求。</w:t>
            </w:r>
          </w:p>
          <w:p>
            <w:pPr>
              <w:spacing w:line="360" w:lineRule="auto"/>
              <w:ind w:firstLine="480" w:firstLineChars="200"/>
              <w:rPr>
                <w:rFonts w:cs="Times New Roman"/>
                <w:sz w:val="24"/>
                <w:szCs w:val="24"/>
              </w:rPr>
            </w:pPr>
            <w:r>
              <w:rPr>
                <w:rFonts w:cs="Times New Roman"/>
                <w:sz w:val="24"/>
                <w:szCs w:val="24"/>
              </w:rPr>
              <w:t>2）预防火灾。在天然气工作区域必须严禁明火作业。</w:t>
            </w:r>
          </w:p>
          <w:p>
            <w:pPr>
              <w:spacing w:line="360" w:lineRule="auto"/>
              <w:ind w:firstLine="480" w:firstLineChars="200"/>
              <w:rPr>
                <w:rFonts w:cs="Times New Roman"/>
                <w:sz w:val="24"/>
                <w:szCs w:val="24"/>
              </w:rPr>
            </w:pPr>
            <w:r>
              <w:rPr>
                <w:rFonts w:cs="Times New Roman"/>
                <w:sz w:val="24"/>
                <w:szCs w:val="24"/>
              </w:rPr>
              <w:t>3）日常运行中，加强对设备的维护检查，防止安全阀、截止阀等设备失效；设备按照防爆要求配置。</w:t>
            </w:r>
          </w:p>
          <w:p>
            <w:pPr>
              <w:spacing w:line="360" w:lineRule="auto"/>
              <w:ind w:firstLine="480" w:firstLineChars="200"/>
              <w:rPr>
                <w:rFonts w:cs="Times New Roman"/>
                <w:sz w:val="24"/>
                <w:szCs w:val="24"/>
              </w:rPr>
            </w:pPr>
            <w:r>
              <w:rPr>
                <w:rFonts w:cs="Times New Roman"/>
                <w:sz w:val="24"/>
                <w:szCs w:val="24"/>
              </w:rPr>
              <w:t>4）加强人员安全教育、科学管理。增强安全防范风险的意识；加强防爆电气设备的日常巡视和检查工作；严格落实各项规章制度。</w:t>
            </w:r>
          </w:p>
          <w:p>
            <w:pPr>
              <w:spacing w:line="360" w:lineRule="auto"/>
              <w:ind w:firstLine="480" w:firstLineChars="200"/>
              <w:rPr>
                <w:rFonts w:cs="Times New Roman"/>
                <w:sz w:val="24"/>
                <w:szCs w:val="24"/>
              </w:rPr>
            </w:pPr>
            <w:r>
              <w:rPr>
                <w:rFonts w:cs="Times New Roman"/>
                <w:sz w:val="24"/>
                <w:szCs w:val="24"/>
              </w:rPr>
              <w:t>5）配备相应数量灭火器，开展员工安全培训。</w:t>
            </w:r>
          </w:p>
          <w:p>
            <w:pPr>
              <w:spacing w:line="360" w:lineRule="auto"/>
              <w:ind w:firstLine="480" w:firstLineChars="200"/>
              <w:rPr>
                <w:rFonts w:cs="Times New Roman"/>
                <w:sz w:val="24"/>
                <w:szCs w:val="24"/>
              </w:rPr>
            </w:pPr>
            <w:r>
              <w:rPr>
                <w:rFonts w:cs="Times New Roman"/>
                <w:sz w:val="24"/>
                <w:szCs w:val="24"/>
              </w:rPr>
              <w:t>④废机油泄露风险防范措施</w:t>
            </w:r>
          </w:p>
          <w:p>
            <w:pPr>
              <w:spacing w:line="360" w:lineRule="auto"/>
              <w:ind w:firstLine="480" w:firstLineChars="200"/>
              <w:rPr>
                <w:rFonts w:cs="Times New Roman"/>
                <w:sz w:val="24"/>
                <w:szCs w:val="24"/>
              </w:rPr>
            </w:pPr>
            <w:r>
              <w:rPr>
                <w:rFonts w:cs="Times New Roman"/>
                <w:sz w:val="24"/>
                <w:szCs w:val="24"/>
              </w:rPr>
              <w:t>1）根据泄漏物质的性质，毒性和特点，确定使用堵塞该污染物的材料，同时修补容器或存储设施的泄露口，以防污染物更多地泄露。</w:t>
            </w:r>
          </w:p>
          <w:p>
            <w:pPr>
              <w:spacing w:line="360" w:lineRule="auto"/>
              <w:ind w:firstLine="480" w:firstLineChars="200"/>
              <w:rPr>
                <w:rFonts w:cs="Times New Roman"/>
                <w:sz w:val="24"/>
                <w:szCs w:val="24"/>
              </w:rPr>
            </w:pPr>
            <w:r>
              <w:rPr>
                <w:rFonts w:cs="Times New Roman"/>
                <w:sz w:val="24"/>
                <w:szCs w:val="24"/>
              </w:rPr>
              <w:t>2）利用能够降低污染物危害的物质撒在泄漏口周围，将泄漏口与外部隔绝开，及时截断污染物外流造成污染。</w:t>
            </w:r>
          </w:p>
          <w:p>
            <w:pPr>
              <w:spacing w:line="360" w:lineRule="auto"/>
              <w:ind w:firstLine="480" w:firstLineChars="200"/>
              <w:rPr>
                <w:rFonts w:cs="Times New Roman"/>
                <w:sz w:val="24"/>
                <w:szCs w:val="24"/>
              </w:rPr>
            </w:pPr>
            <w:r>
              <w:rPr>
                <w:rFonts w:cs="Times New Roman"/>
                <w:sz w:val="24"/>
                <w:szCs w:val="24"/>
              </w:rPr>
              <w:t>3）保持现场通风良好，以免造成现场有毒气体浓度过高，对应急人员构成危险。</w:t>
            </w:r>
          </w:p>
          <w:p>
            <w:pPr>
              <w:spacing w:line="360" w:lineRule="auto"/>
              <w:ind w:firstLine="480" w:firstLineChars="200"/>
              <w:rPr>
                <w:rFonts w:cs="Times New Roman"/>
                <w:sz w:val="24"/>
                <w:szCs w:val="24"/>
              </w:rPr>
            </w:pPr>
            <w:r>
              <w:rPr>
                <w:rFonts w:cs="Times New Roman"/>
                <w:sz w:val="24"/>
                <w:szCs w:val="24"/>
              </w:rPr>
              <w:t>4）疏散人员至安全区，禁止无关人员进入污染区；切断电源、火源；在确保安全情况下堵漏喷水雾可减少蒸发。</w:t>
            </w:r>
          </w:p>
          <w:p>
            <w:pPr>
              <w:spacing w:line="360" w:lineRule="auto"/>
              <w:ind w:firstLine="480" w:firstLineChars="200"/>
              <w:rPr>
                <w:rFonts w:cs="Times New Roman"/>
                <w:sz w:val="24"/>
                <w:szCs w:val="24"/>
              </w:rPr>
            </w:pPr>
            <w:r>
              <w:rPr>
                <w:rFonts w:cs="Times New Roman"/>
                <w:sz w:val="24"/>
                <w:szCs w:val="24"/>
              </w:rPr>
              <w:t>5）少量泄漏时，用吸油棉等吸收后收集于干燥洁净有盖的容器中，运至废物处理场所；大量泄漏时利用围堤收容，然后收集、转移、回收或作无害化处理。</w:t>
            </w:r>
          </w:p>
          <w:p>
            <w:pPr>
              <w:spacing w:line="360" w:lineRule="auto"/>
              <w:ind w:firstLine="480" w:firstLineChars="200"/>
              <w:rPr>
                <w:rFonts w:cs="Times New Roman"/>
                <w:sz w:val="24"/>
                <w:szCs w:val="24"/>
              </w:rPr>
            </w:pPr>
            <w:r>
              <w:rPr>
                <w:rFonts w:cs="Times New Roman"/>
                <w:sz w:val="24"/>
                <w:szCs w:val="24"/>
              </w:rPr>
              <w:t>6）发生火灾后，迅速撤离人员至安全区，用泡沫、二氧化碳、干粉灭火器和沙土灭火。应在上风向灭火，不要用水灭火。</w:t>
            </w:r>
          </w:p>
          <w:p>
            <w:pPr>
              <w:spacing w:line="360" w:lineRule="auto"/>
              <w:ind w:firstLine="480" w:firstLineChars="200"/>
              <w:rPr>
                <w:rFonts w:cs="Times New Roman"/>
                <w:sz w:val="24"/>
                <w:szCs w:val="24"/>
              </w:rPr>
            </w:pPr>
            <w:r>
              <w:rPr>
                <w:rFonts w:cs="Times New Roman"/>
                <w:sz w:val="24"/>
                <w:szCs w:val="24"/>
              </w:rPr>
              <w:t>⑤危废间管理风险应急措施</w:t>
            </w:r>
          </w:p>
          <w:p>
            <w:pPr>
              <w:spacing w:line="360" w:lineRule="auto"/>
              <w:ind w:firstLine="480" w:firstLineChars="200"/>
              <w:rPr>
                <w:rFonts w:cs="Times New Roman"/>
                <w:sz w:val="24"/>
                <w:szCs w:val="24"/>
              </w:rPr>
            </w:pPr>
            <w:r>
              <w:rPr>
                <w:rFonts w:cs="Times New Roman"/>
                <w:sz w:val="24"/>
                <w:szCs w:val="24"/>
              </w:rPr>
              <w:t>1）严格按照《危险废物贮存污染控制标准》（GB18597-2023）的要求设置危险废物暂存间。</w:t>
            </w:r>
          </w:p>
          <w:p>
            <w:pPr>
              <w:spacing w:line="360" w:lineRule="auto"/>
              <w:ind w:firstLine="480" w:firstLineChars="200"/>
              <w:rPr>
                <w:rFonts w:cs="Times New Roman"/>
                <w:sz w:val="24"/>
                <w:szCs w:val="24"/>
              </w:rPr>
            </w:pPr>
            <w:r>
              <w:rPr>
                <w:rFonts w:cs="Times New Roman"/>
                <w:sz w:val="24"/>
                <w:szCs w:val="24"/>
              </w:rPr>
              <w:t>2）发现危废间防渗措施破损后，通知企业相关人员及时进行修补。</w:t>
            </w:r>
          </w:p>
          <w:p>
            <w:pPr>
              <w:spacing w:line="360" w:lineRule="auto"/>
              <w:ind w:firstLine="480" w:firstLineChars="200"/>
              <w:rPr>
                <w:rFonts w:cs="Times New Roman"/>
                <w:sz w:val="24"/>
                <w:szCs w:val="24"/>
              </w:rPr>
            </w:pPr>
            <w:r>
              <w:rPr>
                <w:rFonts w:cs="Times New Roman"/>
                <w:sz w:val="24"/>
                <w:szCs w:val="24"/>
              </w:rPr>
              <w:t>3）储存废机油的容器发生破损后，将泄漏的废机油在防渗托盘内进行收集，并将破损容器内剩余的废机油进行转移，避免出现更大的泄漏。</w:t>
            </w:r>
          </w:p>
          <w:p>
            <w:pPr>
              <w:spacing w:line="360" w:lineRule="auto"/>
              <w:ind w:firstLine="480" w:firstLineChars="200"/>
              <w:rPr>
                <w:rFonts w:cs="Times New Roman"/>
                <w:sz w:val="24"/>
                <w:szCs w:val="24"/>
              </w:rPr>
            </w:pPr>
            <w:r>
              <w:rPr>
                <w:rFonts w:cs="Times New Roman"/>
                <w:sz w:val="24"/>
                <w:szCs w:val="24"/>
              </w:rPr>
              <w:t>⑥火灾应急防范措施</w:t>
            </w:r>
          </w:p>
          <w:p>
            <w:pPr>
              <w:spacing w:line="360" w:lineRule="auto"/>
              <w:ind w:firstLine="480" w:firstLineChars="200"/>
              <w:rPr>
                <w:rFonts w:cs="Times New Roman"/>
                <w:sz w:val="24"/>
                <w:szCs w:val="24"/>
              </w:rPr>
            </w:pPr>
            <w:r>
              <w:rPr>
                <w:rFonts w:cs="Times New Roman"/>
                <w:sz w:val="24"/>
                <w:szCs w:val="24"/>
              </w:rPr>
              <w:t>1）加强企业管理，可有效避免环境风险事故的发生。</w:t>
            </w:r>
          </w:p>
          <w:p>
            <w:pPr>
              <w:spacing w:line="360" w:lineRule="auto"/>
              <w:ind w:firstLine="480" w:firstLineChars="200"/>
              <w:rPr>
                <w:rFonts w:cs="Times New Roman"/>
                <w:sz w:val="24"/>
                <w:szCs w:val="24"/>
              </w:rPr>
            </w:pPr>
            <w:r>
              <w:rPr>
                <w:rFonts w:cs="Times New Roman"/>
                <w:sz w:val="24"/>
                <w:szCs w:val="24"/>
              </w:rPr>
              <w:t>2）成立事故应急小组，建立应急预案，组织训练单位的灾害事故应急救援队伍，配备必要的防护救援器材和设备，指定专人管理，并定期进行检查和维护保养，确保完好。</w:t>
            </w:r>
          </w:p>
          <w:p>
            <w:pPr>
              <w:spacing w:line="360" w:lineRule="auto"/>
              <w:ind w:firstLine="480" w:firstLineChars="200"/>
              <w:rPr>
                <w:rFonts w:cs="Times New Roman"/>
                <w:sz w:val="24"/>
                <w:szCs w:val="24"/>
              </w:rPr>
            </w:pPr>
            <w:r>
              <w:rPr>
                <w:rFonts w:cs="Times New Roman"/>
                <w:sz w:val="24"/>
                <w:szCs w:val="24"/>
              </w:rPr>
              <w:t>3）加强各相关部门之间的联络，一旦出现环境风险事故，可迅速作出反应。</w:t>
            </w:r>
          </w:p>
          <w:p>
            <w:pPr>
              <w:spacing w:line="360" w:lineRule="auto"/>
              <w:ind w:firstLine="480" w:firstLineChars="200"/>
              <w:rPr>
                <w:rFonts w:cs="Times New Roman"/>
                <w:sz w:val="24"/>
                <w:szCs w:val="24"/>
              </w:rPr>
            </w:pPr>
            <w:r>
              <w:rPr>
                <w:rFonts w:cs="Times New Roman"/>
                <w:sz w:val="24"/>
                <w:szCs w:val="24"/>
              </w:rPr>
              <w:t>4）人员培训与演习：应急计划制订以后，平时安排有关人员培训与演习。</w:t>
            </w:r>
          </w:p>
          <w:p>
            <w:pPr>
              <w:spacing w:line="360" w:lineRule="auto"/>
              <w:ind w:firstLine="480" w:firstLineChars="200"/>
              <w:rPr>
                <w:rFonts w:cs="Times New Roman"/>
                <w:sz w:val="24"/>
                <w:szCs w:val="24"/>
              </w:rPr>
            </w:pPr>
            <w:r>
              <w:rPr>
                <w:rFonts w:cs="Times New Roman"/>
                <w:sz w:val="24"/>
                <w:szCs w:val="24"/>
              </w:rPr>
              <w:t>5）配备相关应急设施、设备、器材与材料。</w:t>
            </w:r>
          </w:p>
          <w:p>
            <w:pPr>
              <w:spacing w:line="360" w:lineRule="auto"/>
              <w:ind w:firstLine="480" w:firstLineChars="200"/>
              <w:rPr>
                <w:rFonts w:cs="Times New Roman"/>
                <w:sz w:val="24"/>
                <w:szCs w:val="24"/>
              </w:rPr>
            </w:pPr>
            <w:r>
              <w:rPr>
                <w:rFonts w:cs="Times New Roman"/>
                <w:sz w:val="24"/>
                <w:szCs w:val="24"/>
              </w:rPr>
              <w:t>6）编制环境风险事故应急预案，及时进行修订，并向所在地环境保护主管部门备案。</w:t>
            </w:r>
          </w:p>
          <w:p>
            <w:pPr>
              <w:spacing w:line="360" w:lineRule="auto"/>
              <w:ind w:firstLine="480" w:firstLineChars="200"/>
              <w:rPr>
                <w:rFonts w:cs="Times New Roman"/>
                <w:sz w:val="24"/>
                <w:szCs w:val="24"/>
              </w:rPr>
            </w:pPr>
            <w:r>
              <w:rPr>
                <w:rFonts w:cs="Times New Roman"/>
                <w:sz w:val="24"/>
                <w:szCs w:val="24"/>
              </w:rPr>
              <w:t>综上所述，项目方在采取一定的防范措施后，其生产对外界的风险影响不大，可满足环境风险的要求。</w:t>
            </w:r>
          </w:p>
          <w:p>
            <w:pPr>
              <w:spacing w:line="360" w:lineRule="auto"/>
              <w:ind w:firstLine="482" w:firstLineChars="200"/>
              <w:rPr>
                <w:rFonts w:cs="Times New Roman"/>
                <w:b/>
                <w:bCs/>
                <w:sz w:val="24"/>
                <w:szCs w:val="24"/>
              </w:rPr>
            </w:pPr>
            <w:r>
              <w:rPr>
                <w:rFonts w:cs="Times New Roman"/>
                <w:b/>
                <w:bCs/>
                <w:sz w:val="24"/>
                <w:szCs w:val="24"/>
              </w:rPr>
              <w:t>⑤风险事故应急预案</w:t>
            </w:r>
          </w:p>
          <w:p>
            <w:pPr>
              <w:spacing w:line="360" w:lineRule="auto"/>
              <w:ind w:firstLine="480" w:firstLineChars="200"/>
              <w:rPr>
                <w:rFonts w:cs="Times New Roman"/>
                <w:sz w:val="24"/>
                <w:szCs w:val="24"/>
              </w:rPr>
            </w:pPr>
            <w:r>
              <w:rPr>
                <w:rFonts w:cs="Times New Roman"/>
                <w:sz w:val="24"/>
                <w:szCs w:val="24"/>
              </w:rPr>
              <w:t>为保证企业及人民生命财产安全，防止突发性重大环境事故发生，或在发生事故时能迅速有序地开展救援工作，尽最大努力减少事故的危害和损失。根据《工作场所安全使用化学品规定》和《化学事故应急救援管理办法》的规定，企业必须制定化学事故应急救援预案和实施细则，并组织专业队伍学习和演练，防患于未然，以便应急救援工作的顺利开展。制定应急预案的原则如下：</w:t>
            </w:r>
          </w:p>
          <w:p>
            <w:pPr>
              <w:spacing w:line="360" w:lineRule="auto"/>
              <w:ind w:firstLine="480" w:firstLineChars="200"/>
              <w:rPr>
                <w:rFonts w:cs="Times New Roman"/>
                <w:sz w:val="24"/>
                <w:szCs w:val="24"/>
              </w:rPr>
            </w:pPr>
            <w:r>
              <w:rPr>
                <w:rFonts w:cs="Times New Roman"/>
                <w:sz w:val="24"/>
                <w:szCs w:val="24"/>
              </w:rPr>
              <w:t>1）确定救援组织、队伍和联络方式；</w:t>
            </w:r>
          </w:p>
          <w:p>
            <w:pPr>
              <w:spacing w:line="360" w:lineRule="auto"/>
              <w:ind w:firstLine="480" w:firstLineChars="200"/>
              <w:rPr>
                <w:rFonts w:cs="Times New Roman"/>
                <w:sz w:val="24"/>
                <w:szCs w:val="24"/>
              </w:rPr>
            </w:pPr>
            <w:r>
              <w:rPr>
                <w:rFonts w:cs="Times New Roman"/>
                <w:sz w:val="24"/>
                <w:szCs w:val="24"/>
              </w:rPr>
              <w:t>2）制定事故类型、等级和相应的应急响应程序；</w:t>
            </w:r>
          </w:p>
          <w:p>
            <w:pPr>
              <w:spacing w:line="360" w:lineRule="auto"/>
              <w:ind w:firstLine="480" w:firstLineChars="200"/>
              <w:rPr>
                <w:rFonts w:cs="Times New Roman"/>
                <w:sz w:val="24"/>
                <w:szCs w:val="24"/>
              </w:rPr>
            </w:pPr>
            <w:r>
              <w:rPr>
                <w:rFonts w:cs="Times New Roman"/>
                <w:sz w:val="24"/>
                <w:szCs w:val="24"/>
              </w:rPr>
              <w:t>3）配备必要的救灾防毒器具及防护用品；</w:t>
            </w:r>
          </w:p>
          <w:p>
            <w:pPr>
              <w:spacing w:line="360" w:lineRule="auto"/>
              <w:ind w:firstLine="480" w:firstLineChars="200"/>
              <w:rPr>
                <w:rFonts w:cs="Times New Roman"/>
                <w:sz w:val="24"/>
                <w:szCs w:val="24"/>
              </w:rPr>
            </w:pPr>
            <w:r>
              <w:rPr>
                <w:rFonts w:cs="Times New Roman"/>
                <w:sz w:val="24"/>
                <w:szCs w:val="24"/>
              </w:rPr>
              <w:t>4）对生产系统制定应急状态切断终止或自动报警连锁保护程序；</w:t>
            </w:r>
          </w:p>
          <w:p>
            <w:pPr>
              <w:spacing w:line="360" w:lineRule="auto"/>
              <w:ind w:firstLine="480" w:firstLineChars="200"/>
              <w:rPr>
                <w:rFonts w:cs="Times New Roman"/>
                <w:sz w:val="24"/>
                <w:szCs w:val="24"/>
              </w:rPr>
            </w:pPr>
            <w:r>
              <w:rPr>
                <w:rFonts w:cs="Times New Roman"/>
                <w:sz w:val="24"/>
                <w:szCs w:val="24"/>
              </w:rPr>
              <w:t>5）岗位培训和演习，设置事故应急学习手册及报告、记录和评估；</w:t>
            </w:r>
          </w:p>
          <w:p>
            <w:pPr>
              <w:spacing w:line="360" w:lineRule="auto"/>
              <w:ind w:firstLine="480" w:firstLineChars="200"/>
              <w:rPr>
                <w:rFonts w:cs="Times New Roman"/>
                <w:sz w:val="24"/>
                <w:szCs w:val="24"/>
              </w:rPr>
            </w:pPr>
            <w:r>
              <w:rPr>
                <w:rFonts w:cs="Times New Roman"/>
                <w:sz w:val="24"/>
                <w:szCs w:val="24"/>
              </w:rPr>
              <w:t>6）制定区域防灾救援方案，厂外受影响人群的疏散、撤离方案，与当地政府、消防、环保和医疗救助等部门加强联系，以便风险事故发生时得到及时救援。</w:t>
            </w:r>
          </w:p>
          <w:p>
            <w:pPr>
              <w:spacing w:line="360" w:lineRule="auto"/>
              <w:ind w:firstLine="480" w:firstLineChars="200"/>
              <w:rPr>
                <w:rFonts w:cs="Times New Roman"/>
                <w:sz w:val="24"/>
                <w:szCs w:val="24"/>
              </w:rPr>
            </w:pPr>
            <w:r>
              <w:rPr>
                <w:rFonts w:cs="Times New Roman"/>
                <w:sz w:val="24"/>
                <w:szCs w:val="24"/>
              </w:rPr>
              <w:t>企业在制定环境风险应急预案时，还应包括表4-29所示内容。</w:t>
            </w:r>
          </w:p>
          <w:p>
            <w:pPr>
              <w:spacing w:line="360" w:lineRule="auto"/>
              <w:jc w:val="center"/>
              <w:rPr>
                <w:rFonts w:cs="Times New Roman"/>
                <w:b/>
                <w:bCs/>
                <w:sz w:val="24"/>
                <w:szCs w:val="24"/>
              </w:rPr>
            </w:pPr>
            <w:r>
              <w:rPr>
                <w:rFonts w:cs="Times New Roman"/>
                <w:b/>
                <w:bCs/>
                <w:sz w:val="24"/>
                <w:szCs w:val="24"/>
              </w:rPr>
              <w:t>表4-29  应急预案内容</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6"/>
              <w:gridCol w:w="2280"/>
              <w:gridCol w:w="5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b/>
                      <w:szCs w:val="21"/>
                    </w:rPr>
                  </w:pPr>
                  <w:r>
                    <w:rPr>
                      <w:rFonts w:cs="Times New Roman"/>
                      <w:b/>
                      <w:szCs w:val="21"/>
                    </w:rPr>
                    <w:t>序号</w:t>
                  </w:r>
                </w:p>
              </w:tc>
              <w:tc>
                <w:tcPr>
                  <w:tcW w:w="1314" w:type="pct"/>
                  <w:tcBorders>
                    <w:tl2br w:val="nil"/>
                    <w:tr2bl w:val="nil"/>
                  </w:tcBorders>
                  <w:vAlign w:val="center"/>
                </w:tcPr>
                <w:p>
                  <w:pPr>
                    <w:jc w:val="center"/>
                    <w:rPr>
                      <w:rFonts w:cs="Times New Roman"/>
                      <w:b/>
                      <w:szCs w:val="21"/>
                    </w:rPr>
                  </w:pPr>
                  <w:r>
                    <w:rPr>
                      <w:rFonts w:cs="Times New Roman"/>
                      <w:b/>
                      <w:szCs w:val="21"/>
                    </w:rPr>
                    <w:t>项目</w:t>
                  </w:r>
                </w:p>
              </w:tc>
              <w:tc>
                <w:tcPr>
                  <w:tcW w:w="3289" w:type="pct"/>
                  <w:tcBorders>
                    <w:tl2br w:val="nil"/>
                    <w:tr2bl w:val="nil"/>
                  </w:tcBorders>
                  <w:vAlign w:val="center"/>
                </w:tcPr>
                <w:p>
                  <w:pPr>
                    <w:jc w:val="center"/>
                    <w:rPr>
                      <w:rFonts w:cs="Times New Roman"/>
                      <w:b/>
                      <w:szCs w:val="21"/>
                    </w:rPr>
                  </w:pPr>
                  <w:r>
                    <w:rPr>
                      <w:rFonts w:cs="Times New Roman"/>
                      <w:b/>
                      <w:szCs w:val="21"/>
                    </w:rPr>
                    <w:t>内容及要求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1</w:t>
                  </w:r>
                </w:p>
              </w:tc>
              <w:tc>
                <w:tcPr>
                  <w:tcW w:w="1314" w:type="pct"/>
                  <w:tcBorders>
                    <w:tl2br w:val="nil"/>
                    <w:tr2bl w:val="nil"/>
                  </w:tcBorders>
                  <w:vAlign w:val="center"/>
                </w:tcPr>
                <w:p>
                  <w:pPr>
                    <w:rPr>
                      <w:rFonts w:cs="Times New Roman"/>
                      <w:szCs w:val="21"/>
                    </w:rPr>
                  </w:pPr>
                  <w:r>
                    <w:rPr>
                      <w:rFonts w:cs="Times New Roman"/>
                      <w:szCs w:val="21"/>
                    </w:rPr>
                    <w:t>应急计划区</w:t>
                  </w:r>
                </w:p>
              </w:tc>
              <w:tc>
                <w:tcPr>
                  <w:tcW w:w="3289" w:type="pct"/>
                  <w:tcBorders>
                    <w:tl2br w:val="nil"/>
                    <w:tr2bl w:val="nil"/>
                  </w:tcBorders>
                  <w:vAlign w:val="center"/>
                </w:tcPr>
                <w:p>
                  <w:pPr>
                    <w:rPr>
                      <w:rFonts w:cs="Times New Roman"/>
                      <w:szCs w:val="21"/>
                    </w:rPr>
                  </w:pPr>
                  <w:r>
                    <w:rPr>
                      <w:rFonts w:cs="Times New Roman"/>
                      <w:szCs w:val="21"/>
                    </w:rPr>
                    <w:t>危险目标：危废暂存间、危化品暂存间、环境保护目标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2</w:t>
                  </w:r>
                </w:p>
              </w:tc>
              <w:tc>
                <w:tcPr>
                  <w:tcW w:w="1314" w:type="pct"/>
                  <w:tcBorders>
                    <w:tl2br w:val="nil"/>
                    <w:tr2bl w:val="nil"/>
                  </w:tcBorders>
                  <w:vAlign w:val="center"/>
                </w:tcPr>
                <w:p>
                  <w:pPr>
                    <w:rPr>
                      <w:rFonts w:cs="Times New Roman"/>
                      <w:szCs w:val="21"/>
                    </w:rPr>
                  </w:pPr>
                  <w:r>
                    <w:rPr>
                      <w:rFonts w:cs="Times New Roman"/>
                      <w:szCs w:val="21"/>
                    </w:rPr>
                    <w:t>应急组织机构、人员</w:t>
                  </w:r>
                </w:p>
              </w:tc>
              <w:tc>
                <w:tcPr>
                  <w:tcW w:w="3289" w:type="pct"/>
                  <w:tcBorders>
                    <w:tl2br w:val="nil"/>
                    <w:tr2bl w:val="nil"/>
                  </w:tcBorders>
                  <w:vAlign w:val="center"/>
                </w:tcPr>
                <w:p>
                  <w:pPr>
                    <w:rPr>
                      <w:rFonts w:cs="Times New Roman"/>
                      <w:szCs w:val="21"/>
                    </w:rPr>
                  </w:pPr>
                  <w:r>
                    <w:rPr>
                      <w:rFonts w:cs="Times New Roman"/>
                      <w:szCs w:val="21"/>
                    </w:rPr>
                    <w:t>工厂、地区应急组织机构、人员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3</w:t>
                  </w:r>
                </w:p>
              </w:tc>
              <w:tc>
                <w:tcPr>
                  <w:tcW w:w="1314" w:type="pct"/>
                  <w:tcBorders>
                    <w:tl2br w:val="nil"/>
                    <w:tr2bl w:val="nil"/>
                  </w:tcBorders>
                  <w:vAlign w:val="center"/>
                </w:tcPr>
                <w:p>
                  <w:pPr>
                    <w:rPr>
                      <w:rFonts w:cs="Times New Roman"/>
                      <w:szCs w:val="21"/>
                    </w:rPr>
                  </w:pPr>
                  <w:r>
                    <w:rPr>
                      <w:rFonts w:cs="Times New Roman"/>
                      <w:szCs w:val="21"/>
                    </w:rPr>
                    <w:t>预案分级响应条件</w:t>
                  </w:r>
                </w:p>
              </w:tc>
              <w:tc>
                <w:tcPr>
                  <w:tcW w:w="3289" w:type="pct"/>
                  <w:tcBorders>
                    <w:tl2br w:val="nil"/>
                    <w:tr2bl w:val="nil"/>
                  </w:tcBorders>
                  <w:vAlign w:val="center"/>
                </w:tcPr>
                <w:p>
                  <w:pPr>
                    <w:rPr>
                      <w:rFonts w:cs="Times New Roman"/>
                      <w:szCs w:val="21"/>
                    </w:rPr>
                  </w:pPr>
                  <w:r>
                    <w:rPr>
                      <w:rFonts w:cs="Times New Roman"/>
                      <w:szCs w:val="21"/>
                    </w:rPr>
                    <w:t>规定预案的级别及分级响应程序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4</w:t>
                  </w:r>
                </w:p>
              </w:tc>
              <w:tc>
                <w:tcPr>
                  <w:tcW w:w="1314" w:type="pct"/>
                  <w:tcBorders>
                    <w:tl2br w:val="nil"/>
                    <w:tr2bl w:val="nil"/>
                  </w:tcBorders>
                  <w:vAlign w:val="center"/>
                </w:tcPr>
                <w:p>
                  <w:pPr>
                    <w:rPr>
                      <w:rFonts w:cs="Times New Roman"/>
                      <w:szCs w:val="21"/>
                    </w:rPr>
                  </w:pPr>
                  <w:r>
                    <w:rPr>
                      <w:rFonts w:cs="Times New Roman"/>
                      <w:szCs w:val="21"/>
                    </w:rPr>
                    <w:t>应急救援保障</w:t>
                  </w:r>
                </w:p>
              </w:tc>
              <w:tc>
                <w:tcPr>
                  <w:tcW w:w="3289" w:type="pct"/>
                  <w:tcBorders>
                    <w:tl2br w:val="nil"/>
                    <w:tr2bl w:val="nil"/>
                  </w:tcBorders>
                  <w:vAlign w:val="center"/>
                </w:tcPr>
                <w:p>
                  <w:pPr>
                    <w:rPr>
                      <w:rFonts w:cs="Times New Roman"/>
                      <w:szCs w:val="21"/>
                    </w:rPr>
                  </w:pPr>
                  <w:r>
                    <w:rPr>
                      <w:rFonts w:cs="Times New Roman"/>
                      <w:szCs w:val="21"/>
                    </w:rPr>
                    <w:t>应急设施、设备及器材等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5</w:t>
                  </w:r>
                </w:p>
              </w:tc>
              <w:tc>
                <w:tcPr>
                  <w:tcW w:w="1314" w:type="pct"/>
                  <w:tcBorders>
                    <w:tl2br w:val="nil"/>
                    <w:tr2bl w:val="nil"/>
                  </w:tcBorders>
                  <w:vAlign w:val="center"/>
                </w:tcPr>
                <w:p>
                  <w:pPr>
                    <w:rPr>
                      <w:rFonts w:cs="Times New Roman"/>
                      <w:szCs w:val="21"/>
                    </w:rPr>
                  </w:pPr>
                  <w:r>
                    <w:rPr>
                      <w:rFonts w:cs="Times New Roman"/>
                      <w:szCs w:val="21"/>
                    </w:rPr>
                    <w:t>报警、通讯联络方式</w:t>
                  </w:r>
                </w:p>
              </w:tc>
              <w:tc>
                <w:tcPr>
                  <w:tcW w:w="3289" w:type="pct"/>
                  <w:tcBorders>
                    <w:tl2br w:val="nil"/>
                    <w:tr2bl w:val="nil"/>
                  </w:tcBorders>
                  <w:vAlign w:val="center"/>
                </w:tcPr>
                <w:p>
                  <w:pPr>
                    <w:rPr>
                      <w:rFonts w:cs="Times New Roman"/>
                      <w:szCs w:val="21"/>
                    </w:rPr>
                  </w:pPr>
                  <w:r>
                    <w:rPr>
                      <w:rFonts w:cs="Times New Roman"/>
                      <w:szCs w:val="21"/>
                    </w:rPr>
                    <w:t>规定应急状态下的报警通讯方式、通知方式和交通保障、管制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6</w:t>
                  </w:r>
                </w:p>
              </w:tc>
              <w:tc>
                <w:tcPr>
                  <w:tcW w:w="1314" w:type="pct"/>
                  <w:tcBorders>
                    <w:tl2br w:val="nil"/>
                    <w:tr2bl w:val="nil"/>
                  </w:tcBorders>
                  <w:vAlign w:val="center"/>
                </w:tcPr>
                <w:p>
                  <w:pPr>
                    <w:rPr>
                      <w:rFonts w:cs="Times New Roman"/>
                      <w:szCs w:val="21"/>
                    </w:rPr>
                  </w:pPr>
                  <w:r>
                    <w:rPr>
                      <w:rFonts w:cs="Times New Roman"/>
                      <w:szCs w:val="21"/>
                    </w:rPr>
                    <w:t>应急环境监测、抢险、救援及控制措施</w:t>
                  </w:r>
                </w:p>
              </w:tc>
              <w:tc>
                <w:tcPr>
                  <w:tcW w:w="3289" w:type="pct"/>
                  <w:tcBorders>
                    <w:tl2br w:val="nil"/>
                    <w:tr2bl w:val="nil"/>
                  </w:tcBorders>
                  <w:vAlign w:val="center"/>
                </w:tcPr>
                <w:p>
                  <w:pPr>
                    <w:rPr>
                      <w:rFonts w:cs="Times New Roman"/>
                      <w:szCs w:val="21"/>
                    </w:rPr>
                  </w:pPr>
                  <w:r>
                    <w:rPr>
                      <w:rFonts w:cs="Times New Roman"/>
                      <w:szCs w:val="21"/>
                    </w:rPr>
                    <w:t>由专业队伍负责对事故现场进行侦察监测，对事故性质、参数与后果进行评估，为指挥部门提供决策依据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7</w:t>
                  </w:r>
                </w:p>
              </w:tc>
              <w:tc>
                <w:tcPr>
                  <w:tcW w:w="1314" w:type="pct"/>
                  <w:tcBorders>
                    <w:tl2br w:val="nil"/>
                    <w:tr2bl w:val="nil"/>
                  </w:tcBorders>
                  <w:vAlign w:val="center"/>
                </w:tcPr>
                <w:p>
                  <w:pPr>
                    <w:rPr>
                      <w:rFonts w:cs="Times New Roman"/>
                      <w:szCs w:val="21"/>
                    </w:rPr>
                  </w:pPr>
                  <w:r>
                    <w:rPr>
                      <w:rFonts w:cs="Times New Roman"/>
                      <w:szCs w:val="21"/>
                    </w:rPr>
                    <w:t>应急检测、防护措施、清除泄漏措施和器材</w:t>
                  </w:r>
                </w:p>
              </w:tc>
              <w:tc>
                <w:tcPr>
                  <w:tcW w:w="3289" w:type="pct"/>
                  <w:tcBorders>
                    <w:tl2br w:val="nil"/>
                    <w:tr2bl w:val="nil"/>
                  </w:tcBorders>
                  <w:vAlign w:val="center"/>
                </w:tcPr>
                <w:p>
                  <w:pPr>
                    <w:rPr>
                      <w:rFonts w:cs="Times New Roman"/>
                      <w:szCs w:val="21"/>
                    </w:rPr>
                  </w:pPr>
                  <w:r>
                    <w:rPr>
                      <w:rFonts w:cs="Times New Roman"/>
                      <w:szCs w:val="21"/>
                    </w:rPr>
                    <w:t>事故现场、邻近区域、控制防火区域，控制和清除污染措施及相应设备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8</w:t>
                  </w:r>
                </w:p>
              </w:tc>
              <w:tc>
                <w:tcPr>
                  <w:tcW w:w="1314" w:type="pct"/>
                  <w:tcBorders>
                    <w:tl2br w:val="nil"/>
                    <w:tr2bl w:val="nil"/>
                  </w:tcBorders>
                  <w:vAlign w:val="center"/>
                </w:tcPr>
                <w:p>
                  <w:pPr>
                    <w:rPr>
                      <w:rFonts w:cs="Times New Roman"/>
                      <w:szCs w:val="21"/>
                    </w:rPr>
                  </w:pPr>
                  <w:r>
                    <w:rPr>
                      <w:rFonts w:cs="Times New Roman"/>
                      <w:szCs w:val="21"/>
                    </w:rPr>
                    <w:t>人员紧急撤离、疏散、应急剂量控制、撤离组织计划</w:t>
                  </w:r>
                </w:p>
              </w:tc>
              <w:tc>
                <w:tcPr>
                  <w:tcW w:w="3289" w:type="pct"/>
                  <w:tcBorders>
                    <w:tl2br w:val="nil"/>
                    <w:tr2bl w:val="nil"/>
                  </w:tcBorders>
                  <w:vAlign w:val="center"/>
                </w:tcPr>
                <w:p>
                  <w:pPr>
                    <w:rPr>
                      <w:rFonts w:cs="Times New Roman"/>
                      <w:szCs w:val="21"/>
                    </w:rPr>
                  </w:pPr>
                  <w:r>
                    <w:rPr>
                      <w:rFonts w:cs="Times New Roman"/>
                      <w:szCs w:val="21"/>
                    </w:rPr>
                    <w:t>事故现场、工厂临近区、受事故影响的区域人员及公众对毒物应急剂量控制规定，撤离组织计划及救护，医疗救护与公众健康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9</w:t>
                  </w:r>
                </w:p>
              </w:tc>
              <w:tc>
                <w:tcPr>
                  <w:tcW w:w="1314" w:type="pct"/>
                  <w:tcBorders>
                    <w:tl2br w:val="nil"/>
                    <w:tr2bl w:val="nil"/>
                  </w:tcBorders>
                  <w:vAlign w:val="center"/>
                </w:tcPr>
                <w:p>
                  <w:pPr>
                    <w:rPr>
                      <w:rFonts w:cs="Times New Roman"/>
                      <w:szCs w:val="21"/>
                    </w:rPr>
                  </w:pPr>
                  <w:r>
                    <w:rPr>
                      <w:rFonts w:cs="Times New Roman"/>
                      <w:szCs w:val="21"/>
                    </w:rPr>
                    <w:t>事故应急救援关闭程序与恢复措施</w:t>
                  </w:r>
                </w:p>
              </w:tc>
              <w:tc>
                <w:tcPr>
                  <w:tcW w:w="3289" w:type="pct"/>
                  <w:tcBorders>
                    <w:tl2br w:val="nil"/>
                    <w:tr2bl w:val="nil"/>
                  </w:tcBorders>
                  <w:vAlign w:val="center"/>
                </w:tcPr>
                <w:p>
                  <w:pPr>
                    <w:rPr>
                      <w:rFonts w:cs="Times New Roman"/>
                      <w:szCs w:val="21"/>
                    </w:rPr>
                  </w:pPr>
                  <w:r>
                    <w:rPr>
                      <w:rFonts w:cs="Times New Roman"/>
                      <w:szCs w:val="21"/>
                    </w:rPr>
                    <w:t>规定应急状态终止程序；事故现场善后处理，恢复措施；邻近区域解除事故警戒及善后恢复措施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10</w:t>
                  </w:r>
                </w:p>
              </w:tc>
              <w:tc>
                <w:tcPr>
                  <w:tcW w:w="1314" w:type="pct"/>
                  <w:tcBorders>
                    <w:tl2br w:val="nil"/>
                    <w:tr2bl w:val="nil"/>
                  </w:tcBorders>
                  <w:vAlign w:val="center"/>
                </w:tcPr>
                <w:p>
                  <w:pPr>
                    <w:rPr>
                      <w:rFonts w:cs="Times New Roman"/>
                      <w:szCs w:val="21"/>
                    </w:rPr>
                  </w:pPr>
                  <w:r>
                    <w:rPr>
                      <w:rFonts w:cs="Times New Roman"/>
                      <w:szCs w:val="21"/>
                    </w:rPr>
                    <w:t>应急培训计划</w:t>
                  </w:r>
                </w:p>
              </w:tc>
              <w:tc>
                <w:tcPr>
                  <w:tcW w:w="3289" w:type="pct"/>
                  <w:tcBorders>
                    <w:tl2br w:val="nil"/>
                    <w:tr2bl w:val="nil"/>
                  </w:tcBorders>
                  <w:vAlign w:val="center"/>
                </w:tcPr>
                <w:p>
                  <w:pPr>
                    <w:rPr>
                      <w:rFonts w:cs="Times New Roman"/>
                      <w:szCs w:val="21"/>
                    </w:rPr>
                  </w:pPr>
                  <w:r>
                    <w:rPr>
                      <w:rFonts w:cs="Times New Roman"/>
                      <w:szCs w:val="21"/>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pct"/>
                  <w:tcBorders>
                    <w:tl2br w:val="nil"/>
                    <w:tr2bl w:val="nil"/>
                  </w:tcBorders>
                  <w:vAlign w:val="center"/>
                </w:tcPr>
                <w:p>
                  <w:pPr>
                    <w:jc w:val="center"/>
                    <w:rPr>
                      <w:rFonts w:cs="Times New Roman"/>
                      <w:szCs w:val="21"/>
                    </w:rPr>
                  </w:pPr>
                  <w:r>
                    <w:rPr>
                      <w:rFonts w:cs="Times New Roman"/>
                      <w:szCs w:val="21"/>
                    </w:rPr>
                    <w:t>11</w:t>
                  </w:r>
                </w:p>
              </w:tc>
              <w:tc>
                <w:tcPr>
                  <w:tcW w:w="1314" w:type="pct"/>
                  <w:tcBorders>
                    <w:tl2br w:val="nil"/>
                    <w:tr2bl w:val="nil"/>
                  </w:tcBorders>
                  <w:vAlign w:val="center"/>
                </w:tcPr>
                <w:p>
                  <w:pPr>
                    <w:rPr>
                      <w:rFonts w:cs="Times New Roman"/>
                      <w:szCs w:val="21"/>
                    </w:rPr>
                  </w:pPr>
                  <w:r>
                    <w:rPr>
                      <w:rFonts w:cs="Times New Roman"/>
                      <w:szCs w:val="21"/>
                    </w:rPr>
                    <w:t>公众教育和信息</w:t>
                  </w:r>
                </w:p>
              </w:tc>
              <w:tc>
                <w:tcPr>
                  <w:tcW w:w="3289" w:type="pct"/>
                  <w:tcBorders>
                    <w:tl2br w:val="nil"/>
                    <w:tr2bl w:val="nil"/>
                  </w:tcBorders>
                  <w:vAlign w:val="center"/>
                </w:tcPr>
                <w:p>
                  <w:pPr>
                    <w:rPr>
                      <w:rFonts w:cs="Times New Roman"/>
                      <w:szCs w:val="21"/>
                    </w:rPr>
                  </w:pPr>
                  <w:r>
                    <w:rPr>
                      <w:rFonts w:cs="Times New Roman"/>
                      <w:szCs w:val="21"/>
                    </w:rPr>
                    <w:t>对工厂邻近地区展开公众教育、培训和发布有关信息</w:t>
                  </w:r>
                </w:p>
              </w:tc>
            </w:tr>
          </w:tbl>
          <w:p>
            <w:pPr>
              <w:spacing w:line="360" w:lineRule="auto"/>
              <w:ind w:firstLine="361" w:firstLineChars="150"/>
              <w:rPr>
                <w:rFonts w:cs="Times New Roman"/>
                <w:b/>
                <w:sz w:val="24"/>
                <w:szCs w:val="24"/>
              </w:rPr>
            </w:pPr>
            <w:r>
              <w:rPr>
                <w:rFonts w:cs="Times New Roman"/>
                <w:b/>
                <w:sz w:val="24"/>
                <w:szCs w:val="24"/>
              </w:rPr>
              <w:t>（7）环境风险分析结论</w:t>
            </w:r>
          </w:p>
          <w:p>
            <w:pPr>
              <w:spacing w:line="360" w:lineRule="auto"/>
              <w:ind w:firstLine="480" w:firstLineChars="200"/>
              <w:rPr>
                <w:rFonts w:cs="Times New Roman"/>
                <w:sz w:val="24"/>
                <w:szCs w:val="24"/>
              </w:rPr>
            </w:pPr>
            <w:r>
              <w:rPr>
                <w:rFonts w:cs="Times New Roman"/>
                <w:sz w:val="24"/>
                <w:szCs w:val="24"/>
              </w:rPr>
              <w:t>本项目环境风险简单分析内容见表4-30。</w:t>
            </w:r>
          </w:p>
          <w:p>
            <w:pPr>
              <w:spacing w:line="360" w:lineRule="auto"/>
              <w:jc w:val="center"/>
              <w:rPr>
                <w:rFonts w:cs="Times New Roman"/>
                <w:b/>
                <w:bCs/>
                <w:sz w:val="24"/>
                <w:szCs w:val="24"/>
                <w:highlight w:val="yellow"/>
              </w:rPr>
            </w:pPr>
            <w:r>
              <w:rPr>
                <w:rFonts w:cs="Times New Roman"/>
                <w:b/>
                <w:bCs/>
                <w:sz w:val="24"/>
                <w:szCs w:val="24"/>
              </w:rPr>
              <w:t>表4-30  建设项目环境风险简单分析内容表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67"/>
              <w:gridCol w:w="1452"/>
              <w:gridCol w:w="1700"/>
              <w:gridCol w:w="1575"/>
              <w:gridCol w:w="1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jc w:val="center"/>
                    <w:rPr>
                      <w:rFonts w:cs="Times New Roman"/>
                      <w:szCs w:val="21"/>
                    </w:rPr>
                  </w:pPr>
                  <w:r>
                    <w:rPr>
                      <w:rFonts w:cs="Times New Roman"/>
                      <w:szCs w:val="21"/>
                    </w:rPr>
                    <w:t>建设项目名称</w:t>
                  </w:r>
                </w:p>
              </w:tc>
              <w:tc>
                <w:tcPr>
                  <w:tcW w:w="3634" w:type="pct"/>
                  <w:gridSpan w:val="4"/>
                  <w:tcBorders>
                    <w:tl2br w:val="nil"/>
                    <w:tr2bl w:val="nil"/>
                  </w:tcBorders>
                  <w:vAlign w:val="center"/>
                </w:tcPr>
                <w:p>
                  <w:pPr>
                    <w:jc w:val="center"/>
                    <w:rPr>
                      <w:rFonts w:cs="Times New Roman"/>
                      <w:szCs w:val="21"/>
                    </w:rPr>
                  </w:pPr>
                  <w:r>
                    <w:rPr>
                      <w:rFonts w:cs="Times New Roman"/>
                      <w:szCs w:val="21"/>
                    </w:rPr>
                    <w:t>年产1.4亿平米玻纤湿法毡生产线技改项目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jc w:val="center"/>
                    <w:rPr>
                      <w:rFonts w:cs="Times New Roman"/>
                      <w:szCs w:val="21"/>
                    </w:rPr>
                  </w:pPr>
                  <w:r>
                    <w:rPr>
                      <w:rFonts w:cs="Times New Roman"/>
                      <w:szCs w:val="21"/>
                    </w:rPr>
                    <w:t>建设地点</w:t>
                  </w:r>
                </w:p>
              </w:tc>
              <w:tc>
                <w:tcPr>
                  <w:tcW w:w="837" w:type="pct"/>
                  <w:tcBorders>
                    <w:tl2br w:val="nil"/>
                    <w:tr2bl w:val="nil"/>
                  </w:tcBorders>
                  <w:vAlign w:val="center"/>
                </w:tcPr>
                <w:p>
                  <w:pPr>
                    <w:jc w:val="center"/>
                    <w:rPr>
                      <w:rFonts w:cs="Times New Roman"/>
                      <w:szCs w:val="21"/>
                    </w:rPr>
                  </w:pPr>
                  <w:r>
                    <w:rPr>
                      <w:rFonts w:cs="Times New Roman"/>
                      <w:szCs w:val="21"/>
                    </w:rPr>
                    <w:t>四川省</w:t>
                  </w:r>
                </w:p>
              </w:tc>
              <w:tc>
                <w:tcPr>
                  <w:tcW w:w="980" w:type="pct"/>
                  <w:tcBorders>
                    <w:tl2br w:val="nil"/>
                    <w:tr2bl w:val="nil"/>
                  </w:tcBorders>
                  <w:vAlign w:val="center"/>
                </w:tcPr>
                <w:p>
                  <w:pPr>
                    <w:jc w:val="center"/>
                    <w:rPr>
                      <w:rFonts w:cs="Times New Roman"/>
                      <w:szCs w:val="21"/>
                    </w:rPr>
                  </w:pPr>
                  <w:r>
                    <w:rPr>
                      <w:rFonts w:cs="Times New Roman"/>
                      <w:szCs w:val="21"/>
                    </w:rPr>
                    <w:t>达州市</w:t>
                  </w:r>
                </w:p>
              </w:tc>
              <w:tc>
                <w:tcPr>
                  <w:tcW w:w="908" w:type="pct"/>
                  <w:tcBorders>
                    <w:tl2br w:val="nil"/>
                    <w:tr2bl w:val="nil"/>
                  </w:tcBorders>
                  <w:vAlign w:val="center"/>
                </w:tcPr>
                <w:p>
                  <w:pPr>
                    <w:jc w:val="center"/>
                    <w:rPr>
                      <w:rFonts w:cs="Times New Roman"/>
                      <w:szCs w:val="21"/>
                    </w:rPr>
                  </w:pPr>
                  <w:r>
                    <w:rPr>
                      <w:rFonts w:cs="Times New Roman"/>
                      <w:szCs w:val="21"/>
                    </w:rPr>
                    <w:t>宣汉县</w:t>
                  </w:r>
                </w:p>
              </w:tc>
              <w:tc>
                <w:tcPr>
                  <w:tcW w:w="907" w:type="pct"/>
                  <w:tcBorders>
                    <w:tl2br w:val="nil"/>
                    <w:tr2bl w:val="nil"/>
                  </w:tcBorders>
                  <w:vAlign w:val="center"/>
                </w:tcPr>
                <w:p>
                  <w:pPr>
                    <w:jc w:val="center"/>
                    <w:rPr>
                      <w:rFonts w:cs="Times New Roman"/>
                      <w:szCs w:val="21"/>
                    </w:rPr>
                  </w:pPr>
                  <w:r>
                    <w:rPr>
                      <w:rFonts w:cs="Times New Roman"/>
                      <w:szCs w:val="21"/>
                    </w:rPr>
                    <w:t>普光柳池工业园区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jc w:val="center"/>
                    <w:rPr>
                      <w:rFonts w:cs="Times New Roman"/>
                      <w:szCs w:val="21"/>
                    </w:rPr>
                  </w:pPr>
                  <w:r>
                    <w:rPr>
                      <w:rFonts w:cs="Times New Roman"/>
                      <w:szCs w:val="21"/>
                    </w:rPr>
                    <w:t>地理坐标</w:t>
                  </w:r>
                </w:p>
              </w:tc>
              <w:tc>
                <w:tcPr>
                  <w:tcW w:w="837" w:type="pct"/>
                  <w:tcBorders>
                    <w:tl2br w:val="nil"/>
                    <w:tr2bl w:val="nil"/>
                  </w:tcBorders>
                  <w:vAlign w:val="center"/>
                </w:tcPr>
                <w:p>
                  <w:pPr>
                    <w:jc w:val="center"/>
                    <w:rPr>
                      <w:rFonts w:cs="Times New Roman"/>
                      <w:szCs w:val="21"/>
                    </w:rPr>
                  </w:pPr>
                  <w:r>
                    <w:rPr>
                      <w:rFonts w:cs="Times New Roman"/>
                      <w:szCs w:val="21"/>
                    </w:rPr>
                    <w:t>经度</w:t>
                  </w:r>
                </w:p>
              </w:tc>
              <w:tc>
                <w:tcPr>
                  <w:tcW w:w="980" w:type="pct"/>
                  <w:tcBorders>
                    <w:tl2br w:val="nil"/>
                    <w:tr2bl w:val="nil"/>
                  </w:tcBorders>
                  <w:vAlign w:val="center"/>
                </w:tcPr>
                <w:p>
                  <w:pPr>
                    <w:jc w:val="center"/>
                    <w:rPr>
                      <w:rFonts w:cs="Times New Roman"/>
                      <w:szCs w:val="21"/>
                    </w:rPr>
                  </w:pPr>
                  <w:r>
                    <w:rPr>
                      <w:rFonts w:cs="Times New Roman"/>
                      <w:szCs w:val="21"/>
                    </w:rPr>
                    <w:t>107°41′25.000″</w:t>
                  </w:r>
                </w:p>
              </w:tc>
              <w:tc>
                <w:tcPr>
                  <w:tcW w:w="908" w:type="pct"/>
                  <w:tcBorders>
                    <w:tl2br w:val="nil"/>
                    <w:tr2bl w:val="nil"/>
                  </w:tcBorders>
                  <w:vAlign w:val="center"/>
                </w:tcPr>
                <w:p>
                  <w:pPr>
                    <w:jc w:val="center"/>
                    <w:rPr>
                      <w:rFonts w:cs="Times New Roman"/>
                      <w:szCs w:val="21"/>
                    </w:rPr>
                  </w:pPr>
                  <w:r>
                    <w:rPr>
                      <w:rFonts w:cs="Times New Roman"/>
                      <w:szCs w:val="21"/>
                    </w:rPr>
                    <w:t>纬度</w:t>
                  </w:r>
                </w:p>
              </w:tc>
              <w:tc>
                <w:tcPr>
                  <w:tcW w:w="907" w:type="pct"/>
                  <w:tcBorders>
                    <w:tl2br w:val="nil"/>
                    <w:tr2bl w:val="nil"/>
                  </w:tcBorders>
                  <w:vAlign w:val="center"/>
                </w:tcPr>
                <w:p>
                  <w:pPr>
                    <w:jc w:val="center"/>
                    <w:rPr>
                      <w:rFonts w:cs="Times New Roman"/>
                      <w:szCs w:val="21"/>
                    </w:rPr>
                  </w:pPr>
                  <w:r>
                    <w:rPr>
                      <w:rFonts w:cs="Times New Roman"/>
                      <w:szCs w:val="21"/>
                    </w:rPr>
                    <w:t>31°25′50.370″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jc w:val="center"/>
                    <w:rPr>
                      <w:rFonts w:cs="Times New Roman"/>
                      <w:szCs w:val="21"/>
                    </w:rPr>
                  </w:pPr>
                  <w:r>
                    <w:rPr>
                      <w:rFonts w:cs="Times New Roman"/>
                      <w:szCs w:val="21"/>
                    </w:rPr>
                    <w:t>主要危险物质及分布</w:t>
                  </w:r>
                </w:p>
              </w:tc>
              <w:tc>
                <w:tcPr>
                  <w:tcW w:w="3634" w:type="pct"/>
                  <w:gridSpan w:val="4"/>
                  <w:tcBorders>
                    <w:tl2br w:val="nil"/>
                    <w:tr2bl w:val="nil"/>
                  </w:tcBorders>
                  <w:vAlign w:val="center"/>
                </w:tcPr>
                <w:p>
                  <w:pPr>
                    <w:rPr>
                      <w:rFonts w:cs="Times New Roman"/>
                      <w:szCs w:val="21"/>
                    </w:rPr>
                  </w:pPr>
                  <w:r>
                    <w:rPr>
                      <w:rFonts w:cs="Times New Roman"/>
                      <w:szCs w:val="21"/>
                    </w:rPr>
                    <w:t>危废暂存间：废机油</w:t>
                  </w:r>
                </w:p>
                <w:p>
                  <w:pPr>
                    <w:rPr>
                      <w:rFonts w:cs="Times New Roman"/>
                      <w:szCs w:val="21"/>
                    </w:rPr>
                  </w:pPr>
                  <w:r>
                    <w:rPr>
                      <w:rFonts w:cs="Times New Roman"/>
                      <w:szCs w:val="21"/>
                    </w:rPr>
                    <w:t>危化品暂存间：水性功能乳液、环保型脲醛</w:t>
                  </w:r>
                  <w:r>
                    <w:rPr>
                      <w:rFonts w:hint="eastAsia" w:cs="Times New Roman"/>
                      <w:szCs w:val="21"/>
                      <w:lang w:val="en-US" w:eastAsia="zh-CN"/>
                    </w:rPr>
                    <w:t>胶</w:t>
                  </w:r>
                  <w:r>
                    <w:rPr>
                      <w:rFonts w:cs="Times New Roman"/>
                      <w:szCs w:val="21"/>
                    </w:rPr>
                    <w:t>（含甲醛）、消泡剂等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jc w:val="center"/>
                    <w:rPr>
                      <w:rFonts w:cs="Times New Roman"/>
                      <w:szCs w:val="21"/>
                    </w:rPr>
                  </w:pPr>
                  <w:r>
                    <w:rPr>
                      <w:rFonts w:cs="Times New Roman"/>
                      <w:szCs w:val="21"/>
                    </w:rPr>
                    <w:t>环境影响途径及危害后果</w:t>
                  </w:r>
                </w:p>
                <w:p>
                  <w:pPr>
                    <w:jc w:val="center"/>
                    <w:rPr>
                      <w:rFonts w:cs="Times New Roman"/>
                      <w:szCs w:val="21"/>
                    </w:rPr>
                  </w:pPr>
                  <w:r>
                    <w:rPr>
                      <w:rFonts w:cs="Times New Roman"/>
                      <w:szCs w:val="21"/>
                    </w:rPr>
                    <w:t>（大气、地表水、地下水等）</w:t>
                  </w:r>
                </w:p>
              </w:tc>
              <w:tc>
                <w:tcPr>
                  <w:tcW w:w="3634" w:type="pct"/>
                  <w:gridSpan w:val="4"/>
                  <w:tcBorders>
                    <w:tl2br w:val="nil"/>
                    <w:tr2bl w:val="nil"/>
                  </w:tcBorders>
                  <w:vAlign w:val="center"/>
                </w:tcPr>
                <w:p>
                  <w:pPr>
                    <w:rPr>
                      <w:rFonts w:cs="Times New Roman"/>
                      <w:szCs w:val="21"/>
                    </w:rPr>
                  </w:pPr>
                  <w:r>
                    <w:rPr>
                      <w:rFonts w:cs="Times New Roman"/>
                      <w:szCs w:val="21"/>
                    </w:rPr>
                    <w:t>大气环境：废气处理设施发生故障导致废气直接排放时，会影响项目周边的大气环境质量；废机油泄漏有害物质挥发进入大气环境；</w:t>
                  </w:r>
                </w:p>
                <w:p>
                  <w:pPr>
                    <w:rPr>
                      <w:rFonts w:cs="Times New Roman"/>
                      <w:szCs w:val="21"/>
                    </w:rPr>
                  </w:pPr>
                  <w:r>
                    <w:rPr>
                      <w:rFonts w:cs="Times New Roman"/>
                      <w:szCs w:val="21"/>
                    </w:rPr>
                    <w:t>地表水环境：废机油、危化品等泄漏通过地表径流或雨水管道进入地表水环境，火灾消防过程废水通过地表径流或雨水沟渠排入地表水环境；</w:t>
                  </w:r>
                </w:p>
                <w:p>
                  <w:pPr>
                    <w:rPr>
                      <w:rFonts w:cs="Times New Roman"/>
                      <w:szCs w:val="21"/>
                    </w:rPr>
                  </w:pPr>
                  <w:r>
                    <w:rPr>
                      <w:rFonts w:cs="Times New Roman"/>
                      <w:szCs w:val="21"/>
                    </w:rPr>
                    <w:t>地下水环境或土壤环境：废机油、危化品等泄漏通过垂直渗透进入地下水环境或土壤环境。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65" w:type="pct"/>
                  <w:tcBorders>
                    <w:tl2br w:val="nil"/>
                    <w:tr2bl w:val="nil"/>
                  </w:tcBorders>
                  <w:vAlign w:val="center"/>
                </w:tcPr>
                <w:p>
                  <w:pPr>
                    <w:jc w:val="center"/>
                    <w:rPr>
                      <w:rFonts w:cs="Times New Roman"/>
                      <w:szCs w:val="21"/>
                    </w:rPr>
                  </w:pPr>
                  <w:r>
                    <w:rPr>
                      <w:rFonts w:cs="Times New Roman"/>
                      <w:szCs w:val="21"/>
                    </w:rPr>
                    <w:t>风险防范措施要求</w:t>
                  </w:r>
                </w:p>
              </w:tc>
              <w:tc>
                <w:tcPr>
                  <w:tcW w:w="3634" w:type="pct"/>
                  <w:gridSpan w:val="4"/>
                  <w:tcBorders>
                    <w:tl2br w:val="nil"/>
                    <w:tr2bl w:val="nil"/>
                  </w:tcBorders>
                  <w:vAlign w:val="center"/>
                </w:tcPr>
                <w:p>
                  <w:pPr>
                    <w:rPr>
                      <w:rFonts w:cs="Times New Roman"/>
                      <w:szCs w:val="21"/>
                    </w:rPr>
                  </w:pPr>
                  <w:r>
                    <w:rPr>
                      <w:rFonts w:cs="Times New Roman"/>
                      <w:szCs w:val="21"/>
                    </w:rPr>
                    <w:t>①项目环保方面的负责部门对废气处理装置定期巡查；</w:t>
                  </w:r>
                </w:p>
                <w:p>
                  <w:pPr>
                    <w:rPr>
                      <w:rFonts w:cs="Times New Roman"/>
                      <w:szCs w:val="21"/>
                    </w:rPr>
                  </w:pPr>
                  <w:r>
                    <w:rPr>
                      <w:rFonts w:cs="Times New Roman"/>
                      <w:szCs w:val="21"/>
                    </w:rPr>
                    <w:t>②危废暂存间、危化品暂存间做好地面防渗、防漏措施，设置围堰，设置备用收容设施；</w:t>
                  </w:r>
                </w:p>
                <w:p>
                  <w:pPr>
                    <w:rPr>
                      <w:rFonts w:cs="Times New Roman"/>
                      <w:szCs w:val="21"/>
                    </w:rPr>
                  </w:pPr>
                  <w:r>
                    <w:rPr>
                      <w:rFonts w:cs="Times New Roman"/>
                      <w:szCs w:val="21"/>
                    </w:rPr>
                    <w:t>③设置警示标识，配备相应数量灭火器，开展员工安全培训；加强污染防治设施管理和维护；专人管理，定期培训、定期巡查；</w:t>
                  </w:r>
                </w:p>
                <w:p>
                  <w:pPr>
                    <w:rPr>
                      <w:rFonts w:cs="Times New Roman"/>
                      <w:szCs w:val="21"/>
                    </w:rPr>
                  </w:pPr>
                  <w:r>
                    <w:rPr>
                      <w:rFonts w:cs="Times New Roman"/>
                      <w:szCs w:val="21"/>
                    </w:rPr>
                    <w:t>④严格执行环评及相关法律法规要求，制定环境风险应急预案。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pPr>
                    <w:rPr>
                      <w:rFonts w:cs="Times New Roman"/>
                      <w:szCs w:val="21"/>
                    </w:rPr>
                  </w:pPr>
                  <w:r>
                    <w:rPr>
                      <w:rFonts w:cs="Times New Roman"/>
                      <w:szCs w:val="21"/>
                    </w:rPr>
                    <w:t>填表说明（列出项目相关信息及评价说明）：</w:t>
                  </w:r>
                </w:p>
                <w:p>
                  <w:pPr>
                    <w:ind w:firstLine="420" w:firstLineChars="200"/>
                    <w:rPr>
                      <w:rFonts w:cs="Times New Roman"/>
                      <w:szCs w:val="21"/>
                    </w:rPr>
                  </w:pPr>
                  <w:r>
                    <w:rPr>
                      <w:rFonts w:cs="Times New Roman"/>
                      <w:szCs w:val="21"/>
                    </w:rPr>
                    <w:t>本项目环境风险潜势为I，评价等级为简单分析，在落实环评提出的风险防范措施后，环境风险可控。</w:t>
                  </w:r>
                </w:p>
              </w:tc>
            </w:tr>
          </w:tbl>
          <w:p>
            <w:pPr>
              <w:spacing w:line="360" w:lineRule="auto"/>
              <w:ind w:firstLine="480"/>
              <w:rPr>
                <w:rFonts w:cs="Times New Roman"/>
                <w:sz w:val="24"/>
                <w:szCs w:val="24"/>
              </w:rPr>
            </w:pPr>
            <w:r>
              <w:rPr>
                <w:rFonts w:cs="Times New Roman"/>
                <w:sz w:val="24"/>
                <w:szCs w:val="24"/>
              </w:rPr>
              <w:t>综上所述，本项目环境风险潜势为I，营运期落实本报告提出的各项措施、建立和落实各项风险预警防范措施和事故应急计划，杜绝重大安全事故和重大环境污染事故的发生，可使项目建成后风险水平处于可接受程度。</w:t>
            </w:r>
          </w:p>
          <w:p>
            <w:pPr>
              <w:spacing w:line="360" w:lineRule="auto"/>
              <w:ind w:firstLine="480"/>
              <w:rPr>
                <w:rFonts w:cs="Times New Roman"/>
                <w:b/>
                <w:bCs/>
                <w:sz w:val="24"/>
                <w:szCs w:val="24"/>
              </w:rPr>
            </w:pPr>
            <w:r>
              <w:rPr>
                <w:rFonts w:cs="Times New Roman"/>
                <w:b/>
                <w:bCs/>
                <w:sz w:val="24"/>
                <w:szCs w:val="24"/>
              </w:rPr>
              <w:t>7、项目改扩建前后“三本账”分析</w:t>
            </w:r>
          </w:p>
          <w:p>
            <w:pPr>
              <w:spacing w:line="360" w:lineRule="auto"/>
              <w:ind w:firstLine="480"/>
              <w:rPr>
                <w:rFonts w:cs="Times New Roman"/>
                <w:sz w:val="24"/>
                <w:szCs w:val="24"/>
              </w:rPr>
            </w:pPr>
            <w:r>
              <w:rPr>
                <w:rFonts w:cs="Times New Roman"/>
                <w:sz w:val="24"/>
                <w:szCs w:val="24"/>
              </w:rPr>
              <w:t>本项目改扩建前后污染物排放“三本帐”比较见表 4-31。</w:t>
            </w:r>
          </w:p>
          <w:p>
            <w:pPr>
              <w:spacing w:line="360" w:lineRule="auto"/>
              <w:jc w:val="center"/>
              <w:rPr>
                <w:rFonts w:cs="Times New Roman"/>
                <w:b/>
                <w:bCs/>
                <w:sz w:val="24"/>
                <w:szCs w:val="24"/>
              </w:rPr>
            </w:pPr>
          </w:p>
          <w:p>
            <w:pPr>
              <w:spacing w:line="360" w:lineRule="auto"/>
              <w:jc w:val="center"/>
              <w:rPr>
                <w:rFonts w:cs="Times New Roman"/>
                <w:b/>
                <w:bCs/>
                <w:sz w:val="24"/>
                <w:szCs w:val="24"/>
              </w:rPr>
            </w:pPr>
          </w:p>
          <w:p>
            <w:pPr>
              <w:spacing w:line="360" w:lineRule="auto"/>
              <w:jc w:val="center"/>
              <w:rPr>
                <w:rFonts w:cs="Times New Roman"/>
                <w:b/>
                <w:bCs/>
                <w:sz w:val="24"/>
                <w:szCs w:val="24"/>
              </w:rPr>
            </w:pPr>
          </w:p>
          <w:p>
            <w:pPr>
              <w:spacing w:line="360" w:lineRule="auto"/>
              <w:jc w:val="center"/>
              <w:rPr>
                <w:rFonts w:cs="Times New Roman"/>
                <w:b/>
                <w:bCs/>
                <w:sz w:val="24"/>
                <w:szCs w:val="24"/>
              </w:rPr>
            </w:pPr>
            <w:r>
              <w:rPr>
                <w:rFonts w:cs="Times New Roman"/>
                <w:b/>
                <w:bCs/>
                <w:sz w:val="24"/>
                <w:szCs w:val="24"/>
              </w:rPr>
              <w:t>表4-31 改扩建“三本账”计算表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71"/>
              <w:gridCol w:w="1347"/>
              <w:gridCol w:w="1331"/>
              <w:gridCol w:w="1083"/>
              <w:gridCol w:w="1261"/>
              <w:gridCol w:w="1397"/>
              <w:gridCol w:w="1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87" w:type="pct"/>
                  <w:tcBorders>
                    <w:tl2br w:val="nil"/>
                    <w:tr2bl w:val="nil"/>
                  </w:tcBorders>
                  <w:vAlign w:val="center"/>
                </w:tcPr>
                <w:p>
                  <w:pPr>
                    <w:jc w:val="center"/>
                    <w:rPr>
                      <w:rFonts w:cs="Times New Roman"/>
                      <w:b/>
                      <w:bCs/>
                      <w:szCs w:val="21"/>
                    </w:rPr>
                  </w:pPr>
                  <w:r>
                    <w:rPr>
                      <w:rFonts w:cs="Times New Roman"/>
                      <w:b/>
                      <w:bCs/>
                      <w:szCs w:val="21"/>
                    </w:rPr>
                    <w:t>类别</w:t>
                  </w:r>
                </w:p>
              </w:tc>
              <w:tc>
                <w:tcPr>
                  <w:tcW w:w="776" w:type="pct"/>
                  <w:tcBorders>
                    <w:tl2br w:val="nil"/>
                    <w:tr2bl w:val="nil"/>
                  </w:tcBorders>
                  <w:vAlign w:val="center"/>
                </w:tcPr>
                <w:p>
                  <w:pPr>
                    <w:jc w:val="center"/>
                    <w:rPr>
                      <w:rFonts w:cs="Times New Roman"/>
                      <w:b/>
                      <w:bCs/>
                      <w:szCs w:val="21"/>
                    </w:rPr>
                  </w:pPr>
                  <w:r>
                    <w:rPr>
                      <w:rFonts w:cs="Times New Roman"/>
                      <w:b/>
                      <w:bCs/>
                      <w:szCs w:val="21"/>
                    </w:rPr>
                    <w:t>污染物</w:t>
                  </w:r>
                </w:p>
              </w:tc>
              <w:tc>
                <w:tcPr>
                  <w:tcW w:w="767" w:type="pct"/>
                  <w:tcBorders>
                    <w:tl2br w:val="nil"/>
                    <w:tr2bl w:val="nil"/>
                  </w:tcBorders>
                  <w:vAlign w:val="center"/>
                </w:tcPr>
                <w:p>
                  <w:pPr>
                    <w:jc w:val="center"/>
                    <w:rPr>
                      <w:rFonts w:cs="Times New Roman"/>
                      <w:b/>
                      <w:bCs/>
                      <w:szCs w:val="21"/>
                    </w:rPr>
                  </w:pPr>
                  <w:r>
                    <w:rPr>
                      <w:rFonts w:cs="Times New Roman"/>
                      <w:b/>
                      <w:bCs/>
                      <w:szCs w:val="21"/>
                    </w:rPr>
                    <w:t>原项目污染物排放量（t/a）</w:t>
                  </w:r>
                  <w:r>
                    <w:rPr>
                      <w:rFonts w:cs="Times New Roman"/>
                      <w:b/>
                      <w:bCs/>
                      <w:szCs w:val="21"/>
                      <w:vertAlign w:val="superscript"/>
                    </w:rPr>
                    <w:t>[1]</w:t>
                  </w:r>
                </w:p>
              </w:tc>
              <w:tc>
                <w:tcPr>
                  <w:tcW w:w="624" w:type="pct"/>
                  <w:tcBorders>
                    <w:tl2br w:val="nil"/>
                    <w:tr2bl w:val="nil"/>
                  </w:tcBorders>
                  <w:vAlign w:val="center"/>
                </w:tcPr>
                <w:p>
                  <w:pPr>
                    <w:jc w:val="center"/>
                    <w:rPr>
                      <w:rFonts w:cs="Times New Roman"/>
                      <w:b/>
                      <w:bCs/>
                      <w:szCs w:val="21"/>
                    </w:rPr>
                  </w:pPr>
                  <w:r>
                    <w:rPr>
                      <w:rFonts w:cs="Times New Roman"/>
                      <w:b/>
                      <w:bCs/>
                      <w:szCs w:val="21"/>
                    </w:rPr>
                    <w:t>本项目新增污染物排放量</w:t>
                  </w:r>
                  <w:r>
                    <w:rPr>
                      <w:rFonts w:cs="Times New Roman"/>
                      <w:b/>
                      <w:bCs/>
                      <w:szCs w:val="21"/>
                      <w:vertAlign w:val="superscript"/>
                    </w:rPr>
                    <w:t>[2]</w:t>
                  </w:r>
                </w:p>
              </w:tc>
              <w:tc>
                <w:tcPr>
                  <w:tcW w:w="727" w:type="pct"/>
                  <w:tcBorders>
                    <w:tl2br w:val="nil"/>
                    <w:tr2bl w:val="nil"/>
                  </w:tcBorders>
                  <w:vAlign w:val="center"/>
                </w:tcPr>
                <w:p>
                  <w:pPr>
                    <w:jc w:val="center"/>
                    <w:rPr>
                      <w:rFonts w:cs="Times New Roman"/>
                      <w:b/>
                      <w:bCs/>
                      <w:szCs w:val="21"/>
                    </w:rPr>
                  </w:pPr>
                  <w:r>
                    <w:rPr>
                      <w:rFonts w:cs="Times New Roman"/>
                      <w:b/>
                      <w:bCs/>
                      <w:szCs w:val="21"/>
                    </w:rPr>
                    <w:t>“以新带老”削减量（t/a）</w:t>
                  </w:r>
                  <w:r>
                    <w:rPr>
                      <w:rFonts w:cs="Times New Roman"/>
                      <w:b/>
                      <w:bCs/>
                      <w:szCs w:val="21"/>
                      <w:vertAlign w:val="superscript"/>
                    </w:rPr>
                    <w:t>[3]</w:t>
                  </w:r>
                </w:p>
              </w:tc>
              <w:tc>
                <w:tcPr>
                  <w:tcW w:w="805" w:type="pct"/>
                  <w:tcBorders>
                    <w:tl2br w:val="nil"/>
                    <w:tr2bl w:val="nil"/>
                  </w:tcBorders>
                  <w:vAlign w:val="center"/>
                </w:tcPr>
                <w:p>
                  <w:pPr>
                    <w:jc w:val="center"/>
                    <w:rPr>
                      <w:rFonts w:cs="Times New Roman"/>
                      <w:b/>
                      <w:bCs/>
                      <w:szCs w:val="21"/>
                    </w:rPr>
                  </w:pPr>
                  <w:r>
                    <w:rPr>
                      <w:rFonts w:cs="Times New Roman"/>
                      <w:b/>
                      <w:bCs/>
                      <w:szCs w:val="21"/>
                    </w:rPr>
                    <w:t>改扩建后总排放量（t/a）</w:t>
                  </w:r>
                  <w:r>
                    <w:rPr>
                      <w:rFonts w:cs="Times New Roman"/>
                      <w:b/>
                      <w:bCs/>
                      <w:szCs w:val="21"/>
                      <w:vertAlign w:val="superscript"/>
                    </w:rPr>
                    <w:t>[4]</w:t>
                  </w:r>
                </w:p>
              </w:tc>
              <w:tc>
                <w:tcPr>
                  <w:tcW w:w="910" w:type="pct"/>
                  <w:tcBorders>
                    <w:tl2br w:val="nil"/>
                    <w:tr2bl w:val="nil"/>
                  </w:tcBorders>
                  <w:vAlign w:val="center"/>
                </w:tcPr>
                <w:p>
                  <w:pPr>
                    <w:jc w:val="center"/>
                    <w:rPr>
                      <w:rFonts w:cs="Times New Roman"/>
                      <w:b/>
                      <w:bCs/>
                      <w:szCs w:val="21"/>
                    </w:rPr>
                  </w:pPr>
                  <w:r>
                    <w:rPr>
                      <w:rFonts w:cs="Times New Roman"/>
                      <w:b/>
                      <w:bCs/>
                      <w:szCs w:val="21"/>
                    </w:rPr>
                    <w:t>污染物增减量变化情况（t/a）</w:t>
                  </w:r>
                  <w:r>
                    <w:rPr>
                      <w:rFonts w:cs="Times New Roman"/>
                      <w:b/>
                      <w:bCs/>
                      <w:szCs w:val="21"/>
                      <w:vertAlign w:val="superscript"/>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87" w:type="pct"/>
                  <w:vMerge w:val="restart"/>
                  <w:tcBorders>
                    <w:tl2br w:val="nil"/>
                    <w:tr2bl w:val="nil"/>
                  </w:tcBorders>
                  <w:vAlign w:val="center"/>
                </w:tcPr>
                <w:p>
                  <w:pPr>
                    <w:jc w:val="center"/>
                    <w:rPr>
                      <w:rFonts w:cs="Times New Roman"/>
                      <w:szCs w:val="21"/>
                    </w:rPr>
                  </w:pPr>
                  <w:r>
                    <w:rPr>
                      <w:rFonts w:cs="Times New Roman"/>
                      <w:szCs w:val="21"/>
                    </w:rPr>
                    <w:t>废气</w:t>
                  </w:r>
                </w:p>
              </w:tc>
              <w:tc>
                <w:tcPr>
                  <w:tcW w:w="776" w:type="pct"/>
                  <w:tcBorders>
                    <w:tl2br w:val="nil"/>
                    <w:tr2bl w:val="nil"/>
                  </w:tcBorders>
                  <w:vAlign w:val="center"/>
                </w:tcPr>
                <w:p>
                  <w:pPr>
                    <w:jc w:val="center"/>
                    <w:rPr>
                      <w:rFonts w:cs="Times New Roman"/>
                      <w:szCs w:val="21"/>
                    </w:rPr>
                  </w:pPr>
                  <w:r>
                    <w:rPr>
                      <w:rFonts w:cs="Times New Roman"/>
                      <w:szCs w:val="21"/>
                    </w:rPr>
                    <w:t>颗粒物</w:t>
                  </w:r>
                </w:p>
              </w:tc>
              <w:tc>
                <w:tcPr>
                  <w:tcW w:w="767" w:type="pct"/>
                  <w:tcBorders>
                    <w:tl2br w:val="nil"/>
                    <w:tr2bl w:val="nil"/>
                  </w:tcBorders>
                  <w:vAlign w:val="center"/>
                </w:tcPr>
                <w:p>
                  <w:pPr>
                    <w:jc w:val="center"/>
                    <w:rPr>
                      <w:rFonts w:cs="Times New Roman"/>
                      <w:szCs w:val="21"/>
                    </w:rPr>
                  </w:pPr>
                  <w:r>
                    <w:rPr>
                      <w:rFonts w:cs="Times New Roman"/>
                      <w:szCs w:val="21"/>
                      <w:lang w:bidi="ar"/>
                    </w:rPr>
                    <w:t>0.0821</w:t>
                  </w:r>
                </w:p>
              </w:tc>
              <w:tc>
                <w:tcPr>
                  <w:tcW w:w="108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0.3</w:t>
                  </w:r>
                  <w:r>
                    <w:rPr>
                      <w:rFonts w:hint="eastAsia" w:cs="Times New Roman"/>
                      <w:color w:val="000000" w:themeColor="text1"/>
                      <w:szCs w:val="21"/>
                      <w:lang w:val="en-US" w:eastAsia="zh-CN"/>
                      <w14:textFill>
                        <w14:solidFill>
                          <w14:schemeClr w14:val="tx1"/>
                        </w14:solidFill>
                      </w14:textFill>
                    </w:rPr>
                    <w:t>62</w:t>
                  </w:r>
                </w:p>
              </w:tc>
              <w:tc>
                <w:tcPr>
                  <w:tcW w:w="72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39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0.4441</w:t>
                  </w:r>
                </w:p>
              </w:tc>
              <w:tc>
                <w:tcPr>
                  <w:tcW w:w="910" w:type="pct"/>
                  <w:tcBorders>
                    <w:tl2br w:val="nil"/>
                    <w:tr2bl w:val="nil"/>
                  </w:tcBorders>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jc w:val="center"/>
                    <w:rPr>
                      <w:rFonts w:cs="Times New Roman"/>
                      <w:szCs w:val="21"/>
                    </w:rPr>
                  </w:pPr>
                  <w:r>
                    <w:rPr>
                      <w:rFonts w:cs="Times New Roman"/>
                      <w:szCs w:val="21"/>
                    </w:rPr>
                    <w:t>甲醛</w:t>
                  </w:r>
                </w:p>
              </w:tc>
              <w:tc>
                <w:tcPr>
                  <w:tcW w:w="767" w:type="pct"/>
                  <w:tcBorders>
                    <w:tl2br w:val="nil"/>
                    <w:tr2bl w:val="nil"/>
                  </w:tcBorders>
                  <w:vAlign w:val="center"/>
                </w:tcPr>
                <w:p>
                  <w:pPr>
                    <w:widowControl/>
                    <w:jc w:val="center"/>
                    <w:textAlignment w:val="center"/>
                    <w:rPr>
                      <w:rFonts w:cs="Times New Roman"/>
                      <w:szCs w:val="21"/>
                    </w:rPr>
                  </w:pPr>
                  <w:r>
                    <w:rPr>
                      <w:rFonts w:cs="Times New Roman"/>
                      <w:szCs w:val="21"/>
                    </w:rPr>
                    <w:t>0</w:t>
                  </w:r>
                </w:p>
              </w:tc>
              <w:tc>
                <w:tcPr>
                  <w:tcW w:w="108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w:t>
                  </w:r>
                  <w:r>
                    <w:rPr>
                      <w:rFonts w:hint="eastAsia" w:cs="Times New Roman"/>
                      <w:color w:val="000000" w:themeColor="text1"/>
                      <w:szCs w:val="21"/>
                      <w:lang w:val="en-US" w:eastAsia="zh-CN"/>
                      <w14:textFill>
                        <w14:solidFill>
                          <w14:schemeClr w14:val="tx1"/>
                        </w14:solidFill>
                      </w14:textFill>
                    </w:rPr>
                    <w:t>66</w:t>
                  </w:r>
                </w:p>
              </w:tc>
              <w:tc>
                <w:tcPr>
                  <w:tcW w:w="72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397" w:type="dxa"/>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0.9</w:t>
                  </w:r>
                  <w:r>
                    <w:rPr>
                      <w:rFonts w:hint="eastAsia" w:cs="Times New Roman"/>
                      <w:color w:val="000000" w:themeColor="text1"/>
                      <w:szCs w:val="21"/>
                      <w:lang w:val="en-US" w:eastAsia="zh-CN"/>
                      <w14:textFill>
                        <w14:solidFill>
                          <w14:schemeClr w14:val="tx1"/>
                        </w14:solidFill>
                      </w14:textFill>
                    </w:rPr>
                    <w:t>96</w:t>
                  </w:r>
                </w:p>
              </w:tc>
              <w:tc>
                <w:tcPr>
                  <w:tcW w:w="910" w:type="pct"/>
                  <w:tcBorders>
                    <w:tl2br w:val="nil"/>
                    <w:tr2bl w:val="nil"/>
                  </w:tcBorders>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+0.997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jc w:val="center"/>
                    <w:rPr>
                      <w:rFonts w:cs="Times New Roman"/>
                      <w:szCs w:val="21"/>
                    </w:rPr>
                  </w:pPr>
                  <w:r>
                    <w:rPr>
                      <w:rFonts w:cs="Times New Roman"/>
                      <w:szCs w:val="21"/>
                    </w:rPr>
                    <w:t>VOCs</w:t>
                  </w:r>
                </w:p>
              </w:tc>
              <w:tc>
                <w:tcPr>
                  <w:tcW w:w="767" w:type="pct"/>
                  <w:tcBorders>
                    <w:tl2br w:val="nil"/>
                    <w:tr2bl w:val="nil"/>
                  </w:tcBorders>
                  <w:vAlign w:val="center"/>
                </w:tcPr>
                <w:p>
                  <w:pPr>
                    <w:widowControl/>
                    <w:jc w:val="center"/>
                    <w:textAlignment w:val="center"/>
                    <w:rPr>
                      <w:rFonts w:cs="Times New Roman"/>
                      <w:szCs w:val="21"/>
                    </w:rPr>
                  </w:pPr>
                  <w:r>
                    <w:rPr>
                      <w:rFonts w:cs="Times New Roman"/>
                      <w:szCs w:val="21"/>
                      <w:lang w:bidi="ar"/>
                    </w:rPr>
                    <w:t>0.0035</w:t>
                  </w:r>
                </w:p>
              </w:tc>
              <w:tc>
                <w:tcPr>
                  <w:tcW w:w="108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0.013</w:t>
                  </w:r>
                </w:p>
              </w:tc>
              <w:tc>
                <w:tcPr>
                  <w:tcW w:w="72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397"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0.0165</w:t>
                  </w:r>
                </w:p>
              </w:tc>
              <w:tc>
                <w:tcPr>
                  <w:tcW w:w="910" w:type="pct"/>
                  <w:tcBorders>
                    <w:tl2br w:val="nil"/>
                    <w:tr2bl w:val="nil"/>
                  </w:tcBorders>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+0.013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jc w:val="center"/>
                    <w:rPr>
                      <w:rFonts w:cs="Times New Roman"/>
                      <w:szCs w:val="21"/>
                    </w:rPr>
                  </w:pPr>
                  <w:r>
                    <w:rPr>
                      <w:rFonts w:cs="Times New Roman"/>
                      <w:szCs w:val="21"/>
                    </w:rPr>
                    <w:t>氨</w:t>
                  </w:r>
                </w:p>
              </w:tc>
              <w:tc>
                <w:tcPr>
                  <w:tcW w:w="767" w:type="pct"/>
                  <w:tcBorders>
                    <w:tl2br w:val="nil"/>
                    <w:tr2bl w:val="nil"/>
                  </w:tcBorders>
                  <w:vAlign w:val="center"/>
                </w:tcPr>
                <w:p>
                  <w:pPr>
                    <w:widowControl/>
                    <w:jc w:val="center"/>
                    <w:textAlignment w:val="center"/>
                    <w:rPr>
                      <w:rFonts w:cs="Times New Roman"/>
                      <w:szCs w:val="21"/>
                    </w:rPr>
                  </w:pPr>
                  <w:r>
                    <w:rPr>
                      <w:rFonts w:cs="Times New Roman"/>
                      <w:szCs w:val="21"/>
                    </w:rPr>
                    <w:t>0</w:t>
                  </w:r>
                </w:p>
              </w:tc>
              <w:tc>
                <w:tcPr>
                  <w:tcW w:w="108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0.14</w:t>
                  </w:r>
                  <w:r>
                    <w:rPr>
                      <w:rFonts w:hint="eastAsia" w:cs="Times New Roman"/>
                      <w:color w:val="000000" w:themeColor="text1"/>
                      <w:szCs w:val="21"/>
                      <w:lang w:val="en-US" w:eastAsia="zh-CN"/>
                      <w14:textFill>
                        <w14:solidFill>
                          <w14:schemeClr w14:val="tx1"/>
                        </w14:solidFill>
                      </w14:textFill>
                    </w:rPr>
                    <w:t>7</w:t>
                  </w:r>
                </w:p>
              </w:tc>
              <w:tc>
                <w:tcPr>
                  <w:tcW w:w="72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397" w:type="dxa"/>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0.14</w:t>
                  </w:r>
                  <w:r>
                    <w:rPr>
                      <w:rFonts w:hint="eastAsia" w:cs="Times New Roman"/>
                      <w:color w:val="000000" w:themeColor="text1"/>
                      <w:szCs w:val="21"/>
                      <w:lang w:val="en-US" w:eastAsia="zh-CN"/>
                      <w14:textFill>
                        <w14:solidFill>
                          <w14:schemeClr w14:val="tx1"/>
                        </w14:solidFill>
                      </w14:textFill>
                    </w:rPr>
                    <w:t>7</w:t>
                  </w:r>
                </w:p>
              </w:tc>
              <w:tc>
                <w:tcPr>
                  <w:tcW w:w="910" w:type="pct"/>
                  <w:tcBorders>
                    <w:tl2br w:val="nil"/>
                    <w:tr2bl w:val="nil"/>
                  </w:tcBorders>
                  <w:vAlign w:val="center"/>
                </w:tcPr>
                <w:p>
                  <w:pPr>
                    <w:jc w:val="center"/>
                    <w:rPr>
                      <w:rFonts w:hint="eastAsia" w:eastAsia="宋体" w:cs="Times New Roman"/>
                      <w:color w:val="000000" w:themeColor="text1"/>
                      <w:szCs w:val="21"/>
                      <w:lang w:val="en-US" w:eastAsia="zh-CN" w:bidi="ar"/>
                      <w14:textFill>
                        <w14:solidFill>
                          <w14:schemeClr w14:val="tx1"/>
                        </w14:solidFill>
                      </w14:textFill>
                    </w:rPr>
                  </w:pPr>
                  <w:r>
                    <w:rPr>
                      <w:rFonts w:cs="Times New Roman"/>
                      <w:color w:val="000000" w:themeColor="text1"/>
                      <w:szCs w:val="21"/>
                      <w:lang w:bidi="ar"/>
                      <w14:textFill>
                        <w14:solidFill>
                          <w14:schemeClr w14:val="tx1"/>
                        </w14:solidFill>
                      </w14:textFill>
                    </w:rPr>
                    <w:t>+0.14</w:t>
                  </w:r>
                  <w:r>
                    <w:rPr>
                      <w:rFonts w:hint="eastAsia" w:cs="Times New Roman"/>
                      <w:color w:val="000000" w:themeColor="text1"/>
                      <w:szCs w:val="21"/>
                      <w:lang w:val="en-US" w:eastAsia="zh-CN" w:bidi="ar"/>
                      <w14:textFill>
                        <w14:solidFill>
                          <w14:schemeClr w14:val="tx1"/>
                        </w14:solidFill>
                      </w14:textFill>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767" w:type="pct"/>
                  <w:tcBorders>
                    <w:tl2br w:val="nil"/>
                    <w:tr2bl w:val="nil"/>
                  </w:tcBorders>
                  <w:vAlign w:val="center"/>
                </w:tcPr>
                <w:p>
                  <w:pPr>
                    <w:jc w:val="center"/>
                    <w:rPr>
                      <w:rFonts w:cs="Times New Roman"/>
                      <w:szCs w:val="21"/>
                    </w:rPr>
                  </w:pPr>
                  <w:r>
                    <w:rPr>
                      <w:rFonts w:cs="Times New Roman"/>
                      <w:szCs w:val="21"/>
                      <w:lang w:bidi="ar"/>
                    </w:rPr>
                    <w:t>0.0264</w:t>
                  </w:r>
                </w:p>
              </w:tc>
              <w:tc>
                <w:tcPr>
                  <w:tcW w:w="108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0.103</w:t>
                  </w:r>
                </w:p>
              </w:tc>
              <w:tc>
                <w:tcPr>
                  <w:tcW w:w="72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397"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0.1294</w:t>
                  </w:r>
                </w:p>
              </w:tc>
              <w:tc>
                <w:tcPr>
                  <w:tcW w:w="910" w:type="pct"/>
                  <w:tcBorders>
                    <w:tl2br w:val="nil"/>
                    <w:tr2bl w:val="nil"/>
                  </w:tcBorders>
                  <w:vAlign w:val="center"/>
                </w:tcPr>
                <w:p>
                  <w:pPr>
                    <w:jc w:val="center"/>
                    <w:rPr>
                      <w:rFonts w:hint="default" w:eastAsia="宋体" w:cs="Times New Roman"/>
                      <w:color w:val="000000" w:themeColor="text1"/>
                      <w:szCs w:val="21"/>
                      <w:lang w:val="en-US" w:eastAsia="zh-CN" w:bidi="ar"/>
                      <w14:textFill>
                        <w14:solidFill>
                          <w14:schemeClr w14:val="tx1"/>
                        </w14:solidFill>
                      </w14:textFill>
                    </w:rPr>
                  </w:pPr>
                  <w:r>
                    <w:rPr>
                      <w:rFonts w:cs="Times New Roman"/>
                      <w:color w:val="000000" w:themeColor="text1"/>
                      <w:szCs w:val="21"/>
                      <w:lang w:bidi="ar"/>
                      <w14:textFill>
                        <w14:solidFill>
                          <w14:schemeClr w14:val="tx1"/>
                        </w14:solidFill>
                      </w14:textFill>
                    </w:rPr>
                    <w:t>+0.</w:t>
                  </w:r>
                  <w:r>
                    <w:rPr>
                      <w:rFonts w:hint="eastAsia" w:cs="Times New Roman"/>
                      <w:color w:val="000000" w:themeColor="text1"/>
                      <w:szCs w:val="21"/>
                      <w:lang w:val="en-US" w:eastAsia="zh-CN" w:bidi="ar"/>
                      <w14:textFill>
                        <w14:solidFill>
                          <w14:schemeClr w14:val="tx1"/>
                        </w14:solidFill>
                      </w14:textFill>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jc w:val="center"/>
                    <w:rPr>
                      <w:rFonts w:cs="Times New Roman"/>
                      <w:szCs w:val="21"/>
                    </w:rPr>
                  </w:pPr>
                  <w:r>
                    <w:rPr>
                      <w:rFonts w:cs="Times New Roman"/>
                      <w:szCs w:val="21"/>
                    </w:rPr>
                    <w:t>NOx</w:t>
                  </w:r>
                </w:p>
              </w:tc>
              <w:tc>
                <w:tcPr>
                  <w:tcW w:w="767" w:type="pct"/>
                  <w:tcBorders>
                    <w:tl2br w:val="nil"/>
                    <w:tr2bl w:val="nil"/>
                  </w:tcBorders>
                  <w:vAlign w:val="center"/>
                </w:tcPr>
                <w:p>
                  <w:pPr>
                    <w:jc w:val="center"/>
                    <w:rPr>
                      <w:rFonts w:cs="Times New Roman"/>
                      <w:szCs w:val="21"/>
                    </w:rPr>
                  </w:pPr>
                  <w:r>
                    <w:rPr>
                      <w:rFonts w:cs="Times New Roman"/>
                      <w:szCs w:val="21"/>
                      <w:lang w:bidi="ar"/>
                    </w:rPr>
                    <w:t>0.2153</w:t>
                  </w:r>
                </w:p>
              </w:tc>
              <w:tc>
                <w:tcPr>
                  <w:tcW w:w="1083"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4.094</w:t>
                  </w:r>
                </w:p>
              </w:tc>
              <w:tc>
                <w:tcPr>
                  <w:tcW w:w="72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397" w:type="dxa"/>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4.3093</w:t>
                  </w:r>
                </w:p>
              </w:tc>
              <w:tc>
                <w:tcPr>
                  <w:tcW w:w="910" w:type="pct"/>
                  <w:tcBorders>
                    <w:tl2br w:val="nil"/>
                    <w:tr2bl w:val="nil"/>
                  </w:tcBorders>
                  <w:vAlign w:val="center"/>
                </w:tcPr>
                <w:p>
                  <w:pPr>
                    <w:jc w:val="center"/>
                    <w:rPr>
                      <w:rFonts w:hint="default" w:eastAsia="宋体" w:cs="Times New Roman"/>
                      <w:color w:val="000000" w:themeColor="text1"/>
                      <w:szCs w:val="21"/>
                      <w:lang w:val="en-US" w:eastAsia="zh-CN" w:bidi="ar"/>
                      <w14:textFill>
                        <w14:solidFill>
                          <w14:schemeClr w14:val="tx1"/>
                        </w14:solidFill>
                      </w14:textFill>
                    </w:rPr>
                  </w:pPr>
                  <w:r>
                    <w:rPr>
                      <w:rFonts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4.094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restart"/>
                  <w:tcBorders>
                    <w:tl2br w:val="nil"/>
                    <w:tr2bl w:val="nil"/>
                  </w:tcBorders>
                  <w:vAlign w:val="center"/>
                </w:tcPr>
                <w:p>
                  <w:pPr>
                    <w:jc w:val="center"/>
                    <w:rPr>
                      <w:rFonts w:cs="Times New Roman"/>
                      <w:szCs w:val="21"/>
                    </w:rPr>
                  </w:pPr>
                  <w:r>
                    <w:rPr>
                      <w:rFonts w:cs="Times New Roman"/>
                      <w:szCs w:val="21"/>
                    </w:rPr>
                    <w:t>固废</w:t>
                  </w: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废过滤棉</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0.01</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0</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0.01</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废丝、裁切边废料</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494</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0</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494</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包装废物</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1.5</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0.5</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2</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生活垃圾</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3</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3.3</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6.3</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餐厨垃圾</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0.02</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0.66</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0.68</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不合格品及边角料</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0</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8.35</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8.35</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+8.35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废矿物油</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0.01</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0.05</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0.06</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含油抹布及手套</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0</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0.01</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0.01</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废危化品桶</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0</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3.0</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3</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tcBorders>
                    <w:tl2br w:val="nil"/>
                    <w:tr2bl w:val="nil"/>
                  </w:tcBorders>
                  <w:vAlign w:val="center"/>
                </w:tcPr>
                <w:p>
                  <w:pPr>
                    <w:jc w:val="center"/>
                    <w:rPr>
                      <w:rFonts w:cs="Times New Roman"/>
                      <w:szCs w:val="21"/>
                    </w:rPr>
                  </w:pPr>
                </w:p>
              </w:tc>
              <w:tc>
                <w:tcPr>
                  <w:tcW w:w="776" w:type="pct"/>
                  <w:tcBorders>
                    <w:tl2br w:val="nil"/>
                    <w:tr2bl w:val="nil"/>
                  </w:tcBorders>
                  <w:vAlign w:val="center"/>
                </w:tcPr>
                <w:p>
                  <w:pPr>
                    <w:autoSpaceDN w:val="0"/>
                    <w:jc w:val="center"/>
                    <w:textAlignment w:val="bottom"/>
                    <w:rPr>
                      <w:rFonts w:cs="Times New Roman"/>
                      <w:szCs w:val="21"/>
                    </w:rPr>
                  </w:pPr>
                  <w:r>
                    <w:rPr>
                      <w:rFonts w:cs="Times New Roman"/>
                      <w:szCs w:val="21"/>
                    </w:rPr>
                    <w:t>废离子交换树脂</w:t>
                  </w:r>
                </w:p>
              </w:tc>
              <w:tc>
                <w:tcPr>
                  <w:tcW w:w="767" w:type="pct"/>
                  <w:tcBorders>
                    <w:tl2br w:val="nil"/>
                    <w:tr2bl w:val="nil"/>
                  </w:tcBorders>
                  <w:vAlign w:val="center"/>
                </w:tcPr>
                <w:p>
                  <w:pPr>
                    <w:autoSpaceDN w:val="0"/>
                    <w:jc w:val="center"/>
                    <w:textAlignment w:val="bottom"/>
                    <w:rPr>
                      <w:rFonts w:cs="Times New Roman"/>
                      <w:szCs w:val="21"/>
                    </w:rPr>
                  </w:pPr>
                  <w:r>
                    <w:rPr>
                      <w:rFonts w:cs="Times New Roman"/>
                      <w:szCs w:val="21"/>
                    </w:rPr>
                    <w:t>0.5</w:t>
                  </w:r>
                </w:p>
              </w:tc>
              <w:tc>
                <w:tcPr>
                  <w:tcW w:w="624" w:type="pct"/>
                  <w:tcBorders>
                    <w:tl2br w:val="nil"/>
                    <w:tr2bl w:val="nil"/>
                  </w:tcBorders>
                  <w:vAlign w:val="center"/>
                </w:tcPr>
                <w:p>
                  <w:pPr>
                    <w:tabs>
                      <w:tab w:val="left" w:pos="1134"/>
                    </w:tabs>
                    <w:jc w:val="center"/>
                    <w:rPr>
                      <w:rFonts w:cs="Times New Roman"/>
                      <w:szCs w:val="21"/>
                    </w:rPr>
                  </w:pPr>
                  <w:r>
                    <w:rPr>
                      <w:rFonts w:cs="Times New Roman"/>
                      <w:szCs w:val="21"/>
                    </w:rPr>
                    <w:t>0</w:t>
                  </w:r>
                </w:p>
              </w:tc>
              <w:tc>
                <w:tcPr>
                  <w:tcW w:w="727" w:type="pct"/>
                  <w:tcBorders>
                    <w:tl2br w:val="nil"/>
                    <w:tr2bl w:val="nil"/>
                  </w:tcBorders>
                  <w:vAlign w:val="center"/>
                </w:tcPr>
                <w:p>
                  <w:pPr>
                    <w:jc w:val="center"/>
                    <w:rPr>
                      <w:rFonts w:cs="Times New Roman"/>
                      <w:szCs w:val="21"/>
                    </w:rPr>
                  </w:pPr>
                  <w:r>
                    <w:rPr>
                      <w:rFonts w:cs="Times New Roman"/>
                      <w:szCs w:val="21"/>
                    </w:rPr>
                    <w:t>0</w:t>
                  </w:r>
                </w:p>
              </w:tc>
              <w:tc>
                <w:tcPr>
                  <w:tcW w:w="805"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0.5</w:t>
                  </w:r>
                </w:p>
              </w:tc>
              <w:tc>
                <w:tcPr>
                  <w:tcW w:w="910" w:type="pct"/>
                  <w:tcBorders>
                    <w:tl2br w:val="nil"/>
                    <w:tr2bl w:val="nil"/>
                  </w:tcBorders>
                  <w:vAlign w:val="center"/>
                </w:tcPr>
                <w:p>
                  <w:pPr>
                    <w:tabs>
                      <w:tab w:val="left" w:pos="1134"/>
                    </w:tabs>
                    <w:jc w:val="center"/>
                    <w:rPr>
                      <w:rFonts w:cs="Times New Roman"/>
                      <w:szCs w:val="21"/>
                    </w:rPr>
                  </w:pPr>
                  <w:r>
                    <w:rPr>
                      <w:rFonts w:cs="Times New Roman"/>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vAlign w:val="center"/>
                </w:tcPr>
                <w:p>
                  <w:pPr>
                    <w:jc w:val="center"/>
                    <w:rPr>
                      <w:rFonts w:cs="Times New Roman"/>
                      <w:szCs w:val="21"/>
                    </w:rPr>
                  </w:pPr>
                </w:p>
              </w:tc>
              <w:tc>
                <w:tcPr>
                  <w:tcW w:w="776" w:type="pct"/>
                  <w:vAlign w:val="center"/>
                </w:tcPr>
                <w:p>
                  <w:pPr>
                    <w:autoSpaceDN w:val="0"/>
                    <w:jc w:val="center"/>
                    <w:textAlignment w:val="bottom"/>
                    <w:rPr>
                      <w:rFonts w:cs="Times New Roman"/>
                      <w:szCs w:val="21"/>
                    </w:rPr>
                  </w:pPr>
                  <w:r>
                    <w:rPr>
                      <w:rFonts w:cs="Times New Roman"/>
                      <w:szCs w:val="21"/>
                    </w:rPr>
                    <w:t>废活性炭</w:t>
                  </w:r>
                </w:p>
              </w:tc>
              <w:tc>
                <w:tcPr>
                  <w:tcW w:w="767" w:type="pct"/>
                  <w:vAlign w:val="center"/>
                </w:tcPr>
                <w:p>
                  <w:pPr>
                    <w:autoSpaceDN w:val="0"/>
                    <w:jc w:val="center"/>
                    <w:textAlignment w:val="bottom"/>
                    <w:rPr>
                      <w:rFonts w:cs="Times New Roman"/>
                      <w:szCs w:val="21"/>
                    </w:rPr>
                  </w:pPr>
                  <w:r>
                    <w:rPr>
                      <w:rFonts w:cs="Times New Roman"/>
                      <w:szCs w:val="21"/>
                    </w:rPr>
                    <w:t>0.5</w:t>
                  </w:r>
                </w:p>
              </w:tc>
              <w:tc>
                <w:tcPr>
                  <w:tcW w:w="624" w:type="pct"/>
                  <w:vAlign w:val="center"/>
                </w:tcPr>
                <w:p>
                  <w:pPr>
                    <w:tabs>
                      <w:tab w:val="left" w:pos="1134"/>
                    </w:tabs>
                    <w:jc w:val="center"/>
                    <w:rPr>
                      <w:rFonts w:cs="Times New Roman"/>
                      <w:szCs w:val="21"/>
                    </w:rPr>
                  </w:pPr>
                  <w:r>
                    <w:rPr>
                      <w:rFonts w:cs="Times New Roman"/>
                      <w:szCs w:val="21"/>
                    </w:rPr>
                    <w:t>27.933</w:t>
                  </w:r>
                </w:p>
              </w:tc>
              <w:tc>
                <w:tcPr>
                  <w:tcW w:w="727" w:type="pct"/>
                  <w:vAlign w:val="center"/>
                </w:tcPr>
                <w:p>
                  <w:pPr>
                    <w:jc w:val="center"/>
                    <w:rPr>
                      <w:rFonts w:cs="Times New Roman"/>
                      <w:szCs w:val="21"/>
                    </w:rPr>
                  </w:pPr>
                  <w:r>
                    <w:rPr>
                      <w:rFonts w:cs="Times New Roman"/>
                      <w:szCs w:val="21"/>
                    </w:rPr>
                    <w:t>0</w:t>
                  </w:r>
                </w:p>
              </w:tc>
              <w:tc>
                <w:tcPr>
                  <w:tcW w:w="805" w:type="pct"/>
                  <w:vAlign w:val="center"/>
                </w:tcPr>
                <w:p>
                  <w:pPr>
                    <w:widowControl/>
                    <w:jc w:val="center"/>
                    <w:textAlignment w:val="center"/>
                    <w:rPr>
                      <w:rFonts w:cs="Times New Roman"/>
                      <w:szCs w:val="21"/>
                    </w:rPr>
                  </w:pPr>
                  <w:r>
                    <w:rPr>
                      <w:rFonts w:cs="Times New Roman"/>
                      <w:kern w:val="0"/>
                      <w:szCs w:val="21"/>
                      <w:lang w:bidi="ar"/>
                    </w:rPr>
                    <w:t>28.433</w:t>
                  </w:r>
                </w:p>
              </w:tc>
              <w:tc>
                <w:tcPr>
                  <w:tcW w:w="910" w:type="pct"/>
                  <w:vAlign w:val="center"/>
                </w:tcPr>
                <w:p>
                  <w:pPr>
                    <w:tabs>
                      <w:tab w:val="left" w:pos="1134"/>
                    </w:tabs>
                    <w:jc w:val="center"/>
                    <w:rPr>
                      <w:rFonts w:cs="Times New Roman"/>
                      <w:szCs w:val="21"/>
                    </w:rPr>
                  </w:pPr>
                  <w:r>
                    <w:rPr>
                      <w:rFonts w:cs="Times New Roman"/>
                      <w:szCs w:val="21"/>
                    </w:rPr>
                    <w:t>+27.933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387" w:type="pct"/>
                  <w:vMerge w:val="continue"/>
                  <w:vAlign w:val="center"/>
                </w:tcPr>
                <w:p>
                  <w:pPr>
                    <w:jc w:val="center"/>
                    <w:rPr>
                      <w:rFonts w:cs="Times New Roman"/>
                      <w:szCs w:val="21"/>
                    </w:rPr>
                  </w:pPr>
                </w:p>
              </w:tc>
              <w:tc>
                <w:tcPr>
                  <w:tcW w:w="776" w:type="pct"/>
                  <w:vAlign w:val="center"/>
                </w:tcPr>
                <w:p>
                  <w:pPr>
                    <w:autoSpaceDN w:val="0"/>
                    <w:jc w:val="center"/>
                    <w:textAlignment w:val="bottom"/>
                    <w:rPr>
                      <w:rFonts w:cs="Times New Roman"/>
                      <w:szCs w:val="21"/>
                    </w:rPr>
                  </w:pPr>
                  <w:r>
                    <w:rPr>
                      <w:rFonts w:cs="Times New Roman"/>
                      <w:szCs w:val="21"/>
                    </w:rPr>
                    <w:t>含湿染料废料</w:t>
                  </w:r>
                </w:p>
              </w:tc>
              <w:tc>
                <w:tcPr>
                  <w:tcW w:w="767" w:type="pct"/>
                  <w:vAlign w:val="center"/>
                </w:tcPr>
                <w:p>
                  <w:pPr>
                    <w:autoSpaceDN w:val="0"/>
                    <w:jc w:val="center"/>
                    <w:textAlignment w:val="bottom"/>
                    <w:rPr>
                      <w:rFonts w:cs="Times New Roman"/>
                      <w:szCs w:val="21"/>
                    </w:rPr>
                  </w:pPr>
                  <w:r>
                    <w:rPr>
                      <w:rFonts w:cs="Times New Roman"/>
                      <w:szCs w:val="21"/>
                    </w:rPr>
                    <w:t>10</w:t>
                  </w:r>
                </w:p>
              </w:tc>
              <w:tc>
                <w:tcPr>
                  <w:tcW w:w="624" w:type="pct"/>
                  <w:vAlign w:val="center"/>
                </w:tcPr>
                <w:p>
                  <w:pPr>
                    <w:tabs>
                      <w:tab w:val="left" w:pos="1134"/>
                    </w:tabs>
                    <w:jc w:val="center"/>
                    <w:rPr>
                      <w:rFonts w:cs="Times New Roman"/>
                      <w:szCs w:val="21"/>
                    </w:rPr>
                  </w:pPr>
                  <w:r>
                    <w:rPr>
                      <w:rFonts w:cs="Times New Roman"/>
                      <w:szCs w:val="21"/>
                    </w:rPr>
                    <w:t>0</w:t>
                  </w:r>
                </w:p>
              </w:tc>
              <w:tc>
                <w:tcPr>
                  <w:tcW w:w="727" w:type="pct"/>
                  <w:vAlign w:val="center"/>
                </w:tcPr>
                <w:p>
                  <w:pPr>
                    <w:jc w:val="center"/>
                    <w:rPr>
                      <w:rFonts w:cs="Times New Roman"/>
                      <w:szCs w:val="21"/>
                    </w:rPr>
                  </w:pPr>
                  <w:r>
                    <w:rPr>
                      <w:rFonts w:cs="Times New Roman"/>
                      <w:szCs w:val="21"/>
                    </w:rPr>
                    <w:t>0</w:t>
                  </w:r>
                </w:p>
              </w:tc>
              <w:tc>
                <w:tcPr>
                  <w:tcW w:w="805" w:type="pct"/>
                  <w:vAlign w:val="center"/>
                </w:tcPr>
                <w:p>
                  <w:pPr>
                    <w:widowControl/>
                    <w:jc w:val="center"/>
                    <w:textAlignment w:val="center"/>
                    <w:rPr>
                      <w:rFonts w:cs="Times New Roman"/>
                      <w:szCs w:val="21"/>
                    </w:rPr>
                  </w:pPr>
                  <w:r>
                    <w:rPr>
                      <w:rFonts w:cs="Times New Roman"/>
                      <w:kern w:val="0"/>
                      <w:szCs w:val="21"/>
                      <w:lang w:bidi="ar"/>
                    </w:rPr>
                    <w:t>10</w:t>
                  </w:r>
                </w:p>
              </w:tc>
              <w:tc>
                <w:tcPr>
                  <w:tcW w:w="910" w:type="pct"/>
                  <w:vAlign w:val="center"/>
                </w:tcPr>
                <w:p>
                  <w:pPr>
                    <w:tabs>
                      <w:tab w:val="left" w:pos="1134"/>
                    </w:tabs>
                    <w:jc w:val="center"/>
                    <w:rPr>
                      <w:rFonts w:cs="Times New Roman"/>
                      <w:szCs w:val="21"/>
                    </w:rPr>
                  </w:pPr>
                  <w:r>
                    <w:rPr>
                      <w:rFonts w:cs="Times New Roman"/>
                      <w:szCs w:val="21"/>
                    </w:rPr>
                    <w:t>0</w:t>
                  </w:r>
                </w:p>
              </w:tc>
            </w:tr>
          </w:tbl>
          <w:p>
            <w:pPr>
              <w:spacing w:line="360" w:lineRule="auto"/>
              <w:ind w:firstLine="480"/>
              <w:rPr>
                <w:rFonts w:cs="Times New Roman"/>
                <w:sz w:val="24"/>
                <w:szCs w:val="24"/>
              </w:rPr>
            </w:pPr>
          </w:p>
          <w:p>
            <w:pPr>
              <w:spacing w:line="360" w:lineRule="auto"/>
              <w:rPr>
                <w:rFonts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2" w:type="dxa"/>
          </w:tcPr>
          <w:p>
            <w:pPr>
              <w:jc w:val="center"/>
              <w:rPr>
                <w:rFonts w:cs="Times New Roman"/>
                <w:sz w:val="24"/>
                <w:szCs w:val="24"/>
              </w:rPr>
            </w:pPr>
            <w:r>
              <w:rPr>
                <w:rFonts w:cs="Times New Roman"/>
                <w:sz w:val="24"/>
                <w:szCs w:val="24"/>
              </w:rPr>
              <w:t>环保投资</w:t>
            </w:r>
          </w:p>
        </w:tc>
        <w:tc>
          <w:tcPr>
            <w:tcW w:w="8888" w:type="dxa"/>
          </w:tcPr>
          <w:p>
            <w:pPr>
              <w:spacing w:line="360" w:lineRule="auto"/>
              <w:ind w:firstLine="480" w:firstLineChars="200"/>
              <w:rPr>
                <w:rFonts w:cs="Times New Roman"/>
                <w:sz w:val="24"/>
                <w:szCs w:val="24"/>
              </w:rPr>
            </w:pPr>
            <w:r>
              <w:rPr>
                <w:rFonts w:cs="Times New Roman"/>
                <w:sz w:val="24"/>
                <w:szCs w:val="24"/>
              </w:rPr>
              <w:t>本项目总投资3500万元，环保投资约62万元，占总投资的1.77%，主要环保措施及投资估算见表4-32。</w:t>
            </w:r>
          </w:p>
          <w:p>
            <w:pPr>
              <w:spacing w:line="360" w:lineRule="auto"/>
              <w:jc w:val="center"/>
              <w:rPr>
                <w:rFonts w:cs="Times New Roman"/>
                <w:b/>
                <w:bCs/>
                <w:sz w:val="24"/>
                <w:szCs w:val="24"/>
              </w:rPr>
            </w:pPr>
            <w:r>
              <w:rPr>
                <w:rFonts w:cs="Times New Roman"/>
                <w:b/>
                <w:bCs/>
                <w:sz w:val="24"/>
                <w:szCs w:val="24"/>
              </w:rPr>
              <w:t>表4-32  环保投资估算一览表</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855"/>
              <w:gridCol w:w="4615"/>
              <w:gridCol w:w="1334"/>
              <w:gridCol w:w="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tcBorders>
                    <w:tl2br w:val="nil"/>
                    <w:tr2bl w:val="nil"/>
                  </w:tcBorders>
                  <w:vAlign w:val="center"/>
                </w:tcPr>
                <w:p>
                  <w:pPr>
                    <w:jc w:val="center"/>
                    <w:rPr>
                      <w:rFonts w:cs="Times New Roman"/>
                      <w:b/>
                      <w:bCs/>
                      <w:szCs w:val="21"/>
                    </w:rPr>
                  </w:pPr>
                  <w:r>
                    <w:rPr>
                      <w:rFonts w:cs="Times New Roman"/>
                      <w:b/>
                      <w:bCs/>
                      <w:szCs w:val="21"/>
                    </w:rPr>
                    <w:t>项目</w:t>
                  </w:r>
                </w:p>
              </w:tc>
              <w:tc>
                <w:tcPr>
                  <w:tcW w:w="3154" w:type="pct"/>
                  <w:gridSpan w:val="2"/>
                  <w:tcBorders>
                    <w:tl2br w:val="nil"/>
                    <w:tr2bl w:val="nil"/>
                  </w:tcBorders>
                  <w:vAlign w:val="center"/>
                </w:tcPr>
                <w:p>
                  <w:pPr>
                    <w:jc w:val="center"/>
                    <w:rPr>
                      <w:rFonts w:cs="Times New Roman"/>
                      <w:b/>
                      <w:bCs/>
                      <w:szCs w:val="21"/>
                    </w:rPr>
                  </w:pPr>
                  <w:r>
                    <w:rPr>
                      <w:rFonts w:cs="Times New Roman"/>
                      <w:b/>
                      <w:bCs/>
                      <w:szCs w:val="21"/>
                    </w:rPr>
                    <w:t>内容</w:t>
                  </w:r>
                </w:p>
              </w:tc>
              <w:tc>
                <w:tcPr>
                  <w:tcW w:w="769" w:type="pct"/>
                  <w:tcBorders>
                    <w:tl2br w:val="nil"/>
                    <w:tr2bl w:val="nil"/>
                  </w:tcBorders>
                  <w:vAlign w:val="center"/>
                </w:tcPr>
                <w:p>
                  <w:pPr>
                    <w:jc w:val="center"/>
                    <w:rPr>
                      <w:rFonts w:cs="Times New Roman"/>
                      <w:b/>
                      <w:bCs/>
                      <w:szCs w:val="21"/>
                    </w:rPr>
                  </w:pPr>
                  <w:r>
                    <w:rPr>
                      <w:rFonts w:cs="Times New Roman"/>
                      <w:b/>
                      <w:bCs/>
                      <w:szCs w:val="21"/>
                    </w:rPr>
                    <w:t>投资（万元）</w:t>
                  </w:r>
                </w:p>
              </w:tc>
              <w:tc>
                <w:tcPr>
                  <w:tcW w:w="531" w:type="pct"/>
                  <w:tcBorders>
                    <w:tl2br w:val="nil"/>
                    <w:tr2bl w:val="nil"/>
                  </w:tcBorders>
                  <w:vAlign w:val="center"/>
                </w:tcPr>
                <w:p>
                  <w:pPr>
                    <w:jc w:val="center"/>
                    <w:rPr>
                      <w:rFonts w:cs="Times New Roman"/>
                      <w:b/>
                      <w:bCs/>
                      <w:szCs w:val="21"/>
                    </w:rPr>
                  </w:pPr>
                  <w:r>
                    <w:rPr>
                      <w:rFonts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restart"/>
                  <w:tcBorders>
                    <w:tl2br w:val="nil"/>
                    <w:tr2bl w:val="nil"/>
                  </w:tcBorders>
                  <w:vAlign w:val="center"/>
                </w:tcPr>
                <w:p>
                  <w:pPr>
                    <w:jc w:val="center"/>
                    <w:rPr>
                      <w:rFonts w:cs="Times New Roman"/>
                      <w:szCs w:val="21"/>
                    </w:rPr>
                  </w:pPr>
                  <w:r>
                    <w:rPr>
                      <w:rFonts w:cs="Times New Roman"/>
                      <w:szCs w:val="21"/>
                    </w:rPr>
                    <w:t>废气治理</w:t>
                  </w:r>
                </w:p>
              </w:tc>
              <w:tc>
                <w:tcPr>
                  <w:tcW w:w="493" w:type="pct"/>
                  <w:vMerge w:val="restart"/>
                  <w:tcBorders>
                    <w:tl2br w:val="nil"/>
                    <w:tr2bl w:val="nil"/>
                  </w:tcBorders>
                  <w:vAlign w:val="center"/>
                </w:tcPr>
                <w:p>
                  <w:pPr>
                    <w:jc w:val="center"/>
                    <w:rPr>
                      <w:rFonts w:cs="Times New Roman"/>
                      <w:szCs w:val="21"/>
                    </w:rPr>
                  </w:pPr>
                  <w:r>
                    <w:rPr>
                      <w:rFonts w:cs="Times New Roman"/>
                      <w:szCs w:val="21"/>
                    </w:rPr>
                    <w:t>营运期</w:t>
                  </w:r>
                </w:p>
              </w:tc>
              <w:tc>
                <w:tcPr>
                  <w:tcW w:w="2661" w:type="pct"/>
                  <w:tcBorders>
                    <w:tl2br w:val="nil"/>
                    <w:tr2bl w:val="nil"/>
                  </w:tcBorders>
                  <w:vAlign w:val="center"/>
                </w:tcPr>
                <w:p>
                  <w:pPr>
                    <w:jc w:val="center"/>
                    <w:rPr>
                      <w:rFonts w:cs="Times New Roman"/>
                      <w:szCs w:val="21"/>
                    </w:rPr>
                  </w:pPr>
                  <w:r>
                    <w:rPr>
                      <w:rFonts w:cs="Times New Roman"/>
                      <w:szCs w:val="21"/>
                    </w:rPr>
                    <w:t>浸胶工序、烘干工序产生的废气：经二级活性炭装置（一期和二期各一套）吸附处理后分别经一根18m高排气筒（DA005、DA006）排放</w:t>
                  </w:r>
                </w:p>
              </w:tc>
              <w:tc>
                <w:tcPr>
                  <w:tcW w:w="769" w:type="pct"/>
                  <w:tcBorders>
                    <w:tl2br w:val="nil"/>
                    <w:tr2bl w:val="nil"/>
                  </w:tcBorders>
                  <w:vAlign w:val="center"/>
                </w:tcPr>
                <w:p>
                  <w:pPr>
                    <w:jc w:val="center"/>
                    <w:rPr>
                      <w:rFonts w:cs="Times New Roman"/>
                      <w:szCs w:val="21"/>
                    </w:rPr>
                  </w:pPr>
                  <w:r>
                    <w:rPr>
                      <w:rFonts w:cs="Times New Roman"/>
                      <w:szCs w:val="21"/>
                    </w:rPr>
                    <w:t>40</w:t>
                  </w:r>
                </w:p>
              </w:tc>
              <w:tc>
                <w:tcPr>
                  <w:tcW w:w="531" w:type="pct"/>
                  <w:tcBorders>
                    <w:tl2br w:val="nil"/>
                    <w:tr2bl w:val="nil"/>
                  </w:tcBorders>
                  <w:vAlign w:val="center"/>
                </w:tcPr>
                <w:p>
                  <w:pPr>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continue"/>
                  <w:tcBorders>
                    <w:tl2br w:val="nil"/>
                    <w:tr2bl w:val="nil"/>
                  </w:tcBorders>
                  <w:vAlign w:val="center"/>
                </w:tcPr>
                <w:p>
                  <w:pPr>
                    <w:jc w:val="center"/>
                    <w:rPr>
                      <w:rFonts w:cs="Times New Roman"/>
                      <w:szCs w:val="21"/>
                    </w:rPr>
                  </w:pPr>
                </w:p>
              </w:tc>
              <w:tc>
                <w:tcPr>
                  <w:tcW w:w="493" w:type="pct"/>
                  <w:vMerge w:val="continue"/>
                  <w:tcBorders>
                    <w:tl2br w:val="nil"/>
                    <w:tr2bl w:val="nil"/>
                  </w:tcBorders>
                  <w:vAlign w:val="center"/>
                </w:tcPr>
                <w:p>
                  <w:pPr>
                    <w:jc w:val="center"/>
                    <w:rPr>
                      <w:rFonts w:cs="Times New Roman"/>
                      <w:szCs w:val="21"/>
                    </w:rPr>
                  </w:pPr>
                </w:p>
              </w:tc>
              <w:tc>
                <w:tcPr>
                  <w:tcW w:w="2661" w:type="pct"/>
                  <w:tcBorders>
                    <w:tl2br w:val="nil"/>
                    <w:tr2bl w:val="nil"/>
                  </w:tcBorders>
                  <w:vAlign w:val="center"/>
                </w:tcPr>
                <w:p>
                  <w:pPr>
                    <w:jc w:val="center"/>
                    <w:rPr>
                      <w:rFonts w:cs="Times New Roman"/>
                      <w:szCs w:val="21"/>
                    </w:rPr>
                  </w:pPr>
                  <w:r>
                    <w:rPr>
                      <w:rFonts w:cs="Times New Roman"/>
                      <w:bCs/>
                      <w:kern w:val="0"/>
                      <w:szCs w:val="21"/>
                    </w:rPr>
                    <w:t>天然气燃烧废气：</w:t>
                  </w:r>
                  <w:r>
                    <w:rPr>
                      <w:rFonts w:cs="Times New Roman"/>
                      <w:szCs w:val="21"/>
                    </w:rPr>
                    <w:t>安装低氮燃烧器（一期和二期各一套）</w:t>
                  </w:r>
                </w:p>
              </w:tc>
              <w:tc>
                <w:tcPr>
                  <w:tcW w:w="769" w:type="pct"/>
                  <w:tcBorders>
                    <w:tl2br w:val="nil"/>
                    <w:tr2bl w:val="nil"/>
                  </w:tcBorders>
                  <w:vAlign w:val="center"/>
                </w:tcPr>
                <w:p>
                  <w:pPr>
                    <w:jc w:val="center"/>
                    <w:rPr>
                      <w:rFonts w:cs="Times New Roman"/>
                      <w:szCs w:val="21"/>
                    </w:rPr>
                  </w:pPr>
                  <w:r>
                    <w:rPr>
                      <w:rFonts w:cs="Times New Roman"/>
                      <w:szCs w:val="21"/>
                    </w:rPr>
                    <w:t>10</w:t>
                  </w:r>
                </w:p>
              </w:tc>
              <w:tc>
                <w:tcPr>
                  <w:tcW w:w="531" w:type="pct"/>
                  <w:tcBorders>
                    <w:tl2br w:val="nil"/>
                    <w:tr2bl w:val="nil"/>
                  </w:tcBorders>
                  <w:vAlign w:val="center"/>
                </w:tcPr>
                <w:p>
                  <w:pPr>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continue"/>
                  <w:tcBorders>
                    <w:tl2br w:val="nil"/>
                    <w:tr2bl w:val="nil"/>
                  </w:tcBorders>
                  <w:vAlign w:val="center"/>
                </w:tcPr>
                <w:p>
                  <w:pPr>
                    <w:jc w:val="center"/>
                    <w:rPr>
                      <w:rFonts w:cs="Times New Roman"/>
                      <w:szCs w:val="21"/>
                    </w:rPr>
                  </w:pPr>
                </w:p>
              </w:tc>
              <w:tc>
                <w:tcPr>
                  <w:tcW w:w="493" w:type="pct"/>
                  <w:vMerge w:val="continue"/>
                  <w:tcBorders>
                    <w:tl2br w:val="nil"/>
                    <w:tr2bl w:val="nil"/>
                  </w:tcBorders>
                  <w:vAlign w:val="center"/>
                </w:tcPr>
                <w:p>
                  <w:pPr>
                    <w:jc w:val="center"/>
                    <w:rPr>
                      <w:rFonts w:cs="Times New Roman"/>
                      <w:szCs w:val="21"/>
                    </w:rPr>
                  </w:pPr>
                </w:p>
              </w:tc>
              <w:tc>
                <w:tcPr>
                  <w:tcW w:w="2661" w:type="pct"/>
                  <w:tcBorders>
                    <w:tl2br w:val="nil"/>
                    <w:tr2bl w:val="nil"/>
                  </w:tcBorders>
                  <w:vAlign w:val="center"/>
                </w:tcPr>
                <w:p>
                  <w:pPr>
                    <w:jc w:val="center"/>
                    <w:rPr>
                      <w:rFonts w:cs="Times New Roman"/>
                      <w:szCs w:val="21"/>
                    </w:rPr>
                  </w:pPr>
                  <w:r>
                    <w:rPr>
                      <w:rFonts w:cs="Times New Roman"/>
                      <w:szCs w:val="21"/>
                      <w:lang w:bidi="ar"/>
                    </w:rPr>
                    <w:t>食堂油烟：经油烟净化器处理后外排</w:t>
                  </w:r>
                </w:p>
              </w:tc>
              <w:tc>
                <w:tcPr>
                  <w:tcW w:w="769" w:type="pct"/>
                  <w:tcBorders>
                    <w:tl2br w:val="nil"/>
                    <w:tr2bl w:val="nil"/>
                  </w:tcBorders>
                  <w:vAlign w:val="center"/>
                </w:tcPr>
                <w:p>
                  <w:pPr>
                    <w:jc w:val="center"/>
                    <w:rPr>
                      <w:rFonts w:cs="Times New Roman"/>
                      <w:szCs w:val="21"/>
                    </w:rPr>
                  </w:pPr>
                  <w:r>
                    <w:rPr>
                      <w:rFonts w:cs="Times New Roman"/>
                      <w:szCs w:val="21"/>
                    </w:rPr>
                    <w:t>/</w:t>
                  </w:r>
                </w:p>
              </w:tc>
              <w:tc>
                <w:tcPr>
                  <w:tcW w:w="531" w:type="pct"/>
                  <w:tcBorders>
                    <w:tl2br w:val="nil"/>
                    <w:tr2bl w:val="nil"/>
                  </w:tcBorders>
                  <w:vAlign w:val="center"/>
                </w:tcPr>
                <w:p>
                  <w:pPr>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tcBorders>
                    <w:tl2br w:val="nil"/>
                    <w:tr2bl w:val="nil"/>
                  </w:tcBorders>
                  <w:vAlign w:val="center"/>
                </w:tcPr>
                <w:p>
                  <w:pPr>
                    <w:jc w:val="center"/>
                    <w:rPr>
                      <w:rFonts w:cs="Times New Roman"/>
                      <w:szCs w:val="21"/>
                    </w:rPr>
                  </w:pPr>
                  <w:r>
                    <w:rPr>
                      <w:rFonts w:cs="Times New Roman"/>
                      <w:szCs w:val="21"/>
                    </w:rPr>
                    <w:t>废水治理</w:t>
                  </w:r>
                </w:p>
              </w:tc>
              <w:tc>
                <w:tcPr>
                  <w:tcW w:w="493" w:type="pct"/>
                  <w:tcBorders>
                    <w:tl2br w:val="nil"/>
                    <w:tr2bl w:val="nil"/>
                  </w:tcBorders>
                  <w:vAlign w:val="center"/>
                </w:tcPr>
                <w:p>
                  <w:pPr>
                    <w:jc w:val="center"/>
                    <w:rPr>
                      <w:rFonts w:cs="Times New Roman"/>
                      <w:szCs w:val="21"/>
                    </w:rPr>
                  </w:pPr>
                  <w:r>
                    <w:rPr>
                      <w:rFonts w:cs="Times New Roman"/>
                      <w:szCs w:val="21"/>
                    </w:rPr>
                    <w:t>营运期</w:t>
                  </w:r>
                </w:p>
              </w:tc>
              <w:tc>
                <w:tcPr>
                  <w:tcW w:w="2661" w:type="pct"/>
                  <w:tcBorders>
                    <w:tl2br w:val="nil"/>
                    <w:tr2bl w:val="nil"/>
                  </w:tcBorders>
                  <w:vAlign w:val="center"/>
                </w:tcPr>
                <w:p>
                  <w:pPr>
                    <w:jc w:val="center"/>
                    <w:rPr>
                      <w:rFonts w:cs="Times New Roman"/>
                      <w:szCs w:val="21"/>
                    </w:rPr>
                  </w:pPr>
                  <w:r>
                    <w:rPr>
                      <w:rFonts w:cs="Times New Roman"/>
                      <w:szCs w:val="21"/>
                    </w:rPr>
                    <w:t>食堂废水经隔油池（新增1m</w:t>
                  </w:r>
                  <w:r>
                    <w:rPr>
                      <w:rFonts w:cs="Times New Roman"/>
                      <w:szCs w:val="21"/>
                      <w:vertAlign w:val="superscript"/>
                    </w:rPr>
                    <w:t>3</w:t>
                  </w:r>
                  <w:r>
                    <w:rPr>
                      <w:rFonts w:cs="Times New Roman"/>
                      <w:szCs w:val="21"/>
                    </w:rPr>
                    <w:t>）处理后同生活污水一同经厂区现有化粪池（30m</w:t>
                  </w:r>
                  <w:r>
                    <w:rPr>
                      <w:rFonts w:cs="Times New Roman"/>
                      <w:szCs w:val="21"/>
                      <w:vertAlign w:val="superscript"/>
                    </w:rPr>
                    <w:t>3</w:t>
                  </w:r>
                  <w:r>
                    <w:rPr>
                      <w:rFonts w:cs="Times New Roman"/>
                      <w:szCs w:val="21"/>
                    </w:rPr>
                    <w:t>）处理后排入园区管网进入柳池工业园区污水处理厂处理。</w:t>
                  </w:r>
                </w:p>
              </w:tc>
              <w:tc>
                <w:tcPr>
                  <w:tcW w:w="769" w:type="pct"/>
                  <w:tcBorders>
                    <w:tl2br w:val="nil"/>
                    <w:tr2bl w:val="nil"/>
                  </w:tcBorders>
                  <w:vAlign w:val="center"/>
                </w:tcPr>
                <w:p>
                  <w:pPr>
                    <w:jc w:val="center"/>
                    <w:rPr>
                      <w:rFonts w:cs="Times New Roman"/>
                      <w:szCs w:val="21"/>
                    </w:rPr>
                  </w:pPr>
                  <w:r>
                    <w:rPr>
                      <w:rFonts w:cs="Times New Roman"/>
                      <w:szCs w:val="21"/>
                    </w:rPr>
                    <w:t>1</w:t>
                  </w:r>
                </w:p>
              </w:tc>
              <w:tc>
                <w:tcPr>
                  <w:tcW w:w="531" w:type="pct"/>
                  <w:tcBorders>
                    <w:tl2br w:val="nil"/>
                    <w:tr2bl w:val="nil"/>
                  </w:tcBorders>
                  <w:vAlign w:val="center"/>
                </w:tcPr>
                <w:p>
                  <w:pPr>
                    <w:jc w:val="center"/>
                    <w:rPr>
                      <w:rFonts w:cs="Times New Roman"/>
                      <w:szCs w:val="21"/>
                    </w:rPr>
                  </w:pPr>
                  <w:r>
                    <w:rPr>
                      <w:rFonts w:cs="Times New Roman"/>
                      <w:szCs w:val="21"/>
                    </w:rPr>
                    <w:t>新增+依托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restart"/>
                  <w:tcBorders>
                    <w:tl2br w:val="nil"/>
                    <w:tr2bl w:val="nil"/>
                  </w:tcBorders>
                  <w:vAlign w:val="center"/>
                </w:tcPr>
                <w:p>
                  <w:pPr>
                    <w:jc w:val="center"/>
                    <w:rPr>
                      <w:rFonts w:cs="Times New Roman"/>
                      <w:szCs w:val="21"/>
                    </w:rPr>
                  </w:pPr>
                  <w:r>
                    <w:rPr>
                      <w:rFonts w:cs="Times New Roman"/>
                      <w:szCs w:val="21"/>
                    </w:rPr>
                    <w:t>噪声治理</w:t>
                  </w:r>
                </w:p>
              </w:tc>
              <w:tc>
                <w:tcPr>
                  <w:tcW w:w="493" w:type="pct"/>
                  <w:vMerge w:val="restart"/>
                  <w:tcBorders>
                    <w:tl2br w:val="nil"/>
                    <w:tr2bl w:val="nil"/>
                  </w:tcBorders>
                  <w:vAlign w:val="center"/>
                </w:tcPr>
                <w:p>
                  <w:pPr>
                    <w:jc w:val="center"/>
                    <w:rPr>
                      <w:rFonts w:cs="Times New Roman"/>
                      <w:szCs w:val="21"/>
                    </w:rPr>
                  </w:pPr>
                  <w:r>
                    <w:rPr>
                      <w:rFonts w:cs="Times New Roman"/>
                      <w:szCs w:val="21"/>
                    </w:rPr>
                    <w:t>营运期</w:t>
                  </w:r>
                </w:p>
              </w:tc>
              <w:tc>
                <w:tcPr>
                  <w:tcW w:w="2661" w:type="pct"/>
                  <w:tcBorders>
                    <w:tl2br w:val="nil"/>
                    <w:tr2bl w:val="nil"/>
                  </w:tcBorders>
                  <w:vAlign w:val="center"/>
                </w:tcPr>
                <w:p>
                  <w:pPr>
                    <w:jc w:val="center"/>
                    <w:rPr>
                      <w:rFonts w:cs="Times New Roman"/>
                      <w:szCs w:val="21"/>
                    </w:rPr>
                  </w:pPr>
                  <w:r>
                    <w:rPr>
                      <w:rFonts w:cs="Times New Roman"/>
                      <w:szCs w:val="21"/>
                    </w:rPr>
                    <w:t>选用低噪声设备，合理布局、采取减震措施，厂房隔声等</w:t>
                  </w:r>
                </w:p>
              </w:tc>
              <w:tc>
                <w:tcPr>
                  <w:tcW w:w="769" w:type="pct"/>
                  <w:tcBorders>
                    <w:tl2br w:val="nil"/>
                    <w:tr2bl w:val="nil"/>
                  </w:tcBorders>
                  <w:vAlign w:val="center"/>
                </w:tcPr>
                <w:p>
                  <w:pPr>
                    <w:jc w:val="center"/>
                    <w:rPr>
                      <w:rFonts w:cs="Times New Roman"/>
                      <w:szCs w:val="21"/>
                    </w:rPr>
                  </w:pPr>
                  <w:r>
                    <w:rPr>
                      <w:rFonts w:cs="Times New Roman"/>
                      <w:szCs w:val="21"/>
                    </w:rPr>
                    <w:t>1</w:t>
                  </w:r>
                </w:p>
              </w:tc>
              <w:tc>
                <w:tcPr>
                  <w:tcW w:w="531" w:type="pct"/>
                  <w:tcBorders>
                    <w:tl2br w:val="nil"/>
                    <w:tr2bl w:val="nil"/>
                  </w:tcBorders>
                  <w:vAlign w:val="center"/>
                </w:tcPr>
                <w:p>
                  <w:pPr>
                    <w:jc w:val="center"/>
                    <w:rPr>
                      <w:rFonts w:cs="Times New Roman"/>
                      <w:szCs w:val="21"/>
                    </w:rPr>
                  </w:pPr>
                  <w:r>
                    <w:rPr>
                      <w:rFonts w:cs="Times New Roman"/>
                      <w:szCs w:val="21"/>
                    </w:rPr>
                    <w:t>新增+依托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continue"/>
                  <w:tcBorders>
                    <w:tl2br w:val="nil"/>
                    <w:tr2bl w:val="nil"/>
                  </w:tcBorders>
                  <w:vAlign w:val="center"/>
                </w:tcPr>
                <w:p>
                  <w:pPr>
                    <w:jc w:val="center"/>
                    <w:rPr>
                      <w:rFonts w:cs="Times New Roman"/>
                      <w:szCs w:val="21"/>
                    </w:rPr>
                  </w:pPr>
                </w:p>
              </w:tc>
              <w:tc>
                <w:tcPr>
                  <w:tcW w:w="493" w:type="pct"/>
                  <w:vMerge w:val="continue"/>
                  <w:tcBorders>
                    <w:tl2br w:val="nil"/>
                    <w:tr2bl w:val="nil"/>
                  </w:tcBorders>
                  <w:vAlign w:val="center"/>
                </w:tcPr>
                <w:p>
                  <w:pPr>
                    <w:jc w:val="center"/>
                    <w:rPr>
                      <w:rFonts w:cs="Times New Roman"/>
                      <w:szCs w:val="21"/>
                    </w:rPr>
                  </w:pPr>
                </w:p>
              </w:tc>
              <w:tc>
                <w:tcPr>
                  <w:tcW w:w="2661" w:type="pct"/>
                  <w:tcBorders>
                    <w:tl2br w:val="nil"/>
                    <w:tr2bl w:val="nil"/>
                  </w:tcBorders>
                  <w:vAlign w:val="center"/>
                </w:tcPr>
                <w:p>
                  <w:pPr>
                    <w:jc w:val="center"/>
                    <w:rPr>
                      <w:rFonts w:cs="Times New Roman"/>
                      <w:szCs w:val="21"/>
                    </w:rPr>
                  </w:pPr>
                  <w:r>
                    <w:rPr>
                      <w:rFonts w:cs="Times New Roman"/>
                      <w:szCs w:val="21"/>
                    </w:rPr>
                    <w:t>加强车辆进出管理，设置减速、禁鸣等提示标志</w:t>
                  </w:r>
                </w:p>
              </w:tc>
              <w:tc>
                <w:tcPr>
                  <w:tcW w:w="769" w:type="pct"/>
                  <w:tcBorders>
                    <w:tl2br w:val="nil"/>
                    <w:tr2bl w:val="nil"/>
                  </w:tcBorders>
                  <w:vAlign w:val="center"/>
                </w:tcPr>
                <w:p>
                  <w:pPr>
                    <w:jc w:val="center"/>
                    <w:rPr>
                      <w:rFonts w:cs="Times New Roman"/>
                      <w:szCs w:val="21"/>
                    </w:rPr>
                  </w:pPr>
                  <w:r>
                    <w:rPr>
                      <w:rFonts w:cs="Times New Roman"/>
                      <w:szCs w:val="21"/>
                    </w:rPr>
                    <w:t>/</w:t>
                  </w:r>
                </w:p>
              </w:tc>
              <w:tc>
                <w:tcPr>
                  <w:tcW w:w="531" w:type="pct"/>
                  <w:tcBorders>
                    <w:tl2br w:val="nil"/>
                    <w:tr2bl w:val="nil"/>
                  </w:tcBorders>
                  <w:vAlign w:val="center"/>
                </w:tcPr>
                <w:p>
                  <w:pPr>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restart"/>
                  <w:tcBorders>
                    <w:tl2br w:val="nil"/>
                    <w:tr2bl w:val="nil"/>
                  </w:tcBorders>
                  <w:vAlign w:val="center"/>
                </w:tcPr>
                <w:p>
                  <w:pPr>
                    <w:jc w:val="center"/>
                    <w:rPr>
                      <w:rFonts w:cs="Times New Roman"/>
                      <w:szCs w:val="21"/>
                    </w:rPr>
                  </w:pPr>
                  <w:r>
                    <w:rPr>
                      <w:rFonts w:cs="Times New Roman"/>
                      <w:szCs w:val="21"/>
                    </w:rPr>
                    <w:t>固体废物</w:t>
                  </w:r>
                </w:p>
              </w:tc>
              <w:tc>
                <w:tcPr>
                  <w:tcW w:w="493" w:type="pct"/>
                  <w:vMerge w:val="restart"/>
                  <w:tcBorders>
                    <w:tl2br w:val="nil"/>
                    <w:tr2bl w:val="nil"/>
                  </w:tcBorders>
                  <w:vAlign w:val="center"/>
                </w:tcPr>
                <w:p>
                  <w:pPr>
                    <w:jc w:val="center"/>
                    <w:rPr>
                      <w:rFonts w:cs="Times New Roman"/>
                      <w:szCs w:val="21"/>
                    </w:rPr>
                  </w:pPr>
                  <w:r>
                    <w:rPr>
                      <w:rFonts w:cs="Times New Roman"/>
                      <w:szCs w:val="21"/>
                    </w:rPr>
                    <w:t>营运期</w:t>
                  </w:r>
                </w:p>
              </w:tc>
              <w:tc>
                <w:tcPr>
                  <w:tcW w:w="2661" w:type="pct"/>
                  <w:tcBorders>
                    <w:tl2br w:val="nil"/>
                    <w:tr2bl w:val="nil"/>
                  </w:tcBorders>
                  <w:vAlign w:val="center"/>
                </w:tcPr>
                <w:p>
                  <w:pPr>
                    <w:jc w:val="center"/>
                    <w:rPr>
                      <w:rFonts w:cs="Times New Roman"/>
                      <w:szCs w:val="21"/>
                    </w:rPr>
                  </w:pPr>
                  <w:r>
                    <w:rPr>
                      <w:rFonts w:cs="Times New Roman"/>
                      <w:szCs w:val="21"/>
                    </w:rPr>
                    <w:t>生活垃圾收集后交由环卫部门清运；餐厨垃圾交由有资质的单位处理；不合格品及边角料返回生产线重新利用；废包装材料外卖给废品回收单位</w:t>
                  </w:r>
                </w:p>
              </w:tc>
              <w:tc>
                <w:tcPr>
                  <w:tcW w:w="769" w:type="pct"/>
                  <w:tcBorders>
                    <w:tl2br w:val="nil"/>
                    <w:tr2bl w:val="nil"/>
                  </w:tcBorders>
                  <w:vAlign w:val="center"/>
                </w:tcPr>
                <w:p>
                  <w:pPr>
                    <w:jc w:val="center"/>
                    <w:rPr>
                      <w:rFonts w:cs="Times New Roman"/>
                      <w:szCs w:val="21"/>
                    </w:rPr>
                  </w:pPr>
                  <w:r>
                    <w:rPr>
                      <w:rFonts w:cs="Times New Roman"/>
                      <w:szCs w:val="21"/>
                    </w:rPr>
                    <w:t>2</w:t>
                  </w:r>
                </w:p>
              </w:tc>
              <w:tc>
                <w:tcPr>
                  <w:tcW w:w="531" w:type="pct"/>
                  <w:tcBorders>
                    <w:tl2br w:val="nil"/>
                    <w:tr2bl w:val="nil"/>
                  </w:tcBorders>
                  <w:vAlign w:val="center"/>
                </w:tcPr>
                <w:p>
                  <w:pPr>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continue"/>
                  <w:tcBorders>
                    <w:tl2br w:val="nil"/>
                    <w:tr2bl w:val="nil"/>
                  </w:tcBorders>
                  <w:vAlign w:val="center"/>
                </w:tcPr>
                <w:p>
                  <w:pPr>
                    <w:jc w:val="center"/>
                    <w:rPr>
                      <w:rFonts w:cs="Times New Roman"/>
                      <w:szCs w:val="21"/>
                    </w:rPr>
                  </w:pPr>
                </w:p>
              </w:tc>
              <w:tc>
                <w:tcPr>
                  <w:tcW w:w="493" w:type="pct"/>
                  <w:vMerge w:val="continue"/>
                  <w:tcBorders>
                    <w:tl2br w:val="nil"/>
                    <w:tr2bl w:val="nil"/>
                  </w:tcBorders>
                  <w:vAlign w:val="center"/>
                </w:tcPr>
                <w:p>
                  <w:pPr>
                    <w:jc w:val="center"/>
                    <w:rPr>
                      <w:rFonts w:cs="Times New Roman"/>
                      <w:szCs w:val="21"/>
                    </w:rPr>
                  </w:pPr>
                </w:p>
              </w:tc>
              <w:tc>
                <w:tcPr>
                  <w:tcW w:w="2661" w:type="pct"/>
                  <w:tcBorders>
                    <w:tl2br w:val="nil"/>
                    <w:tr2bl w:val="nil"/>
                  </w:tcBorders>
                  <w:vAlign w:val="center"/>
                </w:tcPr>
                <w:p>
                  <w:pPr>
                    <w:jc w:val="center"/>
                    <w:rPr>
                      <w:rFonts w:cs="Times New Roman"/>
                      <w:szCs w:val="21"/>
                    </w:rPr>
                  </w:pPr>
                  <w:r>
                    <w:rPr>
                      <w:rFonts w:cs="Times New Roman"/>
                      <w:szCs w:val="21"/>
                    </w:rPr>
                    <w:t>废危化品桶定期由厂家回收利用；废活性炭、废机油、含油抹布及手套</w:t>
                  </w:r>
                  <w:r>
                    <w:rPr>
                      <w:rFonts w:cs="Times New Roman" w:eastAsiaTheme="minorEastAsia"/>
                      <w:szCs w:val="21"/>
                    </w:rPr>
                    <w:t>收集后暂存于危废暂存间，</w:t>
                  </w:r>
                  <w:r>
                    <w:rPr>
                      <w:rFonts w:cs="Times New Roman"/>
                      <w:szCs w:val="21"/>
                    </w:rPr>
                    <w:t>交由有危废资质的单位进行处理</w:t>
                  </w:r>
                </w:p>
              </w:tc>
              <w:tc>
                <w:tcPr>
                  <w:tcW w:w="769" w:type="pct"/>
                  <w:tcBorders>
                    <w:tl2br w:val="nil"/>
                    <w:tr2bl w:val="nil"/>
                  </w:tcBorders>
                  <w:vAlign w:val="center"/>
                </w:tcPr>
                <w:p>
                  <w:pPr>
                    <w:jc w:val="center"/>
                    <w:rPr>
                      <w:rFonts w:cs="Times New Roman"/>
                      <w:szCs w:val="21"/>
                    </w:rPr>
                  </w:pPr>
                  <w:r>
                    <w:rPr>
                      <w:rFonts w:hint="eastAsia" w:cs="Times New Roman"/>
                      <w:szCs w:val="21"/>
                    </w:rPr>
                    <w:t>8</w:t>
                  </w:r>
                </w:p>
              </w:tc>
              <w:tc>
                <w:tcPr>
                  <w:tcW w:w="531" w:type="pct"/>
                  <w:tcBorders>
                    <w:tl2br w:val="nil"/>
                    <w:tr2bl w:val="nil"/>
                  </w:tcBorders>
                  <w:vAlign w:val="center"/>
                </w:tcPr>
                <w:p>
                  <w:pPr>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continue"/>
                  <w:tcBorders>
                    <w:tl2br w:val="nil"/>
                    <w:tr2bl w:val="nil"/>
                  </w:tcBorders>
                  <w:vAlign w:val="center"/>
                </w:tcPr>
                <w:p>
                  <w:pPr>
                    <w:jc w:val="center"/>
                    <w:rPr>
                      <w:rFonts w:cs="Times New Roman"/>
                      <w:szCs w:val="21"/>
                    </w:rPr>
                  </w:pPr>
                </w:p>
              </w:tc>
              <w:tc>
                <w:tcPr>
                  <w:tcW w:w="493" w:type="pct"/>
                  <w:vMerge w:val="continue"/>
                  <w:tcBorders>
                    <w:tl2br w:val="nil"/>
                    <w:tr2bl w:val="nil"/>
                  </w:tcBorders>
                  <w:vAlign w:val="center"/>
                </w:tcPr>
                <w:p>
                  <w:pPr>
                    <w:jc w:val="center"/>
                    <w:rPr>
                      <w:rFonts w:cs="Times New Roman"/>
                      <w:szCs w:val="21"/>
                    </w:rPr>
                  </w:pPr>
                </w:p>
              </w:tc>
              <w:tc>
                <w:tcPr>
                  <w:tcW w:w="2661" w:type="pct"/>
                  <w:tcBorders>
                    <w:tl2br w:val="nil"/>
                    <w:tr2bl w:val="nil"/>
                  </w:tcBorders>
                  <w:vAlign w:val="center"/>
                </w:tcPr>
                <w:p>
                  <w:pPr>
                    <w:jc w:val="center"/>
                    <w:rPr>
                      <w:rFonts w:cs="Times New Roman"/>
                      <w:szCs w:val="21"/>
                    </w:rPr>
                  </w:pPr>
                  <w:r>
                    <w:rPr>
                      <w:rFonts w:cs="Times New Roman"/>
                      <w:szCs w:val="21"/>
                    </w:rPr>
                    <w:t>一般固废存储池规范化设置，进行防雨措施</w:t>
                  </w:r>
                </w:p>
              </w:tc>
              <w:tc>
                <w:tcPr>
                  <w:tcW w:w="769" w:type="pct"/>
                  <w:tcBorders>
                    <w:tl2br w:val="nil"/>
                    <w:tr2bl w:val="nil"/>
                  </w:tcBorders>
                  <w:vAlign w:val="center"/>
                </w:tcPr>
                <w:p>
                  <w:pPr>
                    <w:jc w:val="center"/>
                    <w:rPr>
                      <w:rFonts w:cs="Times New Roman"/>
                      <w:szCs w:val="21"/>
                    </w:rPr>
                  </w:pPr>
                  <w:r>
                    <w:rPr>
                      <w:rFonts w:hint="eastAsia" w:cs="Times New Roman"/>
                      <w:szCs w:val="21"/>
                    </w:rPr>
                    <w:t>2</w:t>
                  </w:r>
                </w:p>
              </w:tc>
              <w:tc>
                <w:tcPr>
                  <w:tcW w:w="531" w:type="pct"/>
                  <w:tcBorders>
                    <w:tl2br w:val="nil"/>
                    <w:tr2bl w:val="nil"/>
                  </w:tcBorders>
                  <w:vAlign w:val="center"/>
                </w:tcPr>
                <w:p>
                  <w:pPr>
                    <w:jc w:val="center"/>
                    <w:rPr>
                      <w:rFonts w:cs="Times New Roman"/>
                      <w:szCs w:val="21"/>
                    </w:rPr>
                  </w:pPr>
                  <w:r>
                    <w:rPr>
                      <w:rFonts w:hint="eastAsia" w:cs="Times New Roman"/>
                      <w:szCs w:val="21"/>
                    </w:rPr>
                    <w:t>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vMerge w:val="continue"/>
                  <w:tcBorders>
                    <w:tl2br w:val="nil"/>
                    <w:tr2bl w:val="nil"/>
                  </w:tcBorders>
                  <w:vAlign w:val="center"/>
                </w:tcPr>
                <w:p>
                  <w:pPr>
                    <w:jc w:val="center"/>
                    <w:rPr>
                      <w:rFonts w:cs="Times New Roman"/>
                      <w:szCs w:val="21"/>
                    </w:rPr>
                  </w:pPr>
                </w:p>
              </w:tc>
              <w:tc>
                <w:tcPr>
                  <w:tcW w:w="493" w:type="pct"/>
                  <w:vMerge w:val="continue"/>
                  <w:tcBorders>
                    <w:tl2br w:val="nil"/>
                    <w:tr2bl w:val="nil"/>
                  </w:tcBorders>
                  <w:vAlign w:val="center"/>
                </w:tcPr>
                <w:p>
                  <w:pPr>
                    <w:jc w:val="center"/>
                    <w:rPr>
                      <w:rFonts w:cs="Times New Roman"/>
                      <w:szCs w:val="21"/>
                    </w:rPr>
                  </w:pPr>
                </w:p>
              </w:tc>
              <w:tc>
                <w:tcPr>
                  <w:tcW w:w="2661" w:type="pct"/>
                  <w:tcBorders>
                    <w:tl2br w:val="nil"/>
                    <w:tr2bl w:val="nil"/>
                  </w:tcBorders>
                  <w:vAlign w:val="center"/>
                </w:tcPr>
                <w:p>
                  <w:pPr>
                    <w:jc w:val="center"/>
                    <w:rPr>
                      <w:rFonts w:cs="Times New Roman"/>
                      <w:szCs w:val="21"/>
                    </w:rPr>
                  </w:pPr>
                  <w:r>
                    <w:rPr>
                      <w:rFonts w:cs="Times New Roman"/>
                      <w:szCs w:val="21"/>
                    </w:rPr>
                    <w:t>设置有1间面积为15m</w:t>
                  </w:r>
                  <w:r>
                    <w:rPr>
                      <w:rFonts w:cs="Times New Roman"/>
                      <w:szCs w:val="21"/>
                      <w:vertAlign w:val="superscript"/>
                    </w:rPr>
                    <w:t>2</w:t>
                  </w:r>
                  <w:r>
                    <w:rPr>
                      <w:rFonts w:cs="Times New Roman"/>
                      <w:szCs w:val="21"/>
                    </w:rPr>
                    <w:t>的危废暂存间，已落实“防风、防雨、防晒、防渗漏”措施。现规范危险废物暂存间的建设，进行全封闭，并规范标志标牌。</w:t>
                  </w:r>
                </w:p>
              </w:tc>
              <w:tc>
                <w:tcPr>
                  <w:tcW w:w="769" w:type="pct"/>
                  <w:tcBorders>
                    <w:tl2br w:val="nil"/>
                    <w:tr2bl w:val="nil"/>
                  </w:tcBorders>
                  <w:vAlign w:val="center"/>
                </w:tcPr>
                <w:p>
                  <w:pPr>
                    <w:jc w:val="center"/>
                    <w:rPr>
                      <w:rFonts w:cs="Times New Roman"/>
                      <w:szCs w:val="21"/>
                    </w:rPr>
                  </w:pPr>
                  <w:r>
                    <w:rPr>
                      <w:rFonts w:cs="Times New Roman"/>
                      <w:szCs w:val="21"/>
                    </w:rPr>
                    <w:t>2</w:t>
                  </w:r>
                </w:p>
              </w:tc>
              <w:tc>
                <w:tcPr>
                  <w:tcW w:w="531" w:type="pct"/>
                  <w:tcBorders>
                    <w:tl2br w:val="nil"/>
                    <w:tr2bl w:val="nil"/>
                  </w:tcBorders>
                  <w:vAlign w:val="center"/>
                </w:tcPr>
                <w:p>
                  <w:pPr>
                    <w:jc w:val="center"/>
                    <w:rPr>
                      <w:rFonts w:cs="Times New Roman"/>
                      <w:szCs w:val="21"/>
                    </w:rPr>
                  </w:pPr>
                  <w:r>
                    <w:rPr>
                      <w:rFonts w:cs="Times New Roman"/>
                      <w:szCs w:val="21"/>
                    </w:rPr>
                    <w:t>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tcBorders>
                    <w:tl2br w:val="nil"/>
                    <w:tr2bl w:val="nil"/>
                  </w:tcBorders>
                  <w:vAlign w:val="center"/>
                </w:tcPr>
                <w:p>
                  <w:pPr>
                    <w:jc w:val="center"/>
                    <w:rPr>
                      <w:rFonts w:cs="Times New Roman"/>
                      <w:szCs w:val="21"/>
                    </w:rPr>
                  </w:pPr>
                  <w:r>
                    <w:rPr>
                      <w:rFonts w:cs="Times New Roman"/>
                      <w:szCs w:val="21"/>
                    </w:rPr>
                    <w:t>环境风险</w:t>
                  </w:r>
                </w:p>
              </w:tc>
              <w:tc>
                <w:tcPr>
                  <w:tcW w:w="3154" w:type="pct"/>
                  <w:gridSpan w:val="2"/>
                  <w:tcBorders>
                    <w:tl2br w:val="nil"/>
                    <w:tr2bl w:val="nil"/>
                  </w:tcBorders>
                  <w:vAlign w:val="center"/>
                </w:tcPr>
                <w:p>
                  <w:pPr>
                    <w:jc w:val="center"/>
                    <w:rPr>
                      <w:rFonts w:cs="Times New Roman"/>
                      <w:szCs w:val="21"/>
                    </w:rPr>
                  </w:pPr>
                  <w:r>
                    <w:rPr>
                      <w:rFonts w:cs="Times New Roman" w:eastAsiaTheme="minorEastAsia"/>
                      <w:szCs w:val="21"/>
                    </w:rPr>
                    <w:t>加强运输风险管理，设置警示标识，配备相应数量灭火器，开展员工安全培训；加强污染防治设施管理和维护；严格执行环评及相关法律法规要求，制定环境风险应急预案。</w:t>
                  </w:r>
                </w:p>
              </w:tc>
              <w:tc>
                <w:tcPr>
                  <w:tcW w:w="769" w:type="pct"/>
                  <w:tcBorders>
                    <w:tl2br w:val="nil"/>
                    <w:tr2bl w:val="nil"/>
                  </w:tcBorders>
                  <w:vAlign w:val="center"/>
                </w:tcPr>
                <w:p>
                  <w:pPr>
                    <w:jc w:val="center"/>
                    <w:rPr>
                      <w:rFonts w:cs="Times New Roman"/>
                      <w:szCs w:val="21"/>
                    </w:rPr>
                  </w:pPr>
                  <w:r>
                    <w:rPr>
                      <w:rFonts w:cs="Times New Roman"/>
                      <w:szCs w:val="21"/>
                    </w:rPr>
                    <w:t>3</w:t>
                  </w:r>
                </w:p>
              </w:tc>
              <w:tc>
                <w:tcPr>
                  <w:tcW w:w="531" w:type="pct"/>
                  <w:tcBorders>
                    <w:tl2br w:val="nil"/>
                    <w:tr2bl w:val="nil"/>
                  </w:tcBorders>
                  <w:vAlign w:val="center"/>
                </w:tcPr>
                <w:p>
                  <w:pPr>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tcBorders>
                    <w:tl2br w:val="nil"/>
                    <w:tr2bl w:val="nil"/>
                  </w:tcBorders>
                  <w:vAlign w:val="center"/>
                </w:tcPr>
                <w:p>
                  <w:pPr>
                    <w:pStyle w:val="50"/>
                    <w:rPr>
                      <w:rFonts w:eastAsia="宋体"/>
                      <w:sz w:val="21"/>
                    </w:rPr>
                  </w:pPr>
                  <w:r>
                    <w:rPr>
                      <w:rFonts w:eastAsia="宋体"/>
                      <w:sz w:val="21"/>
                    </w:rPr>
                    <w:t>环境监测</w:t>
                  </w:r>
                </w:p>
              </w:tc>
              <w:tc>
                <w:tcPr>
                  <w:tcW w:w="3154" w:type="pct"/>
                  <w:gridSpan w:val="2"/>
                  <w:tcBorders>
                    <w:tl2br w:val="nil"/>
                    <w:tr2bl w:val="nil"/>
                  </w:tcBorders>
                  <w:vAlign w:val="center"/>
                </w:tcPr>
                <w:p>
                  <w:pPr>
                    <w:jc w:val="center"/>
                    <w:rPr>
                      <w:rFonts w:cs="Times New Roman"/>
                      <w:szCs w:val="21"/>
                    </w:rPr>
                  </w:pPr>
                  <w:r>
                    <w:rPr>
                      <w:rFonts w:cs="Times New Roman"/>
                      <w:szCs w:val="21"/>
                    </w:rPr>
                    <w:t>制定自行监测方案，定期开展污染源监测</w:t>
                  </w:r>
                </w:p>
              </w:tc>
              <w:tc>
                <w:tcPr>
                  <w:tcW w:w="769" w:type="pct"/>
                  <w:tcBorders>
                    <w:tl2br w:val="nil"/>
                    <w:tr2bl w:val="nil"/>
                  </w:tcBorders>
                  <w:vAlign w:val="center"/>
                </w:tcPr>
                <w:p>
                  <w:pPr>
                    <w:jc w:val="center"/>
                    <w:rPr>
                      <w:rFonts w:cs="Times New Roman"/>
                      <w:szCs w:val="21"/>
                    </w:rPr>
                  </w:pPr>
                  <w:r>
                    <w:rPr>
                      <w:rFonts w:cs="Times New Roman"/>
                      <w:szCs w:val="21"/>
                    </w:rPr>
                    <w:t>3</w:t>
                  </w:r>
                </w:p>
              </w:tc>
              <w:tc>
                <w:tcPr>
                  <w:tcW w:w="531" w:type="pct"/>
                  <w:tcBorders>
                    <w:tl2br w:val="nil"/>
                    <w:tr2bl w:val="nil"/>
                  </w:tcBorders>
                  <w:vAlign w:val="center"/>
                </w:tcPr>
                <w:p>
                  <w:pPr>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4" w:type="pct"/>
                  <w:tcBorders>
                    <w:tl2br w:val="nil"/>
                    <w:tr2bl w:val="nil"/>
                  </w:tcBorders>
                  <w:vAlign w:val="center"/>
                </w:tcPr>
                <w:p>
                  <w:pPr>
                    <w:jc w:val="center"/>
                    <w:rPr>
                      <w:rFonts w:cs="Times New Roman"/>
                      <w:szCs w:val="21"/>
                    </w:rPr>
                  </w:pPr>
                  <w:r>
                    <w:rPr>
                      <w:rFonts w:cs="Times New Roman"/>
                      <w:szCs w:val="21"/>
                    </w:rPr>
                    <w:t>合计</w:t>
                  </w:r>
                </w:p>
              </w:tc>
              <w:tc>
                <w:tcPr>
                  <w:tcW w:w="3154" w:type="pct"/>
                  <w:gridSpan w:val="2"/>
                  <w:tcBorders>
                    <w:tl2br w:val="nil"/>
                    <w:tr2bl w:val="nil"/>
                  </w:tcBorders>
                  <w:vAlign w:val="center"/>
                </w:tcPr>
                <w:p>
                  <w:pPr>
                    <w:jc w:val="center"/>
                    <w:rPr>
                      <w:rFonts w:cs="Times New Roman"/>
                      <w:szCs w:val="21"/>
                    </w:rPr>
                  </w:pPr>
                  <w:r>
                    <w:rPr>
                      <w:rFonts w:cs="Times New Roman"/>
                      <w:szCs w:val="21"/>
                    </w:rPr>
                    <w:t>/</w:t>
                  </w:r>
                </w:p>
              </w:tc>
              <w:tc>
                <w:tcPr>
                  <w:tcW w:w="769" w:type="pct"/>
                  <w:tcBorders>
                    <w:tl2br w:val="nil"/>
                    <w:tr2bl w:val="nil"/>
                  </w:tcBorders>
                  <w:vAlign w:val="center"/>
                </w:tcPr>
                <w:p>
                  <w:pPr>
                    <w:jc w:val="center"/>
                    <w:rPr>
                      <w:rFonts w:cs="Times New Roman"/>
                      <w:szCs w:val="21"/>
                    </w:rPr>
                  </w:pPr>
                  <w:r>
                    <w:rPr>
                      <w:rFonts w:cs="Times New Roman"/>
                      <w:szCs w:val="21"/>
                    </w:rPr>
                    <w:t>62</w:t>
                  </w:r>
                </w:p>
              </w:tc>
              <w:tc>
                <w:tcPr>
                  <w:tcW w:w="531" w:type="pct"/>
                  <w:tcBorders>
                    <w:tl2br w:val="nil"/>
                    <w:tr2bl w:val="nil"/>
                  </w:tcBorders>
                  <w:vAlign w:val="center"/>
                </w:tcPr>
                <w:p>
                  <w:pPr>
                    <w:jc w:val="center"/>
                    <w:rPr>
                      <w:rFonts w:cs="Times New Roman"/>
                      <w:szCs w:val="21"/>
                    </w:rPr>
                  </w:pPr>
                </w:p>
              </w:tc>
            </w:tr>
          </w:tbl>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ind w:firstLine="480"/>
              <w:rPr>
                <w:rFonts w:cs="Times New Roman"/>
                <w:sz w:val="24"/>
                <w:szCs w:val="24"/>
              </w:rPr>
            </w:pPr>
          </w:p>
          <w:p>
            <w:pPr>
              <w:spacing w:line="360" w:lineRule="auto"/>
              <w:rPr>
                <w:rFonts w:cs="Times New Roman"/>
                <w:sz w:val="24"/>
                <w:szCs w:val="24"/>
              </w:rPr>
            </w:pPr>
          </w:p>
        </w:tc>
      </w:tr>
    </w:tbl>
    <w:p>
      <w:pPr>
        <w:spacing w:line="276" w:lineRule="auto"/>
        <w:ind w:firstLine="420" w:firstLineChars="200"/>
        <w:rPr>
          <w:rFonts w:cs="Times New Roman"/>
          <w:szCs w:val="21"/>
        </w:rPr>
        <w:sectPr>
          <w:pgSz w:w="11906" w:h="16838"/>
          <w:pgMar w:top="1134" w:right="1418" w:bottom="1134" w:left="1134" w:header="851" w:footer="992" w:gutter="0"/>
          <w:cols w:space="720" w:num="1"/>
          <w:docGrid w:type="lines" w:linePitch="312" w:charSpace="0"/>
        </w:sectPr>
      </w:pPr>
    </w:p>
    <w:p>
      <w:pPr>
        <w:pStyle w:val="59"/>
        <w:jc w:val="center"/>
        <w:rPr>
          <w:rFonts w:eastAsia="黑体" w:cs="Times New Roman"/>
          <w:b w:val="0"/>
          <w:sz w:val="30"/>
          <w:szCs w:val="30"/>
        </w:rPr>
      </w:pPr>
      <w:r>
        <w:rPr>
          <w:rFonts w:eastAsia="黑体" w:cs="Times New Roman"/>
          <w:b w:val="0"/>
          <w:sz w:val="30"/>
          <w:szCs w:val="30"/>
        </w:rPr>
        <mc:AlternateContent>
          <mc:Choice Requires="wps">
            <w:drawing>
              <wp:anchor distT="0" distB="0" distL="114300" distR="114300" simplePos="0" relativeHeight="251660288" behindDoc="0" locked="0" layoutInCell="1" allowOverlap="1">
                <wp:simplePos x="0" y="0"/>
                <wp:positionH relativeFrom="column">
                  <wp:posOffset>-14605</wp:posOffset>
                </wp:positionH>
                <wp:positionV relativeFrom="paragraph">
                  <wp:posOffset>394335</wp:posOffset>
                </wp:positionV>
                <wp:extent cx="875030" cy="463550"/>
                <wp:effectExtent l="2540" t="4445" r="17780" b="8255"/>
                <wp:wrapNone/>
                <wp:docPr id="45" name="直接连接符 45"/>
                <wp:cNvGraphicFramePr/>
                <a:graphic xmlns:a="http://schemas.openxmlformats.org/drawingml/2006/main">
                  <a:graphicData uri="http://schemas.microsoft.com/office/word/2010/wordprocessingShape">
                    <wps:wsp>
                      <wps:cNvCnPr/>
                      <wps:spPr>
                        <a:xfrm>
                          <a:off x="0" y="0"/>
                          <a:ext cx="875030" cy="463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5pt;margin-top:31.05pt;height:36.5pt;width:68.9pt;z-index:251660288;mso-width-relative:page;mso-height-relative:page;" filled="f" stroked="t" coordsize="21600,21600" o:gfxdata="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ydCUnXAAAACQEAAA8A&#10;AAAAAAAAAQAgAAAAIgAAAGRycy9kb3ducmV2LnhtbFBLAQIUABQAAAAIAIdO4kBkVBma3wEAAKAD&#10;AAAOAAAAAAAAAAEAIAAAACYBAABkcnMvZTJvRG9jLnhtbFBLBQYAAAAABgAGAFkBAAB3BQAAAAA=&#10;">
                <v:fill on="f" focussize="0,0"/>
                <v:stroke color="#000000 [3213]" joinstyle="round"/>
                <v:imagedata o:title=""/>
                <o:lock v:ext="edit" aspectratio="f"/>
              </v:line>
            </w:pict>
          </mc:Fallback>
        </mc:AlternateContent>
      </w:r>
      <w:r>
        <w:rPr>
          <w:rFonts w:eastAsia="黑体" w:cs="Times New Roman"/>
          <w:b w:val="0"/>
          <w:sz w:val="30"/>
          <w:szCs w:val="30"/>
        </w:rPr>
        <w:t>五、环境保护措施监督检查清单</w:t>
      </w:r>
    </w:p>
    <w:tbl>
      <w:tblPr>
        <w:tblStyle w:val="26"/>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73"/>
        <w:gridCol w:w="1605"/>
        <w:gridCol w:w="1059"/>
        <w:gridCol w:w="2781"/>
        <w:gridCol w:w="2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right"/>
              <w:rPr>
                <w:rFonts w:cs="Times New Roman" w:eastAsiaTheme="minorEastAsia"/>
                <w:b/>
                <w:bCs/>
                <w:szCs w:val="21"/>
              </w:rPr>
            </w:pPr>
            <w:r>
              <w:rPr>
                <w:rFonts w:cs="Times New Roman" w:eastAsiaTheme="minorEastAsia"/>
                <w:b/>
                <w:bCs/>
                <w:szCs w:val="21"/>
              </w:rPr>
              <w:t>内容</w:t>
            </w:r>
          </w:p>
          <w:p>
            <w:pPr>
              <w:spacing w:line="276" w:lineRule="auto"/>
              <w:rPr>
                <w:rFonts w:cs="Times New Roman" w:eastAsiaTheme="minorEastAsia"/>
                <w:b/>
                <w:bCs/>
                <w:szCs w:val="21"/>
              </w:rPr>
            </w:pPr>
            <w:r>
              <w:rPr>
                <w:rFonts w:cs="Times New Roman" w:eastAsiaTheme="minorEastAsia"/>
                <w:b/>
                <w:bCs/>
                <w:szCs w:val="21"/>
              </w:rPr>
              <w:t>要素</w:t>
            </w:r>
          </w:p>
        </w:tc>
        <w:tc>
          <w:tcPr>
            <w:tcW w:w="1605" w:type="dxa"/>
            <w:vAlign w:val="center"/>
          </w:tcPr>
          <w:p>
            <w:pPr>
              <w:spacing w:line="276" w:lineRule="auto"/>
              <w:jc w:val="center"/>
              <w:rPr>
                <w:rFonts w:cs="Times New Roman" w:eastAsiaTheme="minorEastAsia"/>
                <w:b/>
                <w:bCs/>
                <w:szCs w:val="21"/>
              </w:rPr>
            </w:pPr>
            <w:r>
              <w:rPr>
                <w:rFonts w:cs="Times New Roman" w:eastAsiaTheme="minorEastAsia"/>
                <w:b/>
                <w:bCs/>
                <w:szCs w:val="21"/>
              </w:rPr>
              <w:t>排放口（编号、名称）/污染源</w:t>
            </w:r>
          </w:p>
        </w:tc>
        <w:tc>
          <w:tcPr>
            <w:tcW w:w="1059" w:type="dxa"/>
            <w:vAlign w:val="center"/>
          </w:tcPr>
          <w:p>
            <w:pPr>
              <w:spacing w:line="276" w:lineRule="auto"/>
              <w:jc w:val="center"/>
              <w:rPr>
                <w:rFonts w:cs="Times New Roman" w:eastAsiaTheme="minorEastAsia"/>
                <w:b/>
                <w:bCs/>
                <w:szCs w:val="21"/>
              </w:rPr>
            </w:pPr>
            <w:r>
              <w:rPr>
                <w:rFonts w:cs="Times New Roman" w:eastAsiaTheme="minorEastAsia"/>
                <w:b/>
                <w:bCs/>
                <w:szCs w:val="21"/>
              </w:rPr>
              <w:t>污染物项目</w:t>
            </w:r>
          </w:p>
        </w:tc>
        <w:tc>
          <w:tcPr>
            <w:tcW w:w="2781" w:type="dxa"/>
            <w:vAlign w:val="center"/>
          </w:tcPr>
          <w:p>
            <w:pPr>
              <w:spacing w:line="276" w:lineRule="auto"/>
              <w:jc w:val="center"/>
              <w:rPr>
                <w:rFonts w:cs="Times New Roman" w:eastAsiaTheme="minorEastAsia"/>
                <w:b/>
                <w:bCs/>
                <w:szCs w:val="21"/>
              </w:rPr>
            </w:pPr>
            <w:r>
              <w:rPr>
                <w:rFonts w:cs="Times New Roman" w:eastAsiaTheme="minorEastAsia"/>
                <w:b/>
                <w:bCs/>
                <w:szCs w:val="21"/>
              </w:rPr>
              <w:t>环境保护措施</w:t>
            </w:r>
          </w:p>
        </w:tc>
        <w:tc>
          <w:tcPr>
            <w:tcW w:w="2431" w:type="dxa"/>
            <w:vAlign w:val="center"/>
          </w:tcPr>
          <w:p>
            <w:pPr>
              <w:spacing w:line="276" w:lineRule="auto"/>
              <w:jc w:val="center"/>
              <w:rPr>
                <w:rFonts w:cs="Times New Roman" w:eastAsiaTheme="minorEastAsia"/>
                <w:b/>
                <w:bCs/>
                <w:szCs w:val="21"/>
              </w:rPr>
            </w:pPr>
            <w:r>
              <w:rPr>
                <w:rFonts w:cs="Times New Roman" w:eastAsiaTheme="minorEastAsia"/>
                <w:b/>
                <w:bCs/>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restart"/>
            <w:vAlign w:val="center"/>
          </w:tcPr>
          <w:p>
            <w:pPr>
              <w:spacing w:line="276" w:lineRule="auto"/>
              <w:jc w:val="center"/>
              <w:rPr>
                <w:rFonts w:cs="Times New Roman" w:eastAsiaTheme="minorEastAsia"/>
                <w:szCs w:val="21"/>
              </w:rPr>
            </w:pPr>
            <w:r>
              <w:rPr>
                <w:rFonts w:cs="Times New Roman" w:eastAsiaTheme="minorEastAsia"/>
                <w:szCs w:val="21"/>
              </w:rPr>
              <w:t>大气环境</w:t>
            </w:r>
          </w:p>
        </w:tc>
        <w:tc>
          <w:tcPr>
            <w:tcW w:w="1605" w:type="dxa"/>
            <w:vAlign w:val="center"/>
          </w:tcPr>
          <w:p>
            <w:pPr>
              <w:jc w:val="center"/>
              <w:rPr>
                <w:rFonts w:cs="Times New Roman"/>
                <w:bCs/>
                <w:kern w:val="0"/>
                <w:szCs w:val="21"/>
              </w:rPr>
            </w:pPr>
            <w:r>
              <w:rPr>
                <w:rFonts w:cs="Times New Roman"/>
                <w:bCs/>
                <w:kern w:val="0"/>
                <w:szCs w:val="21"/>
              </w:rPr>
              <w:t>原料在浸胶、烘干环节产生的废气</w:t>
            </w:r>
          </w:p>
        </w:tc>
        <w:tc>
          <w:tcPr>
            <w:tcW w:w="1059" w:type="dxa"/>
            <w:vAlign w:val="center"/>
          </w:tcPr>
          <w:p>
            <w:pPr>
              <w:adjustRightInd w:val="0"/>
              <w:snapToGrid w:val="0"/>
              <w:ind w:left="-48" w:leftChars="-23" w:right="-36" w:rightChars="-17"/>
              <w:jc w:val="center"/>
              <w:rPr>
                <w:rFonts w:cs="Times New Roman"/>
                <w:snapToGrid w:val="0"/>
                <w:kern w:val="0"/>
                <w:szCs w:val="21"/>
              </w:rPr>
            </w:pPr>
            <w:r>
              <w:rPr>
                <w:rFonts w:cs="Times New Roman"/>
                <w:szCs w:val="21"/>
              </w:rPr>
              <w:t>甲醛、氨、VOCs</w:t>
            </w:r>
          </w:p>
        </w:tc>
        <w:tc>
          <w:tcPr>
            <w:tcW w:w="2781" w:type="dxa"/>
            <w:vAlign w:val="center"/>
          </w:tcPr>
          <w:p>
            <w:pPr>
              <w:adjustRightInd w:val="0"/>
              <w:snapToGrid w:val="0"/>
              <w:ind w:left="-48" w:leftChars="-23" w:right="-36" w:rightChars="-17"/>
              <w:jc w:val="center"/>
              <w:rPr>
                <w:rFonts w:cs="Times New Roman"/>
                <w:snapToGrid w:val="0"/>
                <w:kern w:val="0"/>
                <w:szCs w:val="21"/>
              </w:rPr>
            </w:pPr>
            <w:r>
              <w:rPr>
                <w:rFonts w:cs="Times New Roman"/>
                <w:szCs w:val="21"/>
              </w:rPr>
              <w:t>甲醛、氨、VOCs</w:t>
            </w:r>
          </w:p>
        </w:tc>
        <w:tc>
          <w:tcPr>
            <w:tcW w:w="2431" w:type="dxa"/>
            <w:vMerge w:val="restart"/>
            <w:vAlign w:val="center"/>
          </w:tcPr>
          <w:p>
            <w:pPr>
              <w:spacing w:line="276" w:lineRule="auto"/>
              <w:jc w:val="center"/>
              <w:rPr>
                <w:rFonts w:cs="Times New Roman" w:eastAsiaTheme="minorEastAsia"/>
                <w:szCs w:val="21"/>
              </w:rPr>
            </w:pPr>
            <w:r>
              <w:rPr>
                <w:rFonts w:cs="Times New Roman"/>
                <w:szCs w:val="21"/>
              </w:rPr>
              <w:t>《四川省固定污染源大气挥发性有机物排放标准》（DB51/2377-2017）；《建材工业大气污染物排放标准》（DB37/2373-2018）；《恶臭污染物排放标准》（GB14554-93）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szCs w:val="21"/>
              </w:rPr>
            </w:pPr>
          </w:p>
        </w:tc>
        <w:tc>
          <w:tcPr>
            <w:tcW w:w="1605" w:type="dxa"/>
            <w:vAlign w:val="center"/>
          </w:tcPr>
          <w:p>
            <w:pPr>
              <w:jc w:val="center"/>
              <w:rPr>
                <w:rFonts w:cs="Times New Roman"/>
                <w:bCs/>
                <w:kern w:val="0"/>
                <w:szCs w:val="21"/>
              </w:rPr>
            </w:pPr>
            <w:r>
              <w:rPr>
                <w:rFonts w:cs="Times New Roman"/>
                <w:bCs/>
                <w:kern w:val="0"/>
                <w:szCs w:val="21"/>
              </w:rPr>
              <w:t>天然气燃烧废气</w:t>
            </w:r>
          </w:p>
        </w:tc>
        <w:tc>
          <w:tcPr>
            <w:tcW w:w="1059" w:type="dxa"/>
            <w:vAlign w:val="center"/>
          </w:tcPr>
          <w:p>
            <w:pPr>
              <w:adjustRightInd w:val="0"/>
              <w:snapToGrid w:val="0"/>
              <w:ind w:left="-48" w:leftChars="-23" w:right="-36" w:rightChars="-17"/>
              <w:jc w:val="center"/>
              <w:rPr>
                <w:rFonts w:cs="Times New Roman"/>
                <w:szCs w:val="21"/>
              </w:rPr>
            </w:pPr>
            <w:r>
              <w:rPr>
                <w:rFonts w:cs="Times New Roman"/>
                <w:szCs w:val="21"/>
              </w:rPr>
              <w:t>SO</w:t>
            </w:r>
            <w:r>
              <w:rPr>
                <w:rFonts w:cs="Times New Roman"/>
                <w:szCs w:val="21"/>
                <w:vertAlign w:val="subscript"/>
              </w:rPr>
              <w:t>2</w:t>
            </w:r>
            <w:r>
              <w:rPr>
                <w:rFonts w:cs="Times New Roman"/>
                <w:szCs w:val="21"/>
              </w:rPr>
              <w:t>、NOx</w:t>
            </w:r>
          </w:p>
        </w:tc>
        <w:tc>
          <w:tcPr>
            <w:tcW w:w="2781" w:type="dxa"/>
            <w:vAlign w:val="center"/>
          </w:tcPr>
          <w:p>
            <w:pPr>
              <w:adjustRightInd w:val="0"/>
              <w:snapToGrid w:val="0"/>
              <w:ind w:left="-48" w:leftChars="-23" w:right="-36" w:rightChars="-17"/>
              <w:jc w:val="center"/>
              <w:rPr>
                <w:rFonts w:cs="Times New Roman"/>
                <w:szCs w:val="21"/>
              </w:rPr>
            </w:pPr>
            <w:r>
              <w:rPr>
                <w:rFonts w:cs="Times New Roman"/>
                <w:szCs w:val="21"/>
              </w:rPr>
              <w:t>SO</w:t>
            </w:r>
            <w:r>
              <w:rPr>
                <w:rFonts w:cs="Times New Roman"/>
                <w:szCs w:val="21"/>
                <w:vertAlign w:val="subscript"/>
              </w:rPr>
              <w:t>2</w:t>
            </w:r>
            <w:r>
              <w:rPr>
                <w:rFonts w:cs="Times New Roman"/>
                <w:szCs w:val="21"/>
              </w:rPr>
              <w:t>、NOx</w:t>
            </w:r>
          </w:p>
        </w:tc>
        <w:tc>
          <w:tcPr>
            <w:tcW w:w="2431" w:type="dxa"/>
            <w:vMerge w:val="continue"/>
            <w:vAlign w:val="center"/>
          </w:tcPr>
          <w:p>
            <w:pPr>
              <w:spacing w:line="276" w:lineRule="auto"/>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szCs w:val="21"/>
              </w:rPr>
            </w:pPr>
          </w:p>
        </w:tc>
        <w:tc>
          <w:tcPr>
            <w:tcW w:w="1605" w:type="dxa"/>
            <w:vAlign w:val="center"/>
          </w:tcPr>
          <w:p>
            <w:pPr>
              <w:tabs>
                <w:tab w:val="left" w:pos="993"/>
                <w:tab w:val="left" w:pos="1134"/>
              </w:tabs>
              <w:spacing w:line="276" w:lineRule="auto"/>
              <w:jc w:val="center"/>
              <w:rPr>
                <w:rFonts w:cs="Times New Roman"/>
                <w:bCs/>
                <w:szCs w:val="21"/>
              </w:rPr>
            </w:pPr>
            <w:r>
              <w:rPr>
                <w:rFonts w:cs="Times New Roman"/>
                <w:bCs/>
                <w:szCs w:val="21"/>
              </w:rPr>
              <w:t>食堂油烟</w:t>
            </w:r>
          </w:p>
        </w:tc>
        <w:tc>
          <w:tcPr>
            <w:tcW w:w="1059" w:type="dxa"/>
            <w:vAlign w:val="center"/>
          </w:tcPr>
          <w:p>
            <w:pPr>
              <w:spacing w:line="276" w:lineRule="auto"/>
              <w:jc w:val="center"/>
              <w:rPr>
                <w:rFonts w:cs="Times New Roman"/>
                <w:szCs w:val="21"/>
              </w:rPr>
            </w:pPr>
            <w:r>
              <w:rPr>
                <w:rFonts w:cs="Times New Roman"/>
                <w:szCs w:val="21"/>
              </w:rPr>
              <w:t>油烟</w:t>
            </w:r>
          </w:p>
        </w:tc>
        <w:tc>
          <w:tcPr>
            <w:tcW w:w="2781" w:type="dxa"/>
            <w:vAlign w:val="center"/>
          </w:tcPr>
          <w:p>
            <w:pPr>
              <w:tabs>
                <w:tab w:val="left" w:pos="993"/>
                <w:tab w:val="left" w:pos="1134"/>
              </w:tabs>
              <w:spacing w:line="276" w:lineRule="auto"/>
              <w:jc w:val="center"/>
              <w:rPr>
                <w:rFonts w:cs="Times New Roman"/>
                <w:bCs/>
                <w:szCs w:val="21"/>
              </w:rPr>
            </w:pPr>
            <w:r>
              <w:rPr>
                <w:rFonts w:cs="Times New Roman"/>
                <w:szCs w:val="21"/>
                <w:lang w:bidi="ar"/>
              </w:rPr>
              <w:t>经油烟净化器处理后外排</w:t>
            </w:r>
          </w:p>
        </w:tc>
        <w:tc>
          <w:tcPr>
            <w:tcW w:w="2431" w:type="dxa"/>
            <w:vAlign w:val="center"/>
          </w:tcPr>
          <w:p>
            <w:pPr>
              <w:spacing w:line="276" w:lineRule="auto"/>
              <w:jc w:val="center"/>
              <w:rPr>
                <w:rFonts w:cs="Times New Roman" w:eastAsiaTheme="minorEastAsia"/>
                <w:szCs w:val="21"/>
              </w:rPr>
            </w:pPr>
            <w:r>
              <w:rPr>
                <w:rFonts w:cs="Times New Roman"/>
                <w:szCs w:val="21"/>
              </w:rPr>
              <w:t>《饮食业油烟排放标准》（GB 18483-2001）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restart"/>
            <w:vAlign w:val="center"/>
          </w:tcPr>
          <w:p>
            <w:pPr>
              <w:spacing w:line="276" w:lineRule="auto"/>
              <w:jc w:val="center"/>
              <w:rPr>
                <w:rFonts w:cs="Times New Roman" w:eastAsiaTheme="minorEastAsia"/>
                <w:szCs w:val="21"/>
              </w:rPr>
            </w:pPr>
            <w:r>
              <w:rPr>
                <w:rFonts w:cs="Times New Roman" w:eastAsiaTheme="minorEastAsia"/>
                <w:szCs w:val="21"/>
              </w:rPr>
              <w:t>地表水环境</w:t>
            </w:r>
          </w:p>
        </w:tc>
        <w:tc>
          <w:tcPr>
            <w:tcW w:w="1605" w:type="dxa"/>
            <w:vAlign w:val="center"/>
          </w:tcPr>
          <w:p>
            <w:pPr>
              <w:tabs>
                <w:tab w:val="left" w:pos="993"/>
                <w:tab w:val="left" w:pos="1134"/>
              </w:tabs>
              <w:spacing w:line="276" w:lineRule="auto"/>
              <w:jc w:val="center"/>
              <w:rPr>
                <w:rFonts w:cs="Times New Roman"/>
                <w:szCs w:val="21"/>
              </w:rPr>
            </w:pPr>
            <w:r>
              <w:rPr>
                <w:rFonts w:cs="Times New Roman"/>
                <w:szCs w:val="21"/>
              </w:rPr>
              <w:t>设备清洗废水</w:t>
            </w:r>
          </w:p>
        </w:tc>
        <w:tc>
          <w:tcPr>
            <w:tcW w:w="1059" w:type="dxa"/>
            <w:vAlign w:val="center"/>
          </w:tcPr>
          <w:p>
            <w:pPr>
              <w:spacing w:line="276" w:lineRule="auto"/>
              <w:jc w:val="center"/>
              <w:rPr>
                <w:rFonts w:cs="Times New Roman"/>
                <w:szCs w:val="21"/>
              </w:rPr>
            </w:pPr>
            <w:r>
              <w:rPr>
                <w:rFonts w:cs="Times New Roman"/>
                <w:szCs w:val="21"/>
              </w:rPr>
              <w:t>pH、COD、甲醛</w:t>
            </w:r>
          </w:p>
        </w:tc>
        <w:tc>
          <w:tcPr>
            <w:tcW w:w="2781" w:type="dxa"/>
            <w:vAlign w:val="center"/>
          </w:tcPr>
          <w:p>
            <w:pPr>
              <w:tabs>
                <w:tab w:val="left" w:pos="993"/>
                <w:tab w:val="left" w:pos="1134"/>
              </w:tabs>
              <w:spacing w:line="276" w:lineRule="auto"/>
              <w:jc w:val="center"/>
              <w:rPr>
                <w:rFonts w:cs="Times New Roman"/>
                <w:szCs w:val="21"/>
              </w:rPr>
            </w:pPr>
            <w:r>
              <w:rPr>
                <w:rFonts w:cs="Times New Roman"/>
                <w:szCs w:val="21"/>
              </w:rPr>
              <w:t>设备清洗废水集中收集于桶中，用于粘结剂的配制用水。</w:t>
            </w:r>
          </w:p>
        </w:tc>
        <w:tc>
          <w:tcPr>
            <w:tcW w:w="2431" w:type="dxa"/>
            <w:vAlign w:val="center"/>
          </w:tcPr>
          <w:p>
            <w:pPr>
              <w:spacing w:line="276" w:lineRule="auto"/>
              <w:jc w:val="center"/>
              <w:rPr>
                <w:rFonts w:cs="Times New Roman"/>
                <w:bCs/>
                <w:szCs w:val="21"/>
              </w:rPr>
            </w:pPr>
            <w:r>
              <w:rPr>
                <w:rFonts w:cs="Times New Roman"/>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szCs w:val="21"/>
              </w:rPr>
            </w:pPr>
          </w:p>
        </w:tc>
        <w:tc>
          <w:tcPr>
            <w:tcW w:w="1605" w:type="dxa"/>
            <w:vAlign w:val="center"/>
          </w:tcPr>
          <w:p>
            <w:pPr>
              <w:tabs>
                <w:tab w:val="left" w:pos="993"/>
                <w:tab w:val="left" w:pos="1134"/>
              </w:tabs>
              <w:spacing w:line="276" w:lineRule="auto"/>
              <w:jc w:val="center"/>
              <w:rPr>
                <w:rFonts w:cs="Times New Roman"/>
                <w:szCs w:val="21"/>
              </w:rPr>
            </w:pPr>
            <w:r>
              <w:rPr>
                <w:rFonts w:cs="Times New Roman"/>
                <w:szCs w:val="21"/>
              </w:rPr>
              <w:t>生活污水</w:t>
            </w:r>
          </w:p>
        </w:tc>
        <w:tc>
          <w:tcPr>
            <w:tcW w:w="1059" w:type="dxa"/>
            <w:vAlign w:val="center"/>
          </w:tcPr>
          <w:p>
            <w:pPr>
              <w:spacing w:line="276" w:lineRule="auto"/>
              <w:jc w:val="center"/>
              <w:rPr>
                <w:rFonts w:cs="Times New Roman" w:eastAsiaTheme="minorEastAsia"/>
                <w:szCs w:val="21"/>
              </w:rPr>
            </w:pPr>
            <w:r>
              <w:rPr>
                <w:rFonts w:cs="Times New Roman"/>
                <w:szCs w:val="21"/>
              </w:rPr>
              <w:t>pH、COD、BOD</w:t>
            </w:r>
            <w:r>
              <w:rPr>
                <w:rFonts w:cs="Times New Roman"/>
                <w:szCs w:val="21"/>
                <w:vertAlign w:val="subscript"/>
              </w:rPr>
              <w:t>5</w:t>
            </w:r>
            <w:r>
              <w:rPr>
                <w:rFonts w:cs="Times New Roman"/>
                <w:szCs w:val="21"/>
              </w:rPr>
              <w:t>、NH</w:t>
            </w:r>
            <w:r>
              <w:rPr>
                <w:rFonts w:cs="Times New Roman"/>
                <w:szCs w:val="21"/>
                <w:vertAlign w:val="subscript"/>
              </w:rPr>
              <w:t>3</w:t>
            </w:r>
            <w:r>
              <w:rPr>
                <w:rFonts w:cs="Times New Roman"/>
                <w:szCs w:val="21"/>
              </w:rPr>
              <w:t>-N、动植物油</w:t>
            </w:r>
          </w:p>
        </w:tc>
        <w:tc>
          <w:tcPr>
            <w:tcW w:w="2781" w:type="dxa"/>
            <w:vAlign w:val="center"/>
          </w:tcPr>
          <w:p>
            <w:pPr>
              <w:tabs>
                <w:tab w:val="left" w:pos="993"/>
                <w:tab w:val="left" w:pos="1134"/>
              </w:tabs>
              <w:spacing w:line="276" w:lineRule="auto"/>
              <w:jc w:val="center"/>
              <w:rPr>
                <w:rFonts w:cs="Times New Roman"/>
                <w:szCs w:val="21"/>
              </w:rPr>
            </w:pPr>
            <w:r>
              <w:rPr>
                <w:rFonts w:cs="Times New Roman"/>
                <w:szCs w:val="21"/>
              </w:rPr>
              <w:t>食堂废水经隔油池（新增容积1m</w:t>
            </w:r>
            <w:r>
              <w:rPr>
                <w:rFonts w:cs="Times New Roman"/>
                <w:szCs w:val="21"/>
                <w:vertAlign w:val="superscript"/>
              </w:rPr>
              <w:t>3</w:t>
            </w:r>
            <w:r>
              <w:rPr>
                <w:rFonts w:cs="Times New Roman"/>
                <w:szCs w:val="21"/>
              </w:rPr>
              <w:t>）处理后同生活污水一同经厂区现有化粪池（30m</w:t>
            </w:r>
            <w:r>
              <w:rPr>
                <w:rFonts w:cs="Times New Roman"/>
                <w:szCs w:val="21"/>
                <w:vertAlign w:val="superscript"/>
              </w:rPr>
              <w:t>3</w:t>
            </w:r>
            <w:r>
              <w:rPr>
                <w:rFonts w:cs="Times New Roman"/>
                <w:szCs w:val="21"/>
              </w:rPr>
              <w:t>）处理后排入园区管网进入柳池工业园区污水处理厂处理。</w:t>
            </w:r>
          </w:p>
        </w:tc>
        <w:tc>
          <w:tcPr>
            <w:tcW w:w="2431" w:type="dxa"/>
            <w:vAlign w:val="center"/>
          </w:tcPr>
          <w:p>
            <w:pPr>
              <w:spacing w:line="276" w:lineRule="auto"/>
              <w:jc w:val="center"/>
              <w:rPr>
                <w:rFonts w:cs="Times New Roman" w:eastAsiaTheme="minorEastAsia"/>
                <w:szCs w:val="21"/>
              </w:rPr>
            </w:pPr>
            <w:r>
              <w:rPr>
                <w:rFonts w:cs="Times New Roman"/>
                <w:bCs/>
                <w:szCs w:val="21"/>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restart"/>
            <w:vAlign w:val="center"/>
          </w:tcPr>
          <w:p>
            <w:pPr>
              <w:spacing w:line="276" w:lineRule="auto"/>
              <w:jc w:val="center"/>
              <w:rPr>
                <w:rFonts w:cs="Times New Roman" w:eastAsiaTheme="minorEastAsia"/>
                <w:szCs w:val="21"/>
              </w:rPr>
            </w:pPr>
            <w:r>
              <w:rPr>
                <w:rFonts w:cs="Times New Roman" w:eastAsiaTheme="minorEastAsia"/>
                <w:szCs w:val="21"/>
              </w:rPr>
              <w:t>声环境</w:t>
            </w:r>
          </w:p>
        </w:tc>
        <w:tc>
          <w:tcPr>
            <w:tcW w:w="1605" w:type="dxa"/>
            <w:vAlign w:val="center"/>
          </w:tcPr>
          <w:p>
            <w:pPr>
              <w:spacing w:line="276" w:lineRule="auto"/>
              <w:jc w:val="center"/>
              <w:rPr>
                <w:rFonts w:cs="Times New Roman" w:eastAsiaTheme="minorEastAsia"/>
                <w:szCs w:val="21"/>
              </w:rPr>
            </w:pPr>
            <w:r>
              <w:rPr>
                <w:rFonts w:cs="Times New Roman" w:eastAsiaTheme="minorEastAsia"/>
                <w:szCs w:val="21"/>
              </w:rPr>
              <w:t>车辆噪声</w:t>
            </w:r>
          </w:p>
        </w:tc>
        <w:tc>
          <w:tcPr>
            <w:tcW w:w="1059" w:type="dxa"/>
            <w:vAlign w:val="center"/>
          </w:tcPr>
          <w:p>
            <w:pPr>
              <w:spacing w:line="276" w:lineRule="auto"/>
              <w:jc w:val="center"/>
              <w:rPr>
                <w:rFonts w:cs="Times New Roman" w:eastAsiaTheme="minorEastAsia"/>
                <w:szCs w:val="21"/>
              </w:rPr>
            </w:pPr>
            <w:r>
              <w:rPr>
                <w:rFonts w:cs="Times New Roman" w:eastAsiaTheme="minorEastAsia"/>
                <w:szCs w:val="21"/>
              </w:rPr>
              <w:t>噪声</w:t>
            </w:r>
          </w:p>
        </w:tc>
        <w:tc>
          <w:tcPr>
            <w:tcW w:w="2781" w:type="dxa"/>
            <w:vAlign w:val="center"/>
          </w:tcPr>
          <w:p>
            <w:pPr>
              <w:spacing w:line="276" w:lineRule="auto"/>
              <w:jc w:val="center"/>
              <w:rPr>
                <w:rFonts w:cs="Times New Roman" w:eastAsiaTheme="minorEastAsia"/>
                <w:szCs w:val="21"/>
              </w:rPr>
            </w:pPr>
            <w:r>
              <w:rPr>
                <w:rFonts w:cs="Times New Roman" w:eastAsiaTheme="minorEastAsia"/>
                <w:szCs w:val="21"/>
              </w:rPr>
              <w:t>禁止超速、超载，减速慢行</w:t>
            </w:r>
          </w:p>
        </w:tc>
        <w:tc>
          <w:tcPr>
            <w:tcW w:w="2431" w:type="dxa"/>
            <w:vMerge w:val="restart"/>
            <w:vAlign w:val="center"/>
          </w:tcPr>
          <w:p>
            <w:pPr>
              <w:spacing w:line="276" w:lineRule="auto"/>
              <w:jc w:val="center"/>
              <w:rPr>
                <w:rFonts w:cs="Times New Roman" w:eastAsiaTheme="minorEastAsia"/>
                <w:szCs w:val="21"/>
              </w:rPr>
            </w:pPr>
            <w:r>
              <w:rPr>
                <w:rFonts w:cs="Times New Roman" w:eastAsiaTheme="minorEastAsia"/>
                <w:szCs w:val="21"/>
              </w:rPr>
              <w:t>《工业企业厂界环境噪声排放标准》（GB12348-2008）3类标准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Merge w:val="continue"/>
            <w:vAlign w:val="center"/>
          </w:tcPr>
          <w:p>
            <w:pPr>
              <w:spacing w:line="276" w:lineRule="auto"/>
              <w:jc w:val="center"/>
              <w:rPr>
                <w:rFonts w:cs="Times New Roman" w:eastAsiaTheme="minorEastAsia"/>
                <w:szCs w:val="21"/>
              </w:rPr>
            </w:pPr>
          </w:p>
        </w:tc>
        <w:tc>
          <w:tcPr>
            <w:tcW w:w="1605" w:type="dxa"/>
            <w:vAlign w:val="center"/>
          </w:tcPr>
          <w:p>
            <w:pPr>
              <w:spacing w:line="276" w:lineRule="auto"/>
              <w:jc w:val="center"/>
              <w:rPr>
                <w:rFonts w:cs="Times New Roman" w:eastAsiaTheme="minorEastAsia"/>
                <w:szCs w:val="21"/>
              </w:rPr>
            </w:pPr>
            <w:r>
              <w:rPr>
                <w:rFonts w:cs="Times New Roman" w:eastAsiaTheme="minorEastAsia"/>
                <w:szCs w:val="21"/>
              </w:rPr>
              <w:t>设备噪声</w:t>
            </w:r>
          </w:p>
        </w:tc>
        <w:tc>
          <w:tcPr>
            <w:tcW w:w="1059" w:type="dxa"/>
            <w:vAlign w:val="center"/>
          </w:tcPr>
          <w:p>
            <w:pPr>
              <w:spacing w:line="276" w:lineRule="auto"/>
              <w:jc w:val="center"/>
              <w:rPr>
                <w:rFonts w:cs="Times New Roman" w:eastAsiaTheme="minorEastAsia"/>
                <w:szCs w:val="21"/>
              </w:rPr>
            </w:pPr>
            <w:r>
              <w:rPr>
                <w:rFonts w:cs="Times New Roman" w:eastAsiaTheme="minorEastAsia"/>
                <w:szCs w:val="21"/>
              </w:rPr>
              <w:t>噪声</w:t>
            </w:r>
          </w:p>
        </w:tc>
        <w:tc>
          <w:tcPr>
            <w:tcW w:w="2781" w:type="dxa"/>
            <w:vAlign w:val="center"/>
          </w:tcPr>
          <w:p>
            <w:pPr>
              <w:spacing w:line="276" w:lineRule="auto"/>
              <w:jc w:val="center"/>
              <w:rPr>
                <w:rFonts w:cs="Times New Roman" w:eastAsiaTheme="minorEastAsia"/>
                <w:szCs w:val="21"/>
              </w:rPr>
            </w:pPr>
            <w:r>
              <w:rPr>
                <w:rFonts w:cs="Times New Roman" w:eastAsiaTheme="minorEastAsia"/>
                <w:szCs w:val="21"/>
              </w:rPr>
              <w:t>选低噪声设备，采取基础减振、隔声措施</w:t>
            </w:r>
          </w:p>
        </w:tc>
        <w:tc>
          <w:tcPr>
            <w:tcW w:w="2431" w:type="dxa"/>
            <w:vMerge w:val="continue"/>
            <w:vAlign w:val="center"/>
          </w:tcPr>
          <w:p>
            <w:pPr>
              <w:spacing w:line="276" w:lineRule="auto"/>
              <w:jc w:val="center"/>
              <w:rPr>
                <w:rFonts w:cs="Times New Roman"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szCs w:val="21"/>
              </w:rPr>
            </w:pPr>
            <w:r>
              <w:rPr>
                <w:rFonts w:cs="Times New Roman" w:eastAsiaTheme="minorEastAsia"/>
                <w:szCs w:val="21"/>
              </w:rPr>
              <w:t>电磁辐射</w:t>
            </w:r>
          </w:p>
        </w:tc>
        <w:tc>
          <w:tcPr>
            <w:tcW w:w="1605" w:type="dxa"/>
            <w:vAlign w:val="center"/>
          </w:tcPr>
          <w:p>
            <w:pPr>
              <w:spacing w:line="276" w:lineRule="auto"/>
              <w:jc w:val="center"/>
              <w:rPr>
                <w:rFonts w:cs="Times New Roman" w:eastAsiaTheme="minorEastAsia"/>
                <w:szCs w:val="21"/>
              </w:rPr>
            </w:pPr>
            <w:r>
              <w:rPr>
                <w:rFonts w:cs="Times New Roman" w:eastAsiaTheme="minorEastAsia"/>
                <w:szCs w:val="21"/>
              </w:rPr>
              <w:t>/</w:t>
            </w:r>
          </w:p>
        </w:tc>
        <w:tc>
          <w:tcPr>
            <w:tcW w:w="1059" w:type="dxa"/>
            <w:vAlign w:val="center"/>
          </w:tcPr>
          <w:p>
            <w:pPr>
              <w:spacing w:line="276" w:lineRule="auto"/>
              <w:jc w:val="center"/>
              <w:rPr>
                <w:rFonts w:cs="Times New Roman" w:eastAsiaTheme="minorEastAsia"/>
                <w:szCs w:val="21"/>
              </w:rPr>
            </w:pPr>
            <w:r>
              <w:rPr>
                <w:rFonts w:cs="Times New Roman" w:eastAsiaTheme="minorEastAsia"/>
                <w:szCs w:val="21"/>
              </w:rPr>
              <w:t>/</w:t>
            </w:r>
          </w:p>
        </w:tc>
        <w:tc>
          <w:tcPr>
            <w:tcW w:w="2781" w:type="dxa"/>
            <w:vAlign w:val="center"/>
          </w:tcPr>
          <w:p>
            <w:pPr>
              <w:spacing w:line="276" w:lineRule="auto"/>
              <w:jc w:val="center"/>
              <w:rPr>
                <w:rFonts w:cs="Times New Roman" w:eastAsiaTheme="minorEastAsia"/>
                <w:szCs w:val="21"/>
              </w:rPr>
            </w:pPr>
            <w:r>
              <w:rPr>
                <w:rFonts w:cs="Times New Roman" w:eastAsiaTheme="minorEastAsia"/>
                <w:szCs w:val="21"/>
              </w:rPr>
              <w:t>/</w:t>
            </w:r>
          </w:p>
        </w:tc>
        <w:tc>
          <w:tcPr>
            <w:tcW w:w="2431" w:type="dxa"/>
            <w:vAlign w:val="center"/>
          </w:tcPr>
          <w:p>
            <w:pPr>
              <w:spacing w:line="276" w:lineRule="auto"/>
              <w:jc w:val="center"/>
              <w:rPr>
                <w:rFonts w:cs="Times New Roman" w:eastAsiaTheme="minorEastAsia"/>
                <w:szCs w:val="21"/>
              </w:rPr>
            </w:pPr>
            <w:r>
              <w:rPr>
                <w:rFonts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szCs w:val="21"/>
              </w:rPr>
            </w:pPr>
            <w:r>
              <w:rPr>
                <w:rFonts w:cs="Times New Roman" w:eastAsiaTheme="minorEastAsia"/>
                <w:szCs w:val="21"/>
              </w:rPr>
              <w:t>固体废物</w:t>
            </w:r>
          </w:p>
        </w:tc>
        <w:tc>
          <w:tcPr>
            <w:tcW w:w="7876" w:type="dxa"/>
            <w:gridSpan w:val="4"/>
            <w:vAlign w:val="center"/>
          </w:tcPr>
          <w:p>
            <w:pPr>
              <w:spacing w:line="276" w:lineRule="auto"/>
              <w:ind w:firstLine="420" w:firstLineChars="200"/>
              <w:rPr>
                <w:rFonts w:cs="Times New Roman" w:eastAsiaTheme="minorEastAsia"/>
                <w:szCs w:val="21"/>
              </w:rPr>
            </w:pPr>
            <w:r>
              <w:rPr>
                <w:rFonts w:cs="Times New Roman"/>
                <w:szCs w:val="21"/>
              </w:rPr>
              <w:t>生活垃圾收集后交由环卫部门清运；餐厨垃圾交由有资质的单位处理；不合格品及边角料返回生产线重新利用；废包装材料外卖给废品回收单位；废危化品桶定期由厂家回收利用；废活性炭、废机油、含油抹布及手套</w:t>
            </w:r>
            <w:r>
              <w:rPr>
                <w:rFonts w:cs="Times New Roman" w:eastAsiaTheme="minorEastAsia"/>
                <w:szCs w:val="21"/>
              </w:rPr>
              <w:t>收集后暂存于危废暂存间，</w:t>
            </w:r>
            <w:r>
              <w:rPr>
                <w:rFonts w:cs="Times New Roman"/>
                <w:szCs w:val="21"/>
              </w:rPr>
              <w:t>交由有危废资质的单位进行处理</w:t>
            </w:r>
            <w:r>
              <w:rPr>
                <w:rFonts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szCs w:val="21"/>
              </w:rPr>
            </w:pPr>
            <w:r>
              <w:rPr>
                <w:rFonts w:cs="Times New Roman" w:eastAsiaTheme="minorEastAsia"/>
                <w:szCs w:val="21"/>
              </w:rPr>
              <w:t>土壤及地下水污染防治措施</w:t>
            </w:r>
          </w:p>
        </w:tc>
        <w:tc>
          <w:tcPr>
            <w:tcW w:w="7876" w:type="dxa"/>
            <w:gridSpan w:val="4"/>
            <w:vAlign w:val="center"/>
          </w:tcPr>
          <w:p>
            <w:pPr>
              <w:spacing w:line="276" w:lineRule="auto"/>
              <w:ind w:firstLine="422" w:firstLineChars="200"/>
              <w:rPr>
                <w:rFonts w:cs="Times New Roman" w:eastAsiaTheme="minorEastAsia"/>
                <w:szCs w:val="21"/>
              </w:rPr>
            </w:pPr>
            <w:r>
              <w:rPr>
                <w:rFonts w:cs="Times New Roman" w:eastAsiaTheme="minorEastAsia"/>
                <w:b/>
                <w:bCs/>
                <w:szCs w:val="21"/>
              </w:rPr>
              <w:t>重点防渗区：</w:t>
            </w:r>
            <w:r>
              <w:rPr>
                <w:rFonts w:cs="Times New Roman" w:eastAsiaTheme="minorEastAsia"/>
                <w:szCs w:val="21"/>
              </w:rPr>
              <w:t>主要为危废暂存间、化粪池、危化品暂存间。危废暂存间采用</w:t>
            </w:r>
            <w:r>
              <w:rPr>
                <w:rFonts w:cs="Times New Roman"/>
                <w:szCs w:val="21"/>
                <w:lang w:bidi="ar"/>
              </w:rPr>
              <w:t>25cmC30</w:t>
            </w:r>
            <w:r>
              <w:rPr>
                <w:rFonts w:cs="Times New Roman"/>
                <w:szCs w:val="21"/>
              </w:rPr>
              <w:t>防渗混凝土+高密度聚乙烯材料，并</w:t>
            </w:r>
            <w:r>
              <w:rPr>
                <w:rFonts w:cs="Times New Roman"/>
                <w:szCs w:val="21"/>
                <w:lang w:bidi="ar"/>
              </w:rPr>
              <w:t>设置了围堰；化粪池</w:t>
            </w:r>
            <w:r>
              <w:rPr>
                <w:rFonts w:cs="Times New Roman" w:eastAsiaTheme="minorEastAsia"/>
                <w:szCs w:val="21"/>
              </w:rPr>
              <w:t>采用</w:t>
            </w:r>
            <w:r>
              <w:rPr>
                <w:rFonts w:cs="Times New Roman"/>
                <w:szCs w:val="21"/>
                <w:lang w:bidi="ar"/>
              </w:rPr>
              <w:t>25cmC30防渗混凝土；危化品暂存间</w:t>
            </w:r>
            <w:r>
              <w:rPr>
                <w:rFonts w:cs="Times New Roman" w:eastAsiaTheme="minorEastAsia"/>
                <w:szCs w:val="21"/>
              </w:rPr>
              <w:t>采用</w:t>
            </w:r>
            <w:r>
              <w:rPr>
                <w:rFonts w:cs="Times New Roman"/>
                <w:szCs w:val="21"/>
              </w:rPr>
              <w:t>防渗混凝土+高密度聚乙烯材料进行防渗；</w:t>
            </w:r>
          </w:p>
          <w:p>
            <w:pPr>
              <w:spacing w:line="276" w:lineRule="auto"/>
              <w:ind w:firstLine="422" w:firstLineChars="200"/>
              <w:rPr>
                <w:rFonts w:cs="Times New Roman" w:eastAsiaTheme="minorEastAsia"/>
                <w:szCs w:val="21"/>
              </w:rPr>
            </w:pPr>
            <w:r>
              <w:rPr>
                <w:rFonts w:cs="Times New Roman" w:eastAsiaTheme="minorEastAsia"/>
                <w:b/>
                <w:bCs/>
                <w:szCs w:val="21"/>
              </w:rPr>
              <w:t>一般防渗区：</w:t>
            </w:r>
            <w:r>
              <w:rPr>
                <w:rFonts w:cs="Times New Roman" w:eastAsiaTheme="minorEastAsia"/>
                <w:szCs w:val="21"/>
              </w:rPr>
              <w:t>其他生产区域和办公区域，</w:t>
            </w:r>
            <w:r>
              <w:rPr>
                <w:rFonts w:cs="Times New Roman"/>
                <w:szCs w:val="21"/>
                <w:lang w:bidi="ar"/>
              </w:rPr>
              <w:t>采用25cmC30防渗混凝土防渗</w:t>
            </w:r>
            <w:r>
              <w:rPr>
                <w:rFonts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szCs w:val="21"/>
              </w:rPr>
            </w:pPr>
            <w:r>
              <w:rPr>
                <w:rFonts w:cs="Times New Roman" w:eastAsiaTheme="minorEastAsia"/>
                <w:szCs w:val="21"/>
              </w:rPr>
              <w:t>生态保护措施</w:t>
            </w:r>
          </w:p>
        </w:tc>
        <w:tc>
          <w:tcPr>
            <w:tcW w:w="7876" w:type="dxa"/>
            <w:gridSpan w:val="4"/>
            <w:vAlign w:val="center"/>
          </w:tcPr>
          <w:p>
            <w:pPr>
              <w:spacing w:line="276" w:lineRule="auto"/>
              <w:jc w:val="center"/>
              <w:rPr>
                <w:rFonts w:cs="Times New Roman" w:eastAsiaTheme="minorEastAsia"/>
                <w:szCs w:val="21"/>
              </w:rPr>
            </w:pPr>
            <w:r>
              <w:rPr>
                <w:rFonts w:cs="Times New Roman" w:eastAsia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 w:hRule="atLeast"/>
          <w:jc w:val="center"/>
        </w:trPr>
        <w:tc>
          <w:tcPr>
            <w:tcW w:w="1473" w:type="dxa"/>
            <w:vAlign w:val="center"/>
          </w:tcPr>
          <w:p>
            <w:pPr>
              <w:spacing w:line="276" w:lineRule="auto"/>
              <w:jc w:val="center"/>
              <w:rPr>
                <w:rFonts w:cs="Times New Roman" w:eastAsiaTheme="minorEastAsia"/>
                <w:szCs w:val="21"/>
              </w:rPr>
            </w:pPr>
            <w:r>
              <w:rPr>
                <w:rFonts w:cs="Times New Roman" w:eastAsiaTheme="minorEastAsia"/>
                <w:szCs w:val="21"/>
              </w:rPr>
              <w:t>环境风险</w:t>
            </w:r>
          </w:p>
          <w:p>
            <w:pPr>
              <w:spacing w:line="276" w:lineRule="auto"/>
              <w:jc w:val="center"/>
              <w:rPr>
                <w:rFonts w:cs="Times New Roman" w:eastAsiaTheme="minorEastAsia"/>
                <w:szCs w:val="21"/>
              </w:rPr>
            </w:pPr>
            <w:r>
              <w:rPr>
                <w:rFonts w:cs="Times New Roman" w:eastAsiaTheme="minorEastAsia"/>
                <w:szCs w:val="21"/>
              </w:rPr>
              <w:t>防范措施</w:t>
            </w:r>
          </w:p>
        </w:tc>
        <w:tc>
          <w:tcPr>
            <w:tcW w:w="7876" w:type="dxa"/>
            <w:gridSpan w:val="4"/>
            <w:vAlign w:val="center"/>
          </w:tcPr>
          <w:p>
            <w:pPr>
              <w:spacing w:line="276" w:lineRule="auto"/>
              <w:ind w:firstLine="420" w:firstLineChars="200"/>
              <w:rPr>
                <w:rFonts w:cs="Times New Roman" w:eastAsiaTheme="minorEastAsia"/>
                <w:szCs w:val="21"/>
              </w:rPr>
            </w:pPr>
            <w:r>
              <w:rPr>
                <w:rFonts w:cs="Times New Roman"/>
                <w:szCs w:val="21"/>
              </w:rPr>
              <w:t>项目环保方面的负责部门对废气处理装置定期巡查；</w:t>
            </w:r>
            <w:r>
              <w:rPr>
                <w:rFonts w:cs="Times New Roman" w:eastAsiaTheme="minorEastAsia"/>
                <w:szCs w:val="21"/>
              </w:rPr>
              <w:t>重点防渗区做好地面防渗、防漏措施，设置防渗围堰，设置备用收容设施和防范物质；加强运输风险管理，设置警示标识，配备相应数量灭火器，开展员工安全培训；加强污染防治设施管理和维护；严格执行环评及相关法律法规要求，制定环境风险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73" w:type="dxa"/>
            <w:vAlign w:val="center"/>
          </w:tcPr>
          <w:p>
            <w:pPr>
              <w:spacing w:line="276" w:lineRule="auto"/>
              <w:jc w:val="center"/>
              <w:rPr>
                <w:rFonts w:cs="Times New Roman" w:eastAsiaTheme="minorEastAsia"/>
                <w:szCs w:val="21"/>
              </w:rPr>
            </w:pPr>
            <w:r>
              <w:rPr>
                <w:rFonts w:cs="Times New Roman" w:eastAsiaTheme="minorEastAsia"/>
                <w:szCs w:val="21"/>
              </w:rPr>
              <w:t>其他环境</w:t>
            </w:r>
          </w:p>
          <w:p>
            <w:pPr>
              <w:spacing w:line="276" w:lineRule="auto"/>
              <w:jc w:val="center"/>
              <w:rPr>
                <w:rFonts w:cs="Times New Roman" w:eastAsiaTheme="minorEastAsia"/>
                <w:szCs w:val="21"/>
              </w:rPr>
            </w:pPr>
            <w:r>
              <w:rPr>
                <w:rFonts w:cs="Times New Roman" w:eastAsiaTheme="minorEastAsia"/>
                <w:szCs w:val="21"/>
              </w:rPr>
              <w:t>管理要求</w:t>
            </w:r>
          </w:p>
        </w:tc>
        <w:tc>
          <w:tcPr>
            <w:tcW w:w="7876" w:type="dxa"/>
            <w:gridSpan w:val="4"/>
            <w:vAlign w:val="center"/>
          </w:tcPr>
          <w:p>
            <w:pPr>
              <w:spacing w:line="276" w:lineRule="auto"/>
              <w:jc w:val="center"/>
              <w:rPr>
                <w:rFonts w:cs="Times New Roman" w:eastAsiaTheme="minorEastAsia"/>
                <w:szCs w:val="21"/>
              </w:rPr>
            </w:pPr>
            <w:r>
              <w:rPr>
                <w:rFonts w:cs="Times New Roman" w:eastAsiaTheme="minorEastAsia"/>
                <w:szCs w:val="21"/>
              </w:rPr>
              <w:t>/</w:t>
            </w:r>
          </w:p>
          <w:p>
            <w:pPr>
              <w:spacing w:line="276" w:lineRule="auto"/>
              <w:rPr>
                <w:rFonts w:cs="Times New Roman" w:eastAsiaTheme="minorEastAsia"/>
                <w:szCs w:val="21"/>
              </w:rPr>
            </w:pPr>
          </w:p>
        </w:tc>
      </w:tr>
    </w:tbl>
    <w:p>
      <w:pPr>
        <w:spacing w:line="360" w:lineRule="auto"/>
        <w:rPr>
          <w:rFonts w:cs="Times New Roman"/>
          <w:b/>
          <w:sz w:val="28"/>
          <w:szCs w:val="28"/>
        </w:rPr>
        <w:sectPr>
          <w:pgSz w:w="11906" w:h="16838"/>
          <w:pgMar w:top="1134" w:right="1134" w:bottom="1134" w:left="1418" w:header="851" w:footer="992" w:gutter="0"/>
          <w:cols w:space="720" w:num="1"/>
          <w:docGrid w:type="lines" w:linePitch="312" w:charSpace="0"/>
        </w:sectPr>
      </w:pPr>
    </w:p>
    <w:p>
      <w:pPr>
        <w:pStyle w:val="59"/>
        <w:jc w:val="center"/>
        <w:rPr>
          <w:rFonts w:eastAsia="黑体" w:cs="Times New Roman"/>
          <w:b w:val="0"/>
          <w:sz w:val="30"/>
          <w:szCs w:val="30"/>
        </w:rPr>
      </w:pPr>
      <w:r>
        <w:rPr>
          <w:rFonts w:eastAsia="黑体" w:cs="Times New Roman"/>
          <w:b w:val="0"/>
          <w:sz w:val="30"/>
          <w:szCs w:val="30"/>
        </w:rPr>
        <w:t>六、结论</w:t>
      </w:r>
    </w:p>
    <w:tbl>
      <w:tblPr>
        <w:tblStyle w:val="2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9344" w:type="dxa"/>
            <w:shd w:val="clear" w:color="auto" w:fill="auto"/>
          </w:tcPr>
          <w:p>
            <w:pPr>
              <w:spacing w:line="360" w:lineRule="auto"/>
              <w:ind w:firstLine="482" w:firstLineChars="200"/>
              <w:rPr>
                <w:rFonts w:cs="Times New Roman"/>
                <w:b/>
                <w:bCs/>
                <w:sz w:val="24"/>
                <w:szCs w:val="24"/>
              </w:rPr>
            </w:pPr>
            <w:r>
              <w:rPr>
                <w:rFonts w:cs="Times New Roman"/>
                <w:b/>
                <w:bCs/>
                <w:sz w:val="24"/>
                <w:szCs w:val="24"/>
              </w:rPr>
              <w:t>1、建设项目环境可行性结论</w:t>
            </w:r>
          </w:p>
          <w:p>
            <w:pPr>
              <w:spacing w:line="360" w:lineRule="auto"/>
              <w:ind w:firstLine="480" w:firstLineChars="200"/>
              <w:rPr>
                <w:rFonts w:cs="Times New Roman"/>
                <w:sz w:val="24"/>
                <w:szCs w:val="24"/>
              </w:rPr>
            </w:pPr>
            <w:r>
              <w:rPr>
                <w:rFonts w:cs="Times New Roman"/>
                <w:sz w:val="24"/>
                <w:szCs w:val="24"/>
              </w:rPr>
              <w:t>年产1.4亿平米玻纤湿法毡生产线技改项目建设符合国家产业政策，符合当地用地规划，项目建设区域无明显环境制约因素，选址合理，总图布置合理；废水、废气、噪声、固体废物采取的污染防治措施技术可靠、经济可行。建设单位认真落实本报告中提出的各项污染防治措施和有关管理措施，保证环境保护措施的有效运行，可确保污染物稳定达标排放。从环保角度而言，本项目的建设是可行的。</w:t>
            </w:r>
          </w:p>
          <w:p>
            <w:pPr>
              <w:spacing w:line="360" w:lineRule="auto"/>
              <w:ind w:firstLine="482" w:firstLineChars="200"/>
              <w:rPr>
                <w:rFonts w:cs="Times New Roman"/>
                <w:b/>
                <w:bCs/>
                <w:sz w:val="24"/>
                <w:szCs w:val="24"/>
              </w:rPr>
            </w:pPr>
            <w:r>
              <w:rPr>
                <w:rFonts w:cs="Times New Roman"/>
                <w:b/>
                <w:bCs/>
                <w:sz w:val="24"/>
                <w:szCs w:val="24"/>
              </w:rPr>
              <w:t>2、建议</w:t>
            </w:r>
          </w:p>
          <w:p>
            <w:pPr>
              <w:spacing w:line="360" w:lineRule="auto"/>
              <w:ind w:firstLine="480" w:firstLineChars="200"/>
              <w:rPr>
                <w:rFonts w:cs="Times New Roman"/>
                <w:sz w:val="24"/>
                <w:szCs w:val="24"/>
              </w:rPr>
            </w:pPr>
            <w:r>
              <w:rPr>
                <w:rFonts w:cs="Times New Roman"/>
                <w:sz w:val="24"/>
                <w:szCs w:val="24"/>
              </w:rPr>
              <w:t>（1）加强生产设施的日常管理工作及设施的维修、保养，确保生产的正常运行，避免因生产事故而对环境造成影响。</w:t>
            </w:r>
          </w:p>
          <w:p>
            <w:pPr>
              <w:spacing w:line="360" w:lineRule="auto"/>
              <w:ind w:firstLine="480" w:firstLineChars="200"/>
              <w:rPr>
                <w:rFonts w:cs="Times New Roman"/>
                <w:sz w:val="24"/>
                <w:szCs w:val="24"/>
              </w:rPr>
            </w:pPr>
            <w:r>
              <w:rPr>
                <w:rFonts w:cs="Times New Roman"/>
                <w:sz w:val="24"/>
                <w:szCs w:val="24"/>
              </w:rPr>
              <w:t>（2）建立污染物管理档案，确保足够的环保资金，以实施污染物治理措施，确保废气、废水、厂界噪声达标排放。</w:t>
            </w:r>
          </w:p>
          <w:p>
            <w:pPr>
              <w:spacing w:line="360" w:lineRule="auto"/>
              <w:ind w:firstLine="480" w:firstLineChars="200"/>
              <w:rPr>
                <w:rFonts w:cs="Times New Roman"/>
                <w:sz w:val="24"/>
                <w:szCs w:val="24"/>
              </w:rPr>
            </w:pPr>
            <w:r>
              <w:rPr>
                <w:rFonts w:cs="Times New Roman"/>
                <w:sz w:val="24"/>
                <w:szCs w:val="24"/>
              </w:rPr>
              <w:t>（3）对职工定期进行环境保护、清洁生产和环境风险防范等方面的宣传教育。</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tc>
      </w:tr>
    </w:tbl>
    <w:p>
      <w:pPr>
        <w:rPr>
          <w:rFonts w:cs="Times New Roman"/>
          <w:sz w:val="24"/>
          <w:szCs w:val="24"/>
        </w:rPr>
        <w:sectPr>
          <w:pgSz w:w="11906" w:h="16838"/>
          <w:pgMar w:top="1134" w:right="1134" w:bottom="1134" w:left="1418" w:header="851" w:footer="992" w:gutter="0"/>
          <w:cols w:space="720" w:num="1"/>
          <w:docGrid w:type="lines" w:linePitch="312" w:charSpace="0"/>
        </w:sectPr>
      </w:pPr>
    </w:p>
    <w:p>
      <w:pPr>
        <w:pStyle w:val="59"/>
        <w:spacing w:line="240" w:lineRule="auto"/>
        <w:rPr>
          <w:rFonts w:eastAsia="黑体" w:cs="Times New Roman"/>
          <w:b w:val="0"/>
          <w:sz w:val="30"/>
          <w:szCs w:val="30"/>
        </w:rPr>
      </w:pPr>
      <w:r>
        <w:rPr>
          <w:rFonts w:eastAsia="黑体" w:cs="Times New Roman"/>
          <w:b w:val="0"/>
          <w:sz w:val="30"/>
          <w:szCs w:val="30"/>
        </w:rPr>
        <w:t>附表</w:t>
      </w:r>
    </w:p>
    <w:p>
      <w:pPr>
        <w:jc w:val="center"/>
        <w:rPr>
          <w:rFonts w:eastAsia="方正小标宋_GBK" w:cs="Times New Roman"/>
          <w:sz w:val="36"/>
          <w:szCs w:val="36"/>
        </w:rPr>
      </w:pPr>
      <w:r>
        <w:rPr>
          <w:rFonts w:eastAsia="方正小标宋_GBK" w:cs="Times New Roman"/>
          <w:sz w:val="36"/>
          <w:szCs w:val="36"/>
        </w:rPr>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598805</wp:posOffset>
                </wp:positionV>
                <wp:extent cx="640715" cy="690880"/>
                <wp:effectExtent l="3175" t="3175" r="3810" b="10795"/>
                <wp:wrapNone/>
                <wp:docPr id="1" name="直接连接符 1"/>
                <wp:cNvGraphicFramePr/>
                <a:graphic xmlns:a="http://schemas.openxmlformats.org/drawingml/2006/main">
                  <a:graphicData uri="http://schemas.microsoft.com/office/word/2010/wordprocessingShape">
                    <wps:wsp>
                      <wps:cNvCnPr/>
                      <wps:spPr>
                        <a:xfrm>
                          <a:off x="0" y="0"/>
                          <a:ext cx="640715" cy="690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47.15pt;height:54.4pt;width:50.45pt;z-index:251661312;mso-width-relative:page;mso-height-relative:page;" filled="f" stroked="t" coordsize="21600,21600" o:gfxdata="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7rk1n1QAAAAcBAAAPAAAAAAAA&#10;AAEAIAAAACIAAABkcnMvZG93bnJldi54bWxQSwECFAAUAAAACACHTuJAuGMoZNwBAACeAwAADgAA&#10;AAAAAAABACAAAAAkAQAAZHJzL2Uyb0RvYy54bWxQSwUGAAAAAAYABgBZAQAAcgUAAAAA&#10;">
                <v:fill on="f" focussize="0,0"/>
                <v:stroke color="#000000 [3213]" joinstyle="round"/>
                <v:imagedata o:title=""/>
                <o:lock v:ext="edit" aspectratio="f"/>
              </v:line>
            </w:pict>
          </mc:Fallback>
        </mc:AlternateContent>
      </w:r>
      <w:r>
        <w:rPr>
          <w:rFonts w:eastAsia="方正小标宋_GBK" w:cs="Times New Roman"/>
          <w:sz w:val="36"/>
          <w:szCs w:val="36"/>
        </w:rPr>
        <w:t>建设项目污染物排放量汇总表</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3"/>
        <w:gridCol w:w="1960"/>
        <w:gridCol w:w="1782"/>
        <w:gridCol w:w="1778"/>
        <w:gridCol w:w="1782"/>
        <w:gridCol w:w="1783"/>
        <w:gridCol w:w="1655"/>
        <w:gridCol w:w="1912"/>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Align w:val="center"/>
          </w:tcPr>
          <w:p>
            <w:pPr>
              <w:spacing w:line="276" w:lineRule="auto"/>
              <w:jc w:val="center"/>
              <w:rPr>
                <w:rFonts w:cs="Times New Roman"/>
                <w:szCs w:val="21"/>
              </w:rPr>
            </w:pPr>
            <w:r>
              <w:rPr>
                <w:rFonts w:cs="Times New Roman"/>
                <w:szCs w:val="21"/>
              </w:rPr>
              <w:t>项目</w:t>
            </w:r>
          </w:p>
          <w:p>
            <w:pPr>
              <w:spacing w:line="276" w:lineRule="auto"/>
              <w:jc w:val="center"/>
              <w:rPr>
                <w:rFonts w:cs="Times New Roman"/>
                <w:szCs w:val="21"/>
              </w:rPr>
            </w:pPr>
            <w:r>
              <w:rPr>
                <w:rFonts w:cs="Times New Roman"/>
                <w:szCs w:val="21"/>
              </w:rPr>
              <w:t>分类</w:t>
            </w:r>
          </w:p>
        </w:tc>
        <w:tc>
          <w:tcPr>
            <w:tcW w:w="1960" w:type="dxa"/>
            <w:vAlign w:val="center"/>
          </w:tcPr>
          <w:p>
            <w:pPr>
              <w:spacing w:line="276" w:lineRule="auto"/>
              <w:jc w:val="center"/>
              <w:rPr>
                <w:rFonts w:cs="Times New Roman"/>
                <w:szCs w:val="21"/>
              </w:rPr>
            </w:pPr>
            <w:r>
              <w:rPr>
                <w:rFonts w:cs="Times New Roman"/>
                <w:szCs w:val="21"/>
              </w:rPr>
              <w:t>污染物名称</w:t>
            </w:r>
          </w:p>
        </w:tc>
        <w:tc>
          <w:tcPr>
            <w:tcW w:w="1782" w:type="dxa"/>
            <w:vAlign w:val="center"/>
          </w:tcPr>
          <w:p>
            <w:pPr>
              <w:spacing w:line="276" w:lineRule="auto"/>
              <w:jc w:val="center"/>
              <w:rPr>
                <w:rFonts w:cs="Times New Roman"/>
                <w:szCs w:val="21"/>
              </w:rPr>
            </w:pPr>
            <w:r>
              <w:rPr>
                <w:rFonts w:cs="Times New Roman"/>
                <w:szCs w:val="21"/>
              </w:rPr>
              <w:t>现有工程</w:t>
            </w:r>
          </w:p>
          <w:p>
            <w:pPr>
              <w:spacing w:line="276" w:lineRule="auto"/>
              <w:jc w:val="center"/>
              <w:rPr>
                <w:rFonts w:cs="Times New Roman"/>
                <w:szCs w:val="21"/>
              </w:rPr>
            </w:pPr>
            <w:r>
              <w:rPr>
                <w:rFonts w:cs="Times New Roman"/>
                <w:szCs w:val="21"/>
              </w:rPr>
              <w:t>排放量（固体废物产生量）①</w:t>
            </w:r>
          </w:p>
        </w:tc>
        <w:tc>
          <w:tcPr>
            <w:tcW w:w="1778" w:type="dxa"/>
            <w:vAlign w:val="center"/>
          </w:tcPr>
          <w:p>
            <w:pPr>
              <w:spacing w:line="276" w:lineRule="auto"/>
              <w:jc w:val="center"/>
              <w:rPr>
                <w:rFonts w:cs="Times New Roman"/>
                <w:szCs w:val="21"/>
              </w:rPr>
            </w:pPr>
            <w:r>
              <w:rPr>
                <w:rFonts w:cs="Times New Roman"/>
                <w:szCs w:val="21"/>
              </w:rPr>
              <w:t>现有工程</w:t>
            </w:r>
          </w:p>
          <w:p>
            <w:pPr>
              <w:spacing w:line="276" w:lineRule="auto"/>
              <w:jc w:val="center"/>
              <w:rPr>
                <w:rFonts w:cs="Times New Roman"/>
                <w:szCs w:val="21"/>
              </w:rPr>
            </w:pPr>
            <w:r>
              <w:rPr>
                <w:rFonts w:cs="Times New Roman"/>
                <w:szCs w:val="21"/>
              </w:rPr>
              <w:t>许可排放量②</w:t>
            </w:r>
          </w:p>
        </w:tc>
        <w:tc>
          <w:tcPr>
            <w:tcW w:w="1782" w:type="dxa"/>
            <w:vAlign w:val="center"/>
          </w:tcPr>
          <w:p>
            <w:pPr>
              <w:spacing w:line="276" w:lineRule="auto"/>
              <w:jc w:val="center"/>
              <w:rPr>
                <w:rFonts w:cs="Times New Roman"/>
                <w:szCs w:val="21"/>
              </w:rPr>
            </w:pPr>
            <w:r>
              <w:rPr>
                <w:rFonts w:cs="Times New Roman"/>
                <w:szCs w:val="21"/>
              </w:rPr>
              <w:t>在建工程</w:t>
            </w:r>
          </w:p>
          <w:p>
            <w:pPr>
              <w:spacing w:line="276" w:lineRule="auto"/>
              <w:jc w:val="center"/>
              <w:rPr>
                <w:rFonts w:cs="Times New Roman"/>
                <w:szCs w:val="21"/>
              </w:rPr>
            </w:pPr>
            <w:r>
              <w:rPr>
                <w:rFonts w:cs="Times New Roman"/>
                <w:szCs w:val="21"/>
              </w:rPr>
              <w:t>排放量（固体废物产生量）③</w:t>
            </w:r>
          </w:p>
        </w:tc>
        <w:tc>
          <w:tcPr>
            <w:tcW w:w="1783" w:type="dxa"/>
            <w:vAlign w:val="center"/>
          </w:tcPr>
          <w:p>
            <w:pPr>
              <w:spacing w:line="276" w:lineRule="auto"/>
              <w:jc w:val="center"/>
              <w:rPr>
                <w:rFonts w:cs="Times New Roman"/>
                <w:szCs w:val="21"/>
              </w:rPr>
            </w:pPr>
            <w:r>
              <w:rPr>
                <w:rFonts w:cs="Times New Roman"/>
                <w:szCs w:val="21"/>
              </w:rPr>
              <w:t>本项目</w:t>
            </w:r>
          </w:p>
          <w:p>
            <w:pPr>
              <w:spacing w:line="276" w:lineRule="auto"/>
              <w:jc w:val="center"/>
              <w:rPr>
                <w:rFonts w:cs="Times New Roman"/>
                <w:szCs w:val="21"/>
              </w:rPr>
            </w:pPr>
            <w:r>
              <w:rPr>
                <w:rFonts w:cs="Times New Roman"/>
                <w:szCs w:val="21"/>
              </w:rPr>
              <w:t>排放量（固体废物产生量）④</w:t>
            </w:r>
          </w:p>
        </w:tc>
        <w:tc>
          <w:tcPr>
            <w:tcW w:w="1655" w:type="dxa"/>
            <w:vAlign w:val="center"/>
          </w:tcPr>
          <w:p>
            <w:pPr>
              <w:spacing w:line="276" w:lineRule="auto"/>
              <w:jc w:val="center"/>
              <w:rPr>
                <w:rFonts w:cs="Times New Roman"/>
                <w:szCs w:val="21"/>
              </w:rPr>
            </w:pPr>
            <w:r>
              <w:rPr>
                <w:rFonts w:cs="Times New Roman"/>
                <w:szCs w:val="21"/>
              </w:rPr>
              <w:t>以新带老削减量（新建项目不填）⑤</w:t>
            </w:r>
          </w:p>
        </w:tc>
        <w:tc>
          <w:tcPr>
            <w:tcW w:w="1912" w:type="dxa"/>
            <w:vAlign w:val="center"/>
          </w:tcPr>
          <w:p>
            <w:pPr>
              <w:spacing w:line="276" w:lineRule="auto"/>
              <w:jc w:val="center"/>
              <w:rPr>
                <w:rFonts w:cs="Times New Roman"/>
                <w:szCs w:val="21"/>
              </w:rPr>
            </w:pPr>
            <w:r>
              <w:rPr>
                <w:rFonts w:cs="Times New Roman"/>
                <w:szCs w:val="21"/>
              </w:rPr>
              <w:t>本项目建成后</w:t>
            </w:r>
          </w:p>
          <w:p>
            <w:pPr>
              <w:spacing w:line="276" w:lineRule="auto"/>
              <w:jc w:val="center"/>
              <w:rPr>
                <w:rFonts w:cs="Times New Roman"/>
                <w:szCs w:val="21"/>
              </w:rPr>
            </w:pPr>
            <w:r>
              <w:rPr>
                <w:rFonts w:cs="Times New Roman"/>
                <w:szCs w:val="21"/>
              </w:rPr>
              <w:t>全厂排放量（固体废物产生量）⑥</w:t>
            </w:r>
          </w:p>
        </w:tc>
        <w:tc>
          <w:tcPr>
            <w:tcW w:w="1011" w:type="dxa"/>
            <w:vAlign w:val="center"/>
          </w:tcPr>
          <w:p>
            <w:pPr>
              <w:spacing w:line="276" w:lineRule="auto"/>
              <w:jc w:val="center"/>
              <w:rPr>
                <w:rFonts w:cs="Times New Roman"/>
                <w:szCs w:val="21"/>
              </w:rPr>
            </w:pPr>
            <w:r>
              <w:rPr>
                <w:rFonts w:cs="Times New Roman"/>
                <w:szCs w:val="21"/>
              </w:rPr>
              <w:t>变化量</w:t>
            </w:r>
          </w:p>
          <w:p>
            <w:pPr>
              <w:spacing w:line="276" w:lineRule="auto"/>
              <w:jc w:val="center"/>
              <w:rPr>
                <w:rFonts w:cs="Times New Roman"/>
                <w:szCs w:val="21"/>
              </w:rPr>
            </w:pPr>
            <w:r>
              <w:rPr>
                <w:rFonts w:cs="Times New Roman"/>
                <w:szCs w:val="21"/>
              </w:rPr>
              <w:t>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szCs w:val="21"/>
              </w:rPr>
            </w:pPr>
            <w:r>
              <w:rPr>
                <w:rFonts w:cs="Times New Roman"/>
                <w:szCs w:val="21"/>
              </w:rPr>
              <w:t>废气</w:t>
            </w: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颗粒物</w:t>
            </w:r>
          </w:p>
        </w:tc>
        <w:tc>
          <w:tcPr>
            <w:tcW w:w="178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lang w:bidi="ar"/>
                <w14:textFill>
                  <w14:solidFill>
                    <w14:schemeClr w14:val="tx1"/>
                  </w14:solidFill>
                </w14:textFill>
              </w:rPr>
              <w:t>0.0821</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0.3</w:t>
            </w:r>
            <w:r>
              <w:rPr>
                <w:rFonts w:hint="eastAsia" w:cs="Times New Roman"/>
                <w:color w:val="000000" w:themeColor="text1"/>
                <w:szCs w:val="21"/>
                <w:lang w:val="en-US" w:eastAsia="zh-CN"/>
                <w14:textFill>
                  <w14:solidFill>
                    <w14:schemeClr w14:val="tx1"/>
                  </w14:solidFill>
                </w14:textFill>
              </w:rPr>
              <w:t>62</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0.4441</w:t>
            </w:r>
          </w:p>
        </w:tc>
        <w:tc>
          <w:tcPr>
            <w:tcW w:w="1011" w:type="dxa"/>
            <w:vAlign w:val="center"/>
          </w:tcPr>
          <w:p>
            <w:pPr>
              <w:widowControl/>
              <w:jc w:val="center"/>
              <w:textAlignment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w:t>
            </w: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甲醛</w:t>
            </w:r>
          </w:p>
        </w:tc>
        <w:tc>
          <w:tcPr>
            <w:tcW w:w="1782" w:type="dxa"/>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w:t>
            </w:r>
            <w:r>
              <w:rPr>
                <w:rFonts w:hint="eastAsia" w:cs="Times New Roman"/>
                <w:color w:val="000000" w:themeColor="text1"/>
                <w:szCs w:val="21"/>
                <w:lang w:val="en-US" w:eastAsia="zh-CN"/>
                <w14:textFill>
                  <w14:solidFill>
                    <w14:schemeClr w14:val="tx1"/>
                  </w14:solidFill>
                </w14:textFill>
              </w:rPr>
              <w:t>66</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w:t>
            </w:r>
            <w:r>
              <w:rPr>
                <w:rFonts w:hint="eastAsia" w:cs="Times New Roman"/>
                <w:color w:val="000000" w:themeColor="text1"/>
                <w:szCs w:val="21"/>
                <w:lang w:val="en-US" w:eastAsia="zh-CN"/>
                <w14:textFill>
                  <w14:solidFill>
                    <w14:schemeClr w14:val="tx1"/>
                  </w14:solidFill>
                </w14:textFill>
              </w:rPr>
              <w:t>96</w:t>
            </w:r>
          </w:p>
        </w:tc>
        <w:tc>
          <w:tcPr>
            <w:tcW w:w="1011" w:type="dxa"/>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+0.997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VOCs</w:t>
            </w:r>
          </w:p>
        </w:tc>
        <w:tc>
          <w:tcPr>
            <w:tcW w:w="1782" w:type="dxa"/>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szCs w:val="21"/>
                <w:lang w:bidi="ar"/>
                <w14:textFill>
                  <w14:solidFill>
                    <w14:schemeClr w14:val="tx1"/>
                  </w14:solidFill>
                </w14:textFill>
              </w:rPr>
              <w:t>0.0035</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0.013</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0.0165</w:t>
            </w:r>
          </w:p>
        </w:tc>
        <w:tc>
          <w:tcPr>
            <w:tcW w:w="1011" w:type="dxa"/>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氨</w:t>
            </w:r>
          </w:p>
        </w:tc>
        <w:tc>
          <w:tcPr>
            <w:tcW w:w="1782" w:type="dxa"/>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0.14</w:t>
            </w:r>
            <w:r>
              <w:rPr>
                <w:rFonts w:hint="eastAsia" w:cs="Times New Roman"/>
                <w:color w:val="000000" w:themeColor="text1"/>
                <w:szCs w:val="21"/>
                <w:lang w:val="en-US" w:eastAsia="zh-CN"/>
                <w14:textFill>
                  <w14:solidFill>
                    <w14:schemeClr w14:val="tx1"/>
                  </w14:solidFill>
                </w14:textFill>
              </w:rPr>
              <w:t>7</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0.14</w:t>
            </w:r>
            <w:r>
              <w:rPr>
                <w:rFonts w:hint="eastAsia" w:cs="Times New Roman"/>
                <w:color w:val="000000" w:themeColor="text1"/>
                <w:szCs w:val="21"/>
                <w:lang w:val="en-US" w:eastAsia="zh-CN"/>
                <w14:textFill>
                  <w14:solidFill>
                    <w14:schemeClr w14:val="tx1"/>
                  </w14:solidFill>
                </w14:textFill>
              </w:rPr>
              <w:t>7</w:t>
            </w:r>
          </w:p>
        </w:tc>
        <w:tc>
          <w:tcPr>
            <w:tcW w:w="1011" w:type="dxa"/>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+0.14</w:t>
            </w:r>
            <w:r>
              <w:rPr>
                <w:rFonts w:hint="eastAsia" w:cs="Times New Roman"/>
                <w:color w:val="000000" w:themeColor="text1"/>
                <w:szCs w:val="21"/>
                <w:lang w:val="en-US" w:eastAsia="zh-CN" w:bidi="ar"/>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178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lang w:bidi="ar"/>
                <w14:textFill>
                  <w14:solidFill>
                    <w14:schemeClr w14:val="tx1"/>
                  </w14:solidFill>
                </w14:textFill>
              </w:rPr>
              <w:t>0.0264</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0.103</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widowControl/>
              <w:jc w:val="center"/>
              <w:textAlignment w:val="center"/>
              <w:rPr>
                <w:rFonts w:cs="Times New Roman"/>
                <w:color w:val="000000" w:themeColor="text1"/>
                <w:szCs w:val="21"/>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0.1294</w:t>
            </w:r>
          </w:p>
        </w:tc>
        <w:tc>
          <w:tcPr>
            <w:tcW w:w="1011" w:type="dxa"/>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+0.</w:t>
            </w:r>
            <w:r>
              <w:rPr>
                <w:rFonts w:hint="eastAsia" w:cs="Times New Roman"/>
                <w:color w:val="000000" w:themeColor="text1"/>
                <w:szCs w:val="21"/>
                <w:lang w:val="en-US" w:eastAsia="zh-CN" w:bidi="ar"/>
                <w14:textFill>
                  <w14:solidFill>
                    <w14:schemeClr w14:val="tx1"/>
                  </w14:solidFill>
                </w14:textFill>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NOx</w:t>
            </w:r>
          </w:p>
        </w:tc>
        <w:tc>
          <w:tcPr>
            <w:tcW w:w="1782"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lang w:bidi="ar"/>
                <w14:textFill>
                  <w14:solidFill>
                    <w14:schemeClr w14:val="tx1"/>
                  </w14:solidFill>
                </w14:textFill>
              </w:rPr>
              <w:t>0.2153</w:t>
            </w:r>
          </w:p>
        </w:tc>
        <w:tc>
          <w:tcPr>
            <w:tcW w:w="1778"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2"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783"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4.094</w:t>
            </w:r>
          </w:p>
        </w:tc>
        <w:tc>
          <w:tcPr>
            <w:tcW w:w="1655" w:type="dxa"/>
            <w:vAlign w:val="center"/>
          </w:tcPr>
          <w:p>
            <w:pPr>
              <w:widowControl/>
              <w:jc w:val="center"/>
              <w:textAlignment w:val="center"/>
              <w:rPr>
                <w:rFonts w:cs="Times New Roman"/>
                <w:color w:val="000000" w:themeColor="text1"/>
                <w:kern w:val="0"/>
                <w:sz w:val="22"/>
                <w:lang w:bidi="ar"/>
                <w14:textFill>
                  <w14:solidFill>
                    <w14:schemeClr w14:val="tx1"/>
                  </w14:solidFill>
                </w14:textFill>
              </w:rPr>
            </w:pPr>
            <w:r>
              <w:rPr>
                <w:rFonts w:cs="Times New Roman"/>
                <w:color w:val="000000" w:themeColor="text1"/>
                <w:szCs w:val="21"/>
                <w14:textFill>
                  <w14:solidFill>
                    <w14:schemeClr w14:val="tx1"/>
                  </w14:solidFill>
                </w14:textFill>
              </w:rPr>
              <w:t>0</w:t>
            </w:r>
          </w:p>
        </w:tc>
        <w:tc>
          <w:tcPr>
            <w:tcW w:w="1912" w:type="dxa"/>
            <w:vAlign w:val="center"/>
          </w:tcPr>
          <w:p>
            <w:pPr>
              <w:widowControl/>
              <w:jc w:val="center"/>
              <w:textAlignment w:val="center"/>
              <w:rPr>
                <w:rFonts w:cs="Times New Roman"/>
                <w:color w:val="000000" w:themeColor="text1"/>
                <w:szCs w:val="21"/>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4.3093</w:t>
            </w:r>
          </w:p>
        </w:tc>
        <w:tc>
          <w:tcPr>
            <w:tcW w:w="1011" w:type="dxa"/>
            <w:vAlign w:val="center"/>
          </w:tcPr>
          <w:p>
            <w:pPr>
              <w:jc w:val="center"/>
              <w:rPr>
                <w:rFonts w:cs="Times New Roman"/>
                <w:color w:val="000000" w:themeColor="text1"/>
                <w:szCs w:val="21"/>
                <w:lang w:bidi="ar"/>
                <w14:textFill>
                  <w14:solidFill>
                    <w14:schemeClr w14:val="tx1"/>
                  </w14:solidFill>
                </w14:textFill>
              </w:rPr>
            </w:pPr>
            <w:r>
              <w:rPr>
                <w:rFonts w:cs="Times New Roman"/>
                <w:color w:val="000000" w:themeColor="text1"/>
                <w:szCs w:val="21"/>
                <w:lang w:bidi="ar"/>
                <w14:textFill>
                  <w14:solidFill>
                    <w14:schemeClr w14:val="tx1"/>
                  </w14:solidFill>
                </w14:textFill>
              </w:rPr>
              <w:t>+</w:t>
            </w:r>
            <w:r>
              <w:rPr>
                <w:rFonts w:hint="eastAsia" w:cs="Times New Roman"/>
                <w:color w:val="000000" w:themeColor="text1"/>
                <w:szCs w:val="21"/>
                <w:lang w:val="en-US" w:eastAsia="zh-CN" w:bidi="ar"/>
                <w14:textFill>
                  <w14:solidFill>
                    <w14:schemeClr w14:val="tx1"/>
                  </w14:solidFill>
                </w14:textFill>
              </w:rPr>
              <w:t>4.094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szCs w:val="21"/>
              </w:rPr>
            </w:pPr>
            <w:r>
              <w:rPr>
                <w:rFonts w:cs="Times New Roman"/>
                <w:szCs w:val="21"/>
              </w:rPr>
              <w:t>废水</w:t>
            </w:r>
          </w:p>
        </w:tc>
        <w:tc>
          <w:tcPr>
            <w:tcW w:w="1960" w:type="dxa"/>
            <w:vAlign w:val="center"/>
          </w:tcPr>
          <w:p>
            <w:pPr>
              <w:spacing w:line="276" w:lineRule="auto"/>
              <w:jc w:val="center"/>
              <w:rPr>
                <w:rFonts w:cs="Times New Roman"/>
                <w:szCs w:val="21"/>
              </w:rPr>
            </w:pPr>
            <w:r>
              <w:rPr>
                <w:rFonts w:cs="Times New Roman"/>
                <w:szCs w:val="21"/>
              </w:rPr>
              <w:t>COD</w:t>
            </w:r>
          </w:p>
        </w:tc>
        <w:tc>
          <w:tcPr>
            <w:tcW w:w="1782" w:type="dxa"/>
            <w:vAlign w:val="center"/>
          </w:tcPr>
          <w:p>
            <w:pPr>
              <w:spacing w:line="276" w:lineRule="auto"/>
              <w:jc w:val="center"/>
              <w:rPr>
                <w:rFonts w:cs="Times New Roman"/>
                <w:szCs w:val="21"/>
              </w:rPr>
            </w:pPr>
            <w:r>
              <w:rPr>
                <w:rFonts w:cs="Times New Roman"/>
                <w:szCs w:val="21"/>
              </w:rPr>
              <w:t>0</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spacing w:line="276" w:lineRule="auto"/>
              <w:jc w:val="center"/>
              <w:rPr>
                <w:rFonts w:cs="Times New Roman"/>
                <w:szCs w:val="21"/>
              </w:rPr>
            </w:pPr>
            <w:r>
              <w:rPr>
                <w:rFonts w:cs="Times New Roman"/>
                <w:szCs w:val="21"/>
              </w:rPr>
              <w:t>0</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spacing w:line="276" w:lineRule="auto"/>
              <w:jc w:val="center"/>
              <w:rPr>
                <w:rFonts w:cs="Times New Roman"/>
                <w:szCs w:val="21"/>
              </w:rPr>
            </w:pPr>
            <w:r>
              <w:rPr>
                <w:rFonts w:cs="Times New Roman"/>
                <w:szCs w:val="21"/>
              </w:rPr>
              <w:t>0</w:t>
            </w:r>
          </w:p>
        </w:tc>
        <w:tc>
          <w:tcPr>
            <w:tcW w:w="1011" w:type="dxa"/>
            <w:vAlign w:val="center"/>
          </w:tcPr>
          <w:p>
            <w:pPr>
              <w:spacing w:line="276" w:lineRule="auto"/>
              <w:jc w:val="center"/>
              <w:rPr>
                <w:rFonts w:cs="Times New Roman"/>
                <w:szCs w:val="21"/>
              </w:rPr>
            </w:pPr>
            <w:r>
              <w:rPr>
                <w:rFonts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spacing w:line="276" w:lineRule="auto"/>
              <w:jc w:val="center"/>
              <w:rPr>
                <w:rFonts w:cs="Times New Roman"/>
                <w:szCs w:val="21"/>
              </w:rPr>
            </w:pPr>
            <w:r>
              <w:rPr>
                <w:rFonts w:cs="Times New Roman"/>
                <w:szCs w:val="21"/>
              </w:rPr>
              <w:t>NH</w:t>
            </w:r>
            <w:r>
              <w:rPr>
                <w:rFonts w:cs="Times New Roman"/>
                <w:szCs w:val="21"/>
                <w:vertAlign w:val="subscript"/>
              </w:rPr>
              <w:t>3</w:t>
            </w:r>
            <w:r>
              <w:rPr>
                <w:rFonts w:cs="Times New Roman"/>
                <w:szCs w:val="21"/>
              </w:rPr>
              <w:t>-N</w:t>
            </w:r>
          </w:p>
        </w:tc>
        <w:tc>
          <w:tcPr>
            <w:tcW w:w="1782" w:type="dxa"/>
            <w:vAlign w:val="center"/>
          </w:tcPr>
          <w:p>
            <w:pPr>
              <w:spacing w:line="276" w:lineRule="auto"/>
              <w:jc w:val="center"/>
              <w:rPr>
                <w:rFonts w:cs="Times New Roman"/>
                <w:szCs w:val="21"/>
              </w:rPr>
            </w:pPr>
            <w:r>
              <w:rPr>
                <w:rFonts w:cs="Times New Roman"/>
                <w:szCs w:val="21"/>
              </w:rPr>
              <w:t>0</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spacing w:line="276" w:lineRule="auto"/>
              <w:jc w:val="center"/>
              <w:rPr>
                <w:rFonts w:cs="Times New Roman"/>
                <w:szCs w:val="21"/>
              </w:rPr>
            </w:pPr>
            <w:r>
              <w:rPr>
                <w:rFonts w:cs="Times New Roman"/>
                <w:szCs w:val="21"/>
              </w:rPr>
              <w:t>0</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spacing w:line="276" w:lineRule="auto"/>
              <w:jc w:val="center"/>
              <w:rPr>
                <w:rFonts w:cs="Times New Roman"/>
                <w:szCs w:val="21"/>
              </w:rPr>
            </w:pPr>
            <w:r>
              <w:rPr>
                <w:rFonts w:cs="Times New Roman"/>
                <w:szCs w:val="21"/>
              </w:rPr>
              <w:t>0</w:t>
            </w:r>
          </w:p>
        </w:tc>
        <w:tc>
          <w:tcPr>
            <w:tcW w:w="1011" w:type="dxa"/>
            <w:vAlign w:val="center"/>
          </w:tcPr>
          <w:p>
            <w:pPr>
              <w:spacing w:line="276" w:lineRule="auto"/>
              <w:jc w:val="center"/>
              <w:rPr>
                <w:rFonts w:cs="Times New Roman"/>
                <w:szCs w:val="21"/>
              </w:rPr>
            </w:pPr>
            <w:r>
              <w:rPr>
                <w:rFonts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spacing w:line="276" w:lineRule="auto"/>
              <w:jc w:val="center"/>
              <w:rPr>
                <w:rFonts w:cs="Times New Roman"/>
                <w:szCs w:val="21"/>
              </w:rPr>
            </w:pPr>
            <w:r>
              <w:rPr>
                <w:rFonts w:cs="Times New Roman"/>
                <w:szCs w:val="21"/>
              </w:rPr>
              <w:t>TP</w:t>
            </w:r>
          </w:p>
        </w:tc>
        <w:tc>
          <w:tcPr>
            <w:tcW w:w="1782" w:type="dxa"/>
            <w:vAlign w:val="center"/>
          </w:tcPr>
          <w:p>
            <w:pPr>
              <w:spacing w:line="276" w:lineRule="auto"/>
              <w:jc w:val="center"/>
              <w:rPr>
                <w:rFonts w:cs="Times New Roman"/>
                <w:szCs w:val="21"/>
              </w:rPr>
            </w:pPr>
            <w:r>
              <w:rPr>
                <w:rFonts w:cs="Times New Roman"/>
                <w:szCs w:val="21"/>
              </w:rPr>
              <w:t>0</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spacing w:line="276" w:lineRule="auto"/>
              <w:jc w:val="center"/>
              <w:rPr>
                <w:rFonts w:cs="Times New Roman"/>
                <w:szCs w:val="21"/>
              </w:rPr>
            </w:pPr>
            <w:r>
              <w:rPr>
                <w:rFonts w:cs="Times New Roman"/>
                <w:szCs w:val="21"/>
              </w:rPr>
              <w:t>0</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spacing w:line="276" w:lineRule="auto"/>
              <w:jc w:val="center"/>
              <w:rPr>
                <w:rFonts w:cs="Times New Roman"/>
                <w:szCs w:val="21"/>
              </w:rPr>
            </w:pPr>
            <w:r>
              <w:rPr>
                <w:rFonts w:cs="Times New Roman"/>
                <w:szCs w:val="21"/>
              </w:rPr>
              <w:t>0</w:t>
            </w:r>
          </w:p>
        </w:tc>
        <w:tc>
          <w:tcPr>
            <w:tcW w:w="1011" w:type="dxa"/>
            <w:vAlign w:val="center"/>
          </w:tcPr>
          <w:p>
            <w:pPr>
              <w:spacing w:line="276" w:lineRule="auto"/>
              <w:jc w:val="center"/>
              <w:rPr>
                <w:rFonts w:cs="Times New Roman"/>
                <w:szCs w:val="21"/>
              </w:rPr>
            </w:pPr>
            <w:r>
              <w:rPr>
                <w:rFonts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szCs w:val="21"/>
              </w:rPr>
            </w:pPr>
            <w:r>
              <w:rPr>
                <w:rFonts w:cs="Times New Roman"/>
                <w:szCs w:val="21"/>
              </w:rPr>
              <w:t>一般工业</w:t>
            </w:r>
          </w:p>
          <w:p>
            <w:pPr>
              <w:spacing w:line="276" w:lineRule="auto"/>
              <w:jc w:val="center"/>
              <w:rPr>
                <w:rFonts w:cs="Times New Roman"/>
                <w:szCs w:val="21"/>
              </w:rPr>
            </w:pPr>
            <w:r>
              <w:rPr>
                <w:rFonts w:cs="Times New Roman"/>
                <w:szCs w:val="21"/>
              </w:rPr>
              <w:t>固体废物</w:t>
            </w:r>
          </w:p>
        </w:tc>
        <w:tc>
          <w:tcPr>
            <w:tcW w:w="1960" w:type="dxa"/>
            <w:vAlign w:val="center"/>
          </w:tcPr>
          <w:p>
            <w:pPr>
              <w:autoSpaceDN w:val="0"/>
              <w:jc w:val="center"/>
              <w:textAlignment w:val="bottom"/>
              <w:rPr>
                <w:rFonts w:cs="Times New Roman"/>
                <w:szCs w:val="21"/>
              </w:rPr>
            </w:pPr>
            <w:r>
              <w:rPr>
                <w:rFonts w:cs="Times New Roman"/>
                <w:szCs w:val="21"/>
              </w:rPr>
              <w:t>废过滤棉</w:t>
            </w:r>
          </w:p>
        </w:tc>
        <w:tc>
          <w:tcPr>
            <w:tcW w:w="1782" w:type="dxa"/>
            <w:vAlign w:val="center"/>
          </w:tcPr>
          <w:p>
            <w:pPr>
              <w:autoSpaceDN w:val="0"/>
              <w:jc w:val="center"/>
              <w:textAlignment w:val="bottom"/>
              <w:rPr>
                <w:rFonts w:cs="Times New Roman"/>
                <w:szCs w:val="21"/>
              </w:rPr>
            </w:pPr>
            <w:r>
              <w:rPr>
                <w:rFonts w:cs="Times New Roman"/>
                <w:szCs w:val="21"/>
              </w:rPr>
              <w:t>0.01</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tabs>
                <w:tab w:val="left" w:pos="1134"/>
              </w:tabs>
              <w:jc w:val="center"/>
              <w:rPr>
                <w:rFonts w:cs="Times New Roman"/>
                <w:szCs w:val="21"/>
              </w:rPr>
            </w:pPr>
            <w:r>
              <w:rPr>
                <w:rFonts w:cs="Times New Roman"/>
                <w:szCs w:val="21"/>
              </w:rPr>
              <w:t>0</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0.01</w:t>
            </w:r>
          </w:p>
        </w:tc>
        <w:tc>
          <w:tcPr>
            <w:tcW w:w="1011" w:type="dxa"/>
            <w:vAlign w:val="center"/>
          </w:tcPr>
          <w:p>
            <w:pPr>
              <w:tabs>
                <w:tab w:val="left" w:pos="1134"/>
              </w:tabs>
              <w:jc w:val="center"/>
              <w:rPr>
                <w:rFonts w:cs="Times New Roman"/>
                <w:szCs w:val="21"/>
              </w:rPr>
            </w:pPr>
            <w:r>
              <w:rPr>
                <w:rFonts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autoSpaceDN w:val="0"/>
              <w:jc w:val="center"/>
              <w:textAlignment w:val="bottom"/>
              <w:rPr>
                <w:rFonts w:cs="Times New Roman"/>
                <w:szCs w:val="21"/>
              </w:rPr>
            </w:pPr>
            <w:r>
              <w:rPr>
                <w:rFonts w:cs="Times New Roman"/>
                <w:szCs w:val="21"/>
              </w:rPr>
              <w:t>废丝、裁切边废料</w:t>
            </w:r>
          </w:p>
        </w:tc>
        <w:tc>
          <w:tcPr>
            <w:tcW w:w="1782" w:type="dxa"/>
            <w:vAlign w:val="center"/>
          </w:tcPr>
          <w:p>
            <w:pPr>
              <w:autoSpaceDN w:val="0"/>
              <w:jc w:val="center"/>
              <w:textAlignment w:val="bottom"/>
              <w:rPr>
                <w:rFonts w:cs="Times New Roman"/>
                <w:szCs w:val="21"/>
              </w:rPr>
            </w:pPr>
            <w:r>
              <w:rPr>
                <w:rFonts w:cs="Times New Roman"/>
                <w:szCs w:val="21"/>
              </w:rPr>
              <w:t>494</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tabs>
                <w:tab w:val="left" w:pos="1134"/>
              </w:tabs>
              <w:jc w:val="center"/>
              <w:rPr>
                <w:rFonts w:cs="Times New Roman"/>
                <w:szCs w:val="21"/>
              </w:rPr>
            </w:pPr>
            <w:r>
              <w:rPr>
                <w:rFonts w:cs="Times New Roman"/>
                <w:szCs w:val="21"/>
              </w:rPr>
              <w:t>0</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494</w:t>
            </w:r>
          </w:p>
        </w:tc>
        <w:tc>
          <w:tcPr>
            <w:tcW w:w="1011" w:type="dxa"/>
            <w:vAlign w:val="center"/>
          </w:tcPr>
          <w:p>
            <w:pPr>
              <w:tabs>
                <w:tab w:val="left" w:pos="1134"/>
              </w:tabs>
              <w:jc w:val="center"/>
              <w:rPr>
                <w:rFonts w:cs="Times New Roman"/>
                <w:szCs w:val="21"/>
              </w:rPr>
            </w:pPr>
            <w:r>
              <w:rPr>
                <w:rFonts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autoSpaceDN w:val="0"/>
              <w:jc w:val="center"/>
              <w:textAlignment w:val="bottom"/>
              <w:rPr>
                <w:rFonts w:cs="Times New Roman"/>
                <w:szCs w:val="21"/>
              </w:rPr>
            </w:pPr>
            <w:r>
              <w:rPr>
                <w:rFonts w:cs="Times New Roman"/>
                <w:szCs w:val="21"/>
              </w:rPr>
              <w:t>包装废物</w:t>
            </w:r>
          </w:p>
        </w:tc>
        <w:tc>
          <w:tcPr>
            <w:tcW w:w="1782" w:type="dxa"/>
            <w:vAlign w:val="center"/>
          </w:tcPr>
          <w:p>
            <w:pPr>
              <w:autoSpaceDN w:val="0"/>
              <w:jc w:val="center"/>
              <w:textAlignment w:val="bottom"/>
              <w:rPr>
                <w:rFonts w:cs="Times New Roman"/>
                <w:szCs w:val="21"/>
              </w:rPr>
            </w:pPr>
            <w:r>
              <w:rPr>
                <w:rFonts w:cs="Times New Roman"/>
                <w:szCs w:val="21"/>
              </w:rPr>
              <w:t>1.5</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tabs>
                <w:tab w:val="left" w:pos="1134"/>
              </w:tabs>
              <w:jc w:val="center"/>
              <w:rPr>
                <w:rFonts w:cs="Times New Roman"/>
                <w:szCs w:val="21"/>
              </w:rPr>
            </w:pPr>
            <w:r>
              <w:rPr>
                <w:rFonts w:cs="Times New Roman"/>
                <w:szCs w:val="21"/>
              </w:rPr>
              <w:t>0.5</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2</w:t>
            </w:r>
          </w:p>
        </w:tc>
        <w:tc>
          <w:tcPr>
            <w:tcW w:w="1011" w:type="dxa"/>
            <w:vAlign w:val="center"/>
          </w:tcPr>
          <w:p>
            <w:pPr>
              <w:tabs>
                <w:tab w:val="left" w:pos="1134"/>
              </w:tabs>
              <w:jc w:val="center"/>
              <w:rPr>
                <w:rFonts w:cs="Times New Roman"/>
                <w:szCs w:val="21"/>
              </w:rPr>
            </w:pPr>
            <w:r>
              <w:rPr>
                <w:rFonts w:cs="Times New Roman"/>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autoSpaceDN w:val="0"/>
              <w:jc w:val="center"/>
              <w:textAlignment w:val="bottom"/>
              <w:rPr>
                <w:rFonts w:cs="Times New Roman"/>
                <w:szCs w:val="21"/>
              </w:rPr>
            </w:pPr>
            <w:r>
              <w:rPr>
                <w:rFonts w:cs="Times New Roman"/>
                <w:szCs w:val="21"/>
              </w:rPr>
              <w:t>生活垃圾</w:t>
            </w:r>
          </w:p>
        </w:tc>
        <w:tc>
          <w:tcPr>
            <w:tcW w:w="1782" w:type="dxa"/>
            <w:vAlign w:val="center"/>
          </w:tcPr>
          <w:p>
            <w:pPr>
              <w:autoSpaceDN w:val="0"/>
              <w:jc w:val="center"/>
              <w:textAlignment w:val="bottom"/>
              <w:rPr>
                <w:rFonts w:cs="Times New Roman"/>
                <w:szCs w:val="21"/>
              </w:rPr>
            </w:pPr>
            <w:r>
              <w:rPr>
                <w:rFonts w:cs="Times New Roman"/>
                <w:szCs w:val="21"/>
              </w:rPr>
              <w:t>3</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tabs>
                <w:tab w:val="left" w:pos="1134"/>
              </w:tabs>
              <w:jc w:val="center"/>
              <w:rPr>
                <w:rFonts w:cs="Times New Roman"/>
                <w:szCs w:val="21"/>
              </w:rPr>
            </w:pPr>
            <w:r>
              <w:rPr>
                <w:rFonts w:cs="Times New Roman"/>
                <w:szCs w:val="21"/>
              </w:rPr>
              <w:t>3.3</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6.3</w:t>
            </w:r>
          </w:p>
        </w:tc>
        <w:tc>
          <w:tcPr>
            <w:tcW w:w="1011" w:type="dxa"/>
            <w:vAlign w:val="center"/>
          </w:tcPr>
          <w:p>
            <w:pPr>
              <w:tabs>
                <w:tab w:val="left" w:pos="1134"/>
              </w:tabs>
              <w:jc w:val="center"/>
              <w:rPr>
                <w:rFonts w:cs="Times New Roman"/>
                <w:szCs w:val="21"/>
              </w:rPr>
            </w:pPr>
            <w:r>
              <w:rPr>
                <w:rFonts w:cs="Times New Roman"/>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autoSpaceDN w:val="0"/>
              <w:jc w:val="center"/>
              <w:textAlignment w:val="bottom"/>
              <w:rPr>
                <w:rFonts w:cs="Times New Roman"/>
                <w:szCs w:val="21"/>
              </w:rPr>
            </w:pPr>
            <w:r>
              <w:rPr>
                <w:rFonts w:cs="Times New Roman"/>
                <w:szCs w:val="21"/>
              </w:rPr>
              <w:t>餐厨垃圾</w:t>
            </w:r>
          </w:p>
        </w:tc>
        <w:tc>
          <w:tcPr>
            <w:tcW w:w="1782" w:type="dxa"/>
            <w:vAlign w:val="center"/>
          </w:tcPr>
          <w:p>
            <w:pPr>
              <w:autoSpaceDN w:val="0"/>
              <w:jc w:val="center"/>
              <w:textAlignment w:val="bottom"/>
              <w:rPr>
                <w:rFonts w:cs="Times New Roman"/>
                <w:szCs w:val="21"/>
              </w:rPr>
            </w:pPr>
            <w:r>
              <w:rPr>
                <w:rFonts w:cs="Times New Roman"/>
                <w:szCs w:val="21"/>
              </w:rPr>
              <w:t>0.02</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tabs>
                <w:tab w:val="left" w:pos="1134"/>
              </w:tabs>
              <w:jc w:val="center"/>
              <w:rPr>
                <w:rFonts w:cs="Times New Roman"/>
                <w:szCs w:val="21"/>
              </w:rPr>
            </w:pPr>
            <w:r>
              <w:rPr>
                <w:rFonts w:cs="Times New Roman"/>
                <w:szCs w:val="21"/>
              </w:rPr>
              <w:t>0.66</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0.68</w:t>
            </w:r>
          </w:p>
        </w:tc>
        <w:tc>
          <w:tcPr>
            <w:tcW w:w="1011" w:type="dxa"/>
            <w:vAlign w:val="center"/>
          </w:tcPr>
          <w:p>
            <w:pPr>
              <w:tabs>
                <w:tab w:val="left" w:pos="1134"/>
              </w:tabs>
              <w:jc w:val="center"/>
              <w:rPr>
                <w:rFonts w:cs="Times New Roman"/>
                <w:szCs w:val="21"/>
              </w:rPr>
            </w:pPr>
            <w:r>
              <w:rPr>
                <w:rFonts w:cs="Times New Roman"/>
                <w:szCs w:val="21"/>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autoSpaceDN w:val="0"/>
              <w:jc w:val="center"/>
              <w:textAlignment w:val="bottom"/>
              <w:rPr>
                <w:rFonts w:cs="Times New Roman"/>
                <w:szCs w:val="21"/>
              </w:rPr>
            </w:pPr>
            <w:r>
              <w:rPr>
                <w:rFonts w:cs="Times New Roman"/>
                <w:szCs w:val="21"/>
              </w:rPr>
              <w:t>不合格品及边角料</w:t>
            </w:r>
          </w:p>
        </w:tc>
        <w:tc>
          <w:tcPr>
            <w:tcW w:w="1782" w:type="dxa"/>
            <w:vAlign w:val="center"/>
          </w:tcPr>
          <w:p>
            <w:pPr>
              <w:autoSpaceDN w:val="0"/>
              <w:jc w:val="center"/>
              <w:textAlignment w:val="bottom"/>
              <w:rPr>
                <w:rFonts w:cs="Times New Roman"/>
                <w:szCs w:val="21"/>
              </w:rPr>
            </w:pPr>
            <w:r>
              <w:rPr>
                <w:rFonts w:cs="Times New Roman"/>
                <w:szCs w:val="21"/>
              </w:rPr>
              <w:t>0</w:t>
            </w:r>
          </w:p>
        </w:tc>
        <w:tc>
          <w:tcPr>
            <w:tcW w:w="1778" w:type="dxa"/>
            <w:vAlign w:val="center"/>
          </w:tcPr>
          <w:p>
            <w:pPr>
              <w:spacing w:line="276" w:lineRule="auto"/>
              <w:jc w:val="center"/>
              <w:rPr>
                <w:rFonts w:cs="Times New Roman"/>
                <w:szCs w:val="21"/>
              </w:rPr>
            </w:pPr>
            <w:r>
              <w:rPr>
                <w:rFonts w:cs="Times New Roman"/>
                <w:szCs w:val="21"/>
              </w:rPr>
              <w:t>0</w:t>
            </w:r>
          </w:p>
        </w:tc>
        <w:tc>
          <w:tcPr>
            <w:tcW w:w="1782" w:type="dxa"/>
            <w:vAlign w:val="center"/>
          </w:tcPr>
          <w:p>
            <w:pPr>
              <w:spacing w:line="276" w:lineRule="auto"/>
              <w:jc w:val="center"/>
              <w:rPr>
                <w:rFonts w:cs="Times New Roman"/>
                <w:szCs w:val="21"/>
              </w:rPr>
            </w:pPr>
            <w:r>
              <w:rPr>
                <w:rFonts w:cs="Times New Roman"/>
                <w:szCs w:val="21"/>
              </w:rPr>
              <w:t>0</w:t>
            </w:r>
          </w:p>
        </w:tc>
        <w:tc>
          <w:tcPr>
            <w:tcW w:w="1783" w:type="dxa"/>
            <w:vAlign w:val="center"/>
          </w:tcPr>
          <w:p>
            <w:pPr>
              <w:tabs>
                <w:tab w:val="left" w:pos="1134"/>
              </w:tabs>
              <w:jc w:val="center"/>
              <w:rPr>
                <w:rFonts w:cs="Times New Roman"/>
                <w:szCs w:val="21"/>
              </w:rPr>
            </w:pPr>
            <w:r>
              <w:rPr>
                <w:rFonts w:cs="Times New Roman"/>
                <w:szCs w:val="21"/>
              </w:rPr>
              <w:t>8.35</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8.35</w:t>
            </w:r>
          </w:p>
        </w:tc>
        <w:tc>
          <w:tcPr>
            <w:tcW w:w="1011" w:type="dxa"/>
            <w:vAlign w:val="center"/>
          </w:tcPr>
          <w:p>
            <w:pPr>
              <w:tabs>
                <w:tab w:val="left" w:pos="1134"/>
              </w:tabs>
              <w:jc w:val="center"/>
              <w:rPr>
                <w:rFonts w:cs="Times New Roman"/>
                <w:szCs w:val="21"/>
              </w:rPr>
            </w:pPr>
            <w:r>
              <w:rPr>
                <w:rFonts w:cs="Times New Roman"/>
                <w:szCs w:val="21"/>
              </w:rPr>
              <w:t>+8.35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restart"/>
            <w:vAlign w:val="center"/>
          </w:tcPr>
          <w:p>
            <w:pPr>
              <w:spacing w:line="276" w:lineRule="auto"/>
              <w:jc w:val="center"/>
              <w:rPr>
                <w:rFonts w:cs="Times New Roman"/>
                <w:szCs w:val="21"/>
              </w:rPr>
            </w:pPr>
            <w:r>
              <w:rPr>
                <w:rFonts w:cs="Times New Roman"/>
                <w:szCs w:val="21"/>
              </w:rPr>
              <w:t>危险废物</w:t>
            </w:r>
          </w:p>
        </w:tc>
        <w:tc>
          <w:tcPr>
            <w:tcW w:w="1960" w:type="dxa"/>
            <w:vAlign w:val="center"/>
          </w:tcPr>
          <w:p>
            <w:pPr>
              <w:autoSpaceDN w:val="0"/>
              <w:jc w:val="center"/>
              <w:textAlignment w:val="bottom"/>
              <w:rPr>
                <w:rFonts w:cs="Times New Roman"/>
                <w:szCs w:val="21"/>
              </w:rPr>
            </w:pPr>
            <w:r>
              <w:rPr>
                <w:rFonts w:cs="Times New Roman"/>
                <w:szCs w:val="21"/>
              </w:rPr>
              <w:t>废矿物油</w:t>
            </w:r>
          </w:p>
        </w:tc>
        <w:tc>
          <w:tcPr>
            <w:tcW w:w="0" w:type="auto"/>
            <w:vAlign w:val="center"/>
          </w:tcPr>
          <w:p>
            <w:pPr>
              <w:autoSpaceDN w:val="0"/>
              <w:jc w:val="center"/>
              <w:textAlignment w:val="bottom"/>
              <w:rPr>
                <w:rFonts w:cs="Times New Roman"/>
                <w:szCs w:val="21"/>
              </w:rPr>
            </w:pPr>
            <w:r>
              <w:rPr>
                <w:rFonts w:cs="Times New Roman"/>
                <w:szCs w:val="21"/>
              </w:rPr>
              <w:t>0.01</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tabs>
                <w:tab w:val="left" w:pos="1134"/>
              </w:tabs>
              <w:jc w:val="center"/>
              <w:rPr>
                <w:rFonts w:cs="Times New Roman"/>
                <w:szCs w:val="21"/>
              </w:rPr>
            </w:pPr>
            <w:r>
              <w:rPr>
                <w:rFonts w:cs="Times New Roman"/>
                <w:szCs w:val="21"/>
              </w:rPr>
              <w:t>0.05</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0.06</w:t>
            </w:r>
          </w:p>
        </w:tc>
        <w:tc>
          <w:tcPr>
            <w:tcW w:w="0" w:type="auto"/>
            <w:vAlign w:val="center"/>
          </w:tcPr>
          <w:p>
            <w:pPr>
              <w:tabs>
                <w:tab w:val="left" w:pos="1134"/>
              </w:tabs>
              <w:jc w:val="center"/>
              <w:rPr>
                <w:rFonts w:cs="Times New Roman"/>
                <w:szCs w:val="21"/>
              </w:rPr>
            </w:pPr>
            <w:r>
              <w:rPr>
                <w:rFonts w:cs="Times New Roman"/>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1960" w:type="dxa"/>
            <w:vAlign w:val="center"/>
          </w:tcPr>
          <w:p>
            <w:pPr>
              <w:autoSpaceDN w:val="0"/>
              <w:jc w:val="center"/>
              <w:textAlignment w:val="bottom"/>
              <w:rPr>
                <w:rFonts w:cs="Times New Roman"/>
                <w:szCs w:val="21"/>
              </w:rPr>
            </w:pPr>
            <w:r>
              <w:rPr>
                <w:rFonts w:cs="Times New Roman"/>
                <w:szCs w:val="21"/>
              </w:rPr>
              <w:t>含油抹布及手套</w:t>
            </w:r>
          </w:p>
        </w:tc>
        <w:tc>
          <w:tcPr>
            <w:tcW w:w="0" w:type="auto"/>
            <w:vAlign w:val="center"/>
          </w:tcPr>
          <w:p>
            <w:pPr>
              <w:autoSpaceDN w:val="0"/>
              <w:jc w:val="center"/>
              <w:textAlignment w:val="bottom"/>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tabs>
                <w:tab w:val="left" w:pos="1134"/>
              </w:tabs>
              <w:jc w:val="center"/>
              <w:rPr>
                <w:rFonts w:cs="Times New Roman"/>
                <w:szCs w:val="21"/>
              </w:rPr>
            </w:pPr>
            <w:r>
              <w:rPr>
                <w:rFonts w:cs="Times New Roman"/>
                <w:szCs w:val="21"/>
              </w:rPr>
              <w:t>0.01</w:t>
            </w:r>
          </w:p>
        </w:tc>
        <w:tc>
          <w:tcPr>
            <w:tcW w:w="1655" w:type="dxa"/>
            <w:vAlign w:val="center"/>
          </w:tcPr>
          <w:p>
            <w:pPr>
              <w:spacing w:line="276" w:lineRule="auto"/>
              <w:jc w:val="center"/>
              <w:rPr>
                <w:rFonts w:cs="Times New Roman"/>
                <w:szCs w:val="21"/>
              </w:rPr>
            </w:pPr>
            <w:r>
              <w:rPr>
                <w:rFonts w:cs="Times New Roman"/>
                <w:szCs w:val="21"/>
              </w:rPr>
              <w:t>0</w:t>
            </w:r>
          </w:p>
        </w:tc>
        <w:tc>
          <w:tcPr>
            <w:tcW w:w="1912" w:type="dxa"/>
            <w:vAlign w:val="center"/>
          </w:tcPr>
          <w:p>
            <w:pPr>
              <w:widowControl/>
              <w:jc w:val="center"/>
              <w:textAlignment w:val="center"/>
              <w:rPr>
                <w:rFonts w:cs="Times New Roman"/>
                <w:szCs w:val="21"/>
              </w:rPr>
            </w:pPr>
            <w:r>
              <w:rPr>
                <w:rFonts w:cs="Times New Roman"/>
                <w:kern w:val="0"/>
                <w:szCs w:val="21"/>
                <w:lang w:bidi="ar"/>
              </w:rPr>
              <w:t>0.01</w:t>
            </w:r>
          </w:p>
        </w:tc>
        <w:tc>
          <w:tcPr>
            <w:tcW w:w="0" w:type="auto"/>
            <w:vAlign w:val="center"/>
          </w:tcPr>
          <w:p>
            <w:pPr>
              <w:tabs>
                <w:tab w:val="left" w:pos="1134"/>
              </w:tabs>
              <w:jc w:val="center"/>
              <w:rPr>
                <w:rFonts w:cs="Times New Roman"/>
                <w:szCs w:val="21"/>
              </w:rPr>
            </w:pPr>
            <w:r>
              <w:rPr>
                <w:rFonts w:cs="Times New Roman"/>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0" w:type="auto"/>
            <w:vAlign w:val="center"/>
          </w:tcPr>
          <w:p>
            <w:pPr>
              <w:autoSpaceDN w:val="0"/>
              <w:jc w:val="center"/>
              <w:textAlignment w:val="bottom"/>
              <w:rPr>
                <w:rFonts w:cs="Times New Roman"/>
                <w:szCs w:val="21"/>
              </w:rPr>
            </w:pPr>
            <w:r>
              <w:rPr>
                <w:rFonts w:cs="Times New Roman"/>
                <w:szCs w:val="21"/>
              </w:rPr>
              <w:t>废危化品桶</w:t>
            </w:r>
          </w:p>
        </w:tc>
        <w:tc>
          <w:tcPr>
            <w:tcW w:w="0" w:type="auto"/>
            <w:vAlign w:val="center"/>
          </w:tcPr>
          <w:p>
            <w:pPr>
              <w:autoSpaceDN w:val="0"/>
              <w:jc w:val="center"/>
              <w:textAlignment w:val="bottom"/>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tabs>
                <w:tab w:val="left" w:pos="1134"/>
              </w:tabs>
              <w:jc w:val="center"/>
              <w:rPr>
                <w:rFonts w:cs="Times New Roman"/>
                <w:szCs w:val="21"/>
              </w:rPr>
            </w:pPr>
            <w:r>
              <w:rPr>
                <w:rFonts w:cs="Times New Roman"/>
                <w:szCs w:val="21"/>
              </w:rPr>
              <w:t>3.0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widowControl/>
              <w:jc w:val="center"/>
              <w:textAlignment w:val="center"/>
              <w:rPr>
                <w:rFonts w:cs="Times New Roman"/>
                <w:szCs w:val="21"/>
              </w:rPr>
            </w:pPr>
            <w:r>
              <w:rPr>
                <w:rFonts w:cs="Times New Roman"/>
                <w:kern w:val="0"/>
                <w:szCs w:val="21"/>
                <w:lang w:bidi="ar"/>
              </w:rPr>
              <w:t>3</w:t>
            </w:r>
          </w:p>
        </w:tc>
        <w:tc>
          <w:tcPr>
            <w:tcW w:w="0" w:type="auto"/>
            <w:vAlign w:val="center"/>
          </w:tcPr>
          <w:p>
            <w:pPr>
              <w:tabs>
                <w:tab w:val="left" w:pos="1134"/>
              </w:tabs>
              <w:jc w:val="center"/>
              <w:rPr>
                <w:rFonts w:cs="Times New Roman"/>
                <w:szCs w:val="21"/>
              </w:rPr>
            </w:pPr>
            <w:r>
              <w:rPr>
                <w:rFonts w:cs="Times New Roman"/>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0" w:type="auto"/>
            <w:vAlign w:val="center"/>
          </w:tcPr>
          <w:p>
            <w:pPr>
              <w:autoSpaceDN w:val="0"/>
              <w:jc w:val="center"/>
              <w:textAlignment w:val="bottom"/>
              <w:rPr>
                <w:rFonts w:cs="Times New Roman"/>
                <w:szCs w:val="21"/>
              </w:rPr>
            </w:pPr>
            <w:r>
              <w:rPr>
                <w:rFonts w:cs="Times New Roman"/>
                <w:szCs w:val="21"/>
              </w:rPr>
              <w:t>废离子交换树脂</w:t>
            </w:r>
          </w:p>
        </w:tc>
        <w:tc>
          <w:tcPr>
            <w:tcW w:w="0" w:type="auto"/>
            <w:vAlign w:val="center"/>
          </w:tcPr>
          <w:p>
            <w:pPr>
              <w:autoSpaceDN w:val="0"/>
              <w:jc w:val="center"/>
              <w:textAlignment w:val="bottom"/>
              <w:rPr>
                <w:rFonts w:cs="Times New Roman"/>
                <w:szCs w:val="21"/>
              </w:rPr>
            </w:pPr>
            <w:r>
              <w:rPr>
                <w:rFonts w:cs="Times New Roman"/>
                <w:szCs w:val="21"/>
              </w:rPr>
              <w:t>0.5</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tabs>
                <w:tab w:val="left" w:pos="1134"/>
              </w:tabs>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widowControl/>
              <w:jc w:val="center"/>
              <w:textAlignment w:val="center"/>
              <w:rPr>
                <w:rFonts w:cs="Times New Roman"/>
                <w:szCs w:val="21"/>
              </w:rPr>
            </w:pPr>
            <w:r>
              <w:rPr>
                <w:rFonts w:cs="Times New Roman"/>
                <w:kern w:val="0"/>
                <w:szCs w:val="21"/>
                <w:lang w:bidi="ar"/>
              </w:rPr>
              <w:t>0.5</w:t>
            </w:r>
          </w:p>
        </w:tc>
        <w:tc>
          <w:tcPr>
            <w:tcW w:w="0" w:type="auto"/>
            <w:vAlign w:val="center"/>
          </w:tcPr>
          <w:p>
            <w:pPr>
              <w:tabs>
                <w:tab w:val="left" w:pos="1134"/>
              </w:tabs>
              <w:jc w:val="center"/>
              <w:rPr>
                <w:rFonts w:cs="Times New Roman"/>
                <w:szCs w:val="21"/>
              </w:rPr>
            </w:pPr>
            <w:r>
              <w:rPr>
                <w:rFonts w:cs="Times New Roman"/>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0" w:type="auto"/>
            <w:vAlign w:val="center"/>
          </w:tcPr>
          <w:p>
            <w:pPr>
              <w:autoSpaceDN w:val="0"/>
              <w:jc w:val="center"/>
              <w:textAlignment w:val="bottom"/>
              <w:rPr>
                <w:rFonts w:cs="Times New Roman"/>
                <w:szCs w:val="21"/>
              </w:rPr>
            </w:pPr>
            <w:r>
              <w:rPr>
                <w:rFonts w:cs="Times New Roman"/>
                <w:szCs w:val="21"/>
              </w:rPr>
              <w:t>废活性炭</w:t>
            </w:r>
          </w:p>
        </w:tc>
        <w:tc>
          <w:tcPr>
            <w:tcW w:w="0" w:type="auto"/>
            <w:vAlign w:val="center"/>
          </w:tcPr>
          <w:p>
            <w:pPr>
              <w:autoSpaceDN w:val="0"/>
              <w:jc w:val="center"/>
              <w:textAlignment w:val="bottom"/>
              <w:rPr>
                <w:rFonts w:cs="Times New Roman"/>
                <w:szCs w:val="21"/>
              </w:rPr>
            </w:pPr>
            <w:r>
              <w:rPr>
                <w:rFonts w:cs="Times New Roman"/>
                <w:szCs w:val="21"/>
              </w:rPr>
              <w:t>0.5</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tabs>
                <w:tab w:val="left" w:pos="1134"/>
              </w:tabs>
              <w:jc w:val="center"/>
              <w:rPr>
                <w:rFonts w:cs="Times New Roman"/>
                <w:szCs w:val="21"/>
              </w:rPr>
            </w:pPr>
            <w:r>
              <w:rPr>
                <w:rFonts w:cs="Times New Roman"/>
                <w:szCs w:val="21"/>
              </w:rPr>
              <w:t>27.933</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widowControl/>
              <w:jc w:val="center"/>
              <w:textAlignment w:val="center"/>
              <w:rPr>
                <w:rFonts w:cs="Times New Roman"/>
                <w:szCs w:val="21"/>
              </w:rPr>
            </w:pPr>
            <w:r>
              <w:rPr>
                <w:rFonts w:cs="Times New Roman"/>
                <w:kern w:val="0"/>
                <w:szCs w:val="21"/>
                <w:lang w:bidi="ar"/>
              </w:rPr>
              <w:t>28.433</w:t>
            </w:r>
          </w:p>
        </w:tc>
        <w:tc>
          <w:tcPr>
            <w:tcW w:w="0" w:type="auto"/>
            <w:vAlign w:val="center"/>
          </w:tcPr>
          <w:p>
            <w:pPr>
              <w:tabs>
                <w:tab w:val="left" w:pos="1134"/>
              </w:tabs>
              <w:jc w:val="center"/>
              <w:rPr>
                <w:rFonts w:cs="Times New Roman"/>
                <w:szCs w:val="21"/>
              </w:rPr>
            </w:pPr>
            <w:r>
              <w:rPr>
                <w:rFonts w:cs="Times New Roman"/>
                <w:szCs w:val="21"/>
              </w:rPr>
              <w:t>+27.933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3" w:type="dxa"/>
            <w:vMerge w:val="continue"/>
            <w:vAlign w:val="center"/>
          </w:tcPr>
          <w:p>
            <w:pPr>
              <w:spacing w:line="276" w:lineRule="auto"/>
              <w:jc w:val="center"/>
              <w:rPr>
                <w:rFonts w:cs="Times New Roman"/>
                <w:szCs w:val="21"/>
              </w:rPr>
            </w:pPr>
          </w:p>
        </w:tc>
        <w:tc>
          <w:tcPr>
            <w:tcW w:w="0" w:type="auto"/>
            <w:vAlign w:val="center"/>
          </w:tcPr>
          <w:p>
            <w:pPr>
              <w:autoSpaceDN w:val="0"/>
              <w:jc w:val="center"/>
              <w:textAlignment w:val="bottom"/>
              <w:rPr>
                <w:rFonts w:cs="Times New Roman"/>
                <w:szCs w:val="21"/>
              </w:rPr>
            </w:pPr>
            <w:r>
              <w:rPr>
                <w:rFonts w:cs="Times New Roman"/>
                <w:szCs w:val="21"/>
              </w:rPr>
              <w:t>含湿染料废料</w:t>
            </w:r>
          </w:p>
        </w:tc>
        <w:tc>
          <w:tcPr>
            <w:tcW w:w="0" w:type="auto"/>
            <w:vAlign w:val="center"/>
          </w:tcPr>
          <w:p>
            <w:pPr>
              <w:autoSpaceDN w:val="0"/>
              <w:jc w:val="center"/>
              <w:textAlignment w:val="bottom"/>
              <w:rPr>
                <w:rFonts w:cs="Times New Roman"/>
                <w:szCs w:val="21"/>
              </w:rPr>
            </w:pPr>
            <w:r>
              <w:rPr>
                <w:rFonts w:cs="Times New Roman"/>
                <w:szCs w:val="21"/>
              </w:rPr>
              <w:t>10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tabs>
                <w:tab w:val="left" w:pos="1134"/>
              </w:tabs>
              <w:jc w:val="center"/>
              <w:rPr>
                <w:rFonts w:cs="Times New Roman"/>
                <w:szCs w:val="21"/>
              </w:rPr>
            </w:pPr>
            <w:r>
              <w:rPr>
                <w:rFonts w:cs="Times New Roman"/>
                <w:szCs w:val="21"/>
              </w:rPr>
              <w:t>0</w:t>
            </w:r>
          </w:p>
        </w:tc>
        <w:tc>
          <w:tcPr>
            <w:tcW w:w="0" w:type="auto"/>
            <w:vAlign w:val="center"/>
          </w:tcPr>
          <w:p>
            <w:pPr>
              <w:spacing w:line="276" w:lineRule="auto"/>
              <w:jc w:val="center"/>
              <w:rPr>
                <w:rFonts w:cs="Times New Roman"/>
                <w:szCs w:val="21"/>
              </w:rPr>
            </w:pPr>
            <w:r>
              <w:rPr>
                <w:rFonts w:cs="Times New Roman"/>
                <w:szCs w:val="21"/>
              </w:rPr>
              <w:t>0</w:t>
            </w:r>
          </w:p>
        </w:tc>
        <w:tc>
          <w:tcPr>
            <w:tcW w:w="0" w:type="auto"/>
            <w:vAlign w:val="center"/>
          </w:tcPr>
          <w:p>
            <w:pPr>
              <w:widowControl/>
              <w:jc w:val="center"/>
              <w:textAlignment w:val="center"/>
              <w:rPr>
                <w:rFonts w:cs="Times New Roman"/>
                <w:szCs w:val="21"/>
              </w:rPr>
            </w:pPr>
            <w:r>
              <w:rPr>
                <w:rFonts w:cs="Times New Roman"/>
                <w:kern w:val="0"/>
                <w:szCs w:val="21"/>
                <w:lang w:bidi="ar"/>
              </w:rPr>
              <w:t>10</w:t>
            </w:r>
          </w:p>
        </w:tc>
        <w:tc>
          <w:tcPr>
            <w:tcW w:w="0" w:type="auto"/>
            <w:vAlign w:val="center"/>
          </w:tcPr>
          <w:p>
            <w:pPr>
              <w:tabs>
                <w:tab w:val="left" w:pos="1134"/>
              </w:tabs>
              <w:jc w:val="center"/>
              <w:rPr>
                <w:rFonts w:cs="Times New Roman"/>
                <w:szCs w:val="21"/>
              </w:rPr>
            </w:pPr>
            <w:r>
              <w:rPr>
                <w:rFonts w:cs="Times New Roman"/>
                <w:szCs w:val="21"/>
              </w:rPr>
              <w:t>0</w:t>
            </w:r>
          </w:p>
        </w:tc>
      </w:tr>
    </w:tbl>
    <w:p>
      <w:pPr>
        <w:rPr>
          <w:rFonts w:cs="Times New Roman"/>
          <w:szCs w:val="21"/>
        </w:rPr>
        <w:sectPr>
          <w:pgSz w:w="16838" w:h="11906" w:orient="landscape"/>
          <w:pgMar w:top="1134" w:right="1134" w:bottom="1134" w:left="1134" w:header="851" w:footer="992" w:gutter="0"/>
          <w:cols w:space="720" w:num="1"/>
          <w:docGrid w:type="lines" w:linePitch="312" w:charSpace="0"/>
        </w:sectPr>
      </w:pPr>
      <w:r>
        <w:rPr>
          <w:rFonts w:cs="Times New Roman"/>
          <w:szCs w:val="21"/>
        </w:rPr>
        <w:t>注：⑥=①+③+④-⑤；⑦=⑥-①。</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jc w:val="center"/>
        <w:rPr>
          <w:rFonts w:eastAsia="方正小标宋简体" w:cs="Times New Roman"/>
          <w:b/>
          <w:sz w:val="52"/>
          <w:szCs w:val="52"/>
        </w:rPr>
      </w:pPr>
      <w:r>
        <w:rPr>
          <w:rFonts w:eastAsia="方正小标宋简体" w:cs="Times New Roman"/>
          <w:b/>
          <w:sz w:val="52"/>
          <w:szCs w:val="52"/>
        </w:rPr>
        <w:t>年产1.4亿平米玻纤湿法毡生产线</w:t>
      </w:r>
    </w:p>
    <w:p>
      <w:pPr>
        <w:spacing w:line="360" w:lineRule="auto"/>
        <w:jc w:val="center"/>
        <w:rPr>
          <w:rFonts w:eastAsia="方正小标宋简体" w:cs="Times New Roman"/>
          <w:b/>
          <w:sz w:val="52"/>
          <w:szCs w:val="52"/>
        </w:rPr>
      </w:pPr>
      <w:r>
        <w:rPr>
          <w:rFonts w:eastAsia="方正小标宋简体" w:cs="Times New Roman"/>
          <w:b/>
          <w:sz w:val="52"/>
          <w:szCs w:val="52"/>
        </w:rPr>
        <w:t>技改项目</w:t>
      </w:r>
    </w:p>
    <w:p>
      <w:pPr>
        <w:pStyle w:val="59"/>
        <w:jc w:val="center"/>
        <w:rPr>
          <w:rFonts w:cs="Times New Roman"/>
          <w:sz w:val="24"/>
          <w:szCs w:val="24"/>
        </w:rPr>
      </w:pPr>
      <w:r>
        <w:rPr>
          <w:rFonts w:eastAsia="方正小标宋简体" w:cs="Times New Roman"/>
          <w:sz w:val="52"/>
          <w:szCs w:val="52"/>
        </w:rPr>
        <w:t>大气环境影响专项评价</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723" w:firstLineChars="200"/>
        <w:jc w:val="center"/>
        <w:rPr>
          <w:rFonts w:cs="Times New Roman"/>
          <w:sz w:val="24"/>
          <w:szCs w:val="24"/>
        </w:rPr>
        <w:sectPr>
          <w:pgSz w:w="11906" w:h="16838"/>
          <w:pgMar w:top="1134" w:right="1134" w:bottom="1134" w:left="1417" w:header="851" w:footer="992" w:gutter="0"/>
          <w:cols w:space="720" w:num="1"/>
          <w:docGrid w:type="lines" w:linePitch="312" w:charSpace="0"/>
        </w:sectPr>
      </w:pPr>
      <w:r>
        <w:rPr>
          <w:rFonts w:cs="Times New Roman"/>
          <w:b/>
          <w:bCs/>
          <w:sz w:val="36"/>
          <w:szCs w:val="36"/>
        </w:rPr>
        <w:t>2023年</w:t>
      </w:r>
      <w:r>
        <w:rPr>
          <w:rFonts w:hint="eastAsia" w:cs="Times New Roman"/>
          <w:b/>
          <w:bCs/>
          <w:sz w:val="36"/>
          <w:szCs w:val="36"/>
          <w:lang w:val="en-US" w:eastAsia="zh-CN"/>
        </w:rPr>
        <w:t>12</w:t>
      </w:r>
      <w:r>
        <w:rPr>
          <w:rFonts w:cs="Times New Roman"/>
          <w:b/>
          <w:bCs/>
          <w:sz w:val="36"/>
          <w:szCs w:val="36"/>
        </w:rPr>
        <w:t>月</w:t>
      </w:r>
    </w:p>
    <w:p>
      <w:pPr>
        <w:pStyle w:val="3"/>
        <w:rPr>
          <w:rFonts w:cs="Times New Roman"/>
        </w:rPr>
      </w:pPr>
      <w:r>
        <w:rPr>
          <w:rFonts w:cs="Times New Roman"/>
        </w:rPr>
        <w:t>1 总论</w:t>
      </w:r>
    </w:p>
    <w:p>
      <w:pPr>
        <w:pStyle w:val="4"/>
        <w:rPr>
          <w:rFonts w:cs="Times New Roman"/>
        </w:rPr>
      </w:pPr>
      <w:r>
        <w:rPr>
          <w:rFonts w:cs="Times New Roman"/>
        </w:rPr>
        <w:t>1.1 编制依据</w:t>
      </w:r>
    </w:p>
    <w:p>
      <w:pPr>
        <w:pStyle w:val="5"/>
        <w:rPr>
          <w:rFonts w:hint="default" w:ascii="Times New Roman" w:hAnsi="Times New Roman"/>
        </w:rPr>
      </w:pPr>
      <w:r>
        <w:rPr>
          <w:rFonts w:hint="default" w:ascii="Times New Roman" w:hAnsi="Times New Roman"/>
        </w:rPr>
        <w:t>1.1.1 法律法规</w:t>
      </w:r>
    </w:p>
    <w:p>
      <w:pPr>
        <w:spacing w:line="360" w:lineRule="auto"/>
        <w:ind w:firstLine="480" w:firstLineChars="200"/>
        <w:rPr>
          <w:rFonts w:cs="Times New Roman"/>
          <w:sz w:val="24"/>
          <w:szCs w:val="24"/>
        </w:rPr>
      </w:pPr>
      <w:r>
        <w:rPr>
          <w:rFonts w:cs="Times New Roman"/>
          <w:sz w:val="24"/>
          <w:szCs w:val="24"/>
        </w:rPr>
        <w:t>（1）《中华人民共和国环境保护法》（2015.01.01）；</w:t>
      </w:r>
    </w:p>
    <w:p>
      <w:pPr>
        <w:spacing w:line="360" w:lineRule="auto"/>
        <w:ind w:firstLine="480" w:firstLineChars="200"/>
        <w:rPr>
          <w:rFonts w:cs="Times New Roman"/>
          <w:sz w:val="24"/>
          <w:szCs w:val="24"/>
        </w:rPr>
      </w:pPr>
      <w:r>
        <w:rPr>
          <w:rFonts w:cs="Times New Roman"/>
          <w:sz w:val="24"/>
          <w:szCs w:val="24"/>
        </w:rPr>
        <w:t>（2）《中华人民共和国环境影响评价法》（2018.12.29）；</w:t>
      </w:r>
    </w:p>
    <w:p>
      <w:pPr>
        <w:spacing w:line="360" w:lineRule="auto"/>
        <w:ind w:firstLine="480" w:firstLineChars="200"/>
        <w:rPr>
          <w:rFonts w:cs="Times New Roman"/>
          <w:sz w:val="24"/>
          <w:szCs w:val="24"/>
        </w:rPr>
      </w:pPr>
      <w:r>
        <w:rPr>
          <w:rFonts w:cs="Times New Roman"/>
          <w:sz w:val="24"/>
          <w:szCs w:val="24"/>
        </w:rPr>
        <w:t>（3）《中华人民共和国大气污染防治法》（2018.10.26修正）；</w:t>
      </w:r>
    </w:p>
    <w:p>
      <w:pPr>
        <w:spacing w:line="360" w:lineRule="auto"/>
        <w:ind w:firstLine="480" w:firstLineChars="200"/>
        <w:rPr>
          <w:rFonts w:cs="Times New Roman"/>
          <w:sz w:val="24"/>
          <w:szCs w:val="24"/>
        </w:rPr>
      </w:pPr>
      <w:r>
        <w:rPr>
          <w:rFonts w:cs="Times New Roman"/>
          <w:sz w:val="24"/>
          <w:szCs w:val="24"/>
        </w:rPr>
        <w:t>（4）《建设项目环境保护管理条例》（国令第682号，2017年7月16日修订）；</w:t>
      </w:r>
    </w:p>
    <w:p>
      <w:pPr>
        <w:spacing w:line="360" w:lineRule="auto"/>
        <w:ind w:firstLine="480" w:firstLineChars="200"/>
        <w:rPr>
          <w:rFonts w:cs="Times New Roman"/>
          <w:sz w:val="24"/>
          <w:szCs w:val="24"/>
        </w:rPr>
      </w:pPr>
      <w:r>
        <w:rPr>
          <w:rFonts w:cs="Times New Roman"/>
          <w:sz w:val="24"/>
          <w:szCs w:val="24"/>
        </w:rPr>
        <w:t>（5）《建设项目环境影响评价分类管理名录》（2021年版）（2021年1月1日）；</w:t>
      </w:r>
    </w:p>
    <w:p>
      <w:pPr>
        <w:spacing w:line="360" w:lineRule="auto"/>
        <w:ind w:firstLine="480" w:firstLineChars="200"/>
        <w:rPr>
          <w:rFonts w:cs="Times New Roman"/>
          <w:sz w:val="24"/>
          <w:szCs w:val="24"/>
        </w:rPr>
      </w:pPr>
      <w:r>
        <w:rPr>
          <w:rFonts w:cs="Times New Roman"/>
          <w:sz w:val="24"/>
          <w:szCs w:val="24"/>
        </w:rPr>
        <w:t>（6）《国务院关于印发大气污染防治行动计划的通知》（国发〔2013〕37号）；</w:t>
      </w:r>
    </w:p>
    <w:p>
      <w:pPr>
        <w:spacing w:line="360" w:lineRule="auto"/>
        <w:ind w:firstLine="480" w:firstLineChars="200"/>
        <w:rPr>
          <w:rFonts w:cs="Times New Roman"/>
          <w:sz w:val="24"/>
          <w:szCs w:val="24"/>
        </w:rPr>
      </w:pPr>
      <w:r>
        <w:rPr>
          <w:rFonts w:cs="Times New Roman"/>
          <w:sz w:val="24"/>
          <w:szCs w:val="24"/>
        </w:rPr>
        <w:t>（7）《中共中央国务院关于全面加强生态环境保护坚决打好污染防治攻坚战的意见》（2018年6月16日）；</w:t>
      </w:r>
    </w:p>
    <w:p>
      <w:pPr>
        <w:spacing w:line="360" w:lineRule="auto"/>
        <w:ind w:firstLine="480" w:firstLineChars="200"/>
        <w:rPr>
          <w:rFonts w:cs="Times New Roman"/>
          <w:sz w:val="24"/>
          <w:szCs w:val="24"/>
        </w:rPr>
      </w:pPr>
      <w:r>
        <w:rPr>
          <w:rFonts w:cs="Times New Roman"/>
          <w:sz w:val="24"/>
          <w:szCs w:val="24"/>
        </w:rPr>
        <w:t>（8）《打赢蓝天保卫战三年行动计划》（国发〔2018〕22号）；</w:t>
      </w:r>
    </w:p>
    <w:p>
      <w:pPr>
        <w:spacing w:line="360" w:lineRule="auto"/>
        <w:ind w:firstLine="480" w:firstLineChars="200"/>
        <w:rPr>
          <w:rFonts w:cs="Times New Roman"/>
          <w:sz w:val="24"/>
          <w:szCs w:val="24"/>
        </w:rPr>
      </w:pPr>
      <w:r>
        <w:rPr>
          <w:rFonts w:cs="Times New Roman"/>
          <w:sz w:val="24"/>
          <w:szCs w:val="24"/>
        </w:rPr>
        <w:t>（9）《四川省人民政府关于印发四川省打赢蓝天保卫战等九个实施方案的通知》（川府发[2019]4号）；</w:t>
      </w:r>
    </w:p>
    <w:p>
      <w:pPr>
        <w:spacing w:line="360" w:lineRule="auto"/>
        <w:ind w:firstLine="480" w:firstLineChars="200"/>
        <w:rPr>
          <w:rFonts w:cs="Times New Roman"/>
          <w:sz w:val="24"/>
          <w:szCs w:val="24"/>
        </w:rPr>
      </w:pPr>
      <w:r>
        <w:rPr>
          <w:rFonts w:cs="Times New Roman"/>
          <w:sz w:val="24"/>
          <w:szCs w:val="24"/>
        </w:rPr>
        <w:t>（10）《四川省蓝天保卫行动方案》《2017-2020年》；</w:t>
      </w:r>
    </w:p>
    <w:p>
      <w:pPr>
        <w:spacing w:line="360" w:lineRule="auto"/>
        <w:ind w:firstLine="480" w:firstLineChars="200"/>
        <w:rPr>
          <w:rFonts w:cs="Times New Roman"/>
          <w:sz w:val="24"/>
          <w:szCs w:val="24"/>
        </w:rPr>
      </w:pPr>
      <w:r>
        <w:rPr>
          <w:rFonts w:cs="Times New Roman"/>
          <w:sz w:val="24"/>
          <w:szCs w:val="24"/>
        </w:rPr>
        <w:t>（11）《产业结构调整指导目录（2019年本）》。</w:t>
      </w:r>
    </w:p>
    <w:p>
      <w:pPr>
        <w:pStyle w:val="5"/>
        <w:rPr>
          <w:rFonts w:hint="default" w:ascii="Times New Roman" w:hAnsi="Times New Roman"/>
        </w:rPr>
      </w:pPr>
      <w:r>
        <w:rPr>
          <w:rFonts w:hint="default" w:ascii="Times New Roman" w:hAnsi="Times New Roman"/>
        </w:rPr>
        <w:t>1.1.2.相关技术规范</w:t>
      </w:r>
    </w:p>
    <w:p>
      <w:pPr>
        <w:spacing w:line="360" w:lineRule="auto"/>
        <w:ind w:firstLine="480" w:firstLineChars="200"/>
        <w:rPr>
          <w:rFonts w:cs="Times New Roman"/>
          <w:sz w:val="24"/>
          <w:szCs w:val="24"/>
        </w:rPr>
      </w:pPr>
      <w:r>
        <w:rPr>
          <w:rFonts w:cs="Times New Roman"/>
          <w:sz w:val="24"/>
          <w:szCs w:val="24"/>
        </w:rPr>
        <w:t>（1）《建设项目环境影响评价技术导则 总纲》（HJ2.1-2016）；</w:t>
      </w:r>
    </w:p>
    <w:p>
      <w:pPr>
        <w:spacing w:line="360" w:lineRule="auto"/>
        <w:ind w:firstLine="480" w:firstLineChars="200"/>
        <w:rPr>
          <w:rFonts w:cs="Times New Roman"/>
          <w:sz w:val="24"/>
          <w:szCs w:val="24"/>
        </w:rPr>
      </w:pPr>
      <w:r>
        <w:rPr>
          <w:rFonts w:cs="Times New Roman"/>
          <w:sz w:val="24"/>
          <w:szCs w:val="24"/>
        </w:rPr>
        <w:t>（2）《环境影响评价技术导则 大气环境》（HJ2.2-2018）；</w:t>
      </w:r>
    </w:p>
    <w:p>
      <w:pPr>
        <w:spacing w:line="360" w:lineRule="auto"/>
        <w:ind w:firstLine="480" w:firstLineChars="200"/>
        <w:rPr>
          <w:rFonts w:cs="Times New Roman"/>
          <w:sz w:val="24"/>
          <w:szCs w:val="24"/>
        </w:rPr>
      </w:pPr>
      <w:r>
        <w:rPr>
          <w:rFonts w:hint="eastAsia" w:cs="Times New Roman"/>
          <w:sz w:val="24"/>
          <w:szCs w:val="24"/>
        </w:rPr>
        <w:t>（3）《建设项目环境影响报告表编制技术指南（污染影响类）》（试行）；</w:t>
      </w:r>
    </w:p>
    <w:p>
      <w:pPr>
        <w:spacing w:line="360" w:lineRule="auto"/>
        <w:ind w:firstLine="480" w:firstLineChars="200"/>
        <w:rPr>
          <w:rFonts w:cs="Times New Roman"/>
          <w:sz w:val="24"/>
          <w:szCs w:val="24"/>
        </w:rPr>
      </w:pPr>
      <w:r>
        <w:rPr>
          <w:rFonts w:cs="Times New Roman"/>
          <w:sz w:val="24"/>
          <w:szCs w:val="24"/>
        </w:rPr>
        <w:t>（</w:t>
      </w:r>
      <w:r>
        <w:rPr>
          <w:rFonts w:hint="eastAsia" w:cs="Times New Roman"/>
          <w:sz w:val="24"/>
          <w:szCs w:val="24"/>
        </w:rPr>
        <w:t>4</w:t>
      </w:r>
      <w:r>
        <w:rPr>
          <w:rFonts w:cs="Times New Roman"/>
          <w:sz w:val="24"/>
          <w:szCs w:val="24"/>
        </w:rPr>
        <w:t>）《环境空气质量标准》（GB3095-2012）。</w:t>
      </w:r>
    </w:p>
    <w:p>
      <w:pPr>
        <w:pStyle w:val="4"/>
        <w:rPr>
          <w:rFonts w:cs="Times New Roman"/>
        </w:rPr>
      </w:pPr>
      <w:r>
        <w:rPr>
          <w:rFonts w:cs="Times New Roman"/>
        </w:rPr>
        <w:t>1.2 评价目的</w:t>
      </w:r>
    </w:p>
    <w:p>
      <w:pPr>
        <w:spacing w:line="360" w:lineRule="auto"/>
        <w:ind w:firstLine="480" w:firstLineChars="200"/>
        <w:rPr>
          <w:rFonts w:cs="Times New Roman"/>
          <w:sz w:val="24"/>
          <w:szCs w:val="24"/>
        </w:rPr>
      </w:pPr>
      <w:r>
        <w:rPr>
          <w:rFonts w:cs="Times New Roman"/>
          <w:sz w:val="24"/>
          <w:szCs w:val="24"/>
        </w:rPr>
        <w:t>在对项目工程特征、环境现状进行详细分析的基础上，根据国家和地方的有关法律法规，分析项目建设是否符合国家产业政策与区域规划，生产工艺过程是否符合清洁生产和环境保护政策；对项目建成后可能造成的污染影响范围和程度进行预测分析；分析项目排放的各类污染物是否达标排放、是否满足总量控制的要求，在此基础上提出技术上可靠、针对性强和可操作性强、经济和布局上合理的最佳污染防治方案。</w:t>
      </w:r>
    </w:p>
    <w:p>
      <w:pPr>
        <w:pStyle w:val="4"/>
        <w:rPr>
          <w:rFonts w:cs="Times New Roman"/>
        </w:rPr>
      </w:pPr>
      <w:r>
        <w:rPr>
          <w:rFonts w:cs="Times New Roman"/>
        </w:rPr>
        <w:t>1.3 评价原则</w:t>
      </w:r>
    </w:p>
    <w:p>
      <w:pPr>
        <w:spacing w:line="360" w:lineRule="auto"/>
        <w:ind w:firstLine="482" w:firstLineChars="200"/>
        <w:rPr>
          <w:rFonts w:cs="Times New Roman"/>
          <w:b/>
          <w:bCs/>
          <w:sz w:val="24"/>
          <w:szCs w:val="24"/>
        </w:rPr>
      </w:pPr>
      <w:r>
        <w:rPr>
          <w:rFonts w:cs="Times New Roman"/>
          <w:b/>
          <w:bCs/>
          <w:sz w:val="24"/>
          <w:szCs w:val="24"/>
        </w:rPr>
        <w:t>1、依法评价</w:t>
      </w:r>
    </w:p>
    <w:p>
      <w:pPr>
        <w:spacing w:line="360" w:lineRule="auto"/>
        <w:ind w:firstLine="480" w:firstLineChars="200"/>
        <w:rPr>
          <w:rFonts w:cs="Times New Roman"/>
          <w:sz w:val="24"/>
          <w:szCs w:val="24"/>
        </w:rPr>
      </w:pPr>
      <w:r>
        <w:rPr>
          <w:rFonts w:cs="Times New Roman"/>
          <w:sz w:val="24"/>
          <w:szCs w:val="24"/>
        </w:rPr>
        <w:t>贯彻执行我国环境保护相关法律法规、标准、政策和规划等，优化项目建设，服务环境管理。</w:t>
      </w:r>
    </w:p>
    <w:p>
      <w:pPr>
        <w:spacing w:line="360" w:lineRule="auto"/>
        <w:ind w:firstLine="482" w:firstLineChars="200"/>
        <w:rPr>
          <w:rFonts w:cs="Times New Roman"/>
          <w:b/>
          <w:bCs/>
          <w:sz w:val="24"/>
          <w:szCs w:val="24"/>
        </w:rPr>
      </w:pPr>
      <w:r>
        <w:rPr>
          <w:rFonts w:cs="Times New Roman"/>
          <w:b/>
          <w:bCs/>
          <w:sz w:val="24"/>
          <w:szCs w:val="24"/>
        </w:rPr>
        <w:t>2、科学评价</w:t>
      </w:r>
    </w:p>
    <w:p>
      <w:pPr>
        <w:spacing w:line="360" w:lineRule="auto"/>
        <w:ind w:firstLine="480" w:firstLineChars="200"/>
        <w:rPr>
          <w:rFonts w:cs="Times New Roman"/>
          <w:sz w:val="24"/>
          <w:szCs w:val="24"/>
        </w:rPr>
      </w:pPr>
      <w:r>
        <w:rPr>
          <w:rFonts w:cs="Times New Roman"/>
          <w:sz w:val="24"/>
          <w:szCs w:val="24"/>
        </w:rPr>
        <w:t>规范环境影响评价方法，科学分析建设项目对环境质量的影响。</w:t>
      </w:r>
    </w:p>
    <w:p>
      <w:pPr>
        <w:spacing w:line="360" w:lineRule="auto"/>
        <w:ind w:firstLine="482" w:firstLineChars="200"/>
        <w:rPr>
          <w:rFonts w:cs="Times New Roman"/>
          <w:b/>
          <w:bCs/>
          <w:sz w:val="24"/>
          <w:szCs w:val="24"/>
        </w:rPr>
      </w:pPr>
      <w:r>
        <w:rPr>
          <w:rFonts w:cs="Times New Roman"/>
          <w:b/>
          <w:bCs/>
          <w:sz w:val="24"/>
          <w:szCs w:val="24"/>
        </w:rPr>
        <w:t>3、突出重点</w:t>
      </w:r>
    </w:p>
    <w:p>
      <w:pPr>
        <w:spacing w:line="360" w:lineRule="auto"/>
        <w:ind w:firstLine="480" w:firstLineChars="200"/>
        <w:rPr>
          <w:rFonts w:cs="Times New Roman"/>
          <w:sz w:val="24"/>
          <w:szCs w:val="24"/>
        </w:rPr>
      </w:pPr>
      <w:r>
        <w:rPr>
          <w:rFonts w:cs="Times New Roman"/>
          <w:sz w:val="24"/>
          <w:szCs w:val="24"/>
        </w:rPr>
        <w:t>根据建设项目的工程内容及其特点，明确与环境要素间的作用效应关系，充分利用符合时效的数据资料及成果，对建设项目主要环境影响予以重点分析和评价。</w:t>
      </w:r>
    </w:p>
    <w:p>
      <w:pPr>
        <w:pStyle w:val="4"/>
        <w:rPr>
          <w:rFonts w:cs="Times New Roman"/>
        </w:rPr>
      </w:pPr>
      <w:r>
        <w:rPr>
          <w:rFonts w:cs="Times New Roman"/>
        </w:rPr>
        <w:t>1.4 评价标准</w:t>
      </w:r>
    </w:p>
    <w:p>
      <w:pPr>
        <w:pStyle w:val="5"/>
        <w:rPr>
          <w:rFonts w:hint="default" w:ascii="Times New Roman" w:hAnsi="Times New Roman"/>
        </w:rPr>
      </w:pPr>
      <w:r>
        <w:rPr>
          <w:rFonts w:hint="default" w:ascii="Times New Roman" w:hAnsi="Times New Roman"/>
        </w:rPr>
        <w:t>1.4.1 环境质量标准</w:t>
      </w:r>
    </w:p>
    <w:p>
      <w:pPr>
        <w:spacing w:line="360" w:lineRule="auto"/>
        <w:ind w:firstLine="480" w:firstLineChars="200"/>
        <w:rPr>
          <w:rFonts w:cs="Times New Roman"/>
          <w:sz w:val="24"/>
          <w:szCs w:val="24"/>
        </w:rPr>
      </w:pPr>
      <w:r>
        <w:rPr>
          <w:rFonts w:cs="Times New Roman"/>
          <w:sz w:val="24"/>
          <w:szCs w:val="24"/>
        </w:rPr>
        <w:t>项目所在区域TSP、PM</w:t>
      </w:r>
      <w:r>
        <w:rPr>
          <w:rFonts w:cs="Times New Roman"/>
          <w:sz w:val="24"/>
          <w:szCs w:val="24"/>
          <w:vertAlign w:val="subscript"/>
        </w:rPr>
        <w:t>10</w:t>
      </w:r>
      <w:r>
        <w:rPr>
          <w:rFonts w:cs="Times New Roman"/>
          <w:sz w:val="24"/>
          <w:szCs w:val="24"/>
        </w:rPr>
        <w:t>、SO</w:t>
      </w:r>
      <w:r>
        <w:rPr>
          <w:rFonts w:cs="Times New Roman"/>
          <w:sz w:val="24"/>
          <w:szCs w:val="24"/>
          <w:vertAlign w:val="subscript"/>
        </w:rPr>
        <w:t>2</w:t>
      </w:r>
      <w:r>
        <w:rPr>
          <w:rFonts w:cs="Times New Roman"/>
          <w:sz w:val="24"/>
          <w:szCs w:val="24"/>
        </w:rPr>
        <w:t>、NO</w:t>
      </w:r>
      <w:r>
        <w:rPr>
          <w:rFonts w:cs="Times New Roman"/>
          <w:sz w:val="24"/>
          <w:szCs w:val="24"/>
          <w:vertAlign w:val="subscript"/>
        </w:rPr>
        <w:t>2</w:t>
      </w:r>
      <w:r>
        <w:rPr>
          <w:rFonts w:cs="Times New Roman"/>
          <w:sz w:val="24"/>
          <w:szCs w:val="24"/>
        </w:rPr>
        <w:t>、PM</w:t>
      </w:r>
      <w:r>
        <w:rPr>
          <w:rFonts w:cs="Times New Roman"/>
          <w:sz w:val="24"/>
          <w:szCs w:val="24"/>
          <w:vertAlign w:val="subscript"/>
        </w:rPr>
        <w:t>2.5</w:t>
      </w:r>
      <w:r>
        <w:rPr>
          <w:rFonts w:cs="Times New Roman"/>
          <w:sz w:val="24"/>
          <w:szCs w:val="24"/>
        </w:rPr>
        <w:t>、CO、O</w:t>
      </w:r>
      <w:r>
        <w:rPr>
          <w:rFonts w:cs="Times New Roman"/>
          <w:sz w:val="24"/>
          <w:szCs w:val="24"/>
          <w:vertAlign w:val="subscript"/>
        </w:rPr>
        <w:t>3</w:t>
      </w:r>
      <w:r>
        <w:rPr>
          <w:rFonts w:cs="Times New Roman"/>
          <w:sz w:val="24"/>
          <w:szCs w:val="24"/>
        </w:rPr>
        <w:t>执行《环境空气质量标准》（GB3095-2012）中二级标准。标准限值见下表。</w:t>
      </w:r>
    </w:p>
    <w:p>
      <w:pPr>
        <w:spacing w:line="360" w:lineRule="auto"/>
        <w:jc w:val="center"/>
        <w:rPr>
          <w:rFonts w:cs="Times New Roman"/>
          <w:b/>
          <w:bCs/>
          <w:sz w:val="24"/>
          <w:szCs w:val="24"/>
        </w:rPr>
      </w:pPr>
      <w:r>
        <w:rPr>
          <w:rFonts w:cs="Times New Roman"/>
          <w:b/>
          <w:bCs/>
          <w:sz w:val="24"/>
          <w:szCs w:val="24"/>
        </w:rPr>
        <w:t>表1.4-1  本项目环境空气执行标准值一览表</w:t>
      </w:r>
    </w:p>
    <w:tbl>
      <w:tblPr>
        <w:tblStyle w:val="2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1744"/>
        <w:gridCol w:w="1809"/>
        <w:gridCol w:w="1321"/>
        <w:gridCol w:w="29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tcBorders>
              <w:tl2br w:val="nil"/>
              <w:tr2bl w:val="nil"/>
            </w:tcBorders>
            <w:vAlign w:val="center"/>
          </w:tcPr>
          <w:p>
            <w:pPr>
              <w:jc w:val="center"/>
              <w:rPr>
                <w:rFonts w:cs="Times New Roman"/>
                <w:b/>
                <w:bCs/>
                <w:szCs w:val="21"/>
              </w:rPr>
            </w:pPr>
            <w:r>
              <w:rPr>
                <w:rFonts w:cs="Times New Roman"/>
                <w:b/>
                <w:bCs/>
                <w:szCs w:val="21"/>
              </w:rPr>
              <w:t>污染物</w:t>
            </w:r>
          </w:p>
        </w:tc>
        <w:tc>
          <w:tcPr>
            <w:tcW w:w="911" w:type="pct"/>
            <w:tcBorders>
              <w:tl2br w:val="nil"/>
              <w:tr2bl w:val="nil"/>
            </w:tcBorders>
            <w:vAlign w:val="center"/>
          </w:tcPr>
          <w:p>
            <w:pPr>
              <w:jc w:val="center"/>
              <w:rPr>
                <w:rFonts w:cs="Times New Roman"/>
                <w:b/>
                <w:bCs/>
                <w:szCs w:val="21"/>
              </w:rPr>
            </w:pPr>
            <w:r>
              <w:rPr>
                <w:rFonts w:cs="Times New Roman"/>
                <w:b/>
                <w:bCs/>
                <w:szCs w:val="21"/>
              </w:rPr>
              <w:t>取值时间</w:t>
            </w:r>
          </w:p>
        </w:tc>
        <w:tc>
          <w:tcPr>
            <w:tcW w:w="945" w:type="pct"/>
            <w:tcBorders>
              <w:tl2br w:val="nil"/>
              <w:tr2bl w:val="nil"/>
            </w:tcBorders>
            <w:vAlign w:val="center"/>
          </w:tcPr>
          <w:p>
            <w:pPr>
              <w:jc w:val="center"/>
              <w:rPr>
                <w:rFonts w:cs="Times New Roman"/>
                <w:b/>
                <w:bCs/>
                <w:szCs w:val="21"/>
              </w:rPr>
            </w:pPr>
            <w:r>
              <w:rPr>
                <w:rFonts w:cs="Times New Roman"/>
                <w:b/>
                <w:bCs/>
                <w:szCs w:val="21"/>
              </w:rPr>
              <w:t>浓度限值</w:t>
            </w:r>
          </w:p>
        </w:tc>
        <w:tc>
          <w:tcPr>
            <w:tcW w:w="690" w:type="pct"/>
            <w:tcBorders>
              <w:tl2br w:val="nil"/>
              <w:tr2bl w:val="nil"/>
            </w:tcBorders>
            <w:vAlign w:val="center"/>
          </w:tcPr>
          <w:p>
            <w:pPr>
              <w:jc w:val="center"/>
              <w:rPr>
                <w:rFonts w:cs="Times New Roman"/>
                <w:b/>
                <w:bCs/>
                <w:szCs w:val="21"/>
              </w:rPr>
            </w:pPr>
            <w:r>
              <w:rPr>
                <w:rFonts w:cs="Times New Roman"/>
                <w:b/>
                <w:bCs/>
                <w:szCs w:val="21"/>
              </w:rPr>
              <w:t>单位</w:t>
            </w:r>
          </w:p>
        </w:tc>
        <w:tc>
          <w:tcPr>
            <w:tcW w:w="1518" w:type="pct"/>
            <w:tcBorders>
              <w:tl2br w:val="nil"/>
              <w:tr2bl w:val="nil"/>
            </w:tcBorders>
            <w:vAlign w:val="center"/>
          </w:tcPr>
          <w:p>
            <w:pPr>
              <w:jc w:val="center"/>
              <w:rPr>
                <w:rFonts w:cs="Times New Roman"/>
                <w:b/>
                <w:bCs/>
                <w:szCs w:val="21"/>
              </w:rPr>
            </w:pPr>
            <w:r>
              <w:rPr>
                <w:rFonts w:cs="Times New Roman"/>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restar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911" w:type="pct"/>
            <w:tcBorders>
              <w:tl2br w:val="nil"/>
              <w:tr2bl w:val="nil"/>
            </w:tcBorders>
            <w:vAlign w:val="center"/>
          </w:tcPr>
          <w:p>
            <w:pPr>
              <w:jc w:val="center"/>
              <w:rPr>
                <w:rFonts w:cs="Times New Roman"/>
                <w:szCs w:val="21"/>
              </w:rPr>
            </w:pPr>
            <w:r>
              <w:rPr>
                <w:rFonts w:cs="Times New Roman"/>
                <w:szCs w:val="21"/>
              </w:rPr>
              <w:t>年平均</w:t>
            </w:r>
          </w:p>
        </w:tc>
        <w:tc>
          <w:tcPr>
            <w:tcW w:w="945" w:type="pct"/>
            <w:tcBorders>
              <w:tl2br w:val="nil"/>
              <w:tr2bl w:val="nil"/>
            </w:tcBorders>
            <w:vAlign w:val="center"/>
          </w:tcPr>
          <w:p>
            <w:pPr>
              <w:jc w:val="center"/>
              <w:rPr>
                <w:rFonts w:cs="Times New Roman"/>
                <w:szCs w:val="21"/>
              </w:rPr>
            </w:pPr>
            <w:r>
              <w:rPr>
                <w:rFonts w:cs="Times New Roman"/>
                <w:szCs w:val="21"/>
              </w:rPr>
              <w:t>60</w:t>
            </w:r>
          </w:p>
        </w:tc>
        <w:tc>
          <w:tcPr>
            <w:tcW w:w="690" w:type="pct"/>
            <w:vMerge w:val="restart"/>
            <w:tcBorders>
              <w:tl2br w:val="nil"/>
              <w:tr2bl w:val="nil"/>
            </w:tcBorders>
            <w:vAlign w:val="center"/>
          </w:tcPr>
          <w:p>
            <w:pPr>
              <w:jc w:val="center"/>
              <w:rPr>
                <w:rFonts w:cs="Times New Roman"/>
                <w:szCs w:val="21"/>
              </w:rPr>
            </w:pPr>
            <w:r>
              <w:rPr>
                <w:rFonts w:cs="Times New Roman"/>
                <w:szCs w:val="21"/>
              </w:rPr>
              <w:t>μg/m</w:t>
            </w:r>
            <w:r>
              <w:rPr>
                <w:rFonts w:cs="Times New Roman"/>
                <w:szCs w:val="21"/>
                <w:vertAlign w:val="superscript"/>
              </w:rPr>
              <w:t>3</w:t>
            </w:r>
          </w:p>
        </w:tc>
        <w:tc>
          <w:tcPr>
            <w:tcW w:w="1518" w:type="pct"/>
            <w:vMerge w:val="restart"/>
            <w:tcBorders>
              <w:tl2br w:val="nil"/>
              <w:tr2bl w:val="nil"/>
            </w:tcBorders>
            <w:vAlign w:val="center"/>
          </w:tcPr>
          <w:p>
            <w:pPr>
              <w:jc w:val="center"/>
              <w:rPr>
                <w:rFonts w:cs="Times New Roman"/>
                <w:szCs w:val="21"/>
              </w:rPr>
            </w:pPr>
            <w:r>
              <w:rPr>
                <w:rFonts w:cs="Times New Roman"/>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24小时平均</w:t>
            </w:r>
          </w:p>
        </w:tc>
        <w:tc>
          <w:tcPr>
            <w:tcW w:w="945" w:type="pct"/>
            <w:tcBorders>
              <w:tl2br w:val="nil"/>
              <w:tr2bl w:val="nil"/>
            </w:tcBorders>
            <w:vAlign w:val="center"/>
          </w:tcPr>
          <w:p>
            <w:pPr>
              <w:jc w:val="center"/>
              <w:rPr>
                <w:rFonts w:cs="Times New Roman"/>
                <w:szCs w:val="21"/>
              </w:rPr>
            </w:pPr>
            <w:r>
              <w:rPr>
                <w:rFonts w:cs="Times New Roman"/>
                <w:szCs w:val="21"/>
              </w:rPr>
              <w:t>150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1小时平均</w:t>
            </w:r>
          </w:p>
        </w:tc>
        <w:tc>
          <w:tcPr>
            <w:tcW w:w="945" w:type="pct"/>
            <w:tcBorders>
              <w:tl2br w:val="nil"/>
              <w:tr2bl w:val="nil"/>
            </w:tcBorders>
            <w:vAlign w:val="center"/>
          </w:tcPr>
          <w:p>
            <w:pPr>
              <w:jc w:val="center"/>
              <w:rPr>
                <w:rFonts w:cs="Times New Roman"/>
                <w:szCs w:val="21"/>
              </w:rPr>
            </w:pPr>
            <w:r>
              <w:rPr>
                <w:rFonts w:cs="Times New Roman"/>
                <w:szCs w:val="21"/>
              </w:rPr>
              <w:t>500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restart"/>
            <w:tcBorders>
              <w:tl2br w:val="nil"/>
              <w:tr2bl w:val="nil"/>
            </w:tcBorders>
            <w:vAlign w:val="center"/>
          </w:tcPr>
          <w:p>
            <w:pPr>
              <w:jc w:val="center"/>
              <w:rPr>
                <w:rFonts w:cs="Times New Roman"/>
                <w:szCs w:val="21"/>
              </w:rPr>
            </w:pPr>
            <w:r>
              <w:rPr>
                <w:rFonts w:cs="Times New Roman"/>
                <w:szCs w:val="21"/>
              </w:rPr>
              <w:t>PM</w:t>
            </w:r>
            <w:r>
              <w:rPr>
                <w:rFonts w:cs="Times New Roman"/>
                <w:szCs w:val="21"/>
                <w:vertAlign w:val="subscript"/>
              </w:rPr>
              <w:t>10</w:t>
            </w:r>
          </w:p>
        </w:tc>
        <w:tc>
          <w:tcPr>
            <w:tcW w:w="911" w:type="pct"/>
            <w:tcBorders>
              <w:tl2br w:val="nil"/>
              <w:tr2bl w:val="nil"/>
            </w:tcBorders>
            <w:vAlign w:val="center"/>
          </w:tcPr>
          <w:p>
            <w:pPr>
              <w:jc w:val="center"/>
              <w:rPr>
                <w:rFonts w:cs="Times New Roman"/>
                <w:szCs w:val="21"/>
              </w:rPr>
            </w:pPr>
            <w:r>
              <w:rPr>
                <w:rFonts w:cs="Times New Roman"/>
                <w:szCs w:val="21"/>
              </w:rPr>
              <w:t>年平均</w:t>
            </w:r>
          </w:p>
        </w:tc>
        <w:tc>
          <w:tcPr>
            <w:tcW w:w="945" w:type="pct"/>
            <w:tcBorders>
              <w:tl2br w:val="nil"/>
              <w:tr2bl w:val="nil"/>
            </w:tcBorders>
            <w:vAlign w:val="center"/>
          </w:tcPr>
          <w:p>
            <w:pPr>
              <w:jc w:val="center"/>
              <w:rPr>
                <w:rFonts w:cs="Times New Roman"/>
                <w:szCs w:val="21"/>
              </w:rPr>
            </w:pPr>
            <w:r>
              <w:rPr>
                <w:rFonts w:cs="Times New Roman"/>
                <w:szCs w:val="21"/>
              </w:rPr>
              <w:t>70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24小时平均</w:t>
            </w:r>
          </w:p>
        </w:tc>
        <w:tc>
          <w:tcPr>
            <w:tcW w:w="945" w:type="pct"/>
            <w:tcBorders>
              <w:tl2br w:val="nil"/>
              <w:tr2bl w:val="nil"/>
            </w:tcBorders>
            <w:vAlign w:val="center"/>
          </w:tcPr>
          <w:p>
            <w:pPr>
              <w:jc w:val="center"/>
              <w:rPr>
                <w:rFonts w:cs="Times New Roman"/>
                <w:szCs w:val="21"/>
              </w:rPr>
            </w:pPr>
            <w:r>
              <w:rPr>
                <w:rFonts w:cs="Times New Roman"/>
                <w:szCs w:val="21"/>
              </w:rPr>
              <w:t>150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restart"/>
            <w:tcBorders>
              <w:tl2br w:val="nil"/>
              <w:tr2bl w:val="nil"/>
            </w:tcBorders>
            <w:vAlign w:val="center"/>
          </w:tcPr>
          <w:p>
            <w:pPr>
              <w:jc w:val="center"/>
              <w:rPr>
                <w:rFonts w:cs="Times New Roman"/>
                <w:szCs w:val="21"/>
              </w:rPr>
            </w:pPr>
            <w:r>
              <w:rPr>
                <w:rFonts w:cs="Times New Roman"/>
                <w:szCs w:val="21"/>
              </w:rPr>
              <w:t>NO</w:t>
            </w:r>
            <w:r>
              <w:rPr>
                <w:rFonts w:cs="Times New Roman"/>
                <w:szCs w:val="21"/>
                <w:vertAlign w:val="subscript"/>
              </w:rPr>
              <w:t>2</w:t>
            </w:r>
          </w:p>
        </w:tc>
        <w:tc>
          <w:tcPr>
            <w:tcW w:w="911" w:type="pct"/>
            <w:tcBorders>
              <w:tl2br w:val="nil"/>
              <w:tr2bl w:val="nil"/>
            </w:tcBorders>
            <w:vAlign w:val="center"/>
          </w:tcPr>
          <w:p>
            <w:pPr>
              <w:jc w:val="center"/>
              <w:rPr>
                <w:rFonts w:cs="Times New Roman"/>
                <w:szCs w:val="21"/>
              </w:rPr>
            </w:pPr>
            <w:r>
              <w:rPr>
                <w:rFonts w:cs="Times New Roman"/>
                <w:szCs w:val="21"/>
              </w:rPr>
              <w:t>年平均</w:t>
            </w:r>
          </w:p>
        </w:tc>
        <w:tc>
          <w:tcPr>
            <w:tcW w:w="945" w:type="pct"/>
            <w:tcBorders>
              <w:tl2br w:val="nil"/>
              <w:tr2bl w:val="nil"/>
            </w:tcBorders>
            <w:vAlign w:val="center"/>
          </w:tcPr>
          <w:p>
            <w:pPr>
              <w:jc w:val="center"/>
              <w:rPr>
                <w:rFonts w:cs="Times New Roman"/>
                <w:szCs w:val="21"/>
              </w:rPr>
            </w:pPr>
            <w:r>
              <w:rPr>
                <w:rFonts w:cs="Times New Roman"/>
                <w:szCs w:val="21"/>
              </w:rPr>
              <w:t>40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24小时平均</w:t>
            </w:r>
          </w:p>
        </w:tc>
        <w:tc>
          <w:tcPr>
            <w:tcW w:w="945" w:type="pct"/>
            <w:tcBorders>
              <w:tl2br w:val="nil"/>
              <w:tr2bl w:val="nil"/>
            </w:tcBorders>
            <w:vAlign w:val="center"/>
          </w:tcPr>
          <w:p>
            <w:pPr>
              <w:jc w:val="center"/>
              <w:rPr>
                <w:rFonts w:cs="Times New Roman"/>
                <w:szCs w:val="21"/>
              </w:rPr>
            </w:pPr>
            <w:r>
              <w:rPr>
                <w:rFonts w:cs="Times New Roman"/>
                <w:szCs w:val="21"/>
              </w:rPr>
              <w:t>80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小时平均</w:t>
            </w:r>
          </w:p>
        </w:tc>
        <w:tc>
          <w:tcPr>
            <w:tcW w:w="945" w:type="pct"/>
            <w:tcBorders>
              <w:tl2br w:val="nil"/>
              <w:tr2bl w:val="nil"/>
            </w:tcBorders>
            <w:vAlign w:val="center"/>
          </w:tcPr>
          <w:p>
            <w:pPr>
              <w:jc w:val="center"/>
              <w:rPr>
                <w:rFonts w:cs="Times New Roman"/>
                <w:szCs w:val="21"/>
              </w:rPr>
            </w:pPr>
            <w:r>
              <w:rPr>
                <w:rFonts w:cs="Times New Roman"/>
                <w:szCs w:val="21"/>
              </w:rPr>
              <w:t>200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restart"/>
            <w:tcBorders>
              <w:tl2br w:val="nil"/>
              <w:tr2bl w:val="nil"/>
            </w:tcBorders>
            <w:vAlign w:val="center"/>
          </w:tcPr>
          <w:p>
            <w:pPr>
              <w:jc w:val="center"/>
              <w:rPr>
                <w:rFonts w:cs="Times New Roman"/>
                <w:szCs w:val="21"/>
              </w:rPr>
            </w:pPr>
            <w:r>
              <w:rPr>
                <w:rFonts w:cs="Times New Roman"/>
                <w:szCs w:val="21"/>
              </w:rPr>
              <w:t>CO</w:t>
            </w:r>
          </w:p>
        </w:tc>
        <w:tc>
          <w:tcPr>
            <w:tcW w:w="911" w:type="pct"/>
            <w:tcBorders>
              <w:tl2br w:val="nil"/>
              <w:tr2bl w:val="nil"/>
            </w:tcBorders>
            <w:vAlign w:val="center"/>
          </w:tcPr>
          <w:p>
            <w:pPr>
              <w:jc w:val="center"/>
              <w:rPr>
                <w:rFonts w:cs="Times New Roman"/>
                <w:szCs w:val="21"/>
              </w:rPr>
            </w:pPr>
            <w:r>
              <w:rPr>
                <w:rFonts w:cs="Times New Roman"/>
                <w:szCs w:val="21"/>
              </w:rPr>
              <w:t>24小时平均</w:t>
            </w:r>
          </w:p>
        </w:tc>
        <w:tc>
          <w:tcPr>
            <w:tcW w:w="945" w:type="pct"/>
            <w:tcBorders>
              <w:tl2br w:val="nil"/>
              <w:tr2bl w:val="nil"/>
            </w:tcBorders>
            <w:vAlign w:val="center"/>
          </w:tcPr>
          <w:p>
            <w:pPr>
              <w:jc w:val="center"/>
              <w:rPr>
                <w:rFonts w:cs="Times New Roman"/>
                <w:szCs w:val="21"/>
              </w:rPr>
            </w:pPr>
            <w:r>
              <w:rPr>
                <w:rFonts w:cs="Times New Roman"/>
                <w:szCs w:val="21"/>
              </w:rPr>
              <w:t>4000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小时平均</w:t>
            </w:r>
          </w:p>
        </w:tc>
        <w:tc>
          <w:tcPr>
            <w:tcW w:w="945" w:type="pct"/>
            <w:tcBorders>
              <w:tl2br w:val="nil"/>
              <w:tr2bl w:val="nil"/>
            </w:tcBorders>
            <w:vAlign w:val="center"/>
          </w:tcPr>
          <w:p>
            <w:pPr>
              <w:jc w:val="center"/>
              <w:rPr>
                <w:rFonts w:cs="Times New Roman"/>
                <w:szCs w:val="21"/>
              </w:rPr>
            </w:pPr>
            <w:r>
              <w:rPr>
                <w:rFonts w:cs="Times New Roman"/>
                <w:szCs w:val="21"/>
              </w:rPr>
              <w:t>10000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restart"/>
            <w:tcBorders>
              <w:tl2br w:val="nil"/>
              <w:tr2bl w:val="nil"/>
            </w:tcBorders>
            <w:vAlign w:val="center"/>
          </w:tcPr>
          <w:p>
            <w:pPr>
              <w:jc w:val="center"/>
              <w:rPr>
                <w:rFonts w:cs="Times New Roman"/>
                <w:szCs w:val="21"/>
              </w:rPr>
            </w:pPr>
            <w:r>
              <w:rPr>
                <w:rFonts w:cs="Times New Roman"/>
                <w:szCs w:val="21"/>
              </w:rPr>
              <w:t>O</w:t>
            </w:r>
            <w:r>
              <w:rPr>
                <w:rFonts w:cs="Times New Roman"/>
                <w:szCs w:val="21"/>
                <w:vertAlign w:val="subscript"/>
              </w:rPr>
              <w:t>3</w:t>
            </w:r>
          </w:p>
        </w:tc>
        <w:tc>
          <w:tcPr>
            <w:tcW w:w="911" w:type="pct"/>
            <w:tcBorders>
              <w:tl2br w:val="nil"/>
              <w:tr2bl w:val="nil"/>
            </w:tcBorders>
            <w:vAlign w:val="center"/>
          </w:tcPr>
          <w:p>
            <w:pPr>
              <w:jc w:val="center"/>
              <w:rPr>
                <w:rFonts w:cs="Times New Roman"/>
                <w:szCs w:val="21"/>
              </w:rPr>
            </w:pPr>
            <w:r>
              <w:rPr>
                <w:rFonts w:cs="Times New Roman"/>
                <w:szCs w:val="21"/>
              </w:rPr>
              <w:t>日最大8小时平均</w:t>
            </w:r>
          </w:p>
        </w:tc>
        <w:tc>
          <w:tcPr>
            <w:tcW w:w="945" w:type="pct"/>
            <w:tcBorders>
              <w:tl2br w:val="nil"/>
              <w:tr2bl w:val="nil"/>
            </w:tcBorders>
            <w:vAlign w:val="center"/>
          </w:tcPr>
          <w:p>
            <w:pPr>
              <w:jc w:val="center"/>
              <w:rPr>
                <w:rFonts w:cs="Times New Roman"/>
                <w:szCs w:val="21"/>
              </w:rPr>
            </w:pPr>
            <w:r>
              <w:rPr>
                <w:rFonts w:cs="Times New Roman"/>
                <w:szCs w:val="21"/>
              </w:rPr>
              <w:t>160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小时平均</w:t>
            </w:r>
          </w:p>
        </w:tc>
        <w:tc>
          <w:tcPr>
            <w:tcW w:w="945" w:type="pct"/>
            <w:tcBorders>
              <w:tl2br w:val="nil"/>
              <w:tr2bl w:val="nil"/>
            </w:tcBorders>
            <w:vAlign w:val="center"/>
          </w:tcPr>
          <w:p>
            <w:pPr>
              <w:jc w:val="center"/>
              <w:rPr>
                <w:rFonts w:cs="Times New Roman"/>
                <w:szCs w:val="21"/>
              </w:rPr>
            </w:pPr>
            <w:r>
              <w:rPr>
                <w:rFonts w:cs="Times New Roman"/>
                <w:szCs w:val="21"/>
              </w:rPr>
              <w:t>200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restart"/>
            <w:tcBorders>
              <w:tl2br w:val="nil"/>
              <w:tr2bl w:val="nil"/>
            </w:tcBorders>
            <w:vAlign w:val="center"/>
          </w:tcPr>
          <w:p>
            <w:pPr>
              <w:jc w:val="center"/>
              <w:rPr>
                <w:rFonts w:cs="Times New Roman"/>
                <w:szCs w:val="21"/>
              </w:rPr>
            </w:pPr>
            <w:r>
              <w:rPr>
                <w:rFonts w:cs="Times New Roman"/>
                <w:szCs w:val="21"/>
              </w:rPr>
              <w:t>PM</w:t>
            </w:r>
            <w:r>
              <w:rPr>
                <w:rFonts w:cs="Times New Roman"/>
                <w:szCs w:val="21"/>
                <w:vertAlign w:val="subscript"/>
              </w:rPr>
              <w:t>2.5</w:t>
            </w:r>
          </w:p>
        </w:tc>
        <w:tc>
          <w:tcPr>
            <w:tcW w:w="911" w:type="pct"/>
            <w:tcBorders>
              <w:tl2br w:val="nil"/>
              <w:tr2bl w:val="nil"/>
            </w:tcBorders>
            <w:vAlign w:val="center"/>
          </w:tcPr>
          <w:p>
            <w:pPr>
              <w:jc w:val="center"/>
              <w:rPr>
                <w:rFonts w:cs="Times New Roman"/>
                <w:szCs w:val="21"/>
              </w:rPr>
            </w:pPr>
            <w:r>
              <w:rPr>
                <w:rFonts w:cs="Times New Roman"/>
                <w:szCs w:val="21"/>
              </w:rPr>
              <w:t>年平均</w:t>
            </w:r>
          </w:p>
        </w:tc>
        <w:tc>
          <w:tcPr>
            <w:tcW w:w="945" w:type="pct"/>
            <w:tcBorders>
              <w:tl2br w:val="nil"/>
              <w:tr2bl w:val="nil"/>
            </w:tcBorders>
            <w:vAlign w:val="center"/>
          </w:tcPr>
          <w:p>
            <w:pPr>
              <w:jc w:val="center"/>
              <w:rPr>
                <w:rFonts w:cs="Times New Roman"/>
                <w:szCs w:val="21"/>
              </w:rPr>
            </w:pPr>
            <w:r>
              <w:rPr>
                <w:rFonts w:cs="Times New Roman"/>
                <w:szCs w:val="21"/>
              </w:rPr>
              <w:t>35</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24小时平均</w:t>
            </w:r>
          </w:p>
        </w:tc>
        <w:tc>
          <w:tcPr>
            <w:tcW w:w="945" w:type="pct"/>
            <w:tcBorders>
              <w:tl2br w:val="nil"/>
              <w:tr2bl w:val="nil"/>
            </w:tcBorders>
            <w:vAlign w:val="center"/>
          </w:tcPr>
          <w:p>
            <w:pPr>
              <w:jc w:val="center"/>
              <w:rPr>
                <w:rFonts w:cs="Times New Roman"/>
                <w:szCs w:val="21"/>
              </w:rPr>
            </w:pPr>
            <w:r>
              <w:rPr>
                <w:rFonts w:cs="Times New Roman"/>
                <w:szCs w:val="21"/>
              </w:rPr>
              <w:t>75</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restart"/>
            <w:tcBorders>
              <w:tl2br w:val="nil"/>
              <w:tr2bl w:val="nil"/>
            </w:tcBorders>
            <w:vAlign w:val="center"/>
          </w:tcPr>
          <w:p>
            <w:pPr>
              <w:jc w:val="center"/>
              <w:rPr>
                <w:rFonts w:cs="Times New Roman"/>
                <w:szCs w:val="21"/>
              </w:rPr>
            </w:pPr>
            <w:r>
              <w:rPr>
                <w:rFonts w:cs="Times New Roman"/>
                <w:szCs w:val="21"/>
              </w:rPr>
              <w:t>TSP</w:t>
            </w:r>
          </w:p>
        </w:tc>
        <w:tc>
          <w:tcPr>
            <w:tcW w:w="911" w:type="pct"/>
            <w:tcBorders>
              <w:tl2br w:val="nil"/>
              <w:tr2bl w:val="nil"/>
            </w:tcBorders>
            <w:vAlign w:val="center"/>
          </w:tcPr>
          <w:p>
            <w:pPr>
              <w:jc w:val="center"/>
              <w:rPr>
                <w:rFonts w:cs="Times New Roman"/>
                <w:szCs w:val="21"/>
              </w:rPr>
            </w:pPr>
            <w:r>
              <w:rPr>
                <w:rFonts w:cs="Times New Roman"/>
                <w:szCs w:val="21"/>
              </w:rPr>
              <w:t>年平均</w:t>
            </w:r>
          </w:p>
        </w:tc>
        <w:tc>
          <w:tcPr>
            <w:tcW w:w="945" w:type="pct"/>
            <w:tcBorders>
              <w:tl2br w:val="nil"/>
              <w:tr2bl w:val="nil"/>
            </w:tcBorders>
            <w:vAlign w:val="center"/>
          </w:tcPr>
          <w:p>
            <w:pPr>
              <w:jc w:val="center"/>
              <w:rPr>
                <w:rFonts w:cs="Times New Roman"/>
                <w:szCs w:val="21"/>
              </w:rPr>
            </w:pPr>
            <w:r>
              <w:rPr>
                <w:rFonts w:cs="Times New Roman"/>
                <w:szCs w:val="21"/>
              </w:rPr>
              <w:t>200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33" w:type="pct"/>
            <w:vMerge w:val="continue"/>
            <w:tcBorders>
              <w:tl2br w:val="nil"/>
              <w:tr2bl w:val="nil"/>
            </w:tcBorders>
            <w:vAlign w:val="center"/>
          </w:tcPr>
          <w:p>
            <w:pPr>
              <w:jc w:val="center"/>
              <w:rPr>
                <w:rFonts w:cs="Times New Roman"/>
                <w:szCs w:val="21"/>
              </w:rPr>
            </w:pPr>
          </w:p>
        </w:tc>
        <w:tc>
          <w:tcPr>
            <w:tcW w:w="911" w:type="pct"/>
            <w:tcBorders>
              <w:tl2br w:val="nil"/>
              <w:tr2bl w:val="nil"/>
            </w:tcBorders>
            <w:vAlign w:val="center"/>
          </w:tcPr>
          <w:p>
            <w:pPr>
              <w:jc w:val="center"/>
              <w:rPr>
                <w:rFonts w:cs="Times New Roman"/>
                <w:szCs w:val="21"/>
              </w:rPr>
            </w:pPr>
            <w:r>
              <w:rPr>
                <w:rFonts w:cs="Times New Roman"/>
                <w:szCs w:val="21"/>
              </w:rPr>
              <w:t>24小时平均</w:t>
            </w:r>
          </w:p>
        </w:tc>
        <w:tc>
          <w:tcPr>
            <w:tcW w:w="945" w:type="pct"/>
            <w:tcBorders>
              <w:tl2br w:val="nil"/>
              <w:tr2bl w:val="nil"/>
            </w:tcBorders>
            <w:vAlign w:val="center"/>
          </w:tcPr>
          <w:p>
            <w:pPr>
              <w:jc w:val="center"/>
              <w:rPr>
                <w:rFonts w:cs="Times New Roman"/>
                <w:szCs w:val="21"/>
              </w:rPr>
            </w:pPr>
            <w:r>
              <w:rPr>
                <w:rFonts w:cs="Times New Roman"/>
                <w:szCs w:val="21"/>
              </w:rPr>
              <w:t>300</w:t>
            </w:r>
          </w:p>
        </w:tc>
        <w:tc>
          <w:tcPr>
            <w:tcW w:w="690" w:type="pct"/>
            <w:vMerge w:val="continue"/>
            <w:tcBorders>
              <w:tl2br w:val="nil"/>
              <w:tr2bl w:val="nil"/>
            </w:tcBorders>
            <w:vAlign w:val="center"/>
          </w:tcPr>
          <w:p>
            <w:pPr>
              <w:jc w:val="center"/>
              <w:rPr>
                <w:rFonts w:cs="Times New Roman"/>
                <w:szCs w:val="21"/>
              </w:rPr>
            </w:pPr>
          </w:p>
        </w:tc>
        <w:tc>
          <w:tcPr>
            <w:tcW w:w="1518" w:type="pct"/>
            <w:vMerge w:val="continue"/>
            <w:tcBorders>
              <w:tl2br w:val="nil"/>
              <w:tr2bl w:val="nil"/>
            </w:tcBorders>
            <w:vAlign w:val="center"/>
          </w:tcPr>
          <w:p>
            <w:pPr>
              <w:jc w:val="center"/>
              <w:rPr>
                <w:rFonts w:cs="Times New Roman"/>
                <w:szCs w:val="21"/>
              </w:rPr>
            </w:pPr>
          </w:p>
        </w:tc>
      </w:tr>
    </w:tbl>
    <w:p>
      <w:pPr>
        <w:pStyle w:val="5"/>
        <w:rPr>
          <w:rFonts w:hint="default" w:ascii="Times New Roman" w:hAnsi="Times New Roman"/>
        </w:rPr>
      </w:pPr>
      <w:r>
        <w:rPr>
          <w:rFonts w:hint="default" w:ascii="Times New Roman" w:hAnsi="Times New Roman"/>
        </w:rPr>
        <w:t>1.4.2 污染物排放标准</w:t>
      </w:r>
    </w:p>
    <w:p>
      <w:pPr>
        <w:spacing w:line="360" w:lineRule="auto"/>
        <w:ind w:firstLine="480" w:firstLineChars="200"/>
        <w:rPr>
          <w:rFonts w:cs="Times New Roman"/>
          <w:sz w:val="24"/>
          <w:szCs w:val="24"/>
        </w:rPr>
      </w:pPr>
      <w:r>
        <w:rPr>
          <w:rFonts w:cs="Times New Roman"/>
          <w:sz w:val="24"/>
          <w:szCs w:val="24"/>
        </w:rPr>
        <w:t>运营期VOCs有组织排放执行《四川省固定污染源大气挥发性有机物排放标准》（DB51/2377-2017）表3中涉及有机溶剂生产和使用的其它行业的标准；无组织排放执行《四川省固定污染源大气挥发性有机物排放标准》（DB51/2377-2017）表5中的限值；甲醛有组织排放执行《四川省固定污染源大气挥发性有机物排放标准》（DB51/2377-2017）表4中的限值；无组织排放执行《四川省固定污染源大气挥发性有机物排放标准》（DB51/2377-2017）表6中的限值。</w:t>
      </w:r>
    </w:p>
    <w:p>
      <w:pPr>
        <w:spacing w:line="360" w:lineRule="auto"/>
        <w:jc w:val="center"/>
        <w:rPr>
          <w:rFonts w:cs="Times New Roman"/>
          <w:b/>
          <w:bCs/>
          <w:sz w:val="24"/>
          <w:szCs w:val="24"/>
        </w:rPr>
      </w:pPr>
      <w:r>
        <w:rPr>
          <w:rFonts w:cs="Times New Roman"/>
          <w:b/>
          <w:bCs/>
          <w:sz w:val="24"/>
          <w:szCs w:val="24"/>
        </w:rPr>
        <w:t>表1.4-2 《四川省固定污染源大气挥发性有机物排放标准》（DB51-2377-2017）</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22"/>
        <w:gridCol w:w="1173"/>
        <w:gridCol w:w="1572"/>
        <w:gridCol w:w="1968"/>
        <w:gridCol w:w="1727"/>
        <w:gridCol w:w="15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848" w:type="pct"/>
            <w:vMerge w:val="restart"/>
            <w:tcBorders>
              <w:tl2br w:val="nil"/>
              <w:tr2bl w:val="nil"/>
            </w:tcBorders>
            <w:vAlign w:val="center"/>
          </w:tcPr>
          <w:p>
            <w:pPr>
              <w:tabs>
                <w:tab w:val="left" w:pos="1170"/>
                <w:tab w:val="left" w:pos="1470"/>
              </w:tabs>
              <w:jc w:val="center"/>
              <w:rPr>
                <w:rFonts w:cs="Times New Roman"/>
                <w:b/>
                <w:bCs/>
                <w:szCs w:val="21"/>
              </w:rPr>
            </w:pPr>
            <w:r>
              <w:rPr>
                <w:rFonts w:cs="Times New Roman"/>
                <w:b/>
                <w:bCs/>
                <w:szCs w:val="21"/>
              </w:rPr>
              <w:t>污染物</w:t>
            </w:r>
          </w:p>
        </w:tc>
        <w:tc>
          <w:tcPr>
            <w:tcW w:w="613" w:type="pct"/>
            <w:vMerge w:val="restar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szCs w:val="21"/>
              </w:rPr>
              <w:t>最高允许排放浓度(mg/m</w:t>
            </w:r>
            <w:r>
              <w:rPr>
                <w:rFonts w:cs="Times New Roman"/>
                <w:b/>
                <w:szCs w:val="21"/>
                <w:vertAlign w:val="superscript"/>
              </w:rPr>
              <w:t>3</w:t>
            </w:r>
            <w:r>
              <w:rPr>
                <w:rFonts w:cs="Times New Roman"/>
                <w:b/>
                <w:szCs w:val="21"/>
              </w:rPr>
              <w:t>)</w:t>
            </w:r>
          </w:p>
        </w:tc>
        <w:tc>
          <w:tcPr>
            <w:tcW w:w="1849"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1688"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continue"/>
            <w:tcBorders>
              <w:tl2br w:val="nil"/>
              <w:tr2bl w:val="nil"/>
            </w:tcBorders>
            <w:vAlign w:val="center"/>
          </w:tcPr>
          <w:p>
            <w:pPr>
              <w:jc w:val="center"/>
              <w:rPr>
                <w:rFonts w:cs="Times New Roman"/>
                <w:b/>
                <w:szCs w:val="21"/>
              </w:rPr>
            </w:pPr>
          </w:p>
        </w:tc>
        <w:tc>
          <w:tcPr>
            <w:tcW w:w="613" w:type="pct"/>
            <w:vMerge w:val="continue"/>
            <w:tcBorders>
              <w:tl2br w:val="nil"/>
              <w:tr2bl w:val="nil"/>
            </w:tcBorders>
            <w:vAlign w:val="center"/>
          </w:tcPr>
          <w:p>
            <w:pPr>
              <w:snapToGrid w:val="0"/>
              <w:jc w:val="center"/>
              <w:rPr>
                <w:rFonts w:cs="Times New Roman"/>
                <w:b/>
                <w:szCs w:val="21"/>
              </w:rPr>
            </w:pPr>
          </w:p>
        </w:tc>
        <w:tc>
          <w:tcPr>
            <w:tcW w:w="821"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排气筒高度</w:t>
            </w:r>
          </w:p>
          <w:p>
            <w:pPr>
              <w:tabs>
                <w:tab w:val="left" w:pos="1170"/>
                <w:tab w:val="left" w:pos="1470"/>
              </w:tabs>
              <w:snapToGrid w:val="0"/>
              <w:jc w:val="center"/>
              <w:rPr>
                <w:rFonts w:cs="Times New Roman"/>
                <w:b/>
                <w:bCs/>
                <w:szCs w:val="21"/>
              </w:rPr>
            </w:pPr>
            <w:r>
              <w:rPr>
                <w:rFonts w:cs="Times New Roman"/>
                <w:b/>
                <w:bCs/>
                <w:szCs w:val="21"/>
              </w:rPr>
              <w:t>（m）</w:t>
            </w:r>
          </w:p>
        </w:tc>
        <w:tc>
          <w:tcPr>
            <w:tcW w:w="1028"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902"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监控点</w:t>
            </w:r>
          </w:p>
        </w:tc>
        <w:tc>
          <w:tcPr>
            <w:tcW w:w="786"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浓度</w:t>
            </w:r>
          </w:p>
          <w:p>
            <w:pPr>
              <w:tabs>
                <w:tab w:val="left" w:pos="1170"/>
                <w:tab w:val="left" w:pos="1470"/>
              </w:tabs>
              <w:snapToGrid w:val="0"/>
              <w:jc w:val="center"/>
              <w:rPr>
                <w:rFonts w:cs="Times New Roman"/>
                <w:b/>
                <w:bCs/>
                <w:szCs w:val="21"/>
              </w:rPr>
            </w:pPr>
            <w:r>
              <w:rPr>
                <w:rFonts w:cs="Times New Roman"/>
                <w:b/>
                <w:szCs w:val="21"/>
              </w:rPr>
              <w:t>(mg/ m</w:t>
            </w:r>
            <w:r>
              <w:rPr>
                <w:rFonts w:cs="Times New Roman"/>
                <w:b/>
                <w:szCs w:val="21"/>
                <w:vertAlign w:val="superscript"/>
              </w:rPr>
              <w:t>3</w:t>
            </w:r>
            <w:r>
              <w:rPr>
                <w:rFonts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VOCs</w:t>
            </w:r>
          </w:p>
        </w:tc>
        <w:tc>
          <w:tcPr>
            <w:tcW w:w="613"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60</w:t>
            </w:r>
          </w:p>
        </w:tc>
        <w:tc>
          <w:tcPr>
            <w:tcW w:w="821" w:type="pct"/>
            <w:tcBorders>
              <w:tl2br w:val="nil"/>
              <w:tr2bl w:val="nil"/>
            </w:tcBorders>
            <w:vAlign w:val="center"/>
          </w:tcPr>
          <w:p>
            <w:pPr>
              <w:jc w:val="center"/>
              <w:rPr>
                <w:rFonts w:cs="Times New Roman"/>
                <w:szCs w:val="21"/>
              </w:rPr>
            </w:pPr>
            <w:r>
              <w:rPr>
                <w:rFonts w:cs="Times New Roman"/>
                <w:szCs w:val="21"/>
              </w:rPr>
              <w:t>15</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3.4</w:t>
            </w:r>
          </w:p>
        </w:tc>
        <w:tc>
          <w:tcPr>
            <w:tcW w:w="902" w:type="pct"/>
            <w:vMerge w:val="restart"/>
            <w:tcBorders>
              <w:tl2br w:val="nil"/>
              <w:tr2bl w:val="nil"/>
            </w:tcBorders>
            <w:vAlign w:val="center"/>
          </w:tcPr>
          <w:p>
            <w:pPr>
              <w:tabs>
                <w:tab w:val="left" w:pos="1170"/>
                <w:tab w:val="left" w:pos="1470"/>
              </w:tabs>
              <w:jc w:val="center"/>
              <w:rPr>
                <w:rFonts w:cs="Times New Roman"/>
                <w:bCs/>
                <w:szCs w:val="21"/>
              </w:rPr>
            </w:pPr>
            <w:r>
              <w:rPr>
                <w:rFonts w:cs="Times New Roman"/>
                <w:bCs/>
                <w:szCs w:val="21"/>
              </w:rPr>
              <w:t>周界外浓度最</w:t>
            </w:r>
          </w:p>
          <w:p>
            <w:pPr>
              <w:tabs>
                <w:tab w:val="left" w:pos="1170"/>
                <w:tab w:val="left" w:pos="1470"/>
              </w:tabs>
              <w:jc w:val="center"/>
              <w:rPr>
                <w:rFonts w:cs="Times New Roman"/>
                <w:bCs/>
                <w:szCs w:val="21"/>
              </w:rPr>
            </w:pPr>
            <w:r>
              <w:rPr>
                <w:rFonts w:cs="Times New Roman"/>
                <w:bCs/>
                <w:szCs w:val="21"/>
              </w:rPr>
              <w:t>高点</w:t>
            </w:r>
          </w:p>
        </w:tc>
        <w:tc>
          <w:tcPr>
            <w:tcW w:w="786"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continue"/>
            <w:tcBorders>
              <w:tl2br w:val="nil"/>
              <w:tr2bl w:val="nil"/>
            </w:tcBorders>
            <w:vAlign w:val="center"/>
          </w:tcPr>
          <w:p>
            <w:pPr>
              <w:adjustRightInd w:val="0"/>
              <w:snapToGrid w:val="0"/>
              <w:spacing w:line="220" w:lineRule="exact"/>
              <w:jc w:val="center"/>
              <w:rPr>
                <w:rFonts w:cs="Times New Roman"/>
                <w:szCs w:val="21"/>
              </w:rPr>
            </w:pPr>
          </w:p>
        </w:tc>
        <w:tc>
          <w:tcPr>
            <w:tcW w:w="613"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c>
          <w:tcPr>
            <w:tcW w:w="821" w:type="pct"/>
            <w:tcBorders>
              <w:tl2br w:val="nil"/>
              <w:tr2bl w:val="nil"/>
            </w:tcBorders>
            <w:vAlign w:val="center"/>
          </w:tcPr>
          <w:p>
            <w:pPr>
              <w:jc w:val="center"/>
              <w:rPr>
                <w:rFonts w:cs="Times New Roman"/>
                <w:szCs w:val="21"/>
              </w:rPr>
            </w:pPr>
            <w:r>
              <w:rPr>
                <w:rFonts w:cs="Times New Roman"/>
                <w:szCs w:val="21"/>
              </w:rPr>
              <w:t>18</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5.44</w:t>
            </w:r>
          </w:p>
        </w:tc>
        <w:tc>
          <w:tcPr>
            <w:tcW w:w="902" w:type="pct"/>
            <w:vMerge w:val="continue"/>
            <w:tcBorders>
              <w:tl2br w:val="nil"/>
              <w:tr2bl w:val="nil"/>
            </w:tcBorders>
            <w:vAlign w:val="center"/>
          </w:tcPr>
          <w:p>
            <w:pPr>
              <w:tabs>
                <w:tab w:val="left" w:pos="1170"/>
                <w:tab w:val="left" w:pos="1470"/>
              </w:tabs>
              <w:jc w:val="center"/>
              <w:rPr>
                <w:rFonts w:cs="Times New Roman"/>
                <w:bCs/>
                <w:szCs w:val="21"/>
              </w:rPr>
            </w:pPr>
          </w:p>
        </w:tc>
        <w:tc>
          <w:tcPr>
            <w:tcW w:w="786"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restart"/>
            <w:tcBorders>
              <w:tl2br w:val="nil"/>
              <w:tr2bl w:val="nil"/>
            </w:tcBorders>
            <w:vAlign w:val="center"/>
          </w:tcPr>
          <w:p>
            <w:pPr>
              <w:adjustRightInd w:val="0"/>
              <w:snapToGrid w:val="0"/>
              <w:spacing w:line="220" w:lineRule="exact"/>
              <w:jc w:val="center"/>
              <w:rPr>
                <w:rFonts w:cs="Times New Roman"/>
                <w:szCs w:val="21"/>
              </w:rPr>
            </w:pPr>
            <w:r>
              <w:rPr>
                <w:rFonts w:cs="Times New Roman"/>
                <w:kern w:val="0"/>
                <w:szCs w:val="21"/>
              </w:rPr>
              <w:t>甲醛</w:t>
            </w:r>
          </w:p>
        </w:tc>
        <w:tc>
          <w:tcPr>
            <w:tcW w:w="613"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5</w:t>
            </w:r>
          </w:p>
        </w:tc>
        <w:tc>
          <w:tcPr>
            <w:tcW w:w="821" w:type="pct"/>
            <w:tcBorders>
              <w:tl2br w:val="nil"/>
              <w:tr2bl w:val="nil"/>
            </w:tcBorders>
            <w:vAlign w:val="center"/>
          </w:tcPr>
          <w:p>
            <w:pPr>
              <w:jc w:val="center"/>
              <w:rPr>
                <w:rFonts w:cs="Times New Roman"/>
                <w:szCs w:val="21"/>
              </w:rPr>
            </w:pPr>
            <w:r>
              <w:rPr>
                <w:rFonts w:cs="Times New Roman"/>
                <w:szCs w:val="21"/>
              </w:rPr>
              <w:t>15</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0.2</w:t>
            </w:r>
          </w:p>
        </w:tc>
        <w:tc>
          <w:tcPr>
            <w:tcW w:w="902" w:type="pct"/>
            <w:vMerge w:val="continue"/>
            <w:tcBorders>
              <w:tl2br w:val="nil"/>
              <w:tr2bl w:val="nil"/>
            </w:tcBorders>
            <w:vAlign w:val="center"/>
          </w:tcPr>
          <w:p>
            <w:pPr>
              <w:tabs>
                <w:tab w:val="left" w:pos="1170"/>
                <w:tab w:val="left" w:pos="1470"/>
              </w:tabs>
              <w:jc w:val="center"/>
              <w:rPr>
                <w:rFonts w:cs="Times New Roman"/>
                <w:bCs/>
                <w:szCs w:val="21"/>
              </w:rPr>
            </w:pPr>
          </w:p>
        </w:tc>
        <w:tc>
          <w:tcPr>
            <w:tcW w:w="786"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48"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c>
          <w:tcPr>
            <w:tcW w:w="613"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c>
          <w:tcPr>
            <w:tcW w:w="821" w:type="pct"/>
            <w:tcBorders>
              <w:tl2br w:val="nil"/>
              <w:tr2bl w:val="nil"/>
            </w:tcBorders>
            <w:vAlign w:val="center"/>
          </w:tcPr>
          <w:p>
            <w:pPr>
              <w:jc w:val="center"/>
              <w:rPr>
                <w:rFonts w:cs="Times New Roman"/>
                <w:szCs w:val="21"/>
              </w:rPr>
            </w:pPr>
            <w:r>
              <w:rPr>
                <w:rFonts w:cs="Times New Roman"/>
                <w:szCs w:val="21"/>
              </w:rPr>
              <w:t>18</w:t>
            </w:r>
          </w:p>
        </w:tc>
        <w:tc>
          <w:tcPr>
            <w:tcW w:w="1028"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0.26</w:t>
            </w:r>
          </w:p>
        </w:tc>
        <w:tc>
          <w:tcPr>
            <w:tcW w:w="902" w:type="pct"/>
            <w:vMerge w:val="continue"/>
            <w:tcBorders>
              <w:tl2br w:val="nil"/>
              <w:tr2bl w:val="nil"/>
            </w:tcBorders>
            <w:vAlign w:val="center"/>
          </w:tcPr>
          <w:p>
            <w:pPr>
              <w:tabs>
                <w:tab w:val="left" w:pos="1170"/>
                <w:tab w:val="left" w:pos="1470"/>
              </w:tabs>
              <w:jc w:val="center"/>
              <w:rPr>
                <w:rFonts w:cs="Times New Roman"/>
                <w:bCs/>
                <w:szCs w:val="21"/>
              </w:rPr>
            </w:pPr>
          </w:p>
        </w:tc>
        <w:tc>
          <w:tcPr>
            <w:tcW w:w="786"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r>
    </w:tbl>
    <w:p>
      <w:pPr>
        <w:spacing w:line="360" w:lineRule="auto"/>
        <w:ind w:firstLine="480" w:firstLineChars="200"/>
        <w:rPr>
          <w:rFonts w:cs="Times New Roman"/>
          <w:sz w:val="24"/>
          <w:szCs w:val="24"/>
        </w:rPr>
      </w:pPr>
      <w:r>
        <w:rPr>
          <w:rFonts w:cs="Times New Roman"/>
          <w:sz w:val="24"/>
          <w:szCs w:val="24"/>
        </w:rPr>
        <w:t>SO</w:t>
      </w:r>
      <w:r>
        <w:rPr>
          <w:rFonts w:cs="Times New Roman"/>
          <w:sz w:val="24"/>
          <w:szCs w:val="24"/>
          <w:vertAlign w:val="subscript"/>
        </w:rPr>
        <w:t>2</w:t>
      </w:r>
      <w:r>
        <w:rPr>
          <w:rFonts w:cs="Times New Roman"/>
          <w:sz w:val="24"/>
          <w:szCs w:val="24"/>
        </w:rPr>
        <w:t>、NOx、颗粒物有组织排放浓度执行《建材工业大气污染物排放标准》（DB37/2373-2018）表2 玻璃工业重点控制区浓度限值要求；氨的有组织排放浓度执行《恶臭污染物排放标准》（GB14554-93）表2要求；SO</w:t>
      </w:r>
      <w:r>
        <w:rPr>
          <w:rFonts w:cs="Times New Roman"/>
          <w:sz w:val="24"/>
          <w:szCs w:val="24"/>
          <w:vertAlign w:val="subscript"/>
        </w:rPr>
        <w:t>2</w:t>
      </w:r>
      <w:r>
        <w:rPr>
          <w:rFonts w:cs="Times New Roman"/>
          <w:sz w:val="24"/>
          <w:szCs w:val="24"/>
        </w:rPr>
        <w:t>、NOx、颗粒物无组织排放浓度执行《大气污染物综合排放标准》（GB16297-1996）表2中二级标准；氨、臭气浓度无组织排放浓度执行《恶臭污染物排放标准》（GB14554-93）。</w:t>
      </w:r>
    </w:p>
    <w:p>
      <w:pPr>
        <w:spacing w:line="360" w:lineRule="auto"/>
        <w:jc w:val="center"/>
        <w:rPr>
          <w:rFonts w:cs="Times New Roman"/>
          <w:b/>
          <w:bCs/>
          <w:sz w:val="24"/>
          <w:szCs w:val="24"/>
        </w:rPr>
      </w:pPr>
      <w:r>
        <w:rPr>
          <w:rFonts w:cs="Times New Roman"/>
          <w:b/>
          <w:bCs/>
          <w:sz w:val="24"/>
          <w:szCs w:val="24"/>
        </w:rPr>
        <w:t>表1.4-3 《建材工业大气污染物排放标准》（DB37/2373-2018）</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2064"/>
        <w:gridCol w:w="2064"/>
        <w:gridCol w:w="20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60"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污染物项目</w:t>
            </w:r>
          </w:p>
        </w:tc>
        <w:tc>
          <w:tcPr>
            <w:tcW w:w="1078"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颗粒物</w:t>
            </w:r>
          </w:p>
        </w:tc>
        <w:tc>
          <w:tcPr>
            <w:tcW w:w="1078"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二氧化硫</w:t>
            </w:r>
          </w:p>
        </w:tc>
        <w:tc>
          <w:tcPr>
            <w:tcW w:w="1081"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60" w:type="pct"/>
            <w:tcBorders>
              <w:tl2br w:val="nil"/>
              <w:tr2bl w:val="nil"/>
            </w:tcBorders>
            <w:vAlign w:val="center"/>
          </w:tcPr>
          <w:p>
            <w:pPr>
              <w:pStyle w:val="16"/>
              <w:rPr>
                <w:rFonts w:ascii="Times New Roman" w:hAnsi="Times New Roman" w:cs="Times New Roman" w:eastAsiaTheme="minorEastAsia"/>
                <w:b/>
                <w:bCs/>
                <w:szCs w:val="21"/>
              </w:rPr>
            </w:pPr>
            <w:r>
              <w:rPr>
                <w:rFonts w:ascii="Times New Roman" w:hAnsi="Times New Roman" w:cs="Times New Roman" w:eastAsiaTheme="minorEastAsia"/>
                <w:b/>
                <w:bCs/>
                <w:szCs w:val="21"/>
              </w:rPr>
              <w:t>排放浓度（mg/m</w:t>
            </w:r>
            <w:r>
              <w:rPr>
                <w:rFonts w:ascii="Times New Roman" w:hAnsi="Times New Roman" w:cs="Times New Roman" w:eastAsiaTheme="minorEastAsia"/>
                <w:b/>
                <w:bCs/>
                <w:szCs w:val="21"/>
                <w:vertAlign w:val="superscript"/>
              </w:rPr>
              <w:t>3</w:t>
            </w:r>
            <w:r>
              <w:rPr>
                <w:rFonts w:ascii="Times New Roman" w:hAnsi="Times New Roman" w:cs="Times New Roman" w:eastAsiaTheme="minorEastAsia"/>
                <w:b/>
                <w:bCs/>
                <w:szCs w:val="21"/>
              </w:rPr>
              <w:t>）</w:t>
            </w:r>
          </w:p>
        </w:tc>
        <w:tc>
          <w:tcPr>
            <w:tcW w:w="1078" w:type="pct"/>
            <w:tcBorders>
              <w:tl2br w:val="nil"/>
              <w:tr2bl w:val="nil"/>
            </w:tcBorders>
            <w:vAlign w:val="center"/>
          </w:tcPr>
          <w:p>
            <w:pPr>
              <w:pStyle w:val="16"/>
              <w:rPr>
                <w:rFonts w:ascii="Times New Roman" w:hAnsi="Times New Roman" w:cs="Times New Roman" w:eastAsiaTheme="minorEastAsia"/>
                <w:szCs w:val="21"/>
              </w:rPr>
            </w:pPr>
            <w:r>
              <w:rPr>
                <w:rFonts w:ascii="Times New Roman" w:hAnsi="Times New Roman" w:cs="Times New Roman" w:eastAsiaTheme="minorEastAsia"/>
                <w:szCs w:val="21"/>
              </w:rPr>
              <w:t>10</w:t>
            </w:r>
          </w:p>
        </w:tc>
        <w:tc>
          <w:tcPr>
            <w:tcW w:w="1078" w:type="pct"/>
            <w:tcBorders>
              <w:tl2br w:val="nil"/>
              <w:tr2bl w:val="nil"/>
            </w:tcBorders>
            <w:vAlign w:val="center"/>
          </w:tcPr>
          <w:p>
            <w:pPr>
              <w:pStyle w:val="16"/>
              <w:rPr>
                <w:rFonts w:ascii="Times New Roman" w:hAnsi="Times New Roman" w:cs="Times New Roman" w:eastAsiaTheme="minorEastAsia"/>
                <w:szCs w:val="21"/>
              </w:rPr>
            </w:pPr>
            <w:r>
              <w:rPr>
                <w:rFonts w:ascii="Times New Roman" w:hAnsi="Times New Roman" w:cs="Times New Roman" w:eastAsiaTheme="minorEastAsia"/>
                <w:szCs w:val="21"/>
              </w:rPr>
              <w:t>50</w:t>
            </w:r>
          </w:p>
        </w:tc>
        <w:tc>
          <w:tcPr>
            <w:tcW w:w="1081" w:type="pct"/>
            <w:tcBorders>
              <w:tl2br w:val="nil"/>
              <w:tr2bl w:val="nil"/>
            </w:tcBorders>
            <w:vAlign w:val="center"/>
          </w:tcPr>
          <w:p>
            <w:pPr>
              <w:pStyle w:val="16"/>
              <w:rPr>
                <w:rFonts w:ascii="Times New Roman" w:hAnsi="Times New Roman" w:cs="Times New Roman" w:eastAsiaTheme="minorEastAsia"/>
                <w:szCs w:val="21"/>
              </w:rPr>
            </w:pPr>
            <w:r>
              <w:rPr>
                <w:rFonts w:ascii="Times New Roman" w:hAnsi="Times New Roman" w:cs="Times New Roman" w:eastAsiaTheme="minorEastAsia"/>
                <w:szCs w:val="21"/>
              </w:rPr>
              <w:t>100</w:t>
            </w:r>
          </w:p>
        </w:tc>
      </w:tr>
    </w:tbl>
    <w:p>
      <w:pPr>
        <w:spacing w:line="360" w:lineRule="auto"/>
        <w:jc w:val="center"/>
        <w:rPr>
          <w:rFonts w:cs="Times New Roman"/>
          <w:b/>
          <w:bCs/>
          <w:sz w:val="24"/>
          <w:szCs w:val="24"/>
        </w:rPr>
      </w:pPr>
      <w:r>
        <w:rPr>
          <w:rFonts w:cs="Times New Roman"/>
          <w:b/>
          <w:bCs/>
          <w:sz w:val="24"/>
          <w:szCs w:val="24"/>
        </w:rPr>
        <w:t>表1.4-4 《大气污染物综合排放标准》（GB16297-1996）</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99"/>
        <w:gridCol w:w="3139"/>
        <w:gridCol w:w="32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vMerge w:val="restart"/>
            <w:tcBorders>
              <w:tl2br w:val="nil"/>
              <w:tr2bl w:val="nil"/>
            </w:tcBorders>
            <w:vAlign w:val="center"/>
          </w:tcPr>
          <w:p>
            <w:pPr>
              <w:tabs>
                <w:tab w:val="left" w:pos="1170"/>
                <w:tab w:val="left" w:pos="1470"/>
              </w:tabs>
              <w:jc w:val="center"/>
              <w:rPr>
                <w:rFonts w:cs="Times New Roman"/>
                <w:b/>
                <w:bCs/>
                <w:szCs w:val="21"/>
              </w:rPr>
            </w:pPr>
            <w:r>
              <w:rPr>
                <w:rFonts w:cs="Times New Roman"/>
                <w:b/>
                <w:bCs/>
                <w:szCs w:val="21"/>
              </w:rPr>
              <w:t>污染物</w:t>
            </w:r>
          </w:p>
        </w:tc>
        <w:tc>
          <w:tcPr>
            <w:tcW w:w="3327"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vMerge w:val="continue"/>
            <w:tcBorders>
              <w:tl2br w:val="nil"/>
              <w:tr2bl w:val="nil"/>
            </w:tcBorders>
            <w:vAlign w:val="center"/>
          </w:tcPr>
          <w:p>
            <w:pPr>
              <w:jc w:val="center"/>
              <w:rPr>
                <w:rFonts w:cs="Times New Roman"/>
                <w:b/>
                <w:szCs w:val="21"/>
              </w:rPr>
            </w:pPr>
          </w:p>
        </w:tc>
        <w:tc>
          <w:tcPr>
            <w:tcW w:w="1640"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监控点</w:t>
            </w:r>
          </w:p>
        </w:tc>
        <w:tc>
          <w:tcPr>
            <w:tcW w:w="1687"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浓度</w:t>
            </w:r>
            <w:r>
              <w:rPr>
                <w:rFonts w:cs="Times New Roman"/>
                <w:b/>
                <w:szCs w:val="21"/>
              </w:rPr>
              <w:t>(mg/ m</w:t>
            </w:r>
            <w:r>
              <w:rPr>
                <w:rFonts w:cs="Times New Roman"/>
                <w:b/>
                <w:szCs w:val="21"/>
                <w:vertAlign w:val="superscript"/>
              </w:rPr>
              <w:t>3</w:t>
            </w:r>
            <w:r>
              <w:rPr>
                <w:rFonts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SO</w:t>
            </w:r>
            <w:r>
              <w:rPr>
                <w:rFonts w:cs="Times New Roman"/>
                <w:szCs w:val="21"/>
                <w:vertAlign w:val="subscript"/>
              </w:rPr>
              <w:t>2</w:t>
            </w:r>
          </w:p>
        </w:tc>
        <w:tc>
          <w:tcPr>
            <w:tcW w:w="1640" w:type="pct"/>
            <w:vMerge w:val="restart"/>
            <w:tcBorders>
              <w:tl2br w:val="nil"/>
              <w:tr2bl w:val="nil"/>
            </w:tcBorders>
            <w:vAlign w:val="center"/>
          </w:tcPr>
          <w:p>
            <w:pPr>
              <w:tabs>
                <w:tab w:val="left" w:pos="1170"/>
                <w:tab w:val="left" w:pos="1470"/>
              </w:tabs>
              <w:jc w:val="center"/>
              <w:rPr>
                <w:rFonts w:cs="Times New Roman"/>
                <w:bCs/>
                <w:szCs w:val="21"/>
              </w:rPr>
            </w:pPr>
            <w:r>
              <w:rPr>
                <w:rFonts w:cs="Times New Roman"/>
                <w:bCs/>
                <w:szCs w:val="21"/>
              </w:rPr>
              <w:t>周界外浓度最</w:t>
            </w:r>
          </w:p>
          <w:p>
            <w:pPr>
              <w:tabs>
                <w:tab w:val="left" w:pos="1170"/>
                <w:tab w:val="left" w:pos="1470"/>
              </w:tabs>
              <w:jc w:val="center"/>
              <w:rPr>
                <w:rFonts w:cs="Times New Roman"/>
                <w:bCs/>
                <w:szCs w:val="21"/>
              </w:rPr>
            </w:pPr>
            <w:r>
              <w:rPr>
                <w:rFonts w:cs="Times New Roman"/>
                <w:bCs/>
                <w:szCs w:val="21"/>
              </w:rPr>
              <w:t>高点</w:t>
            </w:r>
          </w:p>
        </w:tc>
        <w:tc>
          <w:tcPr>
            <w:tcW w:w="168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NO</w:t>
            </w:r>
            <w:r>
              <w:rPr>
                <w:rFonts w:cs="Times New Roman"/>
                <w:szCs w:val="21"/>
                <w:vertAlign w:val="subscript"/>
              </w:rPr>
              <w:t>2</w:t>
            </w:r>
          </w:p>
        </w:tc>
        <w:tc>
          <w:tcPr>
            <w:tcW w:w="1640" w:type="pct"/>
            <w:vMerge w:val="continue"/>
            <w:tcBorders>
              <w:tl2br w:val="nil"/>
              <w:tr2bl w:val="nil"/>
            </w:tcBorders>
            <w:vAlign w:val="center"/>
          </w:tcPr>
          <w:p>
            <w:pPr>
              <w:tabs>
                <w:tab w:val="left" w:pos="1170"/>
                <w:tab w:val="left" w:pos="1470"/>
              </w:tabs>
              <w:jc w:val="center"/>
              <w:rPr>
                <w:rFonts w:cs="Times New Roman"/>
                <w:bCs/>
                <w:szCs w:val="21"/>
              </w:rPr>
            </w:pPr>
          </w:p>
        </w:tc>
        <w:tc>
          <w:tcPr>
            <w:tcW w:w="168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72" w:type="pct"/>
            <w:tcBorders>
              <w:tl2br w:val="nil"/>
              <w:tr2bl w:val="nil"/>
            </w:tcBorders>
            <w:vAlign w:val="center"/>
          </w:tcPr>
          <w:p>
            <w:pPr>
              <w:tabs>
                <w:tab w:val="left" w:pos="1170"/>
                <w:tab w:val="left" w:pos="1470"/>
              </w:tabs>
              <w:jc w:val="center"/>
              <w:rPr>
                <w:rFonts w:cs="Times New Roman"/>
                <w:bCs/>
                <w:szCs w:val="21"/>
              </w:rPr>
            </w:pPr>
            <w:r>
              <w:rPr>
                <w:rFonts w:cs="Times New Roman"/>
                <w:kern w:val="0"/>
                <w:szCs w:val="21"/>
              </w:rPr>
              <w:t>颗粒物</w:t>
            </w:r>
          </w:p>
        </w:tc>
        <w:tc>
          <w:tcPr>
            <w:tcW w:w="1640" w:type="pct"/>
            <w:vMerge w:val="continue"/>
            <w:tcBorders>
              <w:tl2br w:val="nil"/>
              <w:tr2bl w:val="nil"/>
            </w:tcBorders>
            <w:vAlign w:val="center"/>
          </w:tcPr>
          <w:p>
            <w:pPr>
              <w:tabs>
                <w:tab w:val="left" w:pos="1170"/>
                <w:tab w:val="left" w:pos="1470"/>
              </w:tabs>
              <w:jc w:val="center"/>
              <w:rPr>
                <w:rFonts w:cs="Times New Roman"/>
                <w:bCs/>
                <w:szCs w:val="21"/>
              </w:rPr>
            </w:pPr>
          </w:p>
        </w:tc>
        <w:tc>
          <w:tcPr>
            <w:tcW w:w="168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bCs/>
                <w:szCs w:val="21"/>
              </w:rPr>
              <w:t>1.0</w:t>
            </w:r>
          </w:p>
        </w:tc>
      </w:tr>
    </w:tbl>
    <w:p>
      <w:pPr>
        <w:spacing w:line="360" w:lineRule="auto"/>
        <w:ind w:firstLine="482" w:firstLineChars="200"/>
        <w:jc w:val="center"/>
        <w:rPr>
          <w:rFonts w:cs="Times New Roman"/>
          <w:b/>
          <w:bCs/>
          <w:sz w:val="24"/>
          <w:szCs w:val="24"/>
        </w:rPr>
      </w:pPr>
      <w:r>
        <w:rPr>
          <w:rFonts w:cs="Times New Roman"/>
          <w:b/>
          <w:bCs/>
          <w:sz w:val="24"/>
          <w:szCs w:val="24"/>
        </w:rPr>
        <w:t>表1.4-5 《恶臭污染物排放标准》（GB14554-93）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49"/>
        <w:gridCol w:w="1789"/>
        <w:gridCol w:w="2243"/>
        <w:gridCol w:w="1967"/>
        <w:gridCol w:w="1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tcBorders>
              <w:tl2br w:val="nil"/>
              <w:tr2bl w:val="nil"/>
            </w:tcBorders>
            <w:vAlign w:val="center"/>
          </w:tcPr>
          <w:p>
            <w:pPr>
              <w:tabs>
                <w:tab w:val="left" w:pos="1170"/>
                <w:tab w:val="left" w:pos="1470"/>
              </w:tabs>
              <w:jc w:val="center"/>
              <w:rPr>
                <w:rFonts w:cs="Times New Roman"/>
                <w:b/>
                <w:bCs/>
                <w:szCs w:val="21"/>
              </w:rPr>
            </w:pPr>
            <w:r>
              <w:rPr>
                <w:rFonts w:cs="Times New Roman"/>
                <w:b/>
                <w:bCs/>
                <w:szCs w:val="21"/>
              </w:rPr>
              <w:t>污染物</w:t>
            </w:r>
          </w:p>
        </w:tc>
        <w:tc>
          <w:tcPr>
            <w:tcW w:w="2107"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1926" w:type="pct"/>
            <w:gridSpan w:val="2"/>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tcBorders>
              <w:tl2br w:val="nil"/>
              <w:tr2bl w:val="nil"/>
            </w:tcBorders>
            <w:vAlign w:val="center"/>
          </w:tcPr>
          <w:p>
            <w:pPr>
              <w:jc w:val="center"/>
              <w:rPr>
                <w:rFonts w:cs="Times New Roman"/>
                <w:b/>
                <w:szCs w:val="21"/>
              </w:rPr>
            </w:pPr>
          </w:p>
        </w:tc>
        <w:tc>
          <w:tcPr>
            <w:tcW w:w="935"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排气筒高度</w:t>
            </w:r>
          </w:p>
          <w:p>
            <w:pPr>
              <w:tabs>
                <w:tab w:val="left" w:pos="1170"/>
                <w:tab w:val="left" w:pos="1470"/>
              </w:tabs>
              <w:snapToGrid w:val="0"/>
              <w:jc w:val="center"/>
              <w:rPr>
                <w:rFonts w:cs="Times New Roman"/>
                <w:b/>
                <w:bCs/>
                <w:szCs w:val="21"/>
              </w:rPr>
            </w:pPr>
            <w:r>
              <w:rPr>
                <w:rFonts w:cs="Times New Roman"/>
                <w:b/>
                <w:bCs/>
                <w:szCs w:val="21"/>
              </w:rPr>
              <w:t>（m）</w:t>
            </w:r>
          </w:p>
        </w:tc>
        <w:tc>
          <w:tcPr>
            <w:tcW w:w="1172"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最高允许排放速率（kg/h）</w:t>
            </w:r>
          </w:p>
        </w:tc>
        <w:tc>
          <w:tcPr>
            <w:tcW w:w="1028"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监控点</w:t>
            </w:r>
          </w:p>
        </w:tc>
        <w:tc>
          <w:tcPr>
            <w:tcW w:w="897" w:type="pct"/>
            <w:tcBorders>
              <w:tl2br w:val="nil"/>
              <w:tr2bl w:val="nil"/>
            </w:tcBorders>
            <w:vAlign w:val="center"/>
          </w:tcPr>
          <w:p>
            <w:pPr>
              <w:tabs>
                <w:tab w:val="left" w:pos="1170"/>
                <w:tab w:val="left" w:pos="1470"/>
              </w:tabs>
              <w:snapToGrid w:val="0"/>
              <w:jc w:val="center"/>
              <w:rPr>
                <w:rFonts w:cs="Times New Roman"/>
                <w:b/>
                <w:bCs/>
                <w:szCs w:val="21"/>
              </w:rPr>
            </w:pPr>
            <w:r>
              <w:rPr>
                <w:rFonts w:cs="Times New Roman"/>
                <w:b/>
                <w:bCs/>
                <w:szCs w:val="21"/>
              </w:rPr>
              <w:t>浓度</w:t>
            </w:r>
          </w:p>
          <w:p>
            <w:pPr>
              <w:tabs>
                <w:tab w:val="left" w:pos="1170"/>
                <w:tab w:val="left" w:pos="1470"/>
              </w:tabs>
              <w:snapToGrid w:val="0"/>
              <w:jc w:val="center"/>
              <w:rPr>
                <w:rFonts w:cs="Times New Roman"/>
                <w:b/>
                <w:bCs/>
                <w:szCs w:val="21"/>
              </w:rPr>
            </w:pPr>
            <w:r>
              <w:rPr>
                <w:rFonts w:cs="Times New Roman"/>
                <w:b/>
                <w:szCs w:val="21"/>
              </w:rPr>
              <w:t>(mg/ m</w:t>
            </w:r>
            <w:r>
              <w:rPr>
                <w:rFonts w:cs="Times New Roman"/>
                <w:b/>
                <w:szCs w:val="21"/>
                <w:vertAlign w:val="superscript"/>
              </w:rPr>
              <w:t>3</w:t>
            </w:r>
            <w:r>
              <w:rPr>
                <w:rFonts w:cs="Times New Roman"/>
                <w:b/>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szCs w:val="21"/>
              </w:rPr>
              <w:t>氨</w:t>
            </w:r>
          </w:p>
        </w:tc>
        <w:tc>
          <w:tcPr>
            <w:tcW w:w="935" w:type="pct"/>
            <w:tcBorders>
              <w:tl2br w:val="nil"/>
              <w:tr2bl w:val="nil"/>
            </w:tcBorders>
            <w:vAlign w:val="center"/>
          </w:tcPr>
          <w:p>
            <w:pPr>
              <w:jc w:val="center"/>
              <w:rPr>
                <w:rFonts w:cs="Times New Roman"/>
                <w:szCs w:val="21"/>
              </w:rPr>
            </w:pPr>
            <w:r>
              <w:rPr>
                <w:rFonts w:cs="Times New Roman"/>
                <w:szCs w:val="21"/>
              </w:rPr>
              <w:t>15</w:t>
            </w:r>
          </w:p>
        </w:tc>
        <w:tc>
          <w:tcPr>
            <w:tcW w:w="11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4.9</w:t>
            </w:r>
          </w:p>
        </w:tc>
        <w:tc>
          <w:tcPr>
            <w:tcW w:w="1028" w:type="pct"/>
            <w:vMerge w:val="restart"/>
            <w:tcBorders>
              <w:tl2br w:val="nil"/>
              <w:tr2bl w:val="nil"/>
            </w:tcBorders>
            <w:vAlign w:val="center"/>
          </w:tcPr>
          <w:p>
            <w:pPr>
              <w:tabs>
                <w:tab w:val="left" w:pos="1170"/>
                <w:tab w:val="left" w:pos="1470"/>
              </w:tabs>
              <w:jc w:val="center"/>
              <w:rPr>
                <w:rFonts w:cs="Times New Roman"/>
                <w:bCs/>
                <w:szCs w:val="21"/>
              </w:rPr>
            </w:pPr>
            <w:r>
              <w:rPr>
                <w:rFonts w:cs="Times New Roman"/>
                <w:bCs/>
                <w:szCs w:val="21"/>
              </w:rPr>
              <w:t>厂界标准值</w:t>
            </w:r>
          </w:p>
        </w:tc>
        <w:tc>
          <w:tcPr>
            <w:tcW w:w="897" w:type="pct"/>
            <w:vMerge w:val="restar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vMerge w:val="continue"/>
            <w:tcBorders>
              <w:tl2br w:val="nil"/>
              <w:tr2bl w:val="nil"/>
            </w:tcBorders>
            <w:vAlign w:val="center"/>
          </w:tcPr>
          <w:p>
            <w:pPr>
              <w:adjustRightInd w:val="0"/>
              <w:snapToGrid w:val="0"/>
              <w:spacing w:line="220" w:lineRule="exact"/>
              <w:jc w:val="center"/>
              <w:rPr>
                <w:rFonts w:cs="Times New Roman"/>
                <w:szCs w:val="21"/>
              </w:rPr>
            </w:pPr>
          </w:p>
        </w:tc>
        <w:tc>
          <w:tcPr>
            <w:tcW w:w="935" w:type="pct"/>
            <w:tcBorders>
              <w:tl2br w:val="nil"/>
              <w:tr2bl w:val="nil"/>
            </w:tcBorders>
            <w:vAlign w:val="center"/>
          </w:tcPr>
          <w:p>
            <w:pPr>
              <w:jc w:val="center"/>
              <w:rPr>
                <w:rFonts w:cs="Times New Roman"/>
                <w:szCs w:val="21"/>
              </w:rPr>
            </w:pPr>
            <w:r>
              <w:rPr>
                <w:rFonts w:cs="Times New Roman"/>
                <w:szCs w:val="21"/>
              </w:rPr>
              <w:t>18</w:t>
            </w:r>
          </w:p>
        </w:tc>
        <w:tc>
          <w:tcPr>
            <w:tcW w:w="11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7.18</w:t>
            </w:r>
          </w:p>
        </w:tc>
        <w:tc>
          <w:tcPr>
            <w:tcW w:w="1028" w:type="pct"/>
            <w:vMerge w:val="continue"/>
            <w:tcBorders>
              <w:tl2br w:val="nil"/>
              <w:tr2bl w:val="nil"/>
            </w:tcBorders>
            <w:vAlign w:val="center"/>
          </w:tcPr>
          <w:p>
            <w:pPr>
              <w:tabs>
                <w:tab w:val="left" w:pos="1170"/>
                <w:tab w:val="left" w:pos="1470"/>
              </w:tabs>
              <w:jc w:val="center"/>
              <w:rPr>
                <w:rFonts w:cs="Times New Roman"/>
                <w:bCs/>
                <w:szCs w:val="21"/>
              </w:rPr>
            </w:pPr>
          </w:p>
        </w:tc>
        <w:tc>
          <w:tcPr>
            <w:tcW w:w="897" w:type="pct"/>
            <w:vMerge w:val="continue"/>
            <w:tcBorders>
              <w:tl2br w:val="nil"/>
              <w:tr2bl w:val="nil"/>
            </w:tcBorders>
            <w:vAlign w:val="center"/>
          </w:tcPr>
          <w:p>
            <w:pPr>
              <w:adjustRightInd w:val="0"/>
              <w:snapToGrid w:val="0"/>
              <w:spacing w:line="220" w:lineRule="exact"/>
              <w:jc w:val="center"/>
              <w:rPr>
                <w:rFonts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6" w:type="pct"/>
            <w:tcBorders>
              <w:tl2br w:val="nil"/>
              <w:tr2bl w:val="nil"/>
            </w:tcBorders>
            <w:vAlign w:val="center"/>
          </w:tcPr>
          <w:p>
            <w:pPr>
              <w:jc w:val="center"/>
              <w:rPr>
                <w:rFonts w:cs="Times New Roman"/>
                <w:szCs w:val="21"/>
              </w:rPr>
            </w:pPr>
            <w:r>
              <w:rPr>
                <w:rFonts w:cs="Times New Roman"/>
                <w:szCs w:val="21"/>
              </w:rPr>
              <w:t>臭气浓度（无量纲）</w:t>
            </w:r>
          </w:p>
        </w:tc>
        <w:tc>
          <w:tcPr>
            <w:tcW w:w="935" w:type="pct"/>
            <w:tcBorders>
              <w:tl2br w:val="nil"/>
              <w:tr2bl w:val="nil"/>
            </w:tcBorders>
            <w:vAlign w:val="center"/>
          </w:tcPr>
          <w:p>
            <w:pPr>
              <w:jc w:val="center"/>
              <w:rPr>
                <w:rFonts w:cs="Times New Roman"/>
                <w:szCs w:val="21"/>
              </w:rPr>
            </w:pPr>
            <w:r>
              <w:rPr>
                <w:rFonts w:cs="Times New Roman"/>
                <w:szCs w:val="21"/>
              </w:rPr>
              <w:t>/</w:t>
            </w:r>
          </w:p>
        </w:tc>
        <w:tc>
          <w:tcPr>
            <w:tcW w:w="1172"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w:t>
            </w:r>
          </w:p>
        </w:tc>
        <w:tc>
          <w:tcPr>
            <w:tcW w:w="1028" w:type="pct"/>
            <w:vMerge w:val="continue"/>
            <w:tcBorders>
              <w:tl2br w:val="nil"/>
              <w:tr2bl w:val="nil"/>
            </w:tcBorders>
            <w:vAlign w:val="center"/>
          </w:tcPr>
          <w:p>
            <w:pPr>
              <w:tabs>
                <w:tab w:val="left" w:pos="1170"/>
                <w:tab w:val="left" w:pos="1470"/>
              </w:tabs>
              <w:jc w:val="center"/>
              <w:rPr>
                <w:rFonts w:cs="Times New Roman"/>
                <w:bCs/>
                <w:szCs w:val="21"/>
              </w:rPr>
            </w:pPr>
          </w:p>
        </w:tc>
        <w:tc>
          <w:tcPr>
            <w:tcW w:w="897" w:type="pct"/>
            <w:tcBorders>
              <w:tl2br w:val="nil"/>
              <w:tr2bl w:val="nil"/>
            </w:tcBorders>
            <w:vAlign w:val="center"/>
          </w:tcPr>
          <w:p>
            <w:pPr>
              <w:adjustRightInd w:val="0"/>
              <w:snapToGrid w:val="0"/>
              <w:spacing w:line="220" w:lineRule="exact"/>
              <w:jc w:val="center"/>
              <w:rPr>
                <w:rFonts w:cs="Times New Roman"/>
                <w:kern w:val="0"/>
                <w:szCs w:val="21"/>
              </w:rPr>
            </w:pPr>
            <w:r>
              <w:rPr>
                <w:rFonts w:cs="Times New Roman"/>
                <w:kern w:val="0"/>
                <w:szCs w:val="21"/>
              </w:rPr>
              <w:t>20</w:t>
            </w:r>
          </w:p>
        </w:tc>
      </w:tr>
    </w:tbl>
    <w:p>
      <w:pPr>
        <w:spacing w:line="360" w:lineRule="auto"/>
        <w:ind w:firstLine="480" w:firstLineChars="200"/>
        <w:jc w:val="left"/>
        <w:rPr>
          <w:rFonts w:cs="Times New Roman"/>
          <w:sz w:val="24"/>
          <w:szCs w:val="24"/>
        </w:rPr>
      </w:pPr>
      <w:r>
        <w:rPr>
          <w:rFonts w:cs="Times New Roman"/>
          <w:sz w:val="24"/>
          <w:szCs w:val="24"/>
        </w:rPr>
        <w:t>运营期食堂油烟执行《饮食业油烟排放标准》（GB18483-2001）小型规模标准。</w:t>
      </w:r>
    </w:p>
    <w:p>
      <w:pPr>
        <w:spacing w:line="360" w:lineRule="auto"/>
        <w:jc w:val="center"/>
        <w:rPr>
          <w:rFonts w:cs="Times New Roman"/>
          <w:b/>
          <w:bCs/>
          <w:sz w:val="24"/>
          <w:szCs w:val="24"/>
        </w:rPr>
      </w:pPr>
      <w:r>
        <w:rPr>
          <w:rFonts w:cs="Times New Roman"/>
          <w:b/>
          <w:bCs/>
          <w:sz w:val="24"/>
          <w:szCs w:val="24"/>
        </w:rPr>
        <w:t>表1.4-6 饮食业油烟排放标准</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35"/>
        <w:gridCol w:w="2040"/>
        <w:gridCol w:w="2040"/>
        <w:gridCol w:w="20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95" w:type="pct"/>
            <w:tcBorders>
              <w:tl2br w:val="nil"/>
              <w:tr2bl w:val="nil"/>
            </w:tcBorders>
            <w:vAlign w:val="center"/>
          </w:tcPr>
          <w:p>
            <w:pPr>
              <w:jc w:val="center"/>
              <w:rPr>
                <w:rFonts w:cs="Times New Roman"/>
                <w:b/>
                <w:bCs/>
                <w:szCs w:val="21"/>
              </w:rPr>
            </w:pPr>
            <w:r>
              <w:rPr>
                <w:rFonts w:cs="Times New Roman"/>
                <w:b/>
                <w:bCs/>
                <w:szCs w:val="21"/>
              </w:rPr>
              <w:t>规模</w:t>
            </w:r>
          </w:p>
        </w:tc>
        <w:tc>
          <w:tcPr>
            <w:tcW w:w="1066" w:type="pct"/>
            <w:tcBorders>
              <w:tl2br w:val="nil"/>
              <w:tr2bl w:val="nil"/>
            </w:tcBorders>
            <w:vAlign w:val="center"/>
          </w:tcPr>
          <w:p>
            <w:pPr>
              <w:jc w:val="center"/>
              <w:rPr>
                <w:rFonts w:cs="Times New Roman"/>
                <w:b/>
                <w:bCs/>
                <w:szCs w:val="21"/>
              </w:rPr>
            </w:pPr>
            <w:r>
              <w:rPr>
                <w:rFonts w:cs="Times New Roman"/>
                <w:b/>
                <w:bCs/>
                <w:szCs w:val="21"/>
              </w:rPr>
              <w:t>小型</w:t>
            </w:r>
          </w:p>
        </w:tc>
        <w:tc>
          <w:tcPr>
            <w:tcW w:w="1066" w:type="pct"/>
            <w:tcBorders>
              <w:tl2br w:val="nil"/>
              <w:tr2bl w:val="nil"/>
            </w:tcBorders>
            <w:vAlign w:val="center"/>
          </w:tcPr>
          <w:p>
            <w:pPr>
              <w:jc w:val="center"/>
              <w:rPr>
                <w:rFonts w:cs="Times New Roman"/>
                <w:b/>
                <w:bCs/>
                <w:szCs w:val="21"/>
              </w:rPr>
            </w:pPr>
            <w:r>
              <w:rPr>
                <w:rFonts w:cs="Times New Roman"/>
                <w:b/>
                <w:bCs/>
                <w:szCs w:val="21"/>
              </w:rPr>
              <w:t>中型</w:t>
            </w:r>
          </w:p>
        </w:tc>
        <w:tc>
          <w:tcPr>
            <w:tcW w:w="1070" w:type="pct"/>
            <w:tcBorders>
              <w:tl2br w:val="nil"/>
              <w:tr2bl w:val="nil"/>
            </w:tcBorders>
            <w:vAlign w:val="center"/>
          </w:tcPr>
          <w:p>
            <w:pPr>
              <w:jc w:val="center"/>
              <w:rPr>
                <w:rFonts w:cs="Times New Roman"/>
                <w:b/>
                <w:bCs/>
                <w:szCs w:val="21"/>
              </w:rPr>
            </w:pPr>
            <w:r>
              <w:rPr>
                <w:rFonts w:cs="Times New Roman"/>
                <w:b/>
                <w:bCs/>
                <w:szCs w:val="21"/>
              </w:rPr>
              <w:t>大型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95" w:type="pct"/>
            <w:tcBorders>
              <w:tl2br w:val="nil"/>
              <w:tr2bl w:val="nil"/>
            </w:tcBorders>
            <w:vAlign w:val="center"/>
          </w:tcPr>
          <w:p>
            <w:pPr>
              <w:jc w:val="center"/>
              <w:rPr>
                <w:rFonts w:cs="Times New Roman"/>
                <w:szCs w:val="21"/>
              </w:rPr>
            </w:pPr>
            <w:r>
              <w:rPr>
                <w:rFonts w:cs="Times New Roman"/>
                <w:szCs w:val="21"/>
              </w:rPr>
              <w:t>最高运行排放浓度（mg/m</w:t>
            </w:r>
            <w:r>
              <w:rPr>
                <w:rFonts w:cs="Times New Roman"/>
                <w:szCs w:val="21"/>
                <w:vertAlign w:val="superscript"/>
              </w:rPr>
              <w:t>3</w:t>
            </w:r>
            <w:r>
              <w:rPr>
                <w:rFonts w:cs="Times New Roman"/>
                <w:szCs w:val="21"/>
              </w:rPr>
              <w:t>）</w:t>
            </w:r>
          </w:p>
        </w:tc>
        <w:tc>
          <w:tcPr>
            <w:tcW w:w="3204" w:type="pct"/>
            <w:gridSpan w:val="3"/>
            <w:tcBorders>
              <w:tl2br w:val="nil"/>
              <w:tr2bl w:val="nil"/>
            </w:tcBorders>
            <w:vAlign w:val="center"/>
          </w:tcPr>
          <w:p>
            <w:pPr>
              <w:jc w:val="center"/>
              <w:rPr>
                <w:rFonts w:cs="Times New Roman"/>
                <w:szCs w:val="21"/>
              </w:rPr>
            </w:pPr>
            <w:r>
              <w:rPr>
                <w:rFonts w:cs="Times New Roman"/>
                <w:szCs w:val="21"/>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795" w:type="pct"/>
            <w:tcBorders>
              <w:tl2br w:val="nil"/>
              <w:tr2bl w:val="nil"/>
            </w:tcBorders>
            <w:vAlign w:val="center"/>
          </w:tcPr>
          <w:p>
            <w:pPr>
              <w:jc w:val="center"/>
              <w:rPr>
                <w:rFonts w:cs="Times New Roman"/>
                <w:szCs w:val="21"/>
              </w:rPr>
            </w:pPr>
            <w:r>
              <w:rPr>
                <w:rFonts w:cs="Times New Roman"/>
                <w:szCs w:val="21"/>
              </w:rPr>
              <w:t>净化设施最低去除效率（%）</w:t>
            </w:r>
          </w:p>
        </w:tc>
        <w:tc>
          <w:tcPr>
            <w:tcW w:w="1066" w:type="pct"/>
            <w:tcBorders>
              <w:tl2br w:val="nil"/>
              <w:tr2bl w:val="nil"/>
            </w:tcBorders>
            <w:vAlign w:val="center"/>
          </w:tcPr>
          <w:p>
            <w:pPr>
              <w:jc w:val="center"/>
              <w:rPr>
                <w:rFonts w:cs="Times New Roman"/>
                <w:szCs w:val="21"/>
              </w:rPr>
            </w:pPr>
            <w:r>
              <w:rPr>
                <w:rFonts w:cs="Times New Roman"/>
                <w:b/>
                <w:bCs/>
                <w:szCs w:val="21"/>
              </w:rPr>
              <w:t>60</w:t>
            </w:r>
          </w:p>
        </w:tc>
        <w:tc>
          <w:tcPr>
            <w:tcW w:w="1066" w:type="pct"/>
            <w:tcBorders>
              <w:tl2br w:val="nil"/>
              <w:tr2bl w:val="nil"/>
            </w:tcBorders>
            <w:vAlign w:val="center"/>
          </w:tcPr>
          <w:p>
            <w:pPr>
              <w:jc w:val="center"/>
              <w:rPr>
                <w:rFonts w:cs="Times New Roman"/>
                <w:szCs w:val="21"/>
              </w:rPr>
            </w:pPr>
            <w:r>
              <w:rPr>
                <w:rFonts w:cs="Times New Roman"/>
                <w:szCs w:val="21"/>
              </w:rPr>
              <w:t>75</w:t>
            </w:r>
          </w:p>
        </w:tc>
        <w:tc>
          <w:tcPr>
            <w:tcW w:w="1070" w:type="pct"/>
            <w:tcBorders>
              <w:tl2br w:val="nil"/>
              <w:tr2bl w:val="nil"/>
            </w:tcBorders>
            <w:vAlign w:val="center"/>
          </w:tcPr>
          <w:p>
            <w:pPr>
              <w:jc w:val="center"/>
              <w:rPr>
                <w:rFonts w:cs="Times New Roman"/>
                <w:szCs w:val="21"/>
              </w:rPr>
            </w:pPr>
            <w:r>
              <w:rPr>
                <w:rFonts w:cs="Times New Roman"/>
                <w:szCs w:val="21"/>
              </w:rPr>
              <w:t>85</w:t>
            </w:r>
          </w:p>
        </w:tc>
      </w:tr>
    </w:tbl>
    <w:p>
      <w:pPr>
        <w:spacing w:line="360" w:lineRule="auto"/>
        <w:ind w:firstLine="480" w:firstLineChars="200"/>
        <w:rPr>
          <w:rFonts w:cs="Times New Roman"/>
          <w:sz w:val="24"/>
          <w:szCs w:val="24"/>
        </w:rPr>
      </w:pPr>
    </w:p>
    <w:p>
      <w:pPr>
        <w:pStyle w:val="4"/>
        <w:rPr>
          <w:rFonts w:cs="Times New Roman"/>
        </w:rPr>
      </w:pPr>
      <w:r>
        <w:rPr>
          <w:rFonts w:cs="Times New Roman"/>
        </w:rPr>
        <w:t>1.5 评价工作等级与评价范围</w:t>
      </w:r>
    </w:p>
    <w:p>
      <w:pPr>
        <w:pStyle w:val="5"/>
        <w:rPr>
          <w:rFonts w:hint="default" w:ascii="Times New Roman" w:hAnsi="Times New Roman"/>
        </w:rPr>
      </w:pPr>
      <w:r>
        <w:rPr>
          <w:rFonts w:hint="default" w:ascii="Times New Roman" w:hAnsi="Times New Roman"/>
        </w:rPr>
        <w:t>1.5.1 评价等级</w:t>
      </w:r>
    </w:p>
    <w:p>
      <w:pPr>
        <w:spacing w:line="360" w:lineRule="auto"/>
        <w:ind w:firstLine="480" w:firstLineChars="200"/>
        <w:rPr>
          <w:rFonts w:cs="Times New Roman"/>
          <w:sz w:val="24"/>
          <w:szCs w:val="24"/>
        </w:rPr>
      </w:pPr>
      <w:r>
        <w:rPr>
          <w:rFonts w:cs="Times New Roman"/>
          <w:sz w:val="24"/>
          <w:szCs w:val="24"/>
        </w:rPr>
        <w:t>根据《环境影响评价技术导则 大气环境》（HJ2.2-2018）中有关大气环境影响评价等级划分原则，选择项目污染源正常排放的主要污染物及排放参数，采用附录A推荐模式中估算模式分别计算项目污染源的最大环境影响，然后按照评价工作分级判据进行分级。</w:t>
      </w:r>
    </w:p>
    <w:p>
      <w:pPr>
        <w:spacing w:line="360" w:lineRule="auto"/>
        <w:ind w:firstLine="480" w:firstLineChars="200"/>
        <w:rPr>
          <w:rFonts w:cs="Times New Roman"/>
          <w:sz w:val="24"/>
          <w:szCs w:val="24"/>
        </w:rPr>
      </w:pPr>
      <w:r>
        <w:rPr>
          <w:rFonts w:cs="Times New Roman"/>
          <w:sz w:val="24"/>
          <w:szCs w:val="24"/>
        </w:rPr>
        <w:t>根据项目污染源初步调查结果，分别计算项目排放的主要污染物的最大地面质量浓度占标率Pi及第i个污染物的地面浓度达标准限值10%时所对应的最远距离D</w:t>
      </w:r>
      <w:r>
        <w:rPr>
          <w:rFonts w:cs="Times New Roman"/>
          <w:sz w:val="24"/>
          <w:szCs w:val="24"/>
          <w:vertAlign w:val="subscript"/>
        </w:rPr>
        <w:t>10</w:t>
      </w:r>
      <w:r>
        <w:rPr>
          <w:rFonts w:cs="Times New Roman"/>
          <w:sz w:val="24"/>
          <w:szCs w:val="24"/>
        </w:rPr>
        <w:t>%，其中P</w:t>
      </w:r>
      <w:r>
        <w:rPr>
          <w:rFonts w:cs="Times New Roman"/>
          <w:sz w:val="24"/>
          <w:szCs w:val="24"/>
          <w:vertAlign w:val="subscript"/>
        </w:rPr>
        <w:t>i</w:t>
      </w:r>
      <w:r>
        <w:rPr>
          <w:rFonts w:cs="Times New Roman"/>
          <w:sz w:val="24"/>
          <w:szCs w:val="24"/>
        </w:rPr>
        <w:t>定义为：</w:t>
      </w:r>
    </w:p>
    <w:p>
      <w:pPr>
        <w:spacing w:line="360" w:lineRule="auto"/>
        <w:jc w:val="center"/>
        <w:rPr>
          <w:rFonts w:cs="Times New Roman"/>
          <w:sz w:val="24"/>
          <w:szCs w:val="24"/>
        </w:rPr>
      </w:pPr>
      <w:r>
        <w:rPr>
          <w:rFonts w:cs="Times New Roman"/>
          <w:position w:val="-30"/>
        </w:rPr>
        <w:object>
          <v:shape id="_x0000_i1031" o:spt="75" type="#_x0000_t75" style="height:34.15pt;width:77.85pt;" o:ole="t" filled="f" o:preferrelative="t" stroked="f" coordsize="21600,21600">
            <v:path/>
            <v:fill on="f" focussize="0,0"/>
            <v:stroke on="f" joinstyle="miter"/>
            <v:imagedata r:id="rId40" o:title=""/>
            <o:lock v:ext="edit" aspectratio="t"/>
            <w10:wrap type="none"/>
            <w10:anchorlock/>
          </v:shape>
          <o:OLEObject Type="Embed" ProgID="Equation.KSEE3" ShapeID="_x0000_i1031" DrawAspect="Content" ObjectID="_1468075731" r:id="rId39">
            <o:LockedField>false</o:LockedField>
          </o:OLEObject>
        </w:object>
      </w:r>
    </w:p>
    <w:p>
      <w:pPr>
        <w:spacing w:line="360" w:lineRule="auto"/>
        <w:ind w:firstLine="480" w:firstLineChars="200"/>
        <w:rPr>
          <w:rFonts w:cs="Times New Roman"/>
          <w:sz w:val="24"/>
          <w:szCs w:val="24"/>
        </w:rPr>
      </w:pPr>
      <w:r>
        <w:rPr>
          <w:rFonts w:cs="Times New Roman"/>
          <w:sz w:val="24"/>
          <w:szCs w:val="24"/>
        </w:rPr>
        <w:t>式中：P</w:t>
      </w:r>
      <w:r>
        <w:rPr>
          <w:rFonts w:cs="Times New Roman"/>
          <w:sz w:val="24"/>
          <w:szCs w:val="24"/>
          <w:vertAlign w:val="subscript"/>
        </w:rPr>
        <w:t>i</w:t>
      </w:r>
      <w:r>
        <w:rPr>
          <w:rFonts w:cs="Times New Roman"/>
          <w:sz w:val="24"/>
          <w:szCs w:val="24"/>
        </w:rPr>
        <w:t>—第i个污染物的最大地面浓度占标率，%；</w:t>
      </w:r>
    </w:p>
    <w:p>
      <w:pPr>
        <w:spacing w:line="360" w:lineRule="auto"/>
        <w:ind w:firstLine="1200" w:firstLineChars="500"/>
        <w:rPr>
          <w:rFonts w:cs="Times New Roman"/>
          <w:sz w:val="24"/>
          <w:szCs w:val="24"/>
        </w:rPr>
      </w:pPr>
      <w:r>
        <w:rPr>
          <w:rFonts w:cs="Times New Roman"/>
          <w:sz w:val="24"/>
          <w:szCs w:val="24"/>
        </w:rPr>
        <w:t>C</w:t>
      </w:r>
      <w:r>
        <w:rPr>
          <w:rFonts w:cs="Times New Roman"/>
          <w:sz w:val="24"/>
          <w:szCs w:val="24"/>
          <w:vertAlign w:val="subscript"/>
        </w:rPr>
        <w:t>i</w:t>
      </w:r>
      <w:r>
        <w:rPr>
          <w:rFonts w:cs="Times New Roman"/>
          <w:sz w:val="24"/>
          <w:szCs w:val="24"/>
        </w:rPr>
        <w:t>—采用估算模式计算出的第i个污染物的最大地面浓度，mg/m</w:t>
      </w:r>
      <w:r>
        <w:rPr>
          <w:rFonts w:cs="Times New Roman"/>
          <w:sz w:val="24"/>
          <w:szCs w:val="24"/>
          <w:vertAlign w:val="superscript"/>
        </w:rPr>
        <w:t>3</w:t>
      </w:r>
      <w:r>
        <w:rPr>
          <w:rFonts w:cs="Times New Roman"/>
          <w:sz w:val="24"/>
          <w:szCs w:val="24"/>
        </w:rPr>
        <w:t>；</w:t>
      </w:r>
    </w:p>
    <w:p>
      <w:pPr>
        <w:spacing w:line="360" w:lineRule="auto"/>
        <w:ind w:firstLine="1200" w:firstLineChars="500"/>
        <w:rPr>
          <w:rFonts w:cs="Times New Roman"/>
          <w:sz w:val="24"/>
          <w:szCs w:val="24"/>
        </w:rPr>
      </w:pPr>
      <w:r>
        <w:rPr>
          <w:rFonts w:cs="Times New Roman"/>
          <w:sz w:val="24"/>
          <w:szCs w:val="24"/>
        </w:rPr>
        <w:t>C</w:t>
      </w:r>
      <w:r>
        <w:rPr>
          <w:rFonts w:cs="Times New Roman"/>
          <w:sz w:val="24"/>
          <w:szCs w:val="24"/>
          <w:vertAlign w:val="subscript"/>
        </w:rPr>
        <w:t>oi</w:t>
      </w:r>
      <w:r>
        <w:rPr>
          <w:rFonts w:cs="Times New Roman"/>
          <w:sz w:val="24"/>
          <w:szCs w:val="24"/>
        </w:rPr>
        <w:t>—第i个污染物的环境空气质量标准，mg/m</w:t>
      </w:r>
      <w:r>
        <w:rPr>
          <w:rFonts w:cs="Times New Roman"/>
          <w:sz w:val="24"/>
          <w:szCs w:val="24"/>
          <w:vertAlign w:val="superscript"/>
        </w:rPr>
        <w:t>3</w:t>
      </w:r>
      <w:r>
        <w:rPr>
          <w:rFonts w:cs="Times New Roman"/>
          <w:sz w:val="24"/>
          <w:szCs w:val="24"/>
        </w:rPr>
        <w:t>；</w:t>
      </w:r>
    </w:p>
    <w:p>
      <w:pPr>
        <w:spacing w:line="360" w:lineRule="auto"/>
        <w:ind w:firstLine="1200" w:firstLineChars="500"/>
        <w:rPr>
          <w:rFonts w:cs="Times New Roman"/>
          <w:sz w:val="24"/>
          <w:szCs w:val="24"/>
        </w:rPr>
      </w:pPr>
      <w:r>
        <w:rPr>
          <w:rFonts w:cs="Times New Roman"/>
          <w:sz w:val="24"/>
          <w:szCs w:val="24"/>
        </w:rPr>
        <w:t>C</w:t>
      </w:r>
      <w:r>
        <w:rPr>
          <w:rFonts w:cs="Times New Roman"/>
          <w:sz w:val="24"/>
          <w:szCs w:val="24"/>
          <w:vertAlign w:val="subscript"/>
        </w:rPr>
        <w:t>0i</w:t>
      </w:r>
      <w:r>
        <w:rPr>
          <w:rFonts w:cs="Times New Roman"/>
          <w:sz w:val="24"/>
          <w:szCs w:val="24"/>
        </w:rPr>
        <w:t>—一般选用GB3095中1小时平均取样时间的二级标准的浓度限值。</w:t>
      </w:r>
    </w:p>
    <w:p>
      <w:pPr>
        <w:spacing w:line="360" w:lineRule="auto"/>
        <w:ind w:firstLine="480" w:firstLineChars="200"/>
        <w:rPr>
          <w:rFonts w:cs="Times New Roman"/>
          <w:sz w:val="24"/>
          <w:szCs w:val="24"/>
        </w:rPr>
      </w:pPr>
      <w:r>
        <w:rPr>
          <w:rFonts w:cs="Times New Roman"/>
          <w:sz w:val="24"/>
          <w:szCs w:val="24"/>
        </w:rPr>
        <w:t>评价等级判定见表1-5-1。</w:t>
      </w:r>
    </w:p>
    <w:p>
      <w:pPr>
        <w:spacing w:line="360" w:lineRule="auto"/>
        <w:jc w:val="center"/>
        <w:rPr>
          <w:rFonts w:cs="Times New Roman"/>
          <w:b/>
          <w:bCs/>
          <w:sz w:val="24"/>
          <w:szCs w:val="24"/>
        </w:rPr>
      </w:pPr>
      <w:r>
        <w:rPr>
          <w:rFonts w:cs="Times New Roman"/>
          <w:b/>
          <w:bCs/>
          <w:sz w:val="24"/>
          <w:szCs w:val="24"/>
        </w:rPr>
        <w:t>表 1.5-1  评价工作等级判定</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6"/>
        <w:gridCol w:w="52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pct"/>
            <w:tcBorders>
              <w:tl2br w:val="nil"/>
              <w:tr2bl w:val="nil"/>
            </w:tcBorders>
            <w:vAlign w:val="center"/>
          </w:tcPr>
          <w:p>
            <w:pPr>
              <w:pStyle w:val="34"/>
              <w:jc w:val="center"/>
              <w:rPr>
                <w:rFonts w:ascii="Times New Roman" w:cs="Times New Roman"/>
                <w:b/>
                <w:bCs/>
                <w:color w:val="auto"/>
                <w:sz w:val="21"/>
                <w:szCs w:val="21"/>
              </w:rPr>
            </w:pPr>
            <w:r>
              <w:rPr>
                <w:rFonts w:ascii="Times New Roman" w:cs="Times New Roman"/>
                <w:b/>
                <w:bCs/>
                <w:color w:val="auto"/>
                <w:sz w:val="21"/>
                <w:szCs w:val="21"/>
              </w:rPr>
              <w:t>环境因素</w:t>
            </w:r>
          </w:p>
        </w:tc>
        <w:tc>
          <w:tcPr>
            <w:tcW w:w="2760" w:type="pct"/>
            <w:tcBorders>
              <w:tl2br w:val="nil"/>
              <w:tr2bl w:val="nil"/>
            </w:tcBorders>
            <w:vAlign w:val="center"/>
          </w:tcPr>
          <w:p>
            <w:pPr>
              <w:pStyle w:val="34"/>
              <w:jc w:val="center"/>
              <w:rPr>
                <w:rFonts w:ascii="Times New Roman" w:cs="Times New Roman"/>
                <w:b/>
                <w:bCs/>
                <w:color w:val="auto"/>
                <w:sz w:val="21"/>
                <w:szCs w:val="21"/>
              </w:rPr>
            </w:pPr>
            <w:r>
              <w:rPr>
                <w:rFonts w:ascii="Times New Roman" w:cs="Times New Roman"/>
                <w:b/>
                <w:bCs/>
                <w:color w:val="auto"/>
                <w:sz w:val="21"/>
                <w:szCs w:val="21"/>
              </w:rPr>
              <w:t>评价分级判据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pct"/>
            <w:tcBorders>
              <w:tl2br w:val="nil"/>
              <w:tr2bl w:val="nil"/>
            </w:tcBorders>
            <w:vAlign w:val="center"/>
          </w:tcPr>
          <w:p>
            <w:pPr>
              <w:pStyle w:val="34"/>
              <w:jc w:val="center"/>
              <w:rPr>
                <w:rFonts w:ascii="Times New Roman" w:cs="Times New Roman"/>
                <w:color w:val="auto"/>
                <w:sz w:val="21"/>
                <w:szCs w:val="21"/>
              </w:rPr>
            </w:pPr>
            <w:r>
              <w:rPr>
                <w:rFonts w:ascii="Times New Roman" w:cs="Times New Roman"/>
                <w:color w:val="auto"/>
                <w:sz w:val="21"/>
                <w:szCs w:val="21"/>
              </w:rPr>
              <w:t>一级</w:t>
            </w:r>
          </w:p>
        </w:tc>
        <w:tc>
          <w:tcPr>
            <w:tcW w:w="2760" w:type="pct"/>
            <w:tcBorders>
              <w:tl2br w:val="nil"/>
              <w:tr2bl w:val="nil"/>
            </w:tcBorders>
            <w:vAlign w:val="center"/>
          </w:tcPr>
          <w:p>
            <w:pPr>
              <w:pStyle w:val="34"/>
              <w:jc w:val="center"/>
              <w:rPr>
                <w:rFonts w:ascii="Times New Roman" w:cs="Times New Roman"/>
                <w:color w:val="auto"/>
                <w:sz w:val="21"/>
                <w:szCs w:val="21"/>
              </w:rPr>
            </w:pPr>
            <w:r>
              <w:rPr>
                <w:rFonts w:ascii="Times New Roman" w:cs="Times New Roman"/>
                <w:color w:val="auto"/>
                <w:sz w:val="21"/>
                <w:szCs w:val="21"/>
              </w:rPr>
              <w:t>Pmax≥10%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pct"/>
            <w:tcBorders>
              <w:tl2br w:val="nil"/>
              <w:tr2bl w:val="nil"/>
            </w:tcBorders>
            <w:vAlign w:val="center"/>
          </w:tcPr>
          <w:p>
            <w:pPr>
              <w:pStyle w:val="34"/>
              <w:jc w:val="center"/>
              <w:rPr>
                <w:rFonts w:ascii="Times New Roman" w:cs="Times New Roman"/>
                <w:color w:val="auto"/>
                <w:sz w:val="21"/>
                <w:szCs w:val="21"/>
              </w:rPr>
            </w:pPr>
            <w:r>
              <w:rPr>
                <w:rFonts w:ascii="Times New Roman" w:cs="Times New Roman"/>
                <w:color w:val="auto"/>
                <w:sz w:val="21"/>
                <w:szCs w:val="21"/>
              </w:rPr>
              <w:t>二级</w:t>
            </w:r>
          </w:p>
        </w:tc>
        <w:tc>
          <w:tcPr>
            <w:tcW w:w="2760" w:type="pct"/>
            <w:tcBorders>
              <w:tl2br w:val="nil"/>
              <w:tr2bl w:val="nil"/>
            </w:tcBorders>
            <w:vAlign w:val="center"/>
          </w:tcPr>
          <w:p>
            <w:pPr>
              <w:pStyle w:val="34"/>
              <w:jc w:val="center"/>
              <w:rPr>
                <w:rFonts w:ascii="Times New Roman" w:cs="Times New Roman"/>
                <w:color w:val="auto"/>
                <w:sz w:val="21"/>
                <w:szCs w:val="21"/>
              </w:rPr>
            </w:pPr>
            <w:r>
              <w:rPr>
                <w:rFonts w:ascii="Times New Roman" w:cs="Times New Roman"/>
                <w:color w:val="auto"/>
                <w:sz w:val="21"/>
                <w:szCs w:val="21"/>
              </w:rPr>
              <w:t>1%≤Pmax&lt;10%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39" w:type="pct"/>
            <w:tcBorders>
              <w:tl2br w:val="nil"/>
              <w:tr2bl w:val="nil"/>
            </w:tcBorders>
            <w:vAlign w:val="center"/>
          </w:tcPr>
          <w:p>
            <w:pPr>
              <w:pStyle w:val="34"/>
              <w:jc w:val="center"/>
              <w:rPr>
                <w:rFonts w:ascii="Times New Roman" w:cs="Times New Roman"/>
                <w:color w:val="auto"/>
                <w:sz w:val="21"/>
                <w:szCs w:val="21"/>
              </w:rPr>
            </w:pPr>
            <w:r>
              <w:rPr>
                <w:rFonts w:ascii="Times New Roman" w:cs="Times New Roman"/>
                <w:color w:val="auto"/>
                <w:sz w:val="21"/>
                <w:szCs w:val="21"/>
              </w:rPr>
              <w:t>三级</w:t>
            </w:r>
          </w:p>
        </w:tc>
        <w:tc>
          <w:tcPr>
            <w:tcW w:w="2760" w:type="pct"/>
            <w:tcBorders>
              <w:tl2br w:val="nil"/>
              <w:tr2bl w:val="nil"/>
            </w:tcBorders>
            <w:vAlign w:val="center"/>
          </w:tcPr>
          <w:p>
            <w:pPr>
              <w:pStyle w:val="34"/>
              <w:jc w:val="center"/>
              <w:rPr>
                <w:rFonts w:ascii="Times New Roman" w:cs="Times New Roman"/>
                <w:color w:val="auto"/>
                <w:sz w:val="21"/>
                <w:szCs w:val="21"/>
              </w:rPr>
            </w:pPr>
            <w:r>
              <w:rPr>
                <w:rFonts w:ascii="Times New Roman" w:cs="Times New Roman"/>
                <w:color w:val="auto"/>
                <w:sz w:val="21"/>
                <w:szCs w:val="21"/>
              </w:rPr>
              <w:t>Pmax&lt;1%</w:t>
            </w:r>
          </w:p>
        </w:tc>
      </w:tr>
    </w:tbl>
    <w:p>
      <w:pPr>
        <w:spacing w:line="360" w:lineRule="auto"/>
        <w:ind w:firstLine="480" w:firstLineChars="200"/>
        <w:rPr>
          <w:rFonts w:cs="Times New Roman"/>
          <w:sz w:val="24"/>
          <w:szCs w:val="24"/>
        </w:rPr>
      </w:pPr>
      <w:r>
        <w:rPr>
          <w:rFonts w:cs="Times New Roman"/>
          <w:sz w:val="24"/>
          <w:szCs w:val="24"/>
        </w:rPr>
        <w:t>最大地面浓度占标率P</w:t>
      </w:r>
      <w:r>
        <w:rPr>
          <w:rFonts w:cs="Times New Roman"/>
          <w:sz w:val="24"/>
          <w:szCs w:val="24"/>
          <w:vertAlign w:val="subscript"/>
        </w:rPr>
        <w:t>i</w:t>
      </w:r>
      <w:r>
        <w:rPr>
          <w:rFonts w:cs="Times New Roman"/>
          <w:sz w:val="24"/>
          <w:szCs w:val="24"/>
        </w:rPr>
        <w:t>按公式计算，如污染物数i大于1，取Р值中最大者（Pmax）和其对应的D</w:t>
      </w:r>
      <w:r>
        <w:rPr>
          <w:rFonts w:cs="Times New Roman"/>
          <w:sz w:val="24"/>
          <w:szCs w:val="24"/>
          <w:vertAlign w:val="subscript"/>
        </w:rPr>
        <w:t>10</w:t>
      </w:r>
      <w:r>
        <w:rPr>
          <w:rFonts w:cs="Times New Roman"/>
          <w:sz w:val="24"/>
          <w:szCs w:val="24"/>
        </w:rPr>
        <w:t>%。</w:t>
      </w:r>
    </w:p>
    <w:p>
      <w:pPr>
        <w:spacing w:line="360" w:lineRule="auto"/>
        <w:ind w:firstLine="480" w:firstLineChars="200"/>
        <w:rPr>
          <w:rFonts w:cs="Times New Roman"/>
          <w:sz w:val="24"/>
          <w:szCs w:val="24"/>
        </w:rPr>
      </w:pPr>
      <w:r>
        <w:rPr>
          <w:rFonts w:cs="Times New Roman"/>
          <w:sz w:val="24"/>
          <w:szCs w:val="24"/>
        </w:rPr>
        <w:t>本项目所有污染源的正常排放的污染物的Pmax和D</w:t>
      </w:r>
      <w:r>
        <w:rPr>
          <w:rFonts w:cs="Times New Roman"/>
          <w:sz w:val="24"/>
          <w:szCs w:val="24"/>
          <w:vertAlign w:val="subscript"/>
        </w:rPr>
        <w:t>10</w:t>
      </w:r>
      <w:r>
        <w:rPr>
          <w:rFonts w:cs="Times New Roman"/>
          <w:sz w:val="24"/>
          <w:szCs w:val="24"/>
        </w:rPr>
        <w:t>%预测结果如下：</w:t>
      </w:r>
    </w:p>
    <w:p>
      <w:pPr>
        <w:spacing w:line="360" w:lineRule="auto"/>
        <w:jc w:val="center"/>
        <w:rPr>
          <w:rFonts w:cs="Times New Roman"/>
          <w:b/>
          <w:bCs/>
          <w:sz w:val="24"/>
          <w:szCs w:val="24"/>
        </w:rPr>
      </w:pPr>
      <w:r>
        <w:rPr>
          <w:rFonts w:cs="Times New Roman"/>
          <w:b/>
          <w:bCs/>
          <w:sz w:val="24"/>
          <w:szCs w:val="24"/>
        </w:rPr>
        <w:t>表 1.5-2 Pmax和D</w:t>
      </w:r>
      <w:r>
        <w:rPr>
          <w:rFonts w:cs="Times New Roman"/>
          <w:b/>
          <w:bCs/>
          <w:sz w:val="24"/>
          <w:szCs w:val="24"/>
          <w:vertAlign w:val="subscript"/>
        </w:rPr>
        <w:t>10</w:t>
      </w:r>
      <w:r>
        <w:rPr>
          <w:rFonts w:cs="Times New Roman"/>
          <w:b/>
          <w:bCs/>
          <w:sz w:val="24"/>
          <w:szCs w:val="24"/>
        </w:rPr>
        <w:t>%预测和计算结果一览表</w:t>
      </w:r>
    </w:p>
    <w:tbl>
      <w:tblPr>
        <w:tblStyle w:val="26"/>
        <w:tblW w:w="991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1510"/>
        <w:gridCol w:w="1960"/>
        <w:gridCol w:w="1730"/>
        <w:gridCol w:w="1780"/>
        <w:gridCol w:w="14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b/>
                <w:bCs/>
                <w:szCs w:val="21"/>
              </w:rPr>
            </w:pPr>
            <w:r>
              <w:rPr>
                <w:rFonts w:cs="Times New Roman"/>
                <w:b/>
                <w:bCs/>
                <w:szCs w:val="21"/>
              </w:rPr>
              <w:t>污染源名称</w:t>
            </w:r>
          </w:p>
        </w:tc>
        <w:tc>
          <w:tcPr>
            <w:tcW w:w="1510" w:type="dxa"/>
            <w:tcBorders>
              <w:tl2br w:val="nil"/>
              <w:tr2bl w:val="nil"/>
            </w:tcBorders>
            <w:vAlign w:val="center"/>
          </w:tcPr>
          <w:p>
            <w:pPr>
              <w:jc w:val="center"/>
              <w:rPr>
                <w:rFonts w:cs="Times New Roman"/>
                <w:b/>
                <w:bCs/>
                <w:szCs w:val="21"/>
              </w:rPr>
            </w:pPr>
            <w:r>
              <w:rPr>
                <w:rFonts w:cs="Times New Roman"/>
                <w:b/>
                <w:bCs/>
                <w:szCs w:val="21"/>
              </w:rPr>
              <w:t>评价因子</w:t>
            </w:r>
          </w:p>
        </w:tc>
        <w:tc>
          <w:tcPr>
            <w:tcW w:w="1960" w:type="dxa"/>
            <w:tcBorders>
              <w:tl2br w:val="nil"/>
              <w:tr2bl w:val="nil"/>
            </w:tcBorders>
            <w:vAlign w:val="center"/>
          </w:tcPr>
          <w:p>
            <w:pPr>
              <w:jc w:val="center"/>
              <w:rPr>
                <w:rFonts w:cs="Times New Roman"/>
                <w:b/>
                <w:bCs/>
                <w:szCs w:val="21"/>
              </w:rPr>
            </w:pPr>
            <w:r>
              <w:rPr>
                <w:rFonts w:cs="Times New Roman"/>
                <w:b/>
                <w:bCs/>
                <w:szCs w:val="21"/>
              </w:rPr>
              <w:t>评价标准(mg/m³)</w:t>
            </w:r>
          </w:p>
        </w:tc>
        <w:tc>
          <w:tcPr>
            <w:tcW w:w="1730" w:type="dxa"/>
            <w:tcBorders>
              <w:tl2br w:val="nil"/>
              <w:tr2bl w:val="nil"/>
            </w:tcBorders>
            <w:vAlign w:val="center"/>
          </w:tcPr>
          <w:p>
            <w:pPr>
              <w:jc w:val="center"/>
              <w:rPr>
                <w:rFonts w:cs="Times New Roman"/>
                <w:b/>
                <w:bCs/>
                <w:szCs w:val="21"/>
              </w:rPr>
            </w:pPr>
            <w:r>
              <w:rPr>
                <w:rFonts w:cs="Times New Roman"/>
                <w:b/>
                <w:bCs/>
                <w:szCs w:val="21"/>
              </w:rPr>
              <w:t>Cmax(mg/m³)</w:t>
            </w:r>
          </w:p>
        </w:tc>
        <w:tc>
          <w:tcPr>
            <w:tcW w:w="1780" w:type="dxa"/>
            <w:tcBorders>
              <w:tl2br w:val="nil"/>
              <w:tr2bl w:val="nil"/>
            </w:tcBorders>
            <w:vAlign w:val="center"/>
          </w:tcPr>
          <w:p>
            <w:pPr>
              <w:jc w:val="center"/>
              <w:rPr>
                <w:rFonts w:cs="Times New Roman"/>
                <w:b/>
                <w:bCs/>
                <w:szCs w:val="21"/>
              </w:rPr>
            </w:pPr>
            <w:r>
              <w:rPr>
                <w:rFonts w:cs="Times New Roman"/>
                <w:b/>
                <w:bCs/>
                <w:szCs w:val="21"/>
              </w:rPr>
              <w:t>Pmax(%)</w:t>
            </w:r>
          </w:p>
        </w:tc>
        <w:tc>
          <w:tcPr>
            <w:tcW w:w="1490" w:type="dxa"/>
            <w:tcBorders>
              <w:tl2br w:val="nil"/>
              <w:tr2bl w:val="nil"/>
            </w:tcBorders>
            <w:vAlign w:val="center"/>
          </w:tcPr>
          <w:p>
            <w:pPr>
              <w:jc w:val="center"/>
              <w:rPr>
                <w:rFonts w:cs="Times New Roman"/>
                <w:b/>
                <w:bCs/>
                <w:szCs w:val="21"/>
              </w:rPr>
            </w:pPr>
            <w:r>
              <w:rPr>
                <w:rFonts w:cs="Times New Roman"/>
                <w:b/>
                <w:bCs/>
                <w:szCs w:val="21"/>
              </w:rPr>
              <w:t>D10%(m)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点源DA005</w:t>
            </w:r>
          </w:p>
        </w:tc>
        <w:tc>
          <w:tcPr>
            <w:tcW w:w="1510" w:type="dxa"/>
            <w:tcBorders>
              <w:tl2br w:val="nil"/>
              <w:tr2bl w:val="nil"/>
            </w:tcBorders>
            <w:vAlign w:val="center"/>
          </w:tcPr>
          <w:p>
            <w:pPr>
              <w:jc w:val="center"/>
              <w:rPr>
                <w:rFonts w:cs="Times New Roman"/>
                <w:szCs w:val="21"/>
              </w:rPr>
            </w:pPr>
            <w:r>
              <w:rPr>
                <w:rFonts w:cs="Times New Roman"/>
                <w:szCs w:val="21"/>
              </w:rPr>
              <w:t>甲醛</w:t>
            </w:r>
          </w:p>
        </w:tc>
        <w:tc>
          <w:tcPr>
            <w:tcW w:w="1960" w:type="dxa"/>
            <w:tcBorders>
              <w:tl2br w:val="nil"/>
              <w:tr2bl w:val="nil"/>
            </w:tcBorders>
            <w:vAlign w:val="center"/>
          </w:tcPr>
          <w:p>
            <w:pPr>
              <w:jc w:val="center"/>
              <w:rPr>
                <w:rFonts w:cs="Times New Roman"/>
                <w:szCs w:val="21"/>
              </w:rPr>
            </w:pPr>
            <w:r>
              <w:rPr>
                <w:rFonts w:cs="Times New Roman"/>
                <w:szCs w:val="21"/>
              </w:rPr>
              <w:t>0.05</w:t>
            </w:r>
          </w:p>
        </w:tc>
        <w:tc>
          <w:tcPr>
            <w:tcW w:w="1730" w:type="dxa"/>
            <w:tcBorders>
              <w:tl2br w:val="nil"/>
              <w:tr2bl w:val="nil"/>
            </w:tcBorders>
            <w:vAlign w:val="center"/>
          </w:tcPr>
          <w:p>
            <w:pPr>
              <w:jc w:val="center"/>
              <w:rPr>
                <w:rFonts w:cs="Times New Roman"/>
                <w:szCs w:val="21"/>
              </w:rPr>
            </w:pPr>
            <w:r>
              <w:rPr>
                <w:rFonts w:cs="Times New Roman"/>
              </w:rPr>
              <w:t>3.94E-03</w:t>
            </w:r>
          </w:p>
        </w:tc>
        <w:tc>
          <w:tcPr>
            <w:tcW w:w="1780" w:type="dxa"/>
            <w:tcBorders>
              <w:tl2br w:val="nil"/>
              <w:tr2bl w:val="nil"/>
            </w:tcBorders>
            <w:vAlign w:val="center"/>
          </w:tcPr>
          <w:p>
            <w:pPr>
              <w:jc w:val="center"/>
              <w:rPr>
                <w:rFonts w:cs="Times New Roman"/>
                <w:szCs w:val="21"/>
              </w:rPr>
            </w:pPr>
            <w:r>
              <w:rPr>
                <w:rFonts w:cs="Times New Roman"/>
              </w:rPr>
              <w:t>7.87</w:t>
            </w:r>
          </w:p>
        </w:tc>
        <w:tc>
          <w:tcPr>
            <w:tcW w:w="1490" w:type="dxa"/>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点源DA005</w:t>
            </w:r>
          </w:p>
        </w:tc>
        <w:tc>
          <w:tcPr>
            <w:tcW w:w="1510" w:type="dxa"/>
            <w:tcBorders>
              <w:tl2br w:val="nil"/>
              <w:tr2bl w:val="nil"/>
            </w:tcBorders>
            <w:vAlign w:val="center"/>
          </w:tcPr>
          <w:p>
            <w:pPr>
              <w:jc w:val="center"/>
              <w:rPr>
                <w:rFonts w:cs="Times New Roman"/>
                <w:szCs w:val="21"/>
              </w:rPr>
            </w:pPr>
            <w:r>
              <w:rPr>
                <w:rFonts w:cs="Times New Roman"/>
                <w:szCs w:val="21"/>
              </w:rPr>
              <w:t>TVOC</w:t>
            </w:r>
          </w:p>
        </w:tc>
        <w:tc>
          <w:tcPr>
            <w:tcW w:w="1960" w:type="dxa"/>
            <w:tcBorders>
              <w:tl2br w:val="nil"/>
              <w:tr2bl w:val="nil"/>
            </w:tcBorders>
            <w:vAlign w:val="center"/>
          </w:tcPr>
          <w:p>
            <w:pPr>
              <w:jc w:val="center"/>
              <w:rPr>
                <w:rFonts w:cs="Times New Roman"/>
                <w:szCs w:val="21"/>
              </w:rPr>
            </w:pPr>
            <w:r>
              <w:rPr>
                <w:rFonts w:cs="Times New Roman"/>
                <w:szCs w:val="21"/>
              </w:rPr>
              <w:t>0.6</w:t>
            </w:r>
          </w:p>
        </w:tc>
        <w:tc>
          <w:tcPr>
            <w:tcW w:w="1730" w:type="dxa"/>
            <w:tcBorders>
              <w:tl2br w:val="nil"/>
              <w:tr2bl w:val="nil"/>
            </w:tcBorders>
            <w:vAlign w:val="center"/>
          </w:tcPr>
          <w:p>
            <w:pPr>
              <w:jc w:val="center"/>
              <w:rPr>
                <w:rFonts w:cs="Times New Roman"/>
                <w:szCs w:val="21"/>
              </w:rPr>
            </w:pPr>
            <w:r>
              <w:rPr>
                <w:rFonts w:cs="Times New Roman"/>
              </w:rPr>
              <w:t>7.82E-05</w:t>
            </w:r>
          </w:p>
        </w:tc>
        <w:tc>
          <w:tcPr>
            <w:tcW w:w="1780" w:type="dxa"/>
            <w:tcBorders>
              <w:tl2br w:val="nil"/>
              <w:tr2bl w:val="nil"/>
            </w:tcBorders>
            <w:vAlign w:val="center"/>
          </w:tcPr>
          <w:p>
            <w:pPr>
              <w:jc w:val="center"/>
              <w:rPr>
                <w:rFonts w:cs="Times New Roman"/>
                <w:szCs w:val="21"/>
              </w:rPr>
            </w:pPr>
            <w:r>
              <w:rPr>
                <w:rFonts w:cs="Times New Roman"/>
                <w:szCs w:val="21"/>
              </w:rPr>
              <w:t>0.00</w:t>
            </w:r>
          </w:p>
        </w:tc>
        <w:tc>
          <w:tcPr>
            <w:tcW w:w="1490" w:type="dxa"/>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点源DA005</w:t>
            </w:r>
          </w:p>
        </w:tc>
        <w:tc>
          <w:tcPr>
            <w:tcW w:w="1510" w:type="dxa"/>
            <w:tcBorders>
              <w:tl2br w:val="nil"/>
              <w:tr2bl w:val="nil"/>
            </w:tcBorders>
            <w:vAlign w:val="center"/>
          </w:tcPr>
          <w:p>
            <w:pPr>
              <w:jc w:val="center"/>
              <w:rPr>
                <w:rFonts w:cs="Times New Roman"/>
                <w:szCs w:val="21"/>
              </w:rPr>
            </w:pPr>
            <w:r>
              <w:rPr>
                <w:rFonts w:cs="Times New Roman"/>
                <w:szCs w:val="21"/>
              </w:rPr>
              <w:t>氨</w:t>
            </w:r>
          </w:p>
        </w:tc>
        <w:tc>
          <w:tcPr>
            <w:tcW w:w="1960" w:type="dxa"/>
            <w:tcBorders>
              <w:tl2br w:val="nil"/>
              <w:tr2bl w:val="nil"/>
            </w:tcBorders>
            <w:vAlign w:val="center"/>
          </w:tcPr>
          <w:p>
            <w:pPr>
              <w:jc w:val="center"/>
              <w:rPr>
                <w:rFonts w:cs="Times New Roman"/>
                <w:szCs w:val="21"/>
              </w:rPr>
            </w:pPr>
            <w:r>
              <w:rPr>
                <w:rFonts w:cs="Times New Roman"/>
                <w:szCs w:val="21"/>
              </w:rPr>
              <w:t>0.2</w:t>
            </w:r>
          </w:p>
        </w:tc>
        <w:tc>
          <w:tcPr>
            <w:tcW w:w="1730" w:type="dxa"/>
            <w:tcBorders>
              <w:tl2br w:val="nil"/>
              <w:tr2bl w:val="nil"/>
            </w:tcBorders>
            <w:vAlign w:val="center"/>
          </w:tcPr>
          <w:p>
            <w:pPr>
              <w:jc w:val="center"/>
              <w:rPr>
                <w:rFonts w:cs="Times New Roman"/>
                <w:szCs w:val="21"/>
              </w:rPr>
            </w:pPr>
            <w:r>
              <w:rPr>
                <w:rFonts w:cs="Times New Roman"/>
              </w:rPr>
              <w:t>6.24E-04</w:t>
            </w:r>
          </w:p>
        </w:tc>
        <w:tc>
          <w:tcPr>
            <w:tcW w:w="1780" w:type="dxa"/>
            <w:tcBorders>
              <w:tl2br w:val="nil"/>
              <w:tr2bl w:val="nil"/>
            </w:tcBorders>
            <w:vAlign w:val="center"/>
          </w:tcPr>
          <w:p>
            <w:pPr>
              <w:jc w:val="center"/>
              <w:rPr>
                <w:rFonts w:cs="Times New Roman"/>
                <w:szCs w:val="21"/>
              </w:rPr>
            </w:pPr>
            <w:r>
              <w:rPr>
                <w:rFonts w:cs="Times New Roman"/>
                <w:szCs w:val="21"/>
              </w:rPr>
              <w:t>0.00</w:t>
            </w:r>
          </w:p>
        </w:tc>
        <w:tc>
          <w:tcPr>
            <w:tcW w:w="1490" w:type="dxa"/>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点源DA005</w:t>
            </w:r>
          </w:p>
        </w:tc>
        <w:tc>
          <w:tcPr>
            <w:tcW w:w="1510" w:type="dxa"/>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1960" w:type="dxa"/>
            <w:tcBorders>
              <w:tl2br w:val="nil"/>
              <w:tr2bl w:val="nil"/>
            </w:tcBorders>
            <w:vAlign w:val="center"/>
          </w:tcPr>
          <w:p>
            <w:pPr>
              <w:jc w:val="center"/>
              <w:rPr>
                <w:rFonts w:cs="Times New Roman"/>
                <w:szCs w:val="21"/>
              </w:rPr>
            </w:pPr>
            <w:r>
              <w:rPr>
                <w:rFonts w:cs="Times New Roman"/>
                <w:szCs w:val="21"/>
              </w:rPr>
              <w:t>0.5</w:t>
            </w:r>
          </w:p>
        </w:tc>
        <w:tc>
          <w:tcPr>
            <w:tcW w:w="1730" w:type="dxa"/>
            <w:tcBorders>
              <w:tl2br w:val="nil"/>
              <w:tr2bl w:val="nil"/>
            </w:tcBorders>
            <w:vAlign w:val="center"/>
          </w:tcPr>
          <w:p>
            <w:pPr>
              <w:jc w:val="center"/>
              <w:rPr>
                <w:rFonts w:cs="Times New Roman"/>
                <w:szCs w:val="21"/>
              </w:rPr>
            </w:pPr>
            <w:r>
              <w:rPr>
                <w:rFonts w:cs="Times New Roman"/>
              </w:rPr>
              <w:t>4.69E-04</w:t>
            </w:r>
          </w:p>
        </w:tc>
        <w:tc>
          <w:tcPr>
            <w:tcW w:w="1780" w:type="dxa"/>
            <w:tcBorders>
              <w:tl2br w:val="nil"/>
              <w:tr2bl w:val="nil"/>
            </w:tcBorders>
            <w:vAlign w:val="center"/>
          </w:tcPr>
          <w:p>
            <w:pPr>
              <w:jc w:val="center"/>
              <w:rPr>
                <w:rFonts w:cs="Times New Roman"/>
                <w:szCs w:val="21"/>
              </w:rPr>
            </w:pPr>
            <w:r>
              <w:rPr>
                <w:rFonts w:cs="Times New Roman"/>
              </w:rPr>
              <w:t>0.09</w:t>
            </w:r>
          </w:p>
        </w:tc>
        <w:tc>
          <w:tcPr>
            <w:tcW w:w="1490" w:type="dxa"/>
            <w:tcBorders>
              <w:tl2br w:val="nil"/>
              <w:tr2bl w:val="nil"/>
            </w:tcBorders>
            <w:vAlign w:val="center"/>
          </w:tcPr>
          <w:p>
            <w:pPr>
              <w:jc w:val="center"/>
              <w:rPr>
                <w:rFonts w:cs="Times New Roman"/>
                <w:b/>
                <w:bCs/>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点源DA005</w:t>
            </w:r>
          </w:p>
        </w:tc>
        <w:tc>
          <w:tcPr>
            <w:tcW w:w="1510" w:type="dxa"/>
            <w:tcBorders>
              <w:tl2br w:val="nil"/>
              <w:tr2bl w:val="nil"/>
            </w:tcBorders>
            <w:vAlign w:val="center"/>
          </w:tcPr>
          <w:p>
            <w:pPr>
              <w:jc w:val="center"/>
              <w:rPr>
                <w:rFonts w:cs="Times New Roman"/>
                <w:szCs w:val="21"/>
              </w:rPr>
            </w:pPr>
            <w:r>
              <w:rPr>
                <w:rFonts w:cs="Times New Roman"/>
                <w:szCs w:val="21"/>
              </w:rPr>
              <w:t>NOx</w:t>
            </w:r>
          </w:p>
        </w:tc>
        <w:tc>
          <w:tcPr>
            <w:tcW w:w="1960" w:type="dxa"/>
            <w:tcBorders>
              <w:tl2br w:val="nil"/>
              <w:tr2bl w:val="nil"/>
            </w:tcBorders>
            <w:vAlign w:val="center"/>
          </w:tcPr>
          <w:p>
            <w:pPr>
              <w:jc w:val="center"/>
              <w:rPr>
                <w:rFonts w:cs="Times New Roman"/>
                <w:szCs w:val="21"/>
              </w:rPr>
            </w:pPr>
            <w:r>
              <w:rPr>
                <w:rFonts w:cs="Times New Roman"/>
                <w:szCs w:val="21"/>
              </w:rPr>
              <w:t>0.2</w:t>
            </w:r>
          </w:p>
        </w:tc>
        <w:tc>
          <w:tcPr>
            <w:tcW w:w="1730" w:type="dxa"/>
            <w:tcBorders>
              <w:tl2br w:val="nil"/>
              <w:tr2bl w:val="nil"/>
            </w:tcBorders>
            <w:vAlign w:val="center"/>
          </w:tcPr>
          <w:p>
            <w:pPr>
              <w:jc w:val="center"/>
              <w:rPr>
                <w:rFonts w:cs="Times New Roman"/>
                <w:szCs w:val="21"/>
              </w:rPr>
            </w:pPr>
            <w:r>
              <w:rPr>
                <w:rFonts w:cs="Times New Roman"/>
              </w:rPr>
              <w:t>1.80E-02</w:t>
            </w:r>
          </w:p>
        </w:tc>
        <w:tc>
          <w:tcPr>
            <w:tcW w:w="1780" w:type="dxa"/>
            <w:tcBorders>
              <w:tl2br w:val="nil"/>
              <w:tr2bl w:val="nil"/>
            </w:tcBorders>
            <w:vAlign w:val="center"/>
          </w:tcPr>
          <w:p>
            <w:pPr>
              <w:jc w:val="center"/>
              <w:rPr>
                <w:rFonts w:cs="Times New Roman"/>
                <w:szCs w:val="21"/>
              </w:rPr>
            </w:pPr>
            <w:r>
              <w:rPr>
                <w:rFonts w:cs="Times New Roman"/>
              </w:rPr>
              <w:t>9.02</w:t>
            </w:r>
          </w:p>
        </w:tc>
        <w:tc>
          <w:tcPr>
            <w:tcW w:w="1490" w:type="dxa"/>
            <w:tcBorders>
              <w:tl2br w:val="nil"/>
              <w:tr2bl w:val="nil"/>
            </w:tcBorders>
            <w:vAlign w:val="center"/>
          </w:tcPr>
          <w:p>
            <w:pPr>
              <w:jc w:val="center"/>
              <w:rPr>
                <w:rFonts w:cs="Times New Roman"/>
                <w:b/>
                <w:bCs/>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点源DA006</w:t>
            </w:r>
          </w:p>
        </w:tc>
        <w:tc>
          <w:tcPr>
            <w:tcW w:w="1510" w:type="dxa"/>
            <w:tcBorders>
              <w:tl2br w:val="nil"/>
              <w:tr2bl w:val="nil"/>
            </w:tcBorders>
            <w:vAlign w:val="center"/>
          </w:tcPr>
          <w:p>
            <w:pPr>
              <w:jc w:val="center"/>
              <w:rPr>
                <w:rFonts w:cs="Times New Roman"/>
                <w:szCs w:val="21"/>
              </w:rPr>
            </w:pPr>
            <w:r>
              <w:rPr>
                <w:rFonts w:cs="Times New Roman"/>
                <w:szCs w:val="21"/>
              </w:rPr>
              <w:t>甲醛</w:t>
            </w:r>
          </w:p>
        </w:tc>
        <w:tc>
          <w:tcPr>
            <w:tcW w:w="1960" w:type="dxa"/>
            <w:tcBorders>
              <w:tl2br w:val="nil"/>
              <w:tr2bl w:val="nil"/>
            </w:tcBorders>
            <w:vAlign w:val="center"/>
          </w:tcPr>
          <w:p>
            <w:pPr>
              <w:jc w:val="center"/>
              <w:rPr>
                <w:rFonts w:cs="Times New Roman"/>
                <w:szCs w:val="21"/>
              </w:rPr>
            </w:pPr>
            <w:r>
              <w:rPr>
                <w:rFonts w:cs="Times New Roman"/>
                <w:szCs w:val="21"/>
              </w:rPr>
              <w:t>0.05</w:t>
            </w:r>
          </w:p>
        </w:tc>
        <w:tc>
          <w:tcPr>
            <w:tcW w:w="1730" w:type="dxa"/>
            <w:tcBorders>
              <w:tl2br w:val="nil"/>
              <w:tr2bl w:val="nil"/>
            </w:tcBorders>
            <w:vAlign w:val="center"/>
          </w:tcPr>
          <w:p>
            <w:pPr>
              <w:jc w:val="center"/>
              <w:rPr>
                <w:rFonts w:cs="Times New Roman"/>
              </w:rPr>
            </w:pPr>
            <w:r>
              <w:rPr>
                <w:rFonts w:cs="Times New Roman"/>
              </w:rPr>
              <w:t>4.50E-03</w:t>
            </w:r>
          </w:p>
        </w:tc>
        <w:tc>
          <w:tcPr>
            <w:tcW w:w="1780" w:type="dxa"/>
            <w:tcBorders>
              <w:tl2br w:val="nil"/>
              <w:tr2bl w:val="nil"/>
            </w:tcBorders>
            <w:vAlign w:val="center"/>
          </w:tcPr>
          <w:p>
            <w:pPr>
              <w:jc w:val="center"/>
              <w:rPr>
                <w:rFonts w:cs="Times New Roman"/>
              </w:rPr>
            </w:pPr>
            <w:r>
              <w:rPr>
                <w:rFonts w:cs="Times New Roman"/>
              </w:rPr>
              <w:t>9.00</w:t>
            </w:r>
          </w:p>
        </w:tc>
        <w:tc>
          <w:tcPr>
            <w:tcW w:w="1490" w:type="dxa"/>
            <w:tcBorders>
              <w:tl2br w:val="nil"/>
              <w:tr2bl w:val="nil"/>
            </w:tcBorders>
            <w:vAlign w:val="center"/>
          </w:tcPr>
          <w:p>
            <w:pPr>
              <w:jc w:val="center"/>
              <w:rPr>
                <w:rFonts w:cs="Times New Roman"/>
                <w:b/>
                <w:bCs/>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点源DA006</w:t>
            </w:r>
          </w:p>
        </w:tc>
        <w:tc>
          <w:tcPr>
            <w:tcW w:w="1510" w:type="dxa"/>
            <w:tcBorders>
              <w:tl2br w:val="nil"/>
              <w:tr2bl w:val="nil"/>
            </w:tcBorders>
            <w:vAlign w:val="center"/>
          </w:tcPr>
          <w:p>
            <w:pPr>
              <w:jc w:val="center"/>
              <w:rPr>
                <w:rFonts w:cs="Times New Roman"/>
                <w:szCs w:val="21"/>
              </w:rPr>
            </w:pPr>
            <w:r>
              <w:rPr>
                <w:rFonts w:cs="Times New Roman"/>
                <w:szCs w:val="21"/>
              </w:rPr>
              <w:t>TVOC</w:t>
            </w:r>
          </w:p>
        </w:tc>
        <w:tc>
          <w:tcPr>
            <w:tcW w:w="1960" w:type="dxa"/>
            <w:tcBorders>
              <w:tl2br w:val="nil"/>
              <w:tr2bl w:val="nil"/>
            </w:tcBorders>
            <w:vAlign w:val="center"/>
          </w:tcPr>
          <w:p>
            <w:pPr>
              <w:jc w:val="center"/>
              <w:rPr>
                <w:rFonts w:cs="Times New Roman"/>
                <w:szCs w:val="21"/>
              </w:rPr>
            </w:pPr>
            <w:r>
              <w:rPr>
                <w:rFonts w:cs="Times New Roman"/>
                <w:szCs w:val="21"/>
              </w:rPr>
              <w:t>0.6</w:t>
            </w:r>
          </w:p>
        </w:tc>
        <w:tc>
          <w:tcPr>
            <w:tcW w:w="1730" w:type="dxa"/>
            <w:tcBorders>
              <w:tl2br w:val="nil"/>
              <w:tr2bl w:val="nil"/>
            </w:tcBorders>
            <w:vAlign w:val="center"/>
          </w:tcPr>
          <w:p>
            <w:pPr>
              <w:jc w:val="center"/>
              <w:rPr>
                <w:rFonts w:cs="Times New Roman"/>
              </w:rPr>
            </w:pPr>
            <w:r>
              <w:rPr>
                <w:rFonts w:cs="Times New Roman"/>
              </w:rPr>
              <w:t>7.82E-05</w:t>
            </w:r>
          </w:p>
        </w:tc>
        <w:tc>
          <w:tcPr>
            <w:tcW w:w="1780" w:type="dxa"/>
            <w:tcBorders>
              <w:tl2br w:val="nil"/>
              <w:tr2bl w:val="nil"/>
            </w:tcBorders>
            <w:vAlign w:val="center"/>
          </w:tcPr>
          <w:p>
            <w:pPr>
              <w:jc w:val="center"/>
              <w:rPr>
                <w:rFonts w:cs="Times New Roman"/>
              </w:rPr>
            </w:pPr>
            <w:r>
              <w:rPr>
                <w:rFonts w:cs="Times New Roman"/>
                <w:szCs w:val="21"/>
              </w:rPr>
              <w:t>0.00</w:t>
            </w:r>
          </w:p>
        </w:tc>
        <w:tc>
          <w:tcPr>
            <w:tcW w:w="1490" w:type="dxa"/>
            <w:tcBorders>
              <w:tl2br w:val="nil"/>
              <w:tr2bl w:val="nil"/>
            </w:tcBorders>
            <w:vAlign w:val="center"/>
          </w:tcPr>
          <w:p>
            <w:pPr>
              <w:jc w:val="center"/>
              <w:rPr>
                <w:rFonts w:cs="Times New Roman"/>
                <w:b/>
                <w:bCs/>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点源DA006</w:t>
            </w:r>
          </w:p>
        </w:tc>
        <w:tc>
          <w:tcPr>
            <w:tcW w:w="1510" w:type="dxa"/>
            <w:tcBorders>
              <w:tl2br w:val="nil"/>
              <w:tr2bl w:val="nil"/>
            </w:tcBorders>
            <w:vAlign w:val="center"/>
          </w:tcPr>
          <w:p>
            <w:pPr>
              <w:jc w:val="center"/>
              <w:rPr>
                <w:rFonts w:cs="Times New Roman"/>
                <w:szCs w:val="21"/>
              </w:rPr>
            </w:pPr>
            <w:r>
              <w:rPr>
                <w:rFonts w:cs="Times New Roman"/>
                <w:szCs w:val="21"/>
              </w:rPr>
              <w:t>氨</w:t>
            </w:r>
          </w:p>
        </w:tc>
        <w:tc>
          <w:tcPr>
            <w:tcW w:w="1960" w:type="dxa"/>
            <w:tcBorders>
              <w:tl2br w:val="nil"/>
              <w:tr2bl w:val="nil"/>
            </w:tcBorders>
            <w:vAlign w:val="center"/>
          </w:tcPr>
          <w:p>
            <w:pPr>
              <w:jc w:val="center"/>
              <w:rPr>
                <w:rFonts w:cs="Times New Roman"/>
                <w:szCs w:val="21"/>
              </w:rPr>
            </w:pPr>
            <w:r>
              <w:rPr>
                <w:rFonts w:cs="Times New Roman"/>
                <w:szCs w:val="21"/>
              </w:rPr>
              <w:t>0.2</w:t>
            </w:r>
          </w:p>
        </w:tc>
        <w:tc>
          <w:tcPr>
            <w:tcW w:w="1730" w:type="dxa"/>
            <w:tcBorders>
              <w:tl2br w:val="nil"/>
              <w:tr2bl w:val="nil"/>
            </w:tcBorders>
            <w:vAlign w:val="center"/>
          </w:tcPr>
          <w:p>
            <w:pPr>
              <w:jc w:val="center"/>
              <w:rPr>
                <w:rFonts w:cs="Times New Roman"/>
              </w:rPr>
            </w:pPr>
            <w:r>
              <w:rPr>
                <w:rFonts w:cs="Times New Roman"/>
              </w:rPr>
              <w:t>7.82E-04</w:t>
            </w:r>
          </w:p>
        </w:tc>
        <w:tc>
          <w:tcPr>
            <w:tcW w:w="1780" w:type="dxa"/>
            <w:tcBorders>
              <w:tl2br w:val="nil"/>
              <w:tr2bl w:val="nil"/>
            </w:tcBorders>
            <w:vAlign w:val="center"/>
          </w:tcPr>
          <w:p>
            <w:pPr>
              <w:jc w:val="center"/>
              <w:rPr>
                <w:rFonts w:cs="Times New Roman"/>
              </w:rPr>
            </w:pPr>
            <w:r>
              <w:rPr>
                <w:rFonts w:cs="Times New Roman"/>
                <w:szCs w:val="21"/>
              </w:rPr>
              <w:t>0.00</w:t>
            </w:r>
          </w:p>
        </w:tc>
        <w:tc>
          <w:tcPr>
            <w:tcW w:w="1490" w:type="dxa"/>
            <w:tcBorders>
              <w:tl2br w:val="nil"/>
              <w:tr2bl w:val="nil"/>
            </w:tcBorders>
            <w:vAlign w:val="center"/>
          </w:tcPr>
          <w:p>
            <w:pPr>
              <w:jc w:val="center"/>
              <w:rPr>
                <w:rFonts w:cs="Times New Roman"/>
                <w:b/>
                <w:bCs/>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点源DA006</w:t>
            </w:r>
          </w:p>
        </w:tc>
        <w:tc>
          <w:tcPr>
            <w:tcW w:w="1510" w:type="dxa"/>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1960" w:type="dxa"/>
            <w:tcBorders>
              <w:tl2br w:val="nil"/>
              <w:tr2bl w:val="nil"/>
            </w:tcBorders>
            <w:vAlign w:val="center"/>
          </w:tcPr>
          <w:p>
            <w:pPr>
              <w:jc w:val="center"/>
              <w:rPr>
                <w:rFonts w:cs="Times New Roman"/>
                <w:szCs w:val="21"/>
              </w:rPr>
            </w:pPr>
            <w:r>
              <w:rPr>
                <w:rFonts w:cs="Times New Roman"/>
                <w:szCs w:val="21"/>
              </w:rPr>
              <w:t>0.5</w:t>
            </w:r>
          </w:p>
        </w:tc>
        <w:tc>
          <w:tcPr>
            <w:tcW w:w="1730" w:type="dxa"/>
            <w:tcBorders>
              <w:tl2br w:val="nil"/>
              <w:tr2bl w:val="nil"/>
            </w:tcBorders>
            <w:vAlign w:val="center"/>
          </w:tcPr>
          <w:p>
            <w:pPr>
              <w:jc w:val="center"/>
              <w:rPr>
                <w:rFonts w:cs="Times New Roman"/>
                <w:szCs w:val="21"/>
              </w:rPr>
            </w:pPr>
            <w:r>
              <w:rPr>
                <w:rFonts w:cs="Times New Roman"/>
              </w:rPr>
              <w:t>4.69E-04</w:t>
            </w:r>
          </w:p>
        </w:tc>
        <w:tc>
          <w:tcPr>
            <w:tcW w:w="1780" w:type="dxa"/>
            <w:tcBorders>
              <w:tl2br w:val="nil"/>
              <w:tr2bl w:val="nil"/>
            </w:tcBorders>
            <w:vAlign w:val="center"/>
          </w:tcPr>
          <w:p>
            <w:pPr>
              <w:jc w:val="center"/>
              <w:rPr>
                <w:rFonts w:cs="Times New Roman"/>
                <w:szCs w:val="21"/>
              </w:rPr>
            </w:pPr>
            <w:r>
              <w:rPr>
                <w:rFonts w:cs="Times New Roman"/>
              </w:rPr>
              <w:t>0.09</w:t>
            </w:r>
          </w:p>
        </w:tc>
        <w:tc>
          <w:tcPr>
            <w:tcW w:w="1490" w:type="dxa"/>
            <w:tcBorders>
              <w:tl2br w:val="nil"/>
              <w:tr2bl w:val="nil"/>
            </w:tcBorders>
            <w:vAlign w:val="center"/>
          </w:tcPr>
          <w:p>
            <w:pPr>
              <w:jc w:val="center"/>
              <w:rPr>
                <w:rFonts w:cs="Times New Roman"/>
                <w:b/>
                <w:bCs/>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点源DA006</w:t>
            </w:r>
          </w:p>
        </w:tc>
        <w:tc>
          <w:tcPr>
            <w:tcW w:w="1510" w:type="dxa"/>
            <w:tcBorders>
              <w:tl2br w:val="nil"/>
              <w:tr2bl w:val="nil"/>
            </w:tcBorders>
            <w:vAlign w:val="center"/>
          </w:tcPr>
          <w:p>
            <w:pPr>
              <w:jc w:val="center"/>
              <w:rPr>
                <w:rFonts w:cs="Times New Roman"/>
                <w:szCs w:val="21"/>
              </w:rPr>
            </w:pPr>
            <w:r>
              <w:rPr>
                <w:rFonts w:cs="Times New Roman"/>
                <w:szCs w:val="21"/>
              </w:rPr>
              <w:t>NOx</w:t>
            </w:r>
          </w:p>
        </w:tc>
        <w:tc>
          <w:tcPr>
            <w:tcW w:w="1960" w:type="dxa"/>
            <w:tcBorders>
              <w:tl2br w:val="nil"/>
              <w:tr2bl w:val="nil"/>
            </w:tcBorders>
            <w:vAlign w:val="center"/>
          </w:tcPr>
          <w:p>
            <w:pPr>
              <w:jc w:val="center"/>
              <w:rPr>
                <w:rFonts w:cs="Times New Roman"/>
                <w:szCs w:val="21"/>
              </w:rPr>
            </w:pPr>
            <w:r>
              <w:rPr>
                <w:rFonts w:cs="Times New Roman"/>
                <w:szCs w:val="21"/>
              </w:rPr>
              <w:t>0.2</w:t>
            </w:r>
          </w:p>
        </w:tc>
        <w:tc>
          <w:tcPr>
            <w:tcW w:w="1730" w:type="dxa"/>
            <w:tcBorders>
              <w:tl2br w:val="nil"/>
              <w:tr2bl w:val="nil"/>
            </w:tcBorders>
            <w:vAlign w:val="center"/>
          </w:tcPr>
          <w:p>
            <w:pPr>
              <w:jc w:val="center"/>
              <w:rPr>
                <w:rFonts w:cs="Times New Roman"/>
                <w:szCs w:val="21"/>
              </w:rPr>
            </w:pPr>
            <w:r>
              <w:rPr>
                <w:rFonts w:cs="Times New Roman"/>
              </w:rPr>
              <w:t>1.80E-02</w:t>
            </w:r>
          </w:p>
        </w:tc>
        <w:tc>
          <w:tcPr>
            <w:tcW w:w="1780" w:type="dxa"/>
            <w:tcBorders>
              <w:tl2br w:val="nil"/>
              <w:tr2bl w:val="nil"/>
            </w:tcBorders>
            <w:vAlign w:val="center"/>
          </w:tcPr>
          <w:p>
            <w:pPr>
              <w:jc w:val="center"/>
              <w:rPr>
                <w:rFonts w:cs="Times New Roman"/>
                <w:szCs w:val="21"/>
              </w:rPr>
            </w:pPr>
            <w:r>
              <w:rPr>
                <w:rFonts w:cs="Times New Roman"/>
              </w:rPr>
              <w:t>9.02</w:t>
            </w:r>
          </w:p>
        </w:tc>
        <w:tc>
          <w:tcPr>
            <w:tcW w:w="1490" w:type="dxa"/>
            <w:tcBorders>
              <w:tl2br w:val="nil"/>
              <w:tr2bl w:val="nil"/>
            </w:tcBorders>
            <w:vAlign w:val="center"/>
          </w:tcPr>
          <w:p>
            <w:pPr>
              <w:jc w:val="center"/>
              <w:rPr>
                <w:rFonts w:cs="Times New Roman"/>
                <w:b/>
                <w:bCs/>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矩形面源</w:t>
            </w:r>
          </w:p>
        </w:tc>
        <w:tc>
          <w:tcPr>
            <w:tcW w:w="1510" w:type="dxa"/>
            <w:tcBorders>
              <w:tl2br w:val="nil"/>
              <w:tr2bl w:val="nil"/>
            </w:tcBorders>
            <w:vAlign w:val="center"/>
          </w:tcPr>
          <w:p>
            <w:pPr>
              <w:jc w:val="center"/>
              <w:rPr>
                <w:rFonts w:cs="Times New Roman"/>
                <w:szCs w:val="21"/>
              </w:rPr>
            </w:pPr>
            <w:r>
              <w:rPr>
                <w:rFonts w:cs="Times New Roman"/>
                <w:szCs w:val="21"/>
              </w:rPr>
              <w:t>甲醛</w:t>
            </w:r>
          </w:p>
        </w:tc>
        <w:tc>
          <w:tcPr>
            <w:tcW w:w="1960" w:type="dxa"/>
            <w:tcBorders>
              <w:tl2br w:val="nil"/>
              <w:tr2bl w:val="nil"/>
            </w:tcBorders>
            <w:vAlign w:val="center"/>
          </w:tcPr>
          <w:p>
            <w:pPr>
              <w:jc w:val="center"/>
              <w:rPr>
                <w:rFonts w:cs="Times New Roman"/>
                <w:szCs w:val="21"/>
              </w:rPr>
            </w:pPr>
            <w:r>
              <w:rPr>
                <w:rFonts w:cs="Times New Roman"/>
                <w:szCs w:val="21"/>
              </w:rPr>
              <w:t>0.05</w:t>
            </w:r>
          </w:p>
        </w:tc>
        <w:tc>
          <w:tcPr>
            <w:tcW w:w="1730" w:type="dxa"/>
            <w:tcBorders>
              <w:tl2br w:val="nil"/>
              <w:tr2bl w:val="nil"/>
            </w:tcBorders>
            <w:vAlign w:val="center"/>
          </w:tcPr>
          <w:p>
            <w:pPr>
              <w:jc w:val="center"/>
              <w:rPr>
                <w:rFonts w:cs="Times New Roman"/>
                <w:szCs w:val="21"/>
              </w:rPr>
            </w:pPr>
            <w:r>
              <w:rPr>
                <w:rFonts w:cs="Times New Roman"/>
                <w:szCs w:val="21"/>
              </w:rPr>
              <w:t>3.53E-03</w:t>
            </w:r>
          </w:p>
        </w:tc>
        <w:tc>
          <w:tcPr>
            <w:tcW w:w="1780" w:type="dxa"/>
            <w:tcBorders>
              <w:tl2br w:val="nil"/>
              <w:tr2bl w:val="nil"/>
            </w:tcBorders>
            <w:vAlign w:val="center"/>
          </w:tcPr>
          <w:p>
            <w:pPr>
              <w:jc w:val="center"/>
              <w:rPr>
                <w:rFonts w:cs="Times New Roman"/>
                <w:szCs w:val="21"/>
              </w:rPr>
            </w:pPr>
            <w:r>
              <w:rPr>
                <w:rFonts w:cs="Times New Roman"/>
                <w:szCs w:val="21"/>
              </w:rPr>
              <w:t>7.07</w:t>
            </w:r>
          </w:p>
        </w:tc>
        <w:tc>
          <w:tcPr>
            <w:tcW w:w="1490" w:type="dxa"/>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矩形面源</w:t>
            </w:r>
          </w:p>
        </w:tc>
        <w:tc>
          <w:tcPr>
            <w:tcW w:w="1510" w:type="dxa"/>
            <w:tcBorders>
              <w:tl2br w:val="nil"/>
              <w:tr2bl w:val="nil"/>
            </w:tcBorders>
            <w:vAlign w:val="center"/>
          </w:tcPr>
          <w:p>
            <w:pPr>
              <w:jc w:val="center"/>
              <w:rPr>
                <w:rFonts w:cs="Times New Roman"/>
                <w:szCs w:val="21"/>
              </w:rPr>
            </w:pPr>
            <w:r>
              <w:rPr>
                <w:rFonts w:cs="Times New Roman"/>
                <w:szCs w:val="21"/>
              </w:rPr>
              <w:t>氨</w:t>
            </w:r>
          </w:p>
        </w:tc>
        <w:tc>
          <w:tcPr>
            <w:tcW w:w="1960" w:type="dxa"/>
            <w:tcBorders>
              <w:tl2br w:val="nil"/>
              <w:tr2bl w:val="nil"/>
            </w:tcBorders>
            <w:vAlign w:val="center"/>
          </w:tcPr>
          <w:p>
            <w:pPr>
              <w:jc w:val="center"/>
              <w:rPr>
                <w:rFonts w:cs="Times New Roman"/>
                <w:szCs w:val="21"/>
              </w:rPr>
            </w:pPr>
            <w:r>
              <w:rPr>
                <w:rFonts w:cs="Times New Roman"/>
                <w:szCs w:val="21"/>
              </w:rPr>
              <w:t>0.2</w:t>
            </w:r>
          </w:p>
        </w:tc>
        <w:tc>
          <w:tcPr>
            <w:tcW w:w="1730" w:type="dxa"/>
            <w:tcBorders>
              <w:tl2br w:val="nil"/>
              <w:tr2bl w:val="nil"/>
            </w:tcBorders>
            <w:vAlign w:val="center"/>
          </w:tcPr>
          <w:p>
            <w:pPr>
              <w:jc w:val="center"/>
              <w:rPr>
                <w:rFonts w:cs="Times New Roman"/>
                <w:szCs w:val="21"/>
              </w:rPr>
            </w:pPr>
            <w:r>
              <w:rPr>
                <w:rFonts w:cs="Times New Roman"/>
                <w:szCs w:val="21"/>
              </w:rPr>
              <w:t>1.09E-03</w:t>
            </w:r>
          </w:p>
        </w:tc>
        <w:tc>
          <w:tcPr>
            <w:tcW w:w="1780" w:type="dxa"/>
            <w:tcBorders>
              <w:tl2br w:val="nil"/>
              <w:tr2bl w:val="nil"/>
            </w:tcBorders>
            <w:vAlign w:val="center"/>
          </w:tcPr>
          <w:p>
            <w:pPr>
              <w:jc w:val="center"/>
              <w:rPr>
                <w:rFonts w:cs="Times New Roman"/>
                <w:szCs w:val="21"/>
              </w:rPr>
            </w:pPr>
            <w:r>
              <w:rPr>
                <w:rFonts w:cs="Times New Roman"/>
                <w:szCs w:val="21"/>
              </w:rPr>
              <w:t>0.00</w:t>
            </w:r>
          </w:p>
        </w:tc>
        <w:tc>
          <w:tcPr>
            <w:tcW w:w="1490" w:type="dxa"/>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1" w:type="dxa"/>
            <w:tcBorders>
              <w:tl2br w:val="nil"/>
              <w:tr2bl w:val="nil"/>
            </w:tcBorders>
            <w:vAlign w:val="center"/>
          </w:tcPr>
          <w:p>
            <w:pPr>
              <w:jc w:val="center"/>
              <w:rPr>
                <w:rFonts w:cs="Times New Roman"/>
                <w:szCs w:val="21"/>
              </w:rPr>
            </w:pPr>
            <w:r>
              <w:rPr>
                <w:rFonts w:cs="Times New Roman"/>
                <w:szCs w:val="21"/>
              </w:rPr>
              <w:t>矩形面源</w:t>
            </w:r>
          </w:p>
        </w:tc>
        <w:tc>
          <w:tcPr>
            <w:tcW w:w="1510" w:type="dxa"/>
            <w:tcBorders>
              <w:tl2br w:val="nil"/>
              <w:tr2bl w:val="nil"/>
            </w:tcBorders>
            <w:vAlign w:val="center"/>
          </w:tcPr>
          <w:p>
            <w:pPr>
              <w:jc w:val="center"/>
              <w:rPr>
                <w:rFonts w:cs="Times New Roman"/>
                <w:szCs w:val="21"/>
              </w:rPr>
            </w:pPr>
            <w:r>
              <w:rPr>
                <w:rFonts w:cs="Times New Roman"/>
                <w:szCs w:val="21"/>
              </w:rPr>
              <w:t>TVOC</w:t>
            </w:r>
          </w:p>
        </w:tc>
        <w:tc>
          <w:tcPr>
            <w:tcW w:w="1960" w:type="dxa"/>
            <w:tcBorders>
              <w:tl2br w:val="nil"/>
              <w:tr2bl w:val="nil"/>
            </w:tcBorders>
            <w:vAlign w:val="center"/>
          </w:tcPr>
          <w:p>
            <w:pPr>
              <w:jc w:val="center"/>
              <w:rPr>
                <w:rFonts w:cs="Times New Roman"/>
                <w:szCs w:val="21"/>
              </w:rPr>
            </w:pPr>
            <w:r>
              <w:rPr>
                <w:rFonts w:cs="Times New Roman"/>
                <w:szCs w:val="21"/>
              </w:rPr>
              <w:t>0.6</w:t>
            </w:r>
          </w:p>
        </w:tc>
        <w:tc>
          <w:tcPr>
            <w:tcW w:w="1730" w:type="dxa"/>
            <w:tcBorders>
              <w:tl2br w:val="nil"/>
              <w:tr2bl w:val="nil"/>
            </w:tcBorders>
            <w:vAlign w:val="center"/>
          </w:tcPr>
          <w:p>
            <w:pPr>
              <w:jc w:val="center"/>
              <w:rPr>
                <w:rFonts w:cs="Times New Roman"/>
                <w:szCs w:val="21"/>
              </w:rPr>
            </w:pPr>
            <w:r>
              <w:rPr>
                <w:rFonts w:cs="Times New Roman"/>
                <w:szCs w:val="21"/>
              </w:rPr>
              <w:t>5.44E-04</w:t>
            </w:r>
          </w:p>
        </w:tc>
        <w:tc>
          <w:tcPr>
            <w:tcW w:w="1780" w:type="dxa"/>
            <w:tcBorders>
              <w:tl2br w:val="nil"/>
              <w:tr2bl w:val="nil"/>
            </w:tcBorders>
            <w:vAlign w:val="center"/>
          </w:tcPr>
          <w:p>
            <w:pPr>
              <w:jc w:val="center"/>
              <w:rPr>
                <w:rFonts w:cs="Times New Roman"/>
                <w:szCs w:val="21"/>
              </w:rPr>
            </w:pPr>
            <w:r>
              <w:rPr>
                <w:rFonts w:cs="Times New Roman"/>
                <w:szCs w:val="21"/>
              </w:rPr>
              <w:t>0.00</w:t>
            </w:r>
          </w:p>
        </w:tc>
        <w:tc>
          <w:tcPr>
            <w:tcW w:w="1490" w:type="dxa"/>
            <w:tcBorders>
              <w:tl2br w:val="nil"/>
              <w:tr2bl w:val="nil"/>
            </w:tcBorders>
            <w:vAlign w:val="center"/>
          </w:tcPr>
          <w:p>
            <w:pPr>
              <w:jc w:val="center"/>
              <w:rPr>
                <w:rFonts w:cs="Times New Roman"/>
                <w:szCs w:val="21"/>
              </w:rPr>
            </w:pPr>
            <w:r>
              <w:rPr>
                <w:rFonts w:cs="Times New Roman"/>
                <w:szCs w:val="21"/>
              </w:rPr>
              <w:t>/</w:t>
            </w:r>
          </w:p>
        </w:tc>
      </w:tr>
    </w:tbl>
    <w:p>
      <w:pPr>
        <w:spacing w:line="360" w:lineRule="auto"/>
        <w:ind w:firstLine="480" w:firstLineChars="200"/>
        <w:rPr>
          <w:rFonts w:cs="Times New Roman"/>
          <w:sz w:val="24"/>
          <w:szCs w:val="24"/>
        </w:rPr>
      </w:pPr>
      <w:r>
        <w:rPr>
          <w:rFonts w:cs="Times New Roman"/>
          <w:sz w:val="24"/>
          <w:szCs w:val="24"/>
        </w:rPr>
        <w:t>本项目Pmax最大值出现为点源排放的NO</w:t>
      </w:r>
      <w:r>
        <w:rPr>
          <w:rFonts w:cs="Times New Roman"/>
          <w:sz w:val="24"/>
          <w:szCs w:val="24"/>
          <w:vertAlign w:val="subscript"/>
        </w:rPr>
        <w:t>2</w:t>
      </w:r>
      <w:r>
        <w:rPr>
          <w:rFonts w:cs="Times New Roman"/>
          <w:sz w:val="24"/>
          <w:szCs w:val="24"/>
        </w:rPr>
        <w:t xml:space="preserve">  Pmax值为9.02%，Cmax为1.80E-02mg/m³，根据《环境影响评价技术导则 大气环境》（HJ2.2-2018）分级判据，确定本项目大气环境影响评价工作等级为二级。</w:t>
      </w:r>
    </w:p>
    <w:p>
      <w:pPr>
        <w:pStyle w:val="5"/>
        <w:rPr>
          <w:rFonts w:hint="default" w:ascii="Times New Roman" w:hAnsi="Times New Roman"/>
        </w:rPr>
      </w:pPr>
      <w:r>
        <w:rPr>
          <w:rFonts w:hint="default" w:ascii="Times New Roman" w:hAnsi="Times New Roman"/>
        </w:rPr>
        <w:t>1.5.2 评价范围</w:t>
      </w:r>
    </w:p>
    <w:p>
      <w:pPr>
        <w:spacing w:line="360" w:lineRule="auto"/>
        <w:ind w:firstLine="480" w:firstLineChars="200"/>
        <w:rPr>
          <w:rFonts w:cs="Times New Roman"/>
          <w:sz w:val="24"/>
          <w:szCs w:val="24"/>
        </w:rPr>
      </w:pPr>
      <w:r>
        <w:rPr>
          <w:rFonts w:cs="Times New Roman"/>
          <w:sz w:val="24"/>
          <w:szCs w:val="24"/>
        </w:rPr>
        <w:t>根据《环境影响评价技术导则 大气环境》（HJ2.2-2018）要求，一级评价项目应采用进一步预测模型开展大气环境影响预测与评价。二级评价项目不进行进一步预测与评价，只对污染物排放量进行核算。三级评价项目不进行进一步预测与评价。</w:t>
      </w:r>
    </w:p>
    <w:p>
      <w:pPr>
        <w:spacing w:line="360" w:lineRule="auto"/>
        <w:ind w:firstLine="480" w:firstLineChars="200"/>
        <w:rPr>
          <w:rFonts w:cs="Times New Roman"/>
          <w:sz w:val="24"/>
          <w:szCs w:val="24"/>
        </w:rPr>
      </w:pPr>
      <w:r>
        <w:rPr>
          <w:rFonts w:cs="Times New Roman"/>
          <w:sz w:val="24"/>
          <w:szCs w:val="24"/>
        </w:rPr>
        <w:t>本项目为二级评价，因此本项目不进行进一步预测与评价，对污染物排放量进行核算，评价范围以厂址为中心，边长为5000m的矩形区域。</w:t>
      </w:r>
    </w:p>
    <w:p>
      <w:pPr>
        <w:pStyle w:val="4"/>
        <w:rPr>
          <w:rFonts w:cs="Times New Roman"/>
        </w:rPr>
      </w:pPr>
      <w:r>
        <w:rPr>
          <w:rFonts w:cs="Times New Roman"/>
        </w:rPr>
        <w:t>1.6 环境空气保护目标</w:t>
      </w:r>
    </w:p>
    <w:p>
      <w:pPr>
        <w:spacing w:line="360" w:lineRule="auto"/>
        <w:ind w:firstLine="480" w:firstLineChars="200"/>
        <w:rPr>
          <w:rFonts w:cs="Times New Roman"/>
          <w:sz w:val="24"/>
          <w:szCs w:val="24"/>
        </w:rPr>
      </w:pPr>
      <w:r>
        <w:rPr>
          <w:rFonts w:cs="Times New Roman"/>
          <w:sz w:val="24"/>
          <w:szCs w:val="24"/>
        </w:rPr>
        <w:t>本项目评价范围内没有各级自然保护区、风景名胜区、森林公园、地质公园、基本农田保护区、重要湿地和湿地公园、文物保护区等区域，评价范围内的环境保护目标见表 1.6-1。</w:t>
      </w:r>
    </w:p>
    <w:p>
      <w:pPr>
        <w:spacing w:line="360" w:lineRule="auto"/>
        <w:jc w:val="center"/>
        <w:rPr>
          <w:rFonts w:cs="Times New Roman"/>
          <w:b/>
          <w:bCs/>
          <w:sz w:val="24"/>
          <w:szCs w:val="24"/>
        </w:rPr>
      </w:pPr>
      <w:r>
        <w:rPr>
          <w:rFonts w:cs="Times New Roman"/>
          <w:b/>
          <w:bCs/>
          <w:sz w:val="24"/>
          <w:szCs w:val="24"/>
        </w:rPr>
        <w:t>表 1.6-1  本项目环境空气保护目标一览表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53"/>
        <w:gridCol w:w="2098"/>
        <w:gridCol w:w="1125"/>
        <w:gridCol w:w="1259"/>
        <w:gridCol w:w="1339"/>
        <w:gridCol w:w="911"/>
        <w:gridCol w:w="2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tcBorders>
              <w:tl2br w:val="nil"/>
              <w:tr2bl w:val="nil"/>
            </w:tcBorders>
            <w:vAlign w:val="center"/>
          </w:tcPr>
          <w:p>
            <w:pPr>
              <w:jc w:val="center"/>
              <w:rPr>
                <w:rFonts w:cs="Times New Roman"/>
                <w:b/>
                <w:bCs/>
                <w:szCs w:val="21"/>
              </w:rPr>
            </w:pPr>
            <w:r>
              <w:rPr>
                <w:rFonts w:cs="Times New Roman"/>
                <w:b/>
                <w:bCs/>
                <w:szCs w:val="21"/>
              </w:rPr>
              <w:t>项目</w:t>
            </w:r>
          </w:p>
        </w:tc>
        <w:tc>
          <w:tcPr>
            <w:tcW w:w="1108" w:type="pct"/>
            <w:tcBorders>
              <w:tl2br w:val="nil"/>
              <w:tr2bl w:val="nil"/>
            </w:tcBorders>
            <w:vAlign w:val="center"/>
          </w:tcPr>
          <w:p>
            <w:pPr>
              <w:jc w:val="center"/>
              <w:rPr>
                <w:rFonts w:cs="Times New Roman"/>
                <w:b/>
                <w:bCs/>
                <w:szCs w:val="21"/>
              </w:rPr>
            </w:pPr>
            <w:r>
              <w:rPr>
                <w:rFonts w:cs="Times New Roman"/>
                <w:b/>
                <w:bCs/>
                <w:szCs w:val="21"/>
              </w:rPr>
              <w:t>保护对象</w:t>
            </w:r>
          </w:p>
        </w:tc>
        <w:tc>
          <w:tcPr>
            <w:tcW w:w="594" w:type="pct"/>
            <w:tcBorders>
              <w:tl2br w:val="nil"/>
              <w:tr2bl w:val="nil"/>
            </w:tcBorders>
            <w:vAlign w:val="center"/>
          </w:tcPr>
          <w:p>
            <w:pPr>
              <w:jc w:val="center"/>
              <w:rPr>
                <w:rFonts w:cs="Times New Roman"/>
                <w:b/>
                <w:bCs/>
                <w:szCs w:val="21"/>
              </w:rPr>
            </w:pPr>
            <w:r>
              <w:rPr>
                <w:rFonts w:cs="Times New Roman"/>
                <w:b/>
                <w:bCs/>
                <w:szCs w:val="21"/>
              </w:rPr>
              <w:t>方位</w:t>
            </w:r>
          </w:p>
        </w:tc>
        <w:tc>
          <w:tcPr>
            <w:tcW w:w="665" w:type="pct"/>
            <w:tcBorders>
              <w:tl2br w:val="nil"/>
              <w:tr2bl w:val="nil"/>
            </w:tcBorders>
            <w:vAlign w:val="center"/>
          </w:tcPr>
          <w:p>
            <w:pPr>
              <w:jc w:val="center"/>
              <w:rPr>
                <w:rFonts w:cs="Times New Roman"/>
                <w:b/>
                <w:bCs/>
                <w:szCs w:val="21"/>
              </w:rPr>
            </w:pPr>
            <w:r>
              <w:rPr>
                <w:rFonts w:cs="Times New Roman"/>
                <w:b/>
                <w:bCs/>
                <w:szCs w:val="21"/>
              </w:rPr>
              <w:t>距离</w:t>
            </w:r>
          </w:p>
        </w:tc>
        <w:tc>
          <w:tcPr>
            <w:tcW w:w="707" w:type="pct"/>
            <w:tcBorders>
              <w:tl2br w:val="nil"/>
              <w:tr2bl w:val="nil"/>
            </w:tcBorders>
            <w:vAlign w:val="center"/>
          </w:tcPr>
          <w:p>
            <w:pPr>
              <w:jc w:val="center"/>
              <w:rPr>
                <w:rFonts w:cs="Times New Roman"/>
                <w:b/>
                <w:bCs/>
                <w:szCs w:val="21"/>
              </w:rPr>
            </w:pPr>
            <w:r>
              <w:rPr>
                <w:rFonts w:cs="Times New Roman"/>
                <w:b/>
                <w:bCs/>
                <w:szCs w:val="21"/>
              </w:rPr>
              <w:t>规模</w:t>
            </w:r>
          </w:p>
        </w:tc>
        <w:tc>
          <w:tcPr>
            <w:tcW w:w="481" w:type="pct"/>
            <w:tcBorders>
              <w:tl2br w:val="nil"/>
              <w:tr2bl w:val="nil"/>
            </w:tcBorders>
            <w:vAlign w:val="center"/>
          </w:tcPr>
          <w:p>
            <w:pPr>
              <w:jc w:val="center"/>
              <w:rPr>
                <w:rFonts w:cs="Times New Roman"/>
                <w:b/>
                <w:bCs/>
                <w:szCs w:val="21"/>
              </w:rPr>
            </w:pPr>
            <w:r>
              <w:rPr>
                <w:rFonts w:cs="Times New Roman"/>
                <w:b/>
                <w:bCs/>
                <w:szCs w:val="21"/>
              </w:rPr>
              <w:t>性质</w:t>
            </w:r>
          </w:p>
        </w:tc>
        <w:tc>
          <w:tcPr>
            <w:tcW w:w="1096" w:type="pct"/>
            <w:tcBorders>
              <w:tl2br w:val="nil"/>
              <w:tr2bl w:val="nil"/>
            </w:tcBorders>
            <w:vAlign w:val="center"/>
          </w:tcPr>
          <w:p>
            <w:pPr>
              <w:jc w:val="center"/>
              <w:rPr>
                <w:rFonts w:cs="Times New Roman"/>
                <w:b/>
                <w:bCs/>
                <w:szCs w:val="21"/>
              </w:rPr>
            </w:pPr>
            <w:r>
              <w:rPr>
                <w:rFonts w:cs="Times New Roman"/>
                <w:b/>
                <w:bCs/>
                <w:szCs w:val="21"/>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restart"/>
            <w:tcBorders>
              <w:tl2br w:val="nil"/>
              <w:tr2bl w:val="nil"/>
            </w:tcBorders>
            <w:vAlign w:val="center"/>
          </w:tcPr>
          <w:p>
            <w:pPr>
              <w:jc w:val="center"/>
              <w:rPr>
                <w:rFonts w:cs="Times New Roman"/>
                <w:szCs w:val="21"/>
              </w:rPr>
            </w:pPr>
            <w:r>
              <w:rPr>
                <w:rFonts w:cs="Times New Roman"/>
                <w:szCs w:val="21"/>
              </w:rPr>
              <w:t>环境空气</w:t>
            </w: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梁房</w:t>
            </w:r>
          </w:p>
        </w:tc>
        <w:tc>
          <w:tcPr>
            <w:tcW w:w="594" w:type="pct"/>
            <w:tcBorders>
              <w:tl2br w:val="nil"/>
              <w:tr2bl w:val="nil"/>
            </w:tcBorders>
            <w:vAlign w:val="center"/>
          </w:tcPr>
          <w:p>
            <w:pPr>
              <w:jc w:val="center"/>
              <w:rPr>
                <w:rFonts w:cs="Times New Roman"/>
                <w:szCs w:val="21"/>
              </w:rPr>
            </w:pPr>
            <w:r>
              <w:rPr>
                <w:rFonts w:cs="Times New Roman"/>
                <w:szCs w:val="21"/>
              </w:rPr>
              <w:t>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1.4km</w:t>
            </w:r>
          </w:p>
        </w:tc>
        <w:tc>
          <w:tcPr>
            <w:tcW w:w="707" w:type="pct"/>
            <w:tcBorders>
              <w:tl2br w:val="nil"/>
              <w:tr2bl w:val="nil"/>
            </w:tcBorders>
            <w:vAlign w:val="center"/>
          </w:tcPr>
          <w:p>
            <w:pPr>
              <w:jc w:val="center"/>
              <w:rPr>
                <w:rFonts w:cs="Times New Roman"/>
                <w:szCs w:val="21"/>
              </w:rPr>
            </w:pPr>
            <w:r>
              <w:rPr>
                <w:rFonts w:cs="Times New Roman"/>
                <w:szCs w:val="21"/>
              </w:rPr>
              <w:t>约200人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restart"/>
            <w:tcBorders>
              <w:tl2br w:val="nil"/>
              <w:tr2bl w:val="nil"/>
            </w:tcBorders>
            <w:vAlign w:val="center"/>
          </w:tcPr>
          <w:p>
            <w:pPr>
              <w:jc w:val="center"/>
              <w:rPr>
                <w:rFonts w:cs="Times New Roman"/>
                <w:szCs w:val="21"/>
              </w:rPr>
            </w:pPr>
            <w:r>
              <w:rPr>
                <w:rFonts w:cs="Times New Roman"/>
                <w:szCs w:val="21"/>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草坝场</w:t>
            </w:r>
          </w:p>
        </w:tc>
        <w:tc>
          <w:tcPr>
            <w:tcW w:w="594" w:type="pct"/>
            <w:tcBorders>
              <w:tl2br w:val="nil"/>
              <w:tr2bl w:val="nil"/>
            </w:tcBorders>
            <w:vAlign w:val="center"/>
          </w:tcPr>
          <w:p>
            <w:pPr>
              <w:jc w:val="center"/>
              <w:rPr>
                <w:rFonts w:cs="Times New Roman"/>
                <w:szCs w:val="21"/>
              </w:rPr>
            </w:pPr>
            <w:r>
              <w:rPr>
                <w:rFonts w:cs="Times New Roman"/>
                <w:szCs w:val="21"/>
              </w:rPr>
              <w:t>北侧</w:t>
            </w:r>
          </w:p>
        </w:tc>
        <w:tc>
          <w:tcPr>
            <w:tcW w:w="665" w:type="pct"/>
            <w:tcBorders>
              <w:tl2br w:val="nil"/>
              <w:tr2bl w:val="nil"/>
            </w:tcBorders>
            <w:vAlign w:val="center"/>
          </w:tcPr>
          <w:p>
            <w:pPr>
              <w:jc w:val="center"/>
              <w:rPr>
                <w:rFonts w:cs="Times New Roman"/>
                <w:szCs w:val="21"/>
              </w:rPr>
            </w:pPr>
            <w:r>
              <w:rPr>
                <w:rFonts w:cs="Times New Roman"/>
                <w:szCs w:val="21"/>
              </w:rPr>
              <w:t>约1</w:t>
            </w:r>
            <w:r>
              <w:rPr>
                <w:rFonts w:hint="eastAsia" w:cs="Times New Roman"/>
                <w:szCs w:val="21"/>
                <w:lang w:val="en-US" w:eastAsia="zh-CN"/>
              </w:rPr>
              <w:t>.4km</w:t>
            </w:r>
          </w:p>
        </w:tc>
        <w:tc>
          <w:tcPr>
            <w:tcW w:w="707" w:type="pct"/>
            <w:tcBorders>
              <w:tl2br w:val="nil"/>
              <w:tr2bl w:val="nil"/>
            </w:tcBorders>
            <w:vAlign w:val="center"/>
          </w:tcPr>
          <w:p>
            <w:pPr>
              <w:jc w:val="center"/>
              <w:rPr>
                <w:rFonts w:cs="Times New Roman"/>
                <w:szCs w:val="21"/>
              </w:rPr>
            </w:pPr>
            <w:r>
              <w:rPr>
                <w:rFonts w:cs="Times New Roman"/>
                <w:szCs w:val="21"/>
              </w:rPr>
              <w:t>约150人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新安村</w:t>
            </w:r>
          </w:p>
        </w:tc>
        <w:tc>
          <w:tcPr>
            <w:tcW w:w="594" w:type="pct"/>
            <w:tcBorders>
              <w:tl2br w:val="nil"/>
              <w:tr2bl w:val="nil"/>
            </w:tcBorders>
            <w:vAlign w:val="center"/>
          </w:tcPr>
          <w:p>
            <w:pPr>
              <w:jc w:val="center"/>
              <w:rPr>
                <w:rFonts w:cs="Times New Roman"/>
                <w:szCs w:val="21"/>
              </w:rPr>
            </w:pPr>
            <w:r>
              <w:rPr>
                <w:rFonts w:cs="Times New Roman"/>
                <w:szCs w:val="21"/>
              </w:rPr>
              <w:t>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2.2km</w:t>
            </w:r>
          </w:p>
        </w:tc>
        <w:tc>
          <w:tcPr>
            <w:tcW w:w="707" w:type="pct"/>
            <w:tcBorders>
              <w:tl2br w:val="nil"/>
              <w:tr2bl w:val="nil"/>
            </w:tcBorders>
            <w:vAlign w:val="center"/>
          </w:tcPr>
          <w:p>
            <w:pPr>
              <w:jc w:val="center"/>
              <w:rPr>
                <w:rFonts w:cs="Times New Roman"/>
                <w:szCs w:val="21"/>
              </w:rPr>
            </w:pPr>
            <w:r>
              <w:rPr>
                <w:rFonts w:cs="Times New Roman"/>
                <w:szCs w:val="21"/>
              </w:rPr>
              <w:t>约180人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王家栋</w:t>
            </w:r>
          </w:p>
        </w:tc>
        <w:tc>
          <w:tcPr>
            <w:tcW w:w="594" w:type="pct"/>
            <w:tcBorders>
              <w:tl2br w:val="nil"/>
              <w:tr2bl w:val="nil"/>
            </w:tcBorders>
            <w:vAlign w:val="center"/>
          </w:tcPr>
          <w:p>
            <w:pPr>
              <w:jc w:val="center"/>
              <w:rPr>
                <w:rFonts w:cs="Times New Roman"/>
                <w:szCs w:val="21"/>
              </w:rPr>
            </w:pPr>
            <w:r>
              <w:rPr>
                <w:rFonts w:hint="eastAsia" w:cs="Times New Roman"/>
                <w:szCs w:val="21"/>
                <w:lang w:val="en-US" w:eastAsia="zh-CN"/>
              </w:rPr>
              <w:t>东</w:t>
            </w:r>
            <w:r>
              <w:rPr>
                <w:rFonts w:cs="Times New Roman"/>
                <w:szCs w:val="21"/>
              </w:rPr>
              <w:t>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约2</w:t>
            </w:r>
            <w:r>
              <w:rPr>
                <w:rFonts w:hint="eastAsia" w:cs="Times New Roman"/>
                <w:szCs w:val="21"/>
                <w:lang w:val="en-US" w:eastAsia="zh-CN"/>
              </w:rPr>
              <w:t>.4km</w:t>
            </w:r>
          </w:p>
        </w:tc>
        <w:tc>
          <w:tcPr>
            <w:tcW w:w="707" w:type="pct"/>
            <w:tcBorders>
              <w:tl2br w:val="nil"/>
              <w:tr2bl w:val="nil"/>
            </w:tcBorders>
            <w:vAlign w:val="center"/>
          </w:tcPr>
          <w:p>
            <w:pPr>
              <w:jc w:val="center"/>
              <w:rPr>
                <w:rFonts w:cs="Times New Roman"/>
                <w:szCs w:val="21"/>
              </w:rPr>
            </w:pPr>
            <w:r>
              <w:rPr>
                <w:rFonts w:cs="Times New Roman"/>
                <w:szCs w:val="21"/>
              </w:rPr>
              <w:t>约</w:t>
            </w:r>
            <w:r>
              <w:rPr>
                <w:rFonts w:hint="eastAsia" w:cs="Times New Roman"/>
                <w:szCs w:val="21"/>
                <w:lang w:val="en-US" w:eastAsia="zh-CN"/>
              </w:rPr>
              <w:t>2</w:t>
            </w:r>
            <w:r>
              <w:rPr>
                <w:rFonts w:cs="Times New Roman"/>
                <w:szCs w:val="21"/>
              </w:rPr>
              <w:t>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毕家岩</w:t>
            </w:r>
          </w:p>
        </w:tc>
        <w:tc>
          <w:tcPr>
            <w:tcW w:w="594" w:type="pct"/>
            <w:tcBorders>
              <w:tl2br w:val="nil"/>
              <w:tr2bl w:val="nil"/>
            </w:tcBorders>
            <w:vAlign w:val="center"/>
          </w:tcPr>
          <w:p>
            <w:pPr>
              <w:jc w:val="center"/>
              <w:rPr>
                <w:rFonts w:cs="Times New Roman"/>
              </w:rPr>
            </w:pPr>
            <w:r>
              <w:rPr>
                <w:rFonts w:cs="Times New Roman"/>
              </w:rPr>
              <w:t>东北侧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1.1km</w:t>
            </w:r>
          </w:p>
        </w:tc>
        <w:tc>
          <w:tcPr>
            <w:tcW w:w="707" w:type="pct"/>
            <w:tcBorders>
              <w:tl2br w:val="nil"/>
              <w:tr2bl w:val="nil"/>
            </w:tcBorders>
            <w:vAlign w:val="center"/>
          </w:tcPr>
          <w:p>
            <w:pPr>
              <w:jc w:val="center"/>
              <w:rPr>
                <w:rFonts w:cs="Times New Roman"/>
                <w:szCs w:val="21"/>
              </w:rPr>
            </w:pPr>
            <w:r>
              <w:rPr>
                <w:rFonts w:cs="Times New Roman"/>
                <w:szCs w:val="21"/>
              </w:rPr>
              <w:t>约400人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eastAsia" w:eastAsia="宋体" w:cs="Times New Roman"/>
                <w:szCs w:val="21"/>
                <w:lang w:eastAsia="zh-CN"/>
              </w:rPr>
            </w:pPr>
            <w:r>
              <w:rPr>
                <w:rFonts w:hint="eastAsia" w:cs="Times New Roman"/>
                <w:szCs w:val="21"/>
                <w:lang w:val="en-US" w:eastAsia="zh-CN"/>
              </w:rPr>
              <w:t>庙儿坪</w:t>
            </w:r>
          </w:p>
        </w:tc>
        <w:tc>
          <w:tcPr>
            <w:tcW w:w="594" w:type="pct"/>
            <w:tcBorders>
              <w:tl2br w:val="nil"/>
              <w:tr2bl w:val="nil"/>
            </w:tcBorders>
            <w:vAlign w:val="center"/>
          </w:tcPr>
          <w:p>
            <w:pPr>
              <w:jc w:val="center"/>
              <w:rPr>
                <w:rFonts w:cs="Times New Roman"/>
              </w:rPr>
            </w:pPr>
            <w:r>
              <w:rPr>
                <w:rFonts w:cs="Times New Roman"/>
              </w:rPr>
              <w:t>东北侧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1.6km</w:t>
            </w:r>
          </w:p>
        </w:tc>
        <w:tc>
          <w:tcPr>
            <w:tcW w:w="707" w:type="pct"/>
            <w:tcBorders>
              <w:tl2br w:val="nil"/>
              <w:tr2bl w:val="nil"/>
            </w:tcBorders>
            <w:vAlign w:val="center"/>
          </w:tcPr>
          <w:p>
            <w:pPr>
              <w:jc w:val="center"/>
              <w:rPr>
                <w:rFonts w:cs="Times New Roman"/>
                <w:szCs w:val="21"/>
              </w:rPr>
            </w:pPr>
            <w:r>
              <w:rPr>
                <w:rFonts w:cs="Times New Roman"/>
                <w:szCs w:val="21"/>
              </w:rPr>
              <w:t>约200人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cs="Times New Roman"/>
                <w:szCs w:val="21"/>
              </w:rPr>
              <w:t>符家沟</w:t>
            </w:r>
          </w:p>
        </w:tc>
        <w:tc>
          <w:tcPr>
            <w:tcW w:w="594" w:type="pct"/>
            <w:tcBorders>
              <w:tl2br w:val="nil"/>
              <w:tr2bl w:val="nil"/>
            </w:tcBorders>
            <w:vAlign w:val="center"/>
          </w:tcPr>
          <w:p>
            <w:pPr>
              <w:jc w:val="center"/>
              <w:rPr>
                <w:rFonts w:cs="Times New Roman"/>
              </w:rPr>
            </w:pPr>
            <w:r>
              <w:rPr>
                <w:rFonts w:cs="Times New Roman"/>
              </w:rPr>
              <w:t>东侧</w:t>
            </w:r>
          </w:p>
        </w:tc>
        <w:tc>
          <w:tcPr>
            <w:tcW w:w="665" w:type="pct"/>
            <w:tcBorders>
              <w:tl2br w:val="nil"/>
              <w:tr2bl w:val="nil"/>
            </w:tcBorders>
            <w:vAlign w:val="center"/>
          </w:tcPr>
          <w:p>
            <w:pPr>
              <w:jc w:val="center"/>
              <w:rPr>
                <w:rFonts w:hint="default" w:cs="Times New Roman"/>
                <w:szCs w:val="21"/>
                <w:lang w:val="en-US"/>
              </w:rPr>
            </w:pPr>
            <w:r>
              <w:rPr>
                <w:rFonts w:cs="Times New Roman"/>
                <w:szCs w:val="21"/>
              </w:rPr>
              <w:t>约2</w:t>
            </w:r>
            <w:r>
              <w:rPr>
                <w:rFonts w:hint="eastAsia" w:cs="Times New Roman"/>
                <w:szCs w:val="21"/>
                <w:lang w:val="en-US" w:eastAsia="zh-CN"/>
              </w:rPr>
              <w:t>.2km</w:t>
            </w:r>
          </w:p>
        </w:tc>
        <w:tc>
          <w:tcPr>
            <w:tcW w:w="707" w:type="pct"/>
            <w:tcBorders>
              <w:tl2br w:val="nil"/>
              <w:tr2bl w:val="nil"/>
            </w:tcBorders>
            <w:vAlign w:val="center"/>
          </w:tcPr>
          <w:p>
            <w:pPr>
              <w:jc w:val="center"/>
              <w:rPr>
                <w:rFonts w:cs="Times New Roman"/>
                <w:szCs w:val="21"/>
              </w:rPr>
            </w:pPr>
            <w:r>
              <w:rPr>
                <w:rFonts w:cs="Times New Roman"/>
                <w:szCs w:val="21"/>
              </w:rPr>
              <w:t>约250人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cs="Times New Roman"/>
                <w:szCs w:val="21"/>
              </w:rPr>
              <w:t>俞家沟</w:t>
            </w:r>
          </w:p>
        </w:tc>
        <w:tc>
          <w:tcPr>
            <w:tcW w:w="594" w:type="pct"/>
            <w:tcBorders>
              <w:tl2br w:val="nil"/>
              <w:tr2bl w:val="nil"/>
            </w:tcBorders>
            <w:vAlign w:val="center"/>
          </w:tcPr>
          <w:p>
            <w:pPr>
              <w:jc w:val="center"/>
              <w:rPr>
                <w:rFonts w:cs="Times New Roman"/>
              </w:rPr>
            </w:pPr>
            <w:r>
              <w:rPr>
                <w:rFonts w:cs="Times New Roman"/>
              </w:rPr>
              <w:t>东南侧</w:t>
            </w:r>
          </w:p>
        </w:tc>
        <w:tc>
          <w:tcPr>
            <w:tcW w:w="665" w:type="pct"/>
            <w:tcBorders>
              <w:tl2br w:val="nil"/>
              <w:tr2bl w:val="nil"/>
            </w:tcBorders>
            <w:vAlign w:val="center"/>
          </w:tcPr>
          <w:p>
            <w:pPr>
              <w:jc w:val="center"/>
              <w:rPr>
                <w:rFonts w:hint="eastAsia" w:eastAsia="宋体" w:cs="Times New Roman"/>
                <w:szCs w:val="21"/>
                <w:lang w:val="en-US" w:eastAsia="zh-CN"/>
              </w:rPr>
            </w:pPr>
            <w:r>
              <w:rPr>
                <w:rFonts w:cs="Times New Roman"/>
                <w:szCs w:val="21"/>
              </w:rPr>
              <w:t>约590</w:t>
            </w:r>
            <w:r>
              <w:rPr>
                <w:rFonts w:hint="eastAsia" w:cs="Times New Roman"/>
                <w:szCs w:val="21"/>
                <w:lang w:val="en-US" w:eastAsia="zh-CN"/>
              </w:rPr>
              <w:t>m</w:t>
            </w:r>
          </w:p>
        </w:tc>
        <w:tc>
          <w:tcPr>
            <w:tcW w:w="707" w:type="pct"/>
            <w:tcBorders>
              <w:tl2br w:val="nil"/>
              <w:tr2bl w:val="nil"/>
            </w:tcBorders>
            <w:vAlign w:val="center"/>
          </w:tcPr>
          <w:p>
            <w:pPr>
              <w:jc w:val="center"/>
              <w:rPr>
                <w:rFonts w:cs="Times New Roman"/>
                <w:szCs w:val="21"/>
              </w:rPr>
            </w:pPr>
            <w:r>
              <w:rPr>
                <w:rFonts w:cs="Times New Roman"/>
                <w:szCs w:val="21"/>
              </w:rPr>
              <w:t>约</w:t>
            </w:r>
            <w:r>
              <w:rPr>
                <w:rFonts w:hint="eastAsia" w:cs="Times New Roman"/>
                <w:szCs w:val="21"/>
                <w:lang w:val="en-US" w:eastAsia="zh-CN"/>
              </w:rPr>
              <w:t>30</w:t>
            </w:r>
            <w:r>
              <w:rPr>
                <w:rFonts w:cs="Times New Roman"/>
                <w:szCs w:val="21"/>
              </w:rPr>
              <w:t>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eastAsia" w:eastAsia="宋体" w:cs="Times New Roman"/>
                <w:szCs w:val="21"/>
                <w:lang w:eastAsia="zh-CN"/>
              </w:rPr>
            </w:pPr>
            <w:r>
              <w:rPr>
                <w:rFonts w:hint="eastAsia" w:cs="Times New Roman"/>
                <w:szCs w:val="21"/>
                <w:lang w:val="en-US" w:eastAsia="zh-CN"/>
              </w:rPr>
              <w:t>陈家坝</w:t>
            </w:r>
          </w:p>
        </w:tc>
        <w:tc>
          <w:tcPr>
            <w:tcW w:w="594" w:type="pct"/>
            <w:tcBorders>
              <w:tl2br w:val="nil"/>
              <w:tr2bl w:val="nil"/>
            </w:tcBorders>
            <w:vAlign w:val="center"/>
          </w:tcPr>
          <w:p>
            <w:pPr>
              <w:jc w:val="center"/>
              <w:rPr>
                <w:rFonts w:cs="Times New Roman"/>
              </w:rPr>
            </w:pPr>
            <w:r>
              <w:rPr>
                <w:rFonts w:cs="Times New Roman"/>
              </w:rPr>
              <w:t>东南侧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约1</w:t>
            </w:r>
            <w:r>
              <w:rPr>
                <w:rFonts w:hint="eastAsia" w:cs="Times New Roman"/>
                <w:szCs w:val="21"/>
                <w:lang w:val="en-US" w:eastAsia="zh-CN"/>
              </w:rPr>
              <w:t>.2km</w:t>
            </w:r>
          </w:p>
        </w:tc>
        <w:tc>
          <w:tcPr>
            <w:tcW w:w="707" w:type="pct"/>
            <w:tcBorders>
              <w:tl2br w:val="nil"/>
              <w:tr2bl w:val="nil"/>
            </w:tcBorders>
            <w:vAlign w:val="center"/>
          </w:tcPr>
          <w:p>
            <w:pPr>
              <w:jc w:val="center"/>
              <w:rPr>
                <w:rFonts w:cs="Times New Roman"/>
                <w:szCs w:val="21"/>
              </w:rPr>
            </w:pPr>
            <w:r>
              <w:rPr>
                <w:rFonts w:cs="Times New Roman"/>
                <w:szCs w:val="21"/>
              </w:rPr>
              <w:t>约400人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cs="Times New Roman"/>
                <w:szCs w:val="21"/>
              </w:rPr>
              <w:t>柳池乡新红长岭小学</w:t>
            </w:r>
          </w:p>
        </w:tc>
        <w:tc>
          <w:tcPr>
            <w:tcW w:w="594" w:type="pct"/>
            <w:tcBorders>
              <w:tl2br w:val="nil"/>
              <w:tr2bl w:val="nil"/>
            </w:tcBorders>
            <w:vAlign w:val="center"/>
          </w:tcPr>
          <w:p>
            <w:pPr>
              <w:jc w:val="center"/>
              <w:rPr>
                <w:rFonts w:cs="Times New Roman"/>
              </w:rPr>
            </w:pPr>
            <w:r>
              <w:rPr>
                <w:rFonts w:cs="Times New Roman"/>
              </w:rPr>
              <w:t>东南侧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约1</w:t>
            </w:r>
            <w:r>
              <w:rPr>
                <w:rFonts w:hint="eastAsia" w:cs="Times New Roman"/>
                <w:szCs w:val="21"/>
                <w:lang w:val="en-US" w:eastAsia="zh-CN"/>
              </w:rPr>
              <w:t>.9km</w:t>
            </w:r>
          </w:p>
        </w:tc>
        <w:tc>
          <w:tcPr>
            <w:tcW w:w="707" w:type="pct"/>
            <w:tcBorders>
              <w:tl2br w:val="nil"/>
              <w:tr2bl w:val="nil"/>
            </w:tcBorders>
            <w:vAlign w:val="center"/>
          </w:tcPr>
          <w:p>
            <w:pPr>
              <w:jc w:val="center"/>
              <w:rPr>
                <w:rFonts w:cs="Times New Roman"/>
                <w:szCs w:val="21"/>
              </w:rPr>
            </w:pPr>
            <w:r>
              <w:rPr>
                <w:rFonts w:cs="Times New Roman"/>
                <w:szCs w:val="21"/>
              </w:rPr>
              <w:t>约200人</w:t>
            </w:r>
          </w:p>
        </w:tc>
        <w:tc>
          <w:tcPr>
            <w:tcW w:w="481" w:type="pct"/>
            <w:tcBorders>
              <w:tl2br w:val="nil"/>
              <w:tr2bl w:val="nil"/>
            </w:tcBorders>
            <w:vAlign w:val="center"/>
          </w:tcPr>
          <w:p>
            <w:pPr>
              <w:jc w:val="center"/>
              <w:rPr>
                <w:rFonts w:cs="Times New Roman"/>
                <w:szCs w:val="21"/>
              </w:rPr>
            </w:pPr>
            <w:r>
              <w:rPr>
                <w:rFonts w:cs="Times New Roman"/>
                <w:szCs w:val="21"/>
              </w:rPr>
              <w:t>学校</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cs="Times New Roman"/>
                <w:szCs w:val="21"/>
              </w:rPr>
              <w:t>田家塝</w:t>
            </w:r>
          </w:p>
        </w:tc>
        <w:tc>
          <w:tcPr>
            <w:tcW w:w="594" w:type="pct"/>
            <w:tcBorders>
              <w:tl2br w:val="nil"/>
              <w:tr2bl w:val="nil"/>
            </w:tcBorders>
            <w:vAlign w:val="center"/>
          </w:tcPr>
          <w:p>
            <w:pPr>
              <w:jc w:val="center"/>
              <w:rPr>
                <w:rFonts w:cs="Times New Roman"/>
              </w:rPr>
            </w:pPr>
            <w:r>
              <w:rPr>
                <w:rFonts w:cs="Times New Roman"/>
              </w:rPr>
              <w:t>东南侧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2.1km</w:t>
            </w:r>
          </w:p>
        </w:tc>
        <w:tc>
          <w:tcPr>
            <w:tcW w:w="707" w:type="pct"/>
            <w:tcBorders>
              <w:tl2br w:val="nil"/>
              <w:tr2bl w:val="nil"/>
            </w:tcBorders>
            <w:vAlign w:val="center"/>
          </w:tcPr>
          <w:p>
            <w:pPr>
              <w:jc w:val="center"/>
              <w:rPr>
                <w:rFonts w:cs="Times New Roman"/>
                <w:szCs w:val="21"/>
              </w:rPr>
            </w:pPr>
            <w:r>
              <w:rPr>
                <w:rFonts w:cs="Times New Roman"/>
                <w:szCs w:val="21"/>
              </w:rPr>
              <w:t>约400人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cs="Times New Roman"/>
                <w:szCs w:val="21"/>
              </w:rPr>
              <w:t>柳池安置房</w:t>
            </w:r>
          </w:p>
        </w:tc>
        <w:tc>
          <w:tcPr>
            <w:tcW w:w="594" w:type="pct"/>
            <w:tcBorders>
              <w:tl2br w:val="nil"/>
              <w:tr2bl w:val="nil"/>
            </w:tcBorders>
            <w:vAlign w:val="center"/>
          </w:tcPr>
          <w:p>
            <w:pPr>
              <w:jc w:val="center"/>
              <w:rPr>
                <w:rFonts w:cs="Times New Roman"/>
                <w:szCs w:val="21"/>
              </w:rPr>
            </w:pPr>
            <w:r>
              <w:rPr>
                <w:rFonts w:cs="Times New Roman"/>
              </w:rPr>
              <w:t>西南侧</w:t>
            </w:r>
          </w:p>
        </w:tc>
        <w:tc>
          <w:tcPr>
            <w:tcW w:w="665" w:type="pct"/>
            <w:tcBorders>
              <w:tl2br w:val="nil"/>
              <w:tr2bl w:val="nil"/>
            </w:tcBorders>
            <w:vAlign w:val="center"/>
          </w:tcPr>
          <w:p>
            <w:pPr>
              <w:jc w:val="center"/>
              <w:rPr>
                <w:rFonts w:cs="Times New Roman"/>
                <w:szCs w:val="21"/>
              </w:rPr>
            </w:pPr>
            <w:r>
              <w:rPr>
                <w:rFonts w:cs="Times New Roman"/>
                <w:szCs w:val="21"/>
              </w:rPr>
              <w:t>约335m</w:t>
            </w:r>
          </w:p>
        </w:tc>
        <w:tc>
          <w:tcPr>
            <w:tcW w:w="707" w:type="pct"/>
            <w:tcBorders>
              <w:tl2br w:val="nil"/>
              <w:tr2bl w:val="nil"/>
            </w:tcBorders>
            <w:vAlign w:val="center"/>
          </w:tcPr>
          <w:p>
            <w:pPr>
              <w:jc w:val="center"/>
              <w:rPr>
                <w:rFonts w:cs="Times New Roman"/>
                <w:szCs w:val="21"/>
              </w:rPr>
            </w:pPr>
            <w:r>
              <w:rPr>
                <w:rFonts w:cs="Times New Roman"/>
                <w:szCs w:val="21"/>
              </w:rPr>
              <w:t>约1000人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cs="Times New Roman"/>
                <w:szCs w:val="21"/>
              </w:rPr>
              <w:t>毛狗洞湾</w:t>
            </w:r>
          </w:p>
        </w:tc>
        <w:tc>
          <w:tcPr>
            <w:tcW w:w="594" w:type="pct"/>
            <w:tcBorders>
              <w:tl2br w:val="nil"/>
              <w:tr2bl w:val="nil"/>
            </w:tcBorders>
            <w:vAlign w:val="center"/>
          </w:tcPr>
          <w:p>
            <w:pPr>
              <w:jc w:val="center"/>
              <w:rPr>
                <w:rFonts w:cs="Times New Roman"/>
              </w:rPr>
            </w:pPr>
            <w:r>
              <w:rPr>
                <w:rFonts w:cs="Times New Roman"/>
              </w:rPr>
              <w:t>西南侧</w:t>
            </w:r>
          </w:p>
        </w:tc>
        <w:tc>
          <w:tcPr>
            <w:tcW w:w="665" w:type="pct"/>
            <w:tcBorders>
              <w:tl2br w:val="nil"/>
              <w:tr2bl w:val="nil"/>
            </w:tcBorders>
            <w:vAlign w:val="center"/>
          </w:tcPr>
          <w:p>
            <w:pPr>
              <w:jc w:val="center"/>
              <w:rPr>
                <w:rFonts w:hint="eastAsia" w:eastAsia="宋体" w:cs="Times New Roman"/>
                <w:szCs w:val="21"/>
                <w:lang w:val="en-US" w:eastAsia="zh-CN"/>
              </w:rPr>
            </w:pPr>
            <w:r>
              <w:rPr>
                <w:rFonts w:cs="Times New Roman"/>
                <w:szCs w:val="21"/>
              </w:rPr>
              <w:t>约700</w:t>
            </w:r>
            <w:r>
              <w:rPr>
                <w:rFonts w:hint="eastAsia" w:cs="Times New Roman"/>
                <w:szCs w:val="21"/>
                <w:lang w:val="en-US" w:eastAsia="zh-CN"/>
              </w:rPr>
              <w:t>m</w:t>
            </w:r>
          </w:p>
        </w:tc>
        <w:tc>
          <w:tcPr>
            <w:tcW w:w="707" w:type="pct"/>
            <w:tcBorders>
              <w:tl2br w:val="nil"/>
              <w:tr2bl w:val="nil"/>
            </w:tcBorders>
            <w:vAlign w:val="center"/>
          </w:tcPr>
          <w:p>
            <w:pPr>
              <w:jc w:val="center"/>
              <w:rPr>
                <w:rFonts w:cs="Times New Roman"/>
                <w:szCs w:val="21"/>
              </w:rPr>
            </w:pPr>
            <w:r>
              <w:rPr>
                <w:rFonts w:cs="Times New Roman"/>
                <w:szCs w:val="21"/>
              </w:rPr>
              <w:t>约70人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cs="Times New Roman"/>
                <w:szCs w:val="21"/>
              </w:rPr>
              <w:t>慈菇梁</w:t>
            </w:r>
          </w:p>
        </w:tc>
        <w:tc>
          <w:tcPr>
            <w:tcW w:w="594" w:type="pct"/>
            <w:tcBorders>
              <w:tl2br w:val="nil"/>
              <w:tr2bl w:val="nil"/>
            </w:tcBorders>
            <w:vAlign w:val="center"/>
          </w:tcPr>
          <w:p>
            <w:pPr>
              <w:jc w:val="center"/>
              <w:rPr>
                <w:rFonts w:cs="Times New Roman"/>
              </w:rPr>
            </w:pPr>
            <w:r>
              <w:rPr>
                <w:rFonts w:cs="Times New Roman"/>
              </w:rPr>
              <w:t>西南侧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1.6km</w:t>
            </w:r>
          </w:p>
        </w:tc>
        <w:tc>
          <w:tcPr>
            <w:tcW w:w="707" w:type="pct"/>
            <w:tcBorders>
              <w:tl2br w:val="nil"/>
              <w:tr2bl w:val="nil"/>
            </w:tcBorders>
            <w:vAlign w:val="center"/>
          </w:tcPr>
          <w:p>
            <w:pPr>
              <w:jc w:val="center"/>
              <w:rPr>
                <w:rFonts w:cs="Times New Roman"/>
                <w:szCs w:val="21"/>
              </w:rPr>
            </w:pPr>
            <w:r>
              <w:rPr>
                <w:rFonts w:cs="Times New Roman"/>
                <w:szCs w:val="21"/>
              </w:rPr>
              <w:t>约30人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小坪</w:t>
            </w:r>
          </w:p>
        </w:tc>
        <w:tc>
          <w:tcPr>
            <w:tcW w:w="594" w:type="pct"/>
            <w:tcBorders>
              <w:tl2br w:val="nil"/>
              <w:tr2bl w:val="nil"/>
            </w:tcBorders>
            <w:vAlign w:val="center"/>
          </w:tcPr>
          <w:p>
            <w:pPr>
              <w:jc w:val="center"/>
              <w:rPr>
                <w:rFonts w:hint="default" w:eastAsia="宋体" w:cs="Times New Roman"/>
                <w:lang w:val="en-US" w:eastAsia="zh-CN"/>
              </w:rPr>
            </w:pPr>
            <w:r>
              <w:rPr>
                <w:rFonts w:hint="eastAsia" w:cs="Times New Roman"/>
                <w:lang w:val="en-US" w:eastAsia="zh-CN"/>
              </w:rPr>
              <w:t>西南侧</w:t>
            </w:r>
          </w:p>
        </w:tc>
        <w:tc>
          <w:tcPr>
            <w:tcW w:w="665"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约2.1km</w:t>
            </w:r>
          </w:p>
        </w:tc>
        <w:tc>
          <w:tcPr>
            <w:tcW w:w="707" w:type="pct"/>
            <w:tcBorders>
              <w:tl2br w:val="nil"/>
              <w:tr2bl w:val="nil"/>
            </w:tcBorders>
            <w:vAlign w:val="center"/>
          </w:tcPr>
          <w:p>
            <w:pPr>
              <w:jc w:val="center"/>
              <w:rPr>
                <w:rFonts w:cs="Times New Roman"/>
                <w:szCs w:val="21"/>
              </w:rPr>
            </w:pPr>
            <w:r>
              <w:rPr>
                <w:rFonts w:cs="Times New Roman"/>
                <w:szCs w:val="21"/>
              </w:rPr>
              <w:t>约30人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柏林湾</w:t>
            </w:r>
          </w:p>
        </w:tc>
        <w:tc>
          <w:tcPr>
            <w:tcW w:w="594" w:type="pct"/>
            <w:tcBorders>
              <w:tl2br w:val="nil"/>
              <w:tr2bl w:val="nil"/>
            </w:tcBorders>
            <w:vAlign w:val="center"/>
          </w:tcPr>
          <w:p>
            <w:pPr>
              <w:jc w:val="center"/>
              <w:rPr>
                <w:rFonts w:cs="Times New Roman"/>
              </w:rPr>
            </w:pPr>
            <w:r>
              <w:rPr>
                <w:rFonts w:cs="Times New Roman"/>
              </w:rPr>
              <w:t>西</w:t>
            </w:r>
            <w:r>
              <w:rPr>
                <w:rFonts w:hint="eastAsia" w:cs="Times New Roman"/>
                <w:lang w:val="en-US" w:eastAsia="zh-CN"/>
              </w:rPr>
              <w:t>北</w:t>
            </w:r>
            <w:r>
              <w:rPr>
                <w:rFonts w:cs="Times New Roman"/>
              </w:rPr>
              <w:t>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1.9km</w:t>
            </w:r>
          </w:p>
        </w:tc>
        <w:tc>
          <w:tcPr>
            <w:tcW w:w="707" w:type="pct"/>
            <w:tcBorders>
              <w:tl2br w:val="nil"/>
              <w:tr2bl w:val="nil"/>
            </w:tcBorders>
            <w:vAlign w:val="center"/>
          </w:tcPr>
          <w:p>
            <w:pPr>
              <w:jc w:val="center"/>
              <w:rPr>
                <w:rFonts w:cs="Times New Roman"/>
                <w:szCs w:val="21"/>
              </w:rPr>
            </w:pPr>
            <w:r>
              <w:rPr>
                <w:rFonts w:cs="Times New Roman"/>
                <w:szCs w:val="21"/>
              </w:rPr>
              <w:t>约</w:t>
            </w:r>
            <w:r>
              <w:rPr>
                <w:rFonts w:hint="eastAsia" w:cs="Times New Roman"/>
                <w:szCs w:val="21"/>
                <w:lang w:val="en-US" w:eastAsia="zh-CN"/>
              </w:rPr>
              <w:t>50</w:t>
            </w:r>
            <w:r>
              <w:rPr>
                <w:rFonts w:cs="Times New Roman"/>
                <w:szCs w:val="21"/>
              </w:rPr>
              <w:t>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cs="Times New Roman"/>
                <w:szCs w:val="21"/>
              </w:rPr>
            </w:pPr>
            <w:r>
              <w:rPr>
                <w:rFonts w:hint="eastAsia" w:cs="Times New Roman"/>
                <w:szCs w:val="21"/>
                <w:lang w:val="en-US" w:eastAsia="zh-CN"/>
              </w:rPr>
              <w:t>孙家沟</w:t>
            </w:r>
          </w:p>
        </w:tc>
        <w:tc>
          <w:tcPr>
            <w:tcW w:w="594" w:type="pct"/>
            <w:tcBorders>
              <w:tl2br w:val="nil"/>
              <w:tr2bl w:val="nil"/>
            </w:tcBorders>
            <w:vAlign w:val="center"/>
          </w:tcPr>
          <w:p>
            <w:pPr>
              <w:jc w:val="center"/>
              <w:rPr>
                <w:rFonts w:cs="Times New Roman"/>
              </w:rPr>
            </w:pPr>
            <w:r>
              <w:rPr>
                <w:rFonts w:cs="Times New Roman"/>
              </w:rPr>
              <w:t>西北侧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2.1km</w:t>
            </w:r>
          </w:p>
        </w:tc>
        <w:tc>
          <w:tcPr>
            <w:tcW w:w="707" w:type="pct"/>
            <w:tcBorders>
              <w:tl2br w:val="nil"/>
              <w:tr2bl w:val="nil"/>
            </w:tcBorders>
            <w:vAlign w:val="center"/>
          </w:tcPr>
          <w:p>
            <w:pPr>
              <w:jc w:val="center"/>
              <w:rPr>
                <w:rFonts w:cs="Times New Roman"/>
                <w:szCs w:val="21"/>
              </w:rPr>
            </w:pPr>
            <w:r>
              <w:rPr>
                <w:rFonts w:cs="Times New Roman"/>
                <w:szCs w:val="21"/>
              </w:rPr>
              <w:t>约200人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eastAsia" w:eastAsia="宋体" w:cs="Times New Roman"/>
                <w:szCs w:val="21"/>
                <w:lang w:eastAsia="zh-CN"/>
              </w:rPr>
            </w:pPr>
            <w:r>
              <w:rPr>
                <w:rFonts w:hint="eastAsia" w:cs="Times New Roman"/>
                <w:szCs w:val="21"/>
                <w:lang w:val="en-US" w:eastAsia="zh-CN"/>
              </w:rPr>
              <w:t>李家湾</w:t>
            </w:r>
          </w:p>
        </w:tc>
        <w:tc>
          <w:tcPr>
            <w:tcW w:w="594" w:type="pct"/>
            <w:tcBorders>
              <w:tl2br w:val="nil"/>
              <w:tr2bl w:val="nil"/>
            </w:tcBorders>
            <w:vAlign w:val="center"/>
          </w:tcPr>
          <w:p>
            <w:pPr>
              <w:jc w:val="center"/>
              <w:rPr>
                <w:rFonts w:cs="Times New Roman"/>
              </w:rPr>
            </w:pPr>
            <w:r>
              <w:rPr>
                <w:rFonts w:cs="Times New Roman"/>
              </w:rPr>
              <w:t>西北侧</w:t>
            </w:r>
          </w:p>
        </w:tc>
        <w:tc>
          <w:tcPr>
            <w:tcW w:w="665" w:type="pct"/>
            <w:tcBorders>
              <w:tl2br w:val="nil"/>
              <w:tr2bl w:val="nil"/>
            </w:tcBorders>
            <w:vAlign w:val="center"/>
          </w:tcPr>
          <w:p>
            <w:pPr>
              <w:jc w:val="center"/>
              <w:rPr>
                <w:rFonts w:hint="default" w:eastAsia="宋体" w:cs="Times New Roman"/>
                <w:szCs w:val="21"/>
                <w:lang w:val="en-US" w:eastAsia="zh-CN"/>
              </w:rPr>
            </w:pPr>
            <w:r>
              <w:rPr>
                <w:rFonts w:cs="Times New Roman"/>
                <w:szCs w:val="21"/>
              </w:rPr>
              <w:t>约</w:t>
            </w:r>
            <w:r>
              <w:rPr>
                <w:rFonts w:hint="eastAsia" w:cs="Times New Roman"/>
                <w:szCs w:val="21"/>
                <w:lang w:val="en-US" w:eastAsia="zh-CN"/>
              </w:rPr>
              <w:t>700m</w:t>
            </w:r>
          </w:p>
        </w:tc>
        <w:tc>
          <w:tcPr>
            <w:tcW w:w="707" w:type="pct"/>
            <w:tcBorders>
              <w:tl2br w:val="nil"/>
              <w:tr2bl w:val="nil"/>
            </w:tcBorders>
            <w:vAlign w:val="center"/>
          </w:tcPr>
          <w:p>
            <w:pPr>
              <w:jc w:val="center"/>
              <w:rPr>
                <w:rFonts w:cs="Times New Roman"/>
                <w:szCs w:val="21"/>
              </w:rPr>
            </w:pPr>
            <w:r>
              <w:rPr>
                <w:rFonts w:cs="Times New Roman"/>
                <w:szCs w:val="21"/>
              </w:rPr>
              <w:t>约500人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345" w:type="pct"/>
            <w:vMerge w:val="continue"/>
            <w:tcBorders>
              <w:tl2br w:val="nil"/>
              <w:tr2bl w:val="nil"/>
            </w:tcBorders>
            <w:vAlign w:val="center"/>
          </w:tcPr>
          <w:p>
            <w:pPr>
              <w:jc w:val="center"/>
              <w:rPr>
                <w:rFonts w:cs="Times New Roman"/>
                <w:szCs w:val="21"/>
              </w:rPr>
            </w:pPr>
          </w:p>
        </w:tc>
        <w:tc>
          <w:tcPr>
            <w:tcW w:w="1108"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长梁</w:t>
            </w:r>
          </w:p>
        </w:tc>
        <w:tc>
          <w:tcPr>
            <w:tcW w:w="594" w:type="pct"/>
            <w:tcBorders>
              <w:tl2br w:val="nil"/>
              <w:tr2bl w:val="nil"/>
            </w:tcBorders>
            <w:vAlign w:val="center"/>
          </w:tcPr>
          <w:p>
            <w:pPr>
              <w:jc w:val="center"/>
              <w:rPr>
                <w:rFonts w:cs="Times New Roman"/>
              </w:rPr>
            </w:pPr>
            <w:r>
              <w:rPr>
                <w:rFonts w:cs="Times New Roman"/>
              </w:rPr>
              <w:t>西北侧</w:t>
            </w:r>
          </w:p>
        </w:tc>
        <w:tc>
          <w:tcPr>
            <w:tcW w:w="665"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2.1km</w:t>
            </w:r>
          </w:p>
        </w:tc>
        <w:tc>
          <w:tcPr>
            <w:tcW w:w="707"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约50人</w:t>
            </w:r>
          </w:p>
        </w:tc>
        <w:tc>
          <w:tcPr>
            <w:tcW w:w="481" w:type="pct"/>
            <w:tcBorders>
              <w:tl2br w:val="nil"/>
              <w:tr2bl w:val="nil"/>
            </w:tcBorders>
            <w:vAlign w:val="center"/>
          </w:tcPr>
          <w:p>
            <w:pPr>
              <w:jc w:val="center"/>
              <w:rPr>
                <w:rFonts w:cs="Times New Roman"/>
                <w:szCs w:val="21"/>
              </w:rPr>
            </w:pPr>
            <w:r>
              <w:rPr>
                <w:rFonts w:cs="Times New Roman"/>
                <w:szCs w:val="21"/>
              </w:rPr>
              <w:t>住宅</w:t>
            </w:r>
          </w:p>
        </w:tc>
        <w:tc>
          <w:tcPr>
            <w:tcW w:w="1096" w:type="pct"/>
            <w:vMerge w:val="continue"/>
            <w:tcBorders>
              <w:tl2br w:val="nil"/>
              <w:tr2bl w:val="nil"/>
            </w:tcBorders>
            <w:vAlign w:val="center"/>
          </w:tcPr>
          <w:p>
            <w:pPr>
              <w:jc w:val="center"/>
              <w:rPr>
                <w:rFonts w:cs="Times New Roman"/>
                <w:szCs w:val="21"/>
              </w:rPr>
            </w:pPr>
          </w:p>
        </w:tc>
      </w:tr>
    </w:tbl>
    <w:p>
      <w:pPr>
        <w:pStyle w:val="3"/>
        <w:rPr>
          <w:rFonts w:cs="Times New Roman"/>
        </w:rPr>
      </w:pPr>
      <w:r>
        <w:rPr>
          <w:rFonts w:cs="Times New Roman"/>
        </w:rPr>
        <w:t>2 项目概况</w:t>
      </w:r>
    </w:p>
    <w:p>
      <w:pPr>
        <w:pStyle w:val="4"/>
        <w:rPr>
          <w:rFonts w:cs="Times New Roman"/>
        </w:rPr>
      </w:pPr>
      <w:r>
        <w:rPr>
          <w:rFonts w:cs="Times New Roman"/>
        </w:rPr>
        <w:t>2.1 建设项目概况</w:t>
      </w:r>
    </w:p>
    <w:p>
      <w:pPr>
        <w:pStyle w:val="5"/>
        <w:rPr>
          <w:rFonts w:hint="default" w:ascii="Times New Roman" w:hAnsi="Times New Roman"/>
        </w:rPr>
      </w:pPr>
      <w:r>
        <w:rPr>
          <w:rFonts w:hint="default" w:ascii="Times New Roman" w:hAnsi="Times New Roman"/>
        </w:rPr>
        <w:t>2.1.1 项目基本情况</w:t>
      </w:r>
    </w:p>
    <w:p>
      <w:pPr>
        <w:spacing w:line="360" w:lineRule="auto"/>
        <w:ind w:firstLine="480" w:firstLineChars="200"/>
        <w:rPr>
          <w:rFonts w:cs="Times New Roman"/>
          <w:sz w:val="24"/>
          <w:szCs w:val="24"/>
        </w:rPr>
      </w:pPr>
      <w:r>
        <w:rPr>
          <w:rFonts w:cs="Times New Roman"/>
          <w:sz w:val="24"/>
          <w:szCs w:val="24"/>
        </w:rPr>
        <w:t>项目名称：年产1.4亿平米玻纤湿法毡生产线技改项目</w:t>
      </w:r>
    </w:p>
    <w:p>
      <w:pPr>
        <w:spacing w:line="360" w:lineRule="auto"/>
        <w:ind w:firstLine="480" w:firstLineChars="200"/>
        <w:rPr>
          <w:rFonts w:cs="Times New Roman"/>
          <w:sz w:val="24"/>
          <w:szCs w:val="24"/>
        </w:rPr>
      </w:pPr>
      <w:r>
        <w:rPr>
          <w:rFonts w:cs="Times New Roman"/>
          <w:sz w:val="24"/>
          <w:szCs w:val="24"/>
        </w:rPr>
        <w:t>建设单位：宣汉普光科睿新材料有限公司</w:t>
      </w:r>
    </w:p>
    <w:p>
      <w:pPr>
        <w:spacing w:line="360" w:lineRule="auto"/>
        <w:ind w:firstLine="480" w:firstLineChars="200"/>
        <w:rPr>
          <w:rFonts w:cs="Times New Roman"/>
          <w:sz w:val="24"/>
          <w:szCs w:val="24"/>
        </w:rPr>
      </w:pPr>
      <w:r>
        <w:rPr>
          <w:rFonts w:cs="Times New Roman"/>
          <w:sz w:val="24"/>
          <w:szCs w:val="24"/>
        </w:rPr>
        <w:t>建设地点：四川达州普光经济开发区柳池工业园区1号干道2号</w:t>
      </w:r>
    </w:p>
    <w:p>
      <w:pPr>
        <w:spacing w:line="360" w:lineRule="auto"/>
        <w:ind w:firstLine="480" w:firstLineChars="200"/>
        <w:rPr>
          <w:rFonts w:cs="Times New Roman"/>
          <w:sz w:val="24"/>
          <w:szCs w:val="24"/>
        </w:rPr>
      </w:pPr>
      <w:r>
        <w:rPr>
          <w:rFonts w:cs="Times New Roman"/>
          <w:sz w:val="24"/>
          <w:szCs w:val="24"/>
        </w:rPr>
        <w:t>建设性质：扩建</w:t>
      </w:r>
    </w:p>
    <w:p>
      <w:pPr>
        <w:spacing w:line="360" w:lineRule="auto"/>
        <w:ind w:firstLine="480" w:firstLineChars="200"/>
        <w:rPr>
          <w:rFonts w:cs="Times New Roman"/>
          <w:sz w:val="24"/>
          <w:szCs w:val="24"/>
        </w:rPr>
      </w:pPr>
      <w:r>
        <w:rPr>
          <w:rFonts w:cs="Times New Roman"/>
          <w:sz w:val="24"/>
          <w:szCs w:val="24"/>
        </w:rPr>
        <w:t>项目投资：总投资3500万元</w:t>
      </w:r>
    </w:p>
    <w:p>
      <w:pPr>
        <w:spacing w:line="360" w:lineRule="auto"/>
        <w:ind w:firstLine="480" w:firstLineChars="200"/>
        <w:rPr>
          <w:rFonts w:cs="Times New Roman"/>
          <w:sz w:val="24"/>
          <w:szCs w:val="24"/>
        </w:rPr>
      </w:pPr>
      <w:r>
        <w:rPr>
          <w:rFonts w:cs="Times New Roman"/>
          <w:sz w:val="24"/>
          <w:szCs w:val="24"/>
        </w:rPr>
        <w:t>建设内容：利用现有厂房，改建生产车间，建设两条玻纤湿法毡生产线及环保、安全等配套设施，其中：一期建设一条幅宽约2.1米的湿法毡生产线，产能6500万平方米/年；二期建设一条幅宽约2.6米的湿法毡生产线，产能7500万平方米/年。</w:t>
      </w:r>
    </w:p>
    <w:p>
      <w:pPr>
        <w:spacing w:line="360" w:lineRule="auto"/>
        <w:ind w:firstLine="480" w:firstLineChars="200"/>
        <w:rPr>
          <w:rFonts w:cs="Times New Roman"/>
          <w:sz w:val="24"/>
          <w:szCs w:val="24"/>
        </w:rPr>
      </w:pPr>
      <w:r>
        <w:rPr>
          <w:rFonts w:cs="Times New Roman"/>
          <w:sz w:val="24"/>
          <w:szCs w:val="24"/>
        </w:rPr>
        <w:t>劳动定员和工作制度：</w:t>
      </w:r>
      <w:r>
        <w:rPr>
          <w:rFonts w:cs="Times New Roman"/>
          <w:kern w:val="24"/>
          <w:sz w:val="24"/>
          <w:szCs w:val="24"/>
        </w:rPr>
        <w:t>项目现有劳动定员40人，生产线实行四班三运转制，全年生产330天。本项目新增劳动定员20人，一期、二期各10人。生产线实行三班两运转作业，全年生产330天。</w:t>
      </w:r>
    </w:p>
    <w:p>
      <w:pPr>
        <w:pStyle w:val="5"/>
        <w:rPr>
          <w:rFonts w:hint="default" w:ascii="Times New Roman" w:hAnsi="Times New Roman"/>
        </w:rPr>
      </w:pPr>
      <w:r>
        <w:rPr>
          <w:rFonts w:hint="default" w:ascii="Times New Roman" w:hAnsi="Times New Roman"/>
        </w:rPr>
        <w:t>2.1.2 工程内容</w:t>
      </w:r>
    </w:p>
    <w:p>
      <w:pPr>
        <w:spacing w:line="360" w:lineRule="auto"/>
        <w:ind w:firstLine="480" w:firstLineChars="200"/>
        <w:rPr>
          <w:rFonts w:cs="Times New Roman"/>
          <w:sz w:val="24"/>
          <w:szCs w:val="24"/>
        </w:rPr>
      </w:pPr>
      <w:r>
        <w:rPr>
          <w:rFonts w:cs="Times New Roman"/>
          <w:sz w:val="24"/>
          <w:szCs w:val="24"/>
        </w:rPr>
        <w:t>项目组成及主要环境问题见下表。</w:t>
      </w:r>
    </w:p>
    <w:p>
      <w:pPr>
        <w:spacing w:line="360" w:lineRule="auto"/>
        <w:jc w:val="center"/>
        <w:rPr>
          <w:rFonts w:cs="Times New Roman"/>
          <w:sz w:val="24"/>
          <w:szCs w:val="24"/>
        </w:rPr>
      </w:pPr>
      <w:r>
        <w:rPr>
          <w:rFonts w:cs="Times New Roman"/>
          <w:b/>
          <w:bCs/>
          <w:kern w:val="24"/>
          <w:sz w:val="24"/>
          <w:szCs w:val="24"/>
        </w:rPr>
        <w:t>表2.1-1 项目组成及主要环境问题</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79"/>
        <w:gridCol w:w="591"/>
        <w:gridCol w:w="1234"/>
        <w:gridCol w:w="4424"/>
        <w:gridCol w:w="1105"/>
        <w:gridCol w:w="846"/>
        <w:gridCol w:w="5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工程分类</w:t>
            </w:r>
          </w:p>
        </w:tc>
        <w:tc>
          <w:tcPr>
            <w:tcW w:w="964" w:type="pct"/>
            <w:gridSpan w:val="2"/>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项目名称</w:t>
            </w:r>
          </w:p>
        </w:tc>
        <w:tc>
          <w:tcPr>
            <w:tcW w:w="2337"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建设内容及规模</w:t>
            </w:r>
          </w:p>
        </w:tc>
        <w:tc>
          <w:tcPr>
            <w:tcW w:w="1031" w:type="pct"/>
            <w:gridSpan w:val="2"/>
            <w:tcBorders>
              <w:tl2br w:val="nil"/>
              <w:tr2bl w:val="nil"/>
            </w:tcBorders>
            <w:shd w:val="clear" w:color="auto" w:fill="auto"/>
            <w:vAlign w:val="center"/>
          </w:tcPr>
          <w:p>
            <w:pPr>
              <w:jc w:val="center"/>
              <w:rPr>
                <w:rFonts w:cs="Times New Roman"/>
                <w:b/>
                <w:bCs/>
                <w:szCs w:val="21"/>
              </w:rPr>
            </w:pPr>
            <w:r>
              <w:rPr>
                <w:rFonts w:cs="Times New Roman"/>
                <w:b/>
                <w:bCs/>
                <w:szCs w:val="21"/>
              </w:rPr>
              <w:t>可能产生的环境问题</w:t>
            </w:r>
          </w:p>
        </w:tc>
        <w:tc>
          <w:tcPr>
            <w:tcW w:w="309" w:type="pct"/>
            <w:vMerge w:val="restart"/>
            <w:tcBorders>
              <w:tl2br w:val="nil"/>
              <w:tr2bl w:val="nil"/>
            </w:tcBorders>
            <w:shd w:val="clear" w:color="auto" w:fill="auto"/>
            <w:vAlign w:val="center"/>
          </w:tcPr>
          <w:p>
            <w:pPr>
              <w:jc w:val="center"/>
              <w:rPr>
                <w:rFonts w:cs="Times New Roman"/>
                <w:b/>
                <w:bCs/>
                <w:szCs w:val="21"/>
              </w:rPr>
            </w:pPr>
            <w:r>
              <w:rPr>
                <w:rFonts w:cs="Times New Roman"/>
                <w:b/>
                <w:bCs/>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vMerge w:val="continue"/>
            <w:tcBorders>
              <w:tl2br w:val="nil"/>
              <w:tr2bl w:val="nil"/>
            </w:tcBorders>
            <w:shd w:val="clear" w:color="auto" w:fill="auto"/>
            <w:vAlign w:val="center"/>
          </w:tcPr>
          <w:p>
            <w:pPr>
              <w:jc w:val="center"/>
              <w:rPr>
                <w:rFonts w:cs="Times New Roman"/>
                <w:szCs w:val="21"/>
              </w:rPr>
            </w:pPr>
          </w:p>
        </w:tc>
        <w:tc>
          <w:tcPr>
            <w:tcW w:w="2337" w:type="pct"/>
            <w:vMerge w:val="continue"/>
            <w:tcBorders>
              <w:tl2br w:val="nil"/>
              <w:tr2bl w:val="nil"/>
            </w:tcBorders>
            <w:shd w:val="clear" w:color="auto" w:fill="auto"/>
            <w:vAlign w:val="center"/>
          </w:tcPr>
          <w:p>
            <w:pPr>
              <w:jc w:val="center"/>
              <w:rPr>
                <w:rFonts w:cs="Times New Roman"/>
                <w:szCs w:val="21"/>
              </w:rPr>
            </w:pPr>
          </w:p>
        </w:tc>
        <w:tc>
          <w:tcPr>
            <w:tcW w:w="584" w:type="pct"/>
            <w:tcBorders>
              <w:tl2br w:val="nil"/>
              <w:tr2bl w:val="nil"/>
            </w:tcBorders>
            <w:shd w:val="clear" w:color="auto" w:fill="auto"/>
            <w:vAlign w:val="center"/>
          </w:tcPr>
          <w:p>
            <w:pPr>
              <w:jc w:val="center"/>
              <w:rPr>
                <w:rFonts w:cs="Times New Roman"/>
                <w:b/>
                <w:bCs/>
                <w:szCs w:val="21"/>
              </w:rPr>
            </w:pPr>
            <w:r>
              <w:rPr>
                <w:rFonts w:cs="Times New Roman"/>
                <w:b/>
                <w:bCs/>
                <w:szCs w:val="21"/>
              </w:rPr>
              <w:t>施工期</w:t>
            </w:r>
          </w:p>
        </w:tc>
        <w:tc>
          <w:tcPr>
            <w:tcW w:w="446" w:type="pct"/>
            <w:tcBorders>
              <w:tl2br w:val="nil"/>
              <w:tr2bl w:val="nil"/>
            </w:tcBorders>
            <w:shd w:val="clear" w:color="auto" w:fill="auto"/>
            <w:vAlign w:val="center"/>
          </w:tcPr>
          <w:p>
            <w:pPr>
              <w:jc w:val="center"/>
              <w:rPr>
                <w:rFonts w:cs="Times New Roman"/>
                <w:b/>
                <w:bCs/>
                <w:szCs w:val="21"/>
              </w:rPr>
            </w:pPr>
            <w:r>
              <w:rPr>
                <w:rFonts w:cs="Times New Roman"/>
                <w:b/>
                <w:bCs/>
                <w:szCs w:val="21"/>
              </w:rPr>
              <w:t>运营期</w:t>
            </w:r>
          </w:p>
        </w:tc>
        <w:tc>
          <w:tcPr>
            <w:tcW w:w="309" w:type="pct"/>
            <w:vMerge w:val="continue"/>
            <w:tcBorders>
              <w:tl2br w:val="nil"/>
              <w:tr2bl w:val="nil"/>
            </w:tcBorders>
            <w:shd w:val="clear" w:color="auto" w:fill="auto"/>
            <w:vAlign w:val="center"/>
          </w:tcPr>
          <w:p>
            <w:pPr>
              <w:jc w:val="center"/>
              <w:rPr>
                <w:rFonts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tcBorders>
              <w:tl2br w:val="nil"/>
              <w:tr2bl w:val="nil"/>
            </w:tcBorders>
            <w:shd w:val="clear" w:color="auto" w:fill="auto"/>
            <w:vAlign w:val="center"/>
          </w:tcPr>
          <w:p>
            <w:pPr>
              <w:jc w:val="center"/>
              <w:rPr>
                <w:rFonts w:cs="Times New Roman"/>
                <w:szCs w:val="21"/>
              </w:rPr>
            </w:pPr>
            <w:r>
              <w:rPr>
                <w:rFonts w:cs="Times New Roman"/>
                <w:szCs w:val="21"/>
              </w:rPr>
              <w:t>主体工程</w:t>
            </w: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生产车间</w:t>
            </w:r>
          </w:p>
        </w:tc>
        <w:tc>
          <w:tcPr>
            <w:tcW w:w="2337" w:type="pct"/>
            <w:tcBorders>
              <w:tl2br w:val="nil"/>
              <w:tr2bl w:val="nil"/>
            </w:tcBorders>
            <w:shd w:val="clear" w:color="auto" w:fill="auto"/>
            <w:vAlign w:val="center"/>
          </w:tcPr>
          <w:p>
            <w:pPr>
              <w:jc w:val="left"/>
              <w:rPr>
                <w:rFonts w:cs="Times New Roman"/>
                <w:snapToGrid w:val="0"/>
                <w:kern w:val="0"/>
                <w:szCs w:val="21"/>
              </w:rPr>
            </w:pPr>
            <w:r>
              <w:rPr>
                <w:rFonts w:cs="Times New Roman"/>
                <w:snapToGrid w:val="0"/>
                <w:kern w:val="0"/>
                <w:szCs w:val="21"/>
              </w:rPr>
              <w:t>湿法毡生产车间位于厂房北侧，H=17m，框架结构，占地面积约5000m</w:t>
            </w:r>
            <w:r>
              <w:rPr>
                <w:rFonts w:cs="Times New Roman"/>
                <w:snapToGrid w:val="0"/>
                <w:kern w:val="0"/>
                <w:szCs w:val="21"/>
                <w:vertAlign w:val="superscript"/>
              </w:rPr>
              <w:t>2</w:t>
            </w:r>
            <w:r>
              <w:rPr>
                <w:rFonts w:cs="Times New Roman"/>
                <w:snapToGrid w:val="0"/>
                <w:kern w:val="0"/>
                <w:szCs w:val="21"/>
              </w:rPr>
              <w:t>，2.1米的湿法毡生产线和2.6米的湿法毡生产线均位于该车间</w:t>
            </w:r>
          </w:p>
        </w:tc>
        <w:tc>
          <w:tcPr>
            <w:tcW w:w="584" w:type="pct"/>
            <w:vMerge w:val="restart"/>
            <w:tcBorders>
              <w:tl2br w:val="nil"/>
              <w:tr2bl w:val="nil"/>
            </w:tcBorders>
            <w:shd w:val="clear" w:color="auto" w:fill="auto"/>
            <w:vAlign w:val="center"/>
          </w:tcPr>
          <w:p>
            <w:pPr>
              <w:jc w:val="center"/>
              <w:rPr>
                <w:rFonts w:cs="Times New Roman"/>
                <w:szCs w:val="21"/>
              </w:rPr>
            </w:pPr>
            <w:r>
              <w:rPr>
                <w:rFonts w:cs="Times New Roman"/>
                <w:szCs w:val="21"/>
              </w:rPr>
              <w:t>施工废气</w:t>
            </w:r>
          </w:p>
          <w:p>
            <w:pPr>
              <w:jc w:val="center"/>
              <w:rPr>
                <w:rFonts w:cs="Times New Roman"/>
                <w:szCs w:val="21"/>
              </w:rPr>
            </w:pPr>
            <w:r>
              <w:rPr>
                <w:rFonts w:cs="Times New Roman"/>
                <w:szCs w:val="21"/>
              </w:rPr>
              <w:t>施工废水</w:t>
            </w:r>
          </w:p>
          <w:p>
            <w:pPr>
              <w:jc w:val="center"/>
              <w:rPr>
                <w:rFonts w:cs="Times New Roman"/>
                <w:szCs w:val="21"/>
              </w:rPr>
            </w:pPr>
            <w:r>
              <w:rPr>
                <w:rFonts w:cs="Times New Roman"/>
                <w:szCs w:val="21"/>
              </w:rPr>
              <w:t>生活污水</w:t>
            </w:r>
          </w:p>
          <w:p>
            <w:pPr>
              <w:jc w:val="center"/>
              <w:rPr>
                <w:rFonts w:cs="Times New Roman"/>
                <w:szCs w:val="21"/>
              </w:rPr>
            </w:pPr>
            <w:r>
              <w:rPr>
                <w:rFonts w:cs="Times New Roman"/>
                <w:szCs w:val="21"/>
              </w:rPr>
              <w:t>施工噪声</w:t>
            </w:r>
          </w:p>
          <w:p>
            <w:pPr>
              <w:jc w:val="center"/>
              <w:rPr>
                <w:rFonts w:cs="Times New Roman"/>
                <w:szCs w:val="21"/>
              </w:rPr>
            </w:pPr>
            <w:r>
              <w:rPr>
                <w:rFonts w:cs="Times New Roman"/>
                <w:szCs w:val="21"/>
              </w:rPr>
              <w:t>固体废物</w:t>
            </w:r>
          </w:p>
          <w:p>
            <w:pPr>
              <w:jc w:val="center"/>
              <w:rPr>
                <w:rFonts w:cs="Times New Roman"/>
                <w:szCs w:val="21"/>
              </w:rPr>
            </w:pPr>
          </w:p>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废气、噪声、固废</w:t>
            </w:r>
            <w:r>
              <w:rPr>
                <w:rFonts w:hint="eastAsia" w:cs="Times New Roman"/>
                <w:szCs w:val="21"/>
              </w:rPr>
              <w:t>、废水</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储运工程</w:t>
            </w:r>
          </w:p>
        </w:tc>
        <w:tc>
          <w:tcPr>
            <w:tcW w:w="964" w:type="pct"/>
            <w:gridSpan w:val="2"/>
            <w:tcBorders>
              <w:tl2br w:val="nil"/>
              <w:tr2bl w:val="nil"/>
            </w:tcBorders>
            <w:shd w:val="clear" w:color="auto" w:fill="auto"/>
            <w:vAlign w:val="center"/>
          </w:tcPr>
          <w:p>
            <w:pPr>
              <w:jc w:val="center"/>
              <w:rPr>
                <w:rFonts w:cs="Times New Roman"/>
                <w:szCs w:val="21"/>
                <w:highlight w:val="yellow"/>
              </w:rPr>
            </w:pPr>
            <w:r>
              <w:rPr>
                <w:rFonts w:cs="Times New Roman"/>
                <w:szCs w:val="21"/>
              </w:rPr>
              <w:t>原料储存区</w:t>
            </w:r>
          </w:p>
        </w:tc>
        <w:tc>
          <w:tcPr>
            <w:tcW w:w="2337" w:type="pct"/>
            <w:tcBorders>
              <w:tl2br w:val="nil"/>
              <w:tr2bl w:val="nil"/>
            </w:tcBorders>
            <w:shd w:val="clear" w:color="auto" w:fill="auto"/>
            <w:vAlign w:val="center"/>
          </w:tcPr>
          <w:p>
            <w:pPr>
              <w:rPr>
                <w:rFonts w:cs="Times New Roman"/>
                <w:szCs w:val="21"/>
              </w:rPr>
            </w:pPr>
            <w:r>
              <w:rPr>
                <w:rFonts w:cs="Times New Roman"/>
                <w:snapToGrid w:val="0"/>
                <w:kern w:val="0"/>
                <w:szCs w:val="21"/>
              </w:rPr>
              <w:t>位于车间东侧，占地面积约250m</w:t>
            </w:r>
            <w:r>
              <w:rPr>
                <w:rFonts w:cs="Times New Roman"/>
                <w:snapToGrid w:val="0"/>
                <w:kern w:val="0"/>
                <w:szCs w:val="21"/>
                <w:vertAlign w:val="superscript"/>
              </w:rPr>
              <w:t>2</w:t>
            </w:r>
            <w:r>
              <w:rPr>
                <w:rFonts w:cs="Times New Roman"/>
                <w:snapToGrid w:val="0"/>
                <w:kern w:val="0"/>
                <w:szCs w:val="21"/>
              </w:rPr>
              <w:t>，用于原料（</w:t>
            </w:r>
            <w:r>
              <w:rPr>
                <w:rFonts w:cs="Times New Roman"/>
                <w:bCs/>
                <w:szCs w:val="21"/>
              </w:rPr>
              <w:t>玻璃纤维短切原丝、加筋纱</w:t>
            </w:r>
            <w:r>
              <w:rPr>
                <w:rFonts w:cs="Times New Roman"/>
                <w:snapToGrid w:val="0"/>
                <w:kern w:val="0"/>
                <w:szCs w:val="21"/>
              </w:rPr>
              <w:t>）暂存。</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粉尘</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highlight w:val="yellow"/>
              </w:rPr>
            </w:pPr>
            <w:r>
              <w:rPr>
                <w:rFonts w:cs="Times New Roman"/>
                <w:szCs w:val="21"/>
              </w:rPr>
              <w:t>危化品仓库</w:t>
            </w:r>
          </w:p>
        </w:tc>
        <w:tc>
          <w:tcPr>
            <w:tcW w:w="2337" w:type="pct"/>
            <w:tcBorders>
              <w:tl2br w:val="nil"/>
              <w:tr2bl w:val="nil"/>
            </w:tcBorders>
            <w:shd w:val="clear" w:color="auto" w:fill="auto"/>
            <w:vAlign w:val="center"/>
          </w:tcPr>
          <w:p>
            <w:pPr>
              <w:rPr>
                <w:rFonts w:cs="Times New Roman"/>
                <w:snapToGrid w:val="0"/>
                <w:kern w:val="0"/>
                <w:szCs w:val="21"/>
              </w:rPr>
            </w:pPr>
            <w:r>
              <w:rPr>
                <w:rFonts w:cs="Times New Roman"/>
                <w:snapToGrid w:val="0"/>
                <w:kern w:val="0"/>
                <w:szCs w:val="21"/>
              </w:rPr>
              <w:t>位于危废暂存间西侧，占地面积约20m</w:t>
            </w:r>
            <w:r>
              <w:rPr>
                <w:rFonts w:cs="Times New Roman"/>
                <w:snapToGrid w:val="0"/>
                <w:kern w:val="0"/>
                <w:szCs w:val="21"/>
                <w:vertAlign w:val="superscript"/>
              </w:rPr>
              <w:t>2</w:t>
            </w:r>
            <w:r>
              <w:rPr>
                <w:rFonts w:cs="Times New Roman"/>
                <w:snapToGrid w:val="0"/>
                <w:kern w:val="0"/>
                <w:szCs w:val="21"/>
              </w:rPr>
              <w:t>，用于原辅料（水性功能乳液</w:t>
            </w:r>
            <w:r>
              <w:rPr>
                <w:rFonts w:cs="Times New Roman"/>
                <w:bCs/>
                <w:szCs w:val="21"/>
              </w:rPr>
              <w:t>、脲醛</w:t>
            </w:r>
            <w:r>
              <w:rPr>
                <w:rFonts w:hint="eastAsia" w:cs="Times New Roman"/>
                <w:bCs/>
                <w:szCs w:val="21"/>
                <w:lang w:val="en-US" w:eastAsia="zh-CN"/>
              </w:rPr>
              <w:t>胶</w:t>
            </w:r>
            <w:r>
              <w:rPr>
                <w:rFonts w:cs="Times New Roman"/>
                <w:bCs/>
                <w:szCs w:val="21"/>
              </w:rPr>
              <w:t>、</w:t>
            </w:r>
            <w:r>
              <w:rPr>
                <w:rFonts w:cs="Times New Roman" w:eastAsiaTheme="minorEastAsia"/>
                <w:bCs/>
                <w:szCs w:val="21"/>
              </w:rPr>
              <w:t>分散剂</w:t>
            </w:r>
            <w:r>
              <w:rPr>
                <w:rFonts w:cs="Times New Roman"/>
                <w:bCs/>
                <w:szCs w:val="21"/>
              </w:rPr>
              <w:t>、</w:t>
            </w:r>
            <w:r>
              <w:rPr>
                <w:rFonts w:cs="Times New Roman" w:eastAsiaTheme="minorEastAsia"/>
                <w:bCs/>
                <w:szCs w:val="21"/>
              </w:rPr>
              <w:t>增稠剂、消泡剂</w:t>
            </w:r>
            <w:r>
              <w:rPr>
                <w:rFonts w:cs="Times New Roman"/>
                <w:snapToGrid w:val="0"/>
                <w:kern w:val="0"/>
                <w:szCs w:val="21"/>
              </w:rPr>
              <w:t>）暂存</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风险</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highlight w:val="yellow"/>
              </w:rPr>
            </w:pPr>
            <w:r>
              <w:rPr>
                <w:rFonts w:cs="Times New Roman"/>
                <w:szCs w:val="21"/>
              </w:rPr>
              <w:t>成品区</w:t>
            </w:r>
          </w:p>
        </w:tc>
        <w:tc>
          <w:tcPr>
            <w:tcW w:w="2337" w:type="pct"/>
            <w:tcBorders>
              <w:tl2br w:val="nil"/>
              <w:tr2bl w:val="nil"/>
            </w:tcBorders>
            <w:shd w:val="clear" w:color="auto" w:fill="auto"/>
            <w:vAlign w:val="center"/>
          </w:tcPr>
          <w:p>
            <w:pPr>
              <w:rPr>
                <w:rFonts w:cs="Times New Roman"/>
                <w:szCs w:val="21"/>
              </w:rPr>
            </w:pPr>
            <w:r>
              <w:rPr>
                <w:rFonts w:cs="Times New Roman"/>
                <w:szCs w:val="21"/>
              </w:rPr>
              <w:t>位</w:t>
            </w:r>
            <w:r>
              <w:rPr>
                <w:rFonts w:cs="Times New Roman"/>
                <w:snapToGrid w:val="0"/>
                <w:kern w:val="0"/>
                <w:szCs w:val="21"/>
              </w:rPr>
              <w:t>于车间西侧，</w:t>
            </w:r>
            <w:r>
              <w:rPr>
                <w:rFonts w:cs="Times New Roman"/>
                <w:szCs w:val="21"/>
              </w:rPr>
              <w:t>占地面积</w:t>
            </w:r>
            <w:r>
              <w:rPr>
                <w:rFonts w:cs="Times New Roman"/>
                <w:snapToGrid w:val="0"/>
                <w:kern w:val="0"/>
                <w:szCs w:val="21"/>
              </w:rPr>
              <w:t>约</w:t>
            </w:r>
            <w:r>
              <w:rPr>
                <w:rFonts w:cs="Times New Roman"/>
                <w:szCs w:val="21"/>
              </w:rPr>
              <w:t>300m</w:t>
            </w:r>
            <w:r>
              <w:rPr>
                <w:rFonts w:cs="Times New Roman"/>
                <w:szCs w:val="21"/>
                <w:vertAlign w:val="superscript"/>
              </w:rPr>
              <w:t>2</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粉尘</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办公及生活工程</w:t>
            </w: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食堂</w:t>
            </w:r>
          </w:p>
        </w:tc>
        <w:tc>
          <w:tcPr>
            <w:tcW w:w="2337" w:type="pct"/>
            <w:tcBorders>
              <w:tl2br w:val="nil"/>
              <w:tr2bl w:val="nil"/>
            </w:tcBorders>
            <w:shd w:val="clear" w:color="auto" w:fill="auto"/>
            <w:vAlign w:val="center"/>
          </w:tcPr>
          <w:p>
            <w:pPr>
              <w:rPr>
                <w:rFonts w:cs="Times New Roman"/>
                <w:szCs w:val="21"/>
              </w:rPr>
            </w:pPr>
            <w:r>
              <w:rPr>
                <w:rFonts w:cs="Times New Roman"/>
                <w:szCs w:val="21"/>
              </w:rPr>
              <w:t>位于综合楼一楼，食堂占地面积约200m</w:t>
            </w:r>
            <w:r>
              <w:rPr>
                <w:rFonts w:cs="Times New Roman"/>
                <w:szCs w:val="21"/>
                <w:vertAlign w:val="superscript"/>
              </w:rPr>
              <w:t>2</w:t>
            </w:r>
            <w:r>
              <w:rPr>
                <w:rFonts w:cs="Times New Roman"/>
                <w:szCs w:val="21"/>
              </w:rPr>
              <w:t>。</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restart"/>
            <w:tcBorders>
              <w:tl2br w:val="nil"/>
              <w:tr2bl w:val="nil"/>
            </w:tcBorders>
            <w:shd w:val="clear" w:color="auto" w:fill="auto"/>
            <w:vAlign w:val="center"/>
          </w:tcPr>
          <w:p>
            <w:pPr>
              <w:jc w:val="center"/>
              <w:rPr>
                <w:rFonts w:cs="Times New Roman"/>
                <w:szCs w:val="21"/>
              </w:rPr>
            </w:pPr>
            <w:r>
              <w:rPr>
                <w:rFonts w:cs="Times New Roman"/>
                <w:szCs w:val="21"/>
              </w:rPr>
              <w:t>废气、废水、固废</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淋浴间</w:t>
            </w:r>
          </w:p>
        </w:tc>
        <w:tc>
          <w:tcPr>
            <w:tcW w:w="2337" w:type="pct"/>
            <w:tcBorders>
              <w:tl2br w:val="nil"/>
              <w:tr2bl w:val="nil"/>
            </w:tcBorders>
            <w:shd w:val="clear" w:color="auto" w:fill="auto"/>
            <w:vAlign w:val="center"/>
          </w:tcPr>
          <w:p>
            <w:pPr>
              <w:rPr>
                <w:rFonts w:cs="Times New Roman"/>
                <w:szCs w:val="21"/>
              </w:rPr>
            </w:pPr>
            <w:r>
              <w:rPr>
                <w:rFonts w:cs="Times New Roman"/>
                <w:szCs w:val="21"/>
              </w:rPr>
              <w:t>位于厂区西南侧，占地面积约70m</w:t>
            </w:r>
            <w:r>
              <w:rPr>
                <w:rFonts w:cs="Times New Roman"/>
                <w:szCs w:val="21"/>
                <w:vertAlign w:val="superscript"/>
              </w:rPr>
              <w:t>2</w:t>
            </w:r>
            <w:r>
              <w:rPr>
                <w:rFonts w:cs="Times New Roman"/>
                <w:szCs w:val="21"/>
              </w:rPr>
              <w:t>，用于员工洗漱。</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综合楼</w:t>
            </w:r>
          </w:p>
        </w:tc>
        <w:tc>
          <w:tcPr>
            <w:tcW w:w="2337" w:type="pct"/>
            <w:tcBorders>
              <w:tl2br w:val="nil"/>
              <w:tr2bl w:val="nil"/>
            </w:tcBorders>
            <w:shd w:val="clear" w:color="auto" w:fill="auto"/>
            <w:vAlign w:val="center"/>
          </w:tcPr>
          <w:p>
            <w:pPr>
              <w:rPr>
                <w:rFonts w:cs="Times New Roman"/>
                <w:szCs w:val="21"/>
              </w:rPr>
            </w:pPr>
            <w:r>
              <w:rPr>
                <w:rFonts w:cs="Times New Roman"/>
                <w:szCs w:val="21"/>
              </w:rPr>
              <w:t>1栋，占地面积约200m</w:t>
            </w:r>
            <w:r>
              <w:rPr>
                <w:rFonts w:cs="Times New Roman"/>
                <w:szCs w:val="21"/>
                <w:vertAlign w:val="superscript"/>
              </w:rPr>
              <w:t>2</w:t>
            </w:r>
            <w:r>
              <w:rPr>
                <w:rFonts w:cs="Times New Roman"/>
                <w:szCs w:val="21"/>
              </w:rPr>
              <w:t>，共5F，位于厂区东侧，1-3F为办公区，4-5F为倒班宿舍。</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辅助工程</w:t>
            </w:r>
          </w:p>
        </w:tc>
        <w:tc>
          <w:tcPr>
            <w:tcW w:w="964" w:type="pct"/>
            <w:gridSpan w:val="2"/>
            <w:tcBorders>
              <w:tl2br w:val="nil"/>
              <w:tr2bl w:val="nil"/>
            </w:tcBorders>
            <w:shd w:val="clear" w:color="auto" w:fill="auto"/>
            <w:vAlign w:val="center"/>
          </w:tcPr>
          <w:p>
            <w:pPr>
              <w:widowControl/>
              <w:jc w:val="center"/>
              <w:rPr>
                <w:rFonts w:cs="Times New Roman"/>
                <w:szCs w:val="21"/>
                <w:highlight w:val="yellow"/>
              </w:rPr>
            </w:pPr>
            <w:r>
              <w:rPr>
                <w:rFonts w:cs="Times New Roman"/>
                <w:szCs w:val="21"/>
              </w:rPr>
              <w:t>变电房</w:t>
            </w:r>
          </w:p>
        </w:tc>
        <w:tc>
          <w:tcPr>
            <w:tcW w:w="2337" w:type="pct"/>
            <w:tcBorders>
              <w:tl2br w:val="nil"/>
              <w:tr2bl w:val="nil"/>
            </w:tcBorders>
            <w:shd w:val="clear" w:color="auto" w:fill="auto"/>
            <w:vAlign w:val="center"/>
          </w:tcPr>
          <w:p>
            <w:pPr>
              <w:widowControl/>
              <w:jc w:val="center"/>
              <w:rPr>
                <w:rFonts w:cs="Times New Roman"/>
                <w:szCs w:val="21"/>
              </w:rPr>
            </w:pPr>
            <w:r>
              <w:rPr>
                <w:rFonts w:cs="Times New Roman"/>
                <w:snapToGrid w:val="0"/>
                <w:kern w:val="0"/>
                <w:szCs w:val="21"/>
              </w:rPr>
              <w:t>1间，</w:t>
            </w:r>
            <w:r>
              <w:rPr>
                <w:rFonts w:cs="Times New Roman"/>
                <w:szCs w:val="21"/>
              </w:rPr>
              <w:t>位于厂房车间内</w:t>
            </w:r>
            <w:r>
              <w:rPr>
                <w:rFonts w:cs="Times New Roman"/>
                <w:snapToGrid w:val="0"/>
                <w:kern w:val="0"/>
                <w:szCs w:val="21"/>
              </w:rPr>
              <w:t>，用于生产系统综合控制。</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widowControl/>
              <w:jc w:val="center"/>
              <w:rPr>
                <w:rFonts w:cs="Times New Roman"/>
                <w:szCs w:val="21"/>
                <w:highlight w:val="yellow"/>
              </w:rPr>
            </w:pPr>
            <w:r>
              <w:rPr>
                <w:rFonts w:cs="Times New Roman"/>
                <w:szCs w:val="21"/>
              </w:rPr>
              <w:t>机修房</w:t>
            </w:r>
          </w:p>
        </w:tc>
        <w:tc>
          <w:tcPr>
            <w:tcW w:w="2337" w:type="pct"/>
            <w:tcBorders>
              <w:tl2br w:val="nil"/>
              <w:tr2bl w:val="nil"/>
            </w:tcBorders>
            <w:shd w:val="clear" w:color="auto" w:fill="auto"/>
            <w:vAlign w:val="center"/>
          </w:tcPr>
          <w:p>
            <w:pPr>
              <w:widowControl/>
              <w:jc w:val="center"/>
              <w:rPr>
                <w:rFonts w:cs="Times New Roman"/>
                <w:szCs w:val="21"/>
              </w:rPr>
            </w:pPr>
            <w:r>
              <w:rPr>
                <w:rFonts w:cs="Times New Roman"/>
                <w:szCs w:val="21"/>
              </w:rPr>
              <w:t>机修间位于厂房车间内，项目仅涉及小修，设备更换机油等，大修全部外委。</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废机油、含油抹布及手套</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公用工程</w:t>
            </w: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供电</w:t>
            </w:r>
          </w:p>
        </w:tc>
        <w:tc>
          <w:tcPr>
            <w:tcW w:w="2337" w:type="pct"/>
            <w:tcBorders>
              <w:tl2br w:val="nil"/>
              <w:tr2bl w:val="nil"/>
            </w:tcBorders>
            <w:shd w:val="clear" w:color="auto" w:fill="auto"/>
            <w:vAlign w:val="center"/>
          </w:tcPr>
          <w:p>
            <w:pPr>
              <w:rPr>
                <w:rFonts w:cs="Times New Roman"/>
                <w:szCs w:val="21"/>
              </w:rPr>
            </w:pPr>
            <w:r>
              <w:rPr>
                <w:rFonts w:cs="Times New Roman"/>
                <w:szCs w:val="21"/>
              </w:rPr>
              <w:t>市政供电管网供给</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供水</w:t>
            </w:r>
          </w:p>
        </w:tc>
        <w:tc>
          <w:tcPr>
            <w:tcW w:w="2337" w:type="pct"/>
            <w:tcBorders>
              <w:tl2br w:val="nil"/>
              <w:tr2bl w:val="nil"/>
            </w:tcBorders>
            <w:shd w:val="clear" w:color="auto" w:fill="auto"/>
            <w:vAlign w:val="center"/>
          </w:tcPr>
          <w:p>
            <w:pPr>
              <w:rPr>
                <w:rFonts w:cs="Times New Roman"/>
                <w:szCs w:val="21"/>
              </w:rPr>
            </w:pPr>
            <w:r>
              <w:rPr>
                <w:rFonts w:cs="Times New Roman"/>
                <w:szCs w:val="21"/>
              </w:rPr>
              <w:t>市政管网给水</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供气</w:t>
            </w:r>
          </w:p>
        </w:tc>
        <w:tc>
          <w:tcPr>
            <w:tcW w:w="2337" w:type="pct"/>
            <w:tcBorders>
              <w:tl2br w:val="nil"/>
              <w:tr2bl w:val="nil"/>
            </w:tcBorders>
            <w:shd w:val="clear" w:color="auto" w:fill="auto"/>
            <w:vAlign w:val="center"/>
          </w:tcPr>
          <w:p>
            <w:pPr>
              <w:rPr>
                <w:rFonts w:cs="Times New Roman"/>
                <w:szCs w:val="21"/>
              </w:rPr>
            </w:pPr>
            <w:r>
              <w:rPr>
                <w:rFonts w:cs="Times New Roman"/>
                <w:szCs w:val="21"/>
              </w:rPr>
              <w:t>市政供气管网供气</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jc w:val="center"/>
              <w:rPr>
                <w:rFonts w:cs="Times New Roman"/>
                <w:szCs w:val="21"/>
              </w:rPr>
            </w:pPr>
            <w:r>
              <w:rPr>
                <w:rFonts w:cs="Times New Roman"/>
                <w:szCs w:val="21"/>
              </w:rPr>
              <w:t>排水</w:t>
            </w:r>
          </w:p>
        </w:tc>
        <w:tc>
          <w:tcPr>
            <w:tcW w:w="2337" w:type="pct"/>
            <w:tcBorders>
              <w:tl2br w:val="nil"/>
              <w:tr2bl w:val="nil"/>
            </w:tcBorders>
            <w:shd w:val="clear" w:color="auto" w:fill="auto"/>
            <w:vAlign w:val="center"/>
          </w:tcPr>
          <w:p>
            <w:pPr>
              <w:rPr>
                <w:rFonts w:cs="Times New Roman"/>
                <w:szCs w:val="21"/>
              </w:rPr>
            </w:pPr>
            <w:r>
              <w:rPr>
                <w:rFonts w:cs="Times New Roman"/>
                <w:szCs w:val="21"/>
              </w:rPr>
              <w:t>雨污分流，初期雨水进入雨水管网，项目生产废水回用，不外排；生活污水（食堂废水先经隔油池处理）经化粪池处理后排入园区管网进入柳池工业园区污水处理厂处理。</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tcPr>
          <w:p>
            <w:pPr>
              <w:jc w:val="center"/>
              <w:rPr>
                <w:rFonts w:cs="Times New Roman"/>
                <w:szCs w:val="21"/>
              </w:rPr>
            </w:pPr>
            <w:r>
              <w:rPr>
                <w:rFonts w:cs="Times New Roman"/>
                <w:szCs w:val="21"/>
              </w:rPr>
              <w:t>绿化</w:t>
            </w:r>
          </w:p>
        </w:tc>
        <w:tc>
          <w:tcPr>
            <w:tcW w:w="2337" w:type="pct"/>
            <w:tcBorders>
              <w:tl2br w:val="nil"/>
              <w:tr2bl w:val="nil"/>
            </w:tcBorders>
            <w:shd w:val="clear" w:color="auto" w:fill="auto"/>
          </w:tcPr>
          <w:p>
            <w:pPr>
              <w:jc w:val="center"/>
              <w:rPr>
                <w:rFonts w:cs="Times New Roman"/>
                <w:szCs w:val="21"/>
              </w:rPr>
            </w:pPr>
            <w:r>
              <w:rPr>
                <w:rFonts w:cs="Times New Roman"/>
                <w:szCs w:val="21"/>
              </w:rPr>
              <w:t>绿化面积 800m</w:t>
            </w:r>
            <w:r>
              <w:rPr>
                <w:rFonts w:cs="Times New Roman"/>
                <w:szCs w:val="21"/>
                <w:vertAlign w:val="superscript"/>
              </w:rPr>
              <w:t>2</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tcPr>
          <w:p>
            <w:pPr>
              <w:jc w:val="center"/>
              <w:rPr>
                <w:rFonts w:cs="Times New Roman"/>
                <w:szCs w:val="21"/>
              </w:rPr>
            </w:pPr>
            <w:r>
              <w:rPr>
                <w:rFonts w:cs="Times New Roman"/>
                <w:szCs w:val="21"/>
              </w:rPr>
              <w:t>道路</w:t>
            </w:r>
          </w:p>
        </w:tc>
        <w:tc>
          <w:tcPr>
            <w:tcW w:w="2337" w:type="pct"/>
            <w:tcBorders>
              <w:tl2br w:val="nil"/>
              <w:tr2bl w:val="nil"/>
            </w:tcBorders>
            <w:shd w:val="clear" w:color="auto" w:fill="auto"/>
          </w:tcPr>
          <w:p>
            <w:pPr>
              <w:jc w:val="center"/>
              <w:rPr>
                <w:rFonts w:cs="Times New Roman"/>
                <w:szCs w:val="21"/>
              </w:rPr>
            </w:pPr>
            <w:r>
              <w:rPr>
                <w:rFonts w:cs="Times New Roman"/>
                <w:szCs w:val="21"/>
              </w:rPr>
              <w:t>厂区内配套道路建设及围墙建设</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restart"/>
            <w:tcBorders>
              <w:tl2br w:val="nil"/>
              <w:tr2bl w:val="nil"/>
            </w:tcBorders>
            <w:shd w:val="clear" w:color="auto" w:fill="auto"/>
            <w:vAlign w:val="center"/>
          </w:tcPr>
          <w:p>
            <w:pPr>
              <w:jc w:val="center"/>
              <w:rPr>
                <w:rFonts w:cs="Times New Roman"/>
                <w:szCs w:val="21"/>
              </w:rPr>
            </w:pPr>
            <w:r>
              <w:rPr>
                <w:rFonts w:cs="Times New Roman"/>
                <w:szCs w:val="21"/>
              </w:rPr>
              <w:t>环保工程</w:t>
            </w: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bCs/>
                <w:szCs w:val="21"/>
              </w:rPr>
              <w:t>废气</w:t>
            </w:r>
          </w:p>
        </w:tc>
        <w:tc>
          <w:tcPr>
            <w:tcW w:w="651" w:type="pct"/>
            <w:tcBorders>
              <w:tl2br w:val="nil"/>
              <w:tr2bl w:val="nil"/>
            </w:tcBorders>
            <w:shd w:val="clear" w:color="auto" w:fill="auto"/>
            <w:vAlign w:val="center"/>
          </w:tcPr>
          <w:p>
            <w:pPr>
              <w:jc w:val="center"/>
              <w:rPr>
                <w:rFonts w:cs="Times New Roman"/>
                <w:bCs/>
                <w:kern w:val="0"/>
                <w:szCs w:val="21"/>
              </w:rPr>
            </w:pPr>
            <w:r>
              <w:rPr>
                <w:rFonts w:cs="Times New Roman"/>
                <w:bCs/>
                <w:kern w:val="0"/>
                <w:szCs w:val="21"/>
              </w:rPr>
              <w:t>原料在浸胶、烘干环节产生的废气</w:t>
            </w:r>
          </w:p>
        </w:tc>
        <w:tc>
          <w:tcPr>
            <w:tcW w:w="2337" w:type="pct"/>
            <w:tcBorders>
              <w:tl2br w:val="nil"/>
              <w:tr2bl w:val="nil"/>
            </w:tcBorders>
            <w:shd w:val="clear" w:color="auto" w:fill="auto"/>
            <w:vAlign w:val="center"/>
          </w:tcPr>
          <w:p>
            <w:pPr>
              <w:jc w:val="center"/>
              <w:rPr>
                <w:rFonts w:cs="Times New Roman"/>
                <w:bCs/>
                <w:szCs w:val="21"/>
              </w:rPr>
            </w:pPr>
            <w:r>
              <w:rPr>
                <w:rFonts w:cs="Times New Roman"/>
                <w:szCs w:val="21"/>
              </w:rPr>
              <w:t>经二级活性炭装置（一期和二期各一套）吸附处理后分别经一根18m高排气筒（DA005、DA006）排放</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cs="Times New Roman"/>
                <w:snapToGrid w:val="0"/>
                <w:kern w:val="0"/>
                <w:szCs w:val="21"/>
              </w:rPr>
            </w:pPr>
            <w:r>
              <w:rPr>
                <w:rFonts w:cs="Times New Roman"/>
                <w:szCs w:val="21"/>
              </w:rPr>
              <w:t>甲醛、氨、VOCs</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jc w:val="center"/>
              <w:rPr>
                <w:rFonts w:cs="Times New Roman"/>
                <w:bCs/>
                <w:kern w:val="0"/>
                <w:szCs w:val="21"/>
              </w:rPr>
            </w:pPr>
            <w:r>
              <w:rPr>
                <w:rFonts w:cs="Times New Roman"/>
                <w:bCs/>
                <w:kern w:val="0"/>
                <w:szCs w:val="21"/>
              </w:rPr>
              <w:t>天然气燃烧废气</w:t>
            </w:r>
          </w:p>
        </w:tc>
        <w:tc>
          <w:tcPr>
            <w:tcW w:w="2337" w:type="pct"/>
            <w:tcBorders>
              <w:tl2br w:val="nil"/>
              <w:tr2bl w:val="nil"/>
            </w:tcBorders>
            <w:shd w:val="clear" w:color="auto" w:fill="auto"/>
            <w:vAlign w:val="center"/>
          </w:tcPr>
          <w:p>
            <w:pPr>
              <w:jc w:val="center"/>
              <w:rPr>
                <w:rFonts w:cs="Times New Roman"/>
                <w:szCs w:val="21"/>
              </w:rPr>
            </w:pPr>
            <w:r>
              <w:rPr>
                <w:rFonts w:cs="Times New Roman"/>
                <w:szCs w:val="21"/>
              </w:rPr>
              <w:t>安装低氮燃烧器（一期和二期各一套）</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SO</w:t>
            </w:r>
            <w:r>
              <w:rPr>
                <w:rFonts w:cs="Times New Roman"/>
                <w:szCs w:val="21"/>
                <w:vertAlign w:val="subscript"/>
              </w:rPr>
              <w:t>2</w:t>
            </w:r>
            <w:r>
              <w:rPr>
                <w:rFonts w:cs="Times New Roman"/>
                <w:szCs w:val="21"/>
              </w:rPr>
              <w:t>、NOx</w:t>
            </w:r>
            <w:r>
              <w:rPr>
                <w:rFonts w:hint="eastAsia" w:cs="Times New Roman"/>
                <w:szCs w:val="21"/>
              </w:rPr>
              <w:t>、烟尘</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食堂油烟</w:t>
            </w:r>
          </w:p>
        </w:tc>
        <w:tc>
          <w:tcPr>
            <w:tcW w:w="2337" w:type="pc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食堂油烟经油烟净化器处理后外排</w:t>
            </w:r>
            <w:r>
              <w:rPr>
                <w:rFonts w:cs="Times New Roman"/>
                <w:bCs/>
                <w:szCs w:val="21"/>
                <w:lang w:bidi="ar"/>
              </w:rPr>
              <w:t>。</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油烟、废食用油</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废水</w:t>
            </w:r>
          </w:p>
        </w:tc>
        <w:tc>
          <w:tcPr>
            <w:tcW w:w="651"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设备清洗废水</w:t>
            </w:r>
          </w:p>
        </w:tc>
        <w:tc>
          <w:tcPr>
            <w:tcW w:w="2337" w:type="pct"/>
            <w:tcBorders>
              <w:tl2br w:val="nil"/>
              <w:tr2bl w:val="nil"/>
            </w:tcBorders>
            <w:shd w:val="clear" w:color="auto" w:fill="auto"/>
            <w:vAlign w:val="center"/>
          </w:tcPr>
          <w:p>
            <w:pPr>
              <w:jc w:val="left"/>
              <w:rPr>
                <w:rFonts w:cs="Times New Roman"/>
                <w:szCs w:val="21"/>
              </w:rPr>
            </w:pPr>
            <w:r>
              <w:rPr>
                <w:rFonts w:cs="Times New Roman"/>
                <w:szCs w:val="21"/>
              </w:rPr>
              <w:t>设备清洗废水集中收集于桶中，用于粘结剂的配制用水。</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hint="eastAsia" w:eastAsia="宋体" w:cs="Times New Roman"/>
                <w:snapToGrid w:val="0"/>
                <w:kern w:val="0"/>
                <w:szCs w:val="21"/>
                <w:lang w:val="en-US" w:eastAsia="zh-CN"/>
              </w:rPr>
            </w:pPr>
            <w:r>
              <w:rPr>
                <w:rFonts w:hint="eastAsia" w:cs="Times New Roman"/>
                <w:snapToGrid w:val="0"/>
                <w:kern w:val="0"/>
                <w:szCs w:val="21"/>
                <w:lang w:val="en-US" w:eastAsia="zh-CN"/>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hint="eastAsia" w:eastAsia="宋体" w:cs="Times New Roman"/>
                <w:szCs w:val="21"/>
                <w:lang w:val="en-US" w:eastAsia="zh-CN"/>
              </w:rPr>
            </w:pPr>
            <w:r>
              <w:rPr>
                <w:rFonts w:hint="eastAsia" w:cs="Times New Roman"/>
                <w:szCs w:val="21"/>
                <w:lang w:val="en-US" w:eastAsia="zh-CN"/>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生活污水</w:t>
            </w:r>
          </w:p>
          <w:p>
            <w:pPr>
              <w:adjustRightInd w:val="0"/>
              <w:snapToGrid w:val="0"/>
              <w:ind w:left="-48" w:leftChars="-23" w:right="-36" w:rightChars="-17"/>
              <w:jc w:val="center"/>
              <w:rPr>
                <w:rFonts w:cs="Times New Roman"/>
                <w:snapToGrid w:val="0"/>
                <w:kern w:val="0"/>
                <w:szCs w:val="21"/>
              </w:rPr>
            </w:pPr>
            <w:r>
              <w:rPr>
                <w:rFonts w:cs="Times New Roman"/>
                <w:szCs w:val="21"/>
              </w:rPr>
              <w:t>食堂废水</w:t>
            </w:r>
          </w:p>
        </w:tc>
        <w:tc>
          <w:tcPr>
            <w:tcW w:w="2337" w:type="pct"/>
            <w:tcBorders>
              <w:tl2br w:val="nil"/>
              <w:tr2bl w:val="nil"/>
            </w:tcBorders>
            <w:shd w:val="clear" w:color="auto" w:fill="auto"/>
            <w:vAlign w:val="center"/>
          </w:tcPr>
          <w:p>
            <w:pPr>
              <w:jc w:val="left"/>
              <w:rPr>
                <w:rFonts w:cs="Times New Roman"/>
                <w:szCs w:val="21"/>
              </w:rPr>
            </w:pPr>
            <w:r>
              <w:rPr>
                <w:rFonts w:cs="Times New Roman"/>
                <w:szCs w:val="21"/>
              </w:rPr>
              <w:t>食堂废水经隔油池（新增容积1m</w:t>
            </w:r>
            <w:r>
              <w:rPr>
                <w:rFonts w:cs="Times New Roman"/>
                <w:szCs w:val="21"/>
                <w:vertAlign w:val="superscript"/>
              </w:rPr>
              <w:t>3</w:t>
            </w:r>
            <w:r>
              <w:rPr>
                <w:rFonts w:cs="Times New Roman"/>
                <w:szCs w:val="21"/>
              </w:rPr>
              <w:t>）处理后同生活污水一同经厂区现有化粪池（30m</w:t>
            </w:r>
            <w:r>
              <w:rPr>
                <w:rFonts w:cs="Times New Roman"/>
                <w:szCs w:val="21"/>
                <w:vertAlign w:val="superscript"/>
              </w:rPr>
              <w:t>3</w:t>
            </w:r>
            <w:r>
              <w:rPr>
                <w:rFonts w:cs="Times New Roman"/>
                <w:szCs w:val="21"/>
              </w:rPr>
              <w:t>）处理后排入园区管网进入柳池工业园区污水处理厂处理。</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adjustRightInd w:val="0"/>
              <w:snapToGrid w:val="0"/>
              <w:ind w:left="-48" w:leftChars="-23" w:right="-36" w:rightChars="-17"/>
              <w:jc w:val="center"/>
              <w:rPr>
                <w:rFonts w:cs="Times New Roman"/>
                <w:snapToGrid w:val="0"/>
                <w:kern w:val="0"/>
                <w:szCs w:val="21"/>
              </w:rPr>
            </w:pPr>
            <w:r>
              <w:rPr>
                <w:rFonts w:cs="Times New Roman"/>
                <w:snapToGrid w:val="0"/>
                <w:kern w:val="0"/>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szCs w:val="21"/>
              </w:rPr>
              <w:t>固废</w:t>
            </w:r>
          </w:p>
        </w:tc>
        <w:tc>
          <w:tcPr>
            <w:tcW w:w="651"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一般固废</w:t>
            </w:r>
          </w:p>
        </w:tc>
        <w:tc>
          <w:tcPr>
            <w:tcW w:w="2337"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生活垃圾收集后交由环卫部门清运；餐厨垃圾交由有资质的单位处理；不合格品及边角料返回生产线重新利用；废包装材料外卖给废品回收单位</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szCs w:val="21"/>
              </w:rPr>
            </w:pPr>
          </w:p>
        </w:tc>
        <w:tc>
          <w:tcPr>
            <w:tcW w:w="651"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危废暂存间</w:t>
            </w:r>
          </w:p>
        </w:tc>
        <w:tc>
          <w:tcPr>
            <w:tcW w:w="2337"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lang w:bidi="ar"/>
              </w:rPr>
              <w:t>1间，位于生产车间东北侧，建筑面积15m</w:t>
            </w:r>
            <w:r>
              <w:rPr>
                <w:rFonts w:cs="Times New Roman"/>
                <w:szCs w:val="21"/>
                <w:vertAlign w:val="superscript"/>
                <w:lang w:bidi="ar"/>
              </w:rPr>
              <w:t>2</w:t>
            </w:r>
            <w:r>
              <w:rPr>
                <w:rFonts w:cs="Times New Roman"/>
                <w:szCs w:val="21"/>
                <w:lang w:bidi="ar"/>
              </w:rPr>
              <w:t>，用于危险废物暂存。</w:t>
            </w:r>
            <w:r>
              <w:rPr>
                <w:rFonts w:cs="Times New Roman"/>
                <w:szCs w:val="21"/>
              </w:rPr>
              <w:t>废危化品桶定期由厂家回收利用；废活性炭、废机油、含油抹布及手套</w:t>
            </w:r>
            <w:r>
              <w:rPr>
                <w:rFonts w:cs="Times New Roman" w:eastAsiaTheme="minorEastAsia"/>
                <w:szCs w:val="21"/>
              </w:rPr>
              <w:t>收集后暂存于危废暂存间，</w:t>
            </w:r>
            <w:r>
              <w:rPr>
                <w:rFonts w:cs="Times New Roman"/>
                <w:szCs w:val="21"/>
              </w:rPr>
              <w:t>交由有危废资质的单位进行处理。</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环境风险</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整改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964" w:type="pct"/>
            <w:gridSpan w:val="2"/>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噪声</w:t>
            </w:r>
          </w:p>
        </w:tc>
        <w:tc>
          <w:tcPr>
            <w:tcW w:w="2337" w:type="pct"/>
            <w:tcBorders>
              <w:tl2br w:val="nil"/>
              <w:tr2bl w:val="nil"/>
            </w:tcBorders>
            <w:shd w:val="clear" w:color="auto" w:fill="auto"/>
            <w:vAlign w:val="center"/>
          </w:tcPr>
          <w:p>
            <w:pPr>
              <w:tabs>
                <w:tab w:val="left" w:pos="993"/>
                <w:tab w:val="left" w:pos="1134"/>
              </w:tabs>
              <w:jc w:val="center"/>
              <w:rPr>
                <w:rFonts w:cs="Times New Roman"/>
                <w:szCs w:val="21"/>
                <w:lang w:bidi="ar"/>
              </w:rPr>
            </w:pPr>
            <w:r>
              <w:rPr>
                <w:rFonts w:cs="Times New Roman"/>
                <w:szCs w:val="21"/>
              </w:rPr>
              <w:t>选用低噪声设备，合理布局、采取减震措施，厂房隔声等</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tcBorders>
              <w:tl2br w:val="nil"/>
              <w:tr2bl w:val="nil"/>
            </w:tcBorders>
            <w:shd w:val="clear" w:color="auto" w:fill="auto"/>
            <w:vAlign w:val="center"/>
          </w:tcPr>
          <w:p>
            <w:pPr>
              <w:jc w:val="center"/>
              <w:rPr>
                <w:rFonts w:cs="Times New Roman"/>
                <w:szCs w:val="21"/>
              </w:rPr>
            </w:pPr>
            <w:r>
              <w:rPr>
                <w:rFonts w:cs="Times New Roman"/>
                <w:szCs w:val="21"/>
              </w:rPr>
              <w:t>/</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改扩建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restart"/>
            <w:tcBorders>
              <w:tl2br w:val="nil"/>
              <w:tr2bl w:val="nil"/>
            </w:tcBorders>
            <w:shd w:val="clear" w:color="auto" w:fill="auto"/>
            <w:vAlign w:val="center"/>
          </w:tcPr>
          <w:p>
            <w:pPr>
              <w:tabs>
                <w:tab w:val="left" w:pos="993"/>
                <w:tab w:val="left" w:pos="1134"/>
              </w:tabs>
              <w:jc w:val="center"/>
              <w:rPr>
                <w:rFonts w:cs="Times New Roman"/>
                <w:bCs/>
                <w:szCs w:val="21"/>
              </w:rPr>
            </w:pPr>
            <w:r>
              <w:rPr>
                <w:rFonts w:cs="Times New Roman"/>
                <w:bCs/>
                <w:szCs w:val="21"/>
              </w:rPr>
              <w:t>地下水防渗</w:t>
            </w:r>
          </w:p>
        </w:tc>
        <w:tc>
          <w:tcPr>
            <w:tcW w:w="651" w:type="pct"/>
            <w:vMerge w:val="restar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重点防渗区</w:t>
            </w:r>
          </w:p>
        </w:tc>
        <w:tc>
          <w:tcPr>
            <w:tcW w:w="2337" w:type="pct"/>
            <w:tcBorders>
              <w:tl2br w:val="nil"/>
              <w:tr2bl w:val="nil"/>
            </w:tcBorders>
            <w:shd w:val="clear" w:color="auto" w:fill="auto"/>
            <w:vAlign w:val="center"/>
          </w:tcPr>
          <w:p>
            <w:pPr>
              <w:tabs>
                <w:tab w:val="left" w:pos="993"/>
                <w:tab w:val="left" w:pos="1134"/>
              </w:tabs>
              <w:rPr>
                <w:rFonts w:cs="Times New Roman"/>
                <w:szCs w:val="21"/>
                <w:lang w:bidi="ar"/>
              </w:rPr>
            </w:pPr>
            <w:r>
              <w:rPr>
                <w:rFonts w:cs="Times New Roman"/>
                <w:szCs w:val="21"/>
                <w:lang w:bidi="ar"/>
              </w:rPr>
              <w:t>危废暂存间采取了防渗混凝土，铺设了高密度聚乙烯材料，采取的防渗措施可达到防渗层渗透系数≤10</w:t>
            </w:r>
            <w:r>
              <w:rPr>
                <w:rFonts w:cs="Times New Roman"/>
                <w:szCs w:val="21"/>
                <w:vertAlign w:val="superscript"/>
                <w:lang w:bidi="ar"/>
              </w:rPr>
              <w:t>-10</w:t>
            </w:r>
            <w:r>
              <w:rPr>
                <w:rFonts w:cs="Times New Roman"/>
                <w:szCs w:val="21"/>
                <w:lang w:bidi="ar"/>
              </w:rPr>
              <w:t>cm/s要求。危废暂存间设置了围堰。</w:t>
            </w:r>
          </w:p>
          <w:p>
            <w:pPr>
              <w:tabs>
                <w:tab w:val="left" w:pos="993"/>
                <w:tab w:val="left" w:pos="1134"/>
              </w:tabs>
              <w:rPr>
                <w:rFonts w:cs="Times New Roman"/>
                <w:szCs w:val="21"/>
              </w:rPr>
            </w:pPr>
            <w:r>
              <w:rPr>
                <w:rFonts w:cs="Times New Roman"/>
                <w:szCs w:val="21"/>
                <w:lang w:bidi="ar"/>
              </w:rPr>
              <w:t>化粪池采取了防渗混凝土，采取的防渗措施可达到防渗层渗透系数≤10</w:t>
            </w:r>
            <w:r>
              <w:rPr>
                <w:rFonts w:cs="Times New Roman"/>
                <w:szCs w:val="21"/>
                <w:vertAlign w:val="superscript"/>
                <w:lang w:bidi="ar"/>
              </w:rPr>
              <w:t>-7</w:t>
            </w:r>
            <w:r>
              <w:rPr>
                <w:rFonts w:cs="Times New Roman"/>
                <w:szCs w:val="21"/>
                <w:lang w:bidi="ar"/>
              </w:rPr>
              <w:t>cm/s要求。</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restart"/>
            <w:tcBorders>
              <w:tl2br w:val="nil"/>
              <w:tr2bl w:val="nil"/>
            </w:tcBorders>
            <w:shd w:val="clear" w:color="auto" w:fill="auto"/>
            <w:vAlign w:val="center"/>
          </w:tcPr>
          <w:p>
            <w:pPr>
              <w:jc w:val="center"/>
              <w:rPr>
                <w:rFonts w:cs="Times New Roman"/>
                <w:szCs w:val="21"/>
              </w:rPr>
            </w:pPr>
            <w:r>
              <w:rPr>
                <w:rFonts w:cs="Times New Roman"/>
                <w:szCs w:val="21"/>
              </w:rPr>
              <w:t>环境风险</w:t>
            </w: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vMerge w:val="continue"/>
            <w:tcBorders>
              <w:tl2br w:val="nil"/>
              <w:tr2bl w:val="nil"/>
            </w:tcBorders>
            <w:shd w:val="clear" w:color="auto" w:fill="auto"/>
            <w:vAlign w:val="center"/>
          </w:tcPr>
          <w:p>
            <w:pPr>
              <w:tabs>
                <w:tab w:val="left" w:pos="993"/>
                <w:tab w:val="left" w:pos="1134"/>
              </w:tabs>
              <w:jc w:val="center"/>
              <w:rPr>
                <w:rFonts w:cs="Times New Roman"/>
                <w:szCs w:val="21"/>
              </w:rPr>
            </w:pPr>
          </w:p>
        </w:tc>
        <w:tc>
          <w:tcPr>
            <w:tcW w:w="2337" w:type="pct"/>
            <w:tcBorders>
              <w:tl2br w:val="nil"/>
              <w:tr2bl w:val="nil"/>
            </w:tcBorders>
            <w:shd w:val="clear" w:color="auto" w:fill="auto"/>
            <w:vAlign w:val="center"/>
          </w:tcPr>
          <w:p>
            <w:pPr>
              <w:tabs>
                <w:tab w:val="left" w:pos="993"/>
                <w:tab w:val="left" w:pos="1134"/>
              </w:tabs>
              <w:rPr>
                <w:rFonts w:cs="Times New Roman"/>
                <w:szCs w:val="21"/>
                <w:lang w:bidi="ar"/>
              </w:rPr>
            </w:pPr>
            <w:r>
              <w:rPr>
                <w:rFonts w:cs="Times New Roman"/>
                <w:szCs w:val="21"/>
                <w:lang w:bidi="ar"/>
              </w:rPr>
              <w:t>危化品暂存间采取防渗混凝土+高密度聚乙烯材料进行重点防渗。防渗层渗透系数达≤10</w:t>
            </w:r>
            <w:r>
              <w:rPr>
                <w:rFonts w:cs="Times New Roman"/>
                <w:szCs w:val="21"/>
                <w:vertAlign w:val="superscript"/>
                <w:lang w:bidi="ar"/>
              </w:rPr>
              <w:t>-7</w:t>
            </w:r>
            <w:r>
              <w:rPr>
                <w:rFonts w:cs="Times New Roman"/>
                <w:szCs w:val="21"/>
                <w:lang w:bidi="ar"/>
              </w:rPr>
              <w:t>cm/s要求，并在液体储存区设置0.1m高围堰</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358" w:type="pct"/>
            <w:vMerge w:val="continue"/>
            <w:tcBorders>
              <w:tl2br w:val="nil"/>
              <w:tr2bl w:val="nil"/>
            </w:tcBorders>
            <w:shd w:val="clear" w:color="auto" w:fill="auto"/>
            <w:vAlign w:val="center"/>
          </w:tcPr>
          <w:p>
            <w:pPr>
              <w:jc w:val="center"/>
              <w:rPr>
                <w:rFonts w:cs="Times New Roman"/>
                <w:szCs w:val="21"/>
              </w:rPr>
            </w:pPr>
          </w:p>
        </w:tc>
        <w:tc>
          <w:tcPr>
            <w:tcW w:w="312" w:type="pct"/>
            <w:vMerge w:val="continue"/>
            <w:tcBorders>
              <w:tl2br w:val="nil"/>
              <w:tr2bl w:val="nil"/>
            </w:tcBorders>
            <w:shd w:val="clear" w:color="auto" w:fill="auto"/>
            <w:vAlign w:val="center"/>
          </w:tcPr>
          <w:p>
            <w:pPr>
              <w:tabs>
                <w:tab w:val="left" w:pos="993"/>
                <w:tab w:val="left" w:pos="1134"/>
              </w:tabs>
              <w:jc w:val="center"/>
              <w:rPr>
                <w:rFonts w:cs="Times New Roman"/>
                <w:bCs/>
                <w:szCs w:val="21"/>
              </w:rPr>
            </w:pPr>
          </w:p>
        </w:tc>
        <w:tc>
          <w:tcPr>
            <w:tcW w:w="651" w:type="pct"/>
            <w:tcBorders>
              <w:tl2br w:val="nil"/>
              <w:tr2bl w:val="nil"/>
            </w:tcBorders>
            <w:shd w:val="clear" w:color="auto" w:fill="auto"/>
            <w:vAlign w:val="center"/>
          </w:tcPr>
          <w:p>
            <w:pPr>
              <w:tabs>
                <w:tab w:val="left" w:pos="993"/>
                <w:tab w:val="left" w:pos="1134"/>
              </w:tabs>
              <w:jc w:val="center"/>
              <w:rPr>
                <w:rFonts w:cs="Times New Roman"/>
                <w:szCs w:val="21"/>
              </w:rPr>
            </w:pPr>
            <w:r>
              <w:rPr>
                <w:rFonts w:cs="Times New Roman"/>
                <w:szCs w:val="21"/>
              </w:rPr>
              <w:t>一般防渗区</w:t>
            </w:r>
          </w:p>
        </w:tc>
        <w:tc>
          <w:tcPr>
            <w:tcW w:w="2337" w:type="pct"/>
            <w:tcBorders>
              <w:tl2br w:val="nil"/>
              <w:tr2bl w:val="nil"/>
            </w:tcBorders>
            <w:shd w:val="clear" w:color="auto" w:fill="auto"/>
            <w:vAlign w:val="center"/>
          </w:tcPr>
          <w:p>
            <w:pPr>
              <w:tabs>
                <w:tab w:val="left" w:pos="993"/>
                <w:tab w:val="left" w:pos="1134"/>
              </w:tabs>
              <w:rPr>
                <w:rFonts w:cs="Times New Roman"/>
                <w:szCs w:val="21"/>
              </w:rPr>
            </w:pPr>
            <w:r>
              <w:rPr>
                <w:rFonts w:cs="Times New Roman"/>
                <w:szCs w:val="21"/>
              </w:rPr>
              <w:t>其他生产区域和办公区域</w:t>
            </w:r>
            <w:r>
              <w:rPr>
                <w:rFonts w:cs="Times New Roman"/>
                <w:szCs w:val="21"/>
                <w:lang w:bidi="ar"/>
              </w:rPr>
              <w:t>采用防渗混凝土防渗，满足一般防渗要求</w:t>
            </w:r>
          </w:p>
        </w:tc>
        <w:tc>
          <w:tcPr>
            <w:tcW w:w="584" w:type="pct"/>
            <w:vMerge w:val="continue"/>
            <w:tcBorders>
              <w:tl2br w:val="nil"/>
              <w:tr2bl w:val="nil"/>
            </w:tcBorders>
            <w:shd w:val="clear" w:color="auto" w:fill="auto"/>
            <w:vAlign w:val="center"/>
          </w:tcPr>
          <w:p>
            <w:pPr>
              <w:jc w:val="center"/>
              <w:rPr>
                <w:rFonts w:cs="Times New Roman"/>
                <w:szCs w:val="21"/>
              </w:rPr>
            </w:pPr>
          </w:p>
        </w:tc>
        <w:tc>
          <w:tcPr>
            <w:tcW w:w="446" w:type="pct"/>
            <w:vMerge w:val="continue"/>
            <w:tcBorders>
              <w:tl2br w:val="nil"/>
              <w:tr2bl w:val="nil"/>
            </w:tcBorders>
            <w:shd w:val="clear" w:color="auto" w:fill="auto"/>
            <w:vAlign w:val="center"/>
          </w:tcPr>
          <w:p>
            <w:pPr>
              <w:jc w:val="center"/>
              <w:rPr>
                <w:rFonts w:cs="Times New Roman"/>
                <w:szCs w:val="21"/>
              </w:rPr>
            </w:pPr>
          </w:p>
        </w:tc>
        <w:tc>
          <w:tcPr>
            <w:tcW w:w="309" w:type="pct"/>
            <w:tcBorders>
              <w:tl2br w:val="nil"/>
              <w:tr2bl w:val="nil"/>
            </w:tcBorders>
            <w:shd w:val="clear" w:color="auto" w:fill="auto"/>
            <w:vAlign w:val="center"/>
          </w:tcPr>
          <w:p>
            <w:pPr>
              <w:adjustRightInd w:val="0"/>
              <w:snapToGrid w:val="0"/>
              <w:ind w:left="-48" w:leftChars="-23" w:right="-36" w:rightChars="-17"/>
              <w:jc w:val="center"/>
              <w:rPr>
                <w:rFonts w:cs="Times New Roman"/>
                <w:szCs w:val="21"/>
              </w:rPr>
            </w:pPr>
            <w:r>
              <w:rPr>
                <w:rFonts w:cs="Times New Roman"/>
                <w:szCs w:val="21"/>
              </w:rPr>
              <w:t>依托</w:t>
            </w:r>
          </w:p>
        </w:tc>
      </w:tr>
    </w:tbl>
    <w:p>
      <w:pPr>
        <w:spacing w:line="360" w:lineRule="auto"/>
        <w:ind w:firstLine="480" w:firstLineChars="200"/>
        <w:rPr>
          <w:rFonts w:cs="Times New Roman"/>
          <w:sz w:val="24"/>
          <w:szCs w:val="24"/>
        </w:rPr>
      </w:pPr>
    </w:p>
    <w:p>
      <w:pPr>
        <w:pStyle w:val="4"/>
        <w:rPr>
          <w:rFonts w:cs="Times New Roman"/>
        </w:rPr>
      </w:pPr>
      <w:r>
        <w:rPr>
          <w:rFonts w:cs="Times New Roman"/>
        </w:rPr>
        <w:t>2.2 大气污染源源强分析</w:t>
      </w:r>
    </w:p>
    <w:p>
      <w:pPr>
        <w:pStyle w:val="5"/>
        <w:rPr>
          <w:rFonts w:hint="default" w:ascii="Times New Roman" w:hAnsi="Times New Roman"/>
        </w:rPr>
      </w:pPr>
      <w:r>
        <w:rPr>
          <w:rFonts w:hint="default" w:ascii="Times New Roman" w:hAnsi="Times New Roman"/>
        </w:rPr>
        <w:t>2.2.1 正常工况废气源强分析</w:t>
      </w:r>
    </w:p>
    <w:p>
      <w:pPr>
        <w:spacing w:line="360" w:lineRule="auto"/>
        <w:ind w:firstLine="482" w:firstLineChars="200"/>
        <w:rPr>
          <w:rFonts w:cs="Times New Roman"/>
          <w:b/>
          <w:sz w:val="24"/>
          <w:szCs w:val="24"/>
        </w:rPr>
      </w:pPr>
      <w:r>
        <w:rPr>
          <w:rFonts w:cs="Times New Roman"/>
          <w:b/>
          <w:sz w:val="24"/>
          <w:szCs w:val="24"/>
        </w:rPr>
        <w:t>1、产排污环节、污染物种类、产生量核算</w:t>
      </w:r>
    </w:p>
    <w:p>
      <w:pPr>
        <w:spacing w:line="360" w:lineRule="auto"/>
        <w:ind w:firstLine="480" w:firstLineChars="200"/>
        <w:rPr>
          <w:rFonts w:cs="Times New Roman"/>
          <w:sz w:val="24"/>
          <w:szCs w:val="24"/>
        </w:rPr>
      </w:pPr>
      <w:r>
        <w:rPr>
          <w:rFonts w:cs="Times New Roman"/>
          <w:sz w:val="24"/>
          <w:szCs w:val="24"/>
        </w:rPr>
        <w:t>项目运营期废气主要是2100/2600湿法薄毡生产线浸胶工序产生的VOCs和甲醛以及烘干工序产生的废气（甲醛、VOCs、氨、SO</w:t>
      </w:r>
      <w:r>
        <w:rPr>
          <w:rFonts w:cs="Times New Roman"/>
          <w:sz w:val="24"/>
          <w:szCs w:val="24"/>
          <w:vertAlign w:val="subscript"/>
        </w:rPr>
        <w:t>2</w:t>
      </w:r>
      <w:r>
        <w:rPr>
          <w:rFonts w:cs="Times New Roman"/>
          <w:sz w:val="24"/>
          <w:szCs w:val="24"/>
        </w:rPr>
        <w:t>、NOx）、油烟废气。</w:t>
      </w:r>
    </w:p>
    <w:p>
      <w:pPr>
        <w:spacing w:line="360" w:lineRule="auto"/>
        <w:ind w:firstLine="482" w:firstLineChars="200"/>
        <w:rPr>
          <w:rFonts w:cs="Times New Roman"/>
          <w:b/>
          <w:bCs/>
          <w:sz w:val="24"/>
          <w:szCs w:val="24"/>
        </w:rPr>
      </w:pPr>
      <w:r>
        <w:rPr>
          <w:rFonts w:cs="Times New Roman"/>
          <w:b/>
          <w:bCs/>
          <w:sz w:val="24"/>
          <w:szCs w:val="24"/>
        </w:rPr>
        <w:t>（1）2100湿法薄毡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sz w:val="24"/>
          <w:szCs w:val="24"/>
        </w:rPr>
      </w:pPr>
      <w:r>
        <w:rPr>
          <w:rFonts w:cs="Times New Roman"/>
          <w:sz w:val="24"/>
          <w:szCs w:val="24"/>
        </w:rPr>
        <w:t>项目使用粘结剂均为水基型胶粘剂，该生产线</w:t>
      </w:r>
      <w:r>
        <w:rPr>
          <w:rFonts w:hint="eastAsia" w:cs="Times New Roman"/>
          <w:sz w:val="24"/>
          <w:szCs w:val="24"/>
          <w:lang w:val="en-US" w:eastAsia="zh-CN"/>
        </w:rPr>
        <w:t>水性功能乳液</w:t>
      </w:r>
      <w:r>
        <w:rPr>
          <w:rFonts w:cs="Times New Roman"/>
          <w:sz w:val="24"/>
          <w:szCs w:val="24"/>
        </w:rPr>
        <w:t>年用量为455t/a，脲醛</w:t>
      </w:r>
      <w:r>
        <w:rPr>
          <w:rFonts w:hint="eastAsia" w:cs="Times New Roman"/>
          <w:sz w:val="24"/>
          <w:szCs w:val="24"/>
          <w:lang w:val="en-US" w:eastAsia="zh-CN"/>
        </w:rPr>
        <w:t>胶</w:t>
      </w:r>
      <w:r>
        <w:rPr>
          <w:rFonts w:cs="Times New Roman"/>
          <w:sz w:val="24"/>
          <w:szCs w:val="24"/>
        </w:rPr>
        <w:t>年用量为845t/a。在浸胶与烘干环节，均有废气产生。（330d，24h）</w:t>
      </w:r>
    </w:p>
    <w:p>
      <w:pPr>
        <w:spacing w:line="360" w:lineRule="auto"/>
        <w:ind w:firstLine="482" w:firstLineChars="200"/>
        <w:rPr>
          <w:rFonts w:cs="Times New Roman"/>
          <w:b/>
          <w:bCs/>
          <w:sz w:val="24"/>
          <w:szCs w:val="24"/>
        </w:rPr>
      </w:pPr>
      <w:r>
        <w:rPr>
          <w:rFonts w:cs="Times New Roman"/>
          <w:b/>
          <w:bCs/>
          <w:sz w:val="24"/>
          <w:szCs w:val="24"/>
        </w:rPr>
        <w:t>甲醛</w:t>
      </w:r>
    </w:p>
    <w:p>
      <w:pPr>
        <w:spacing w:line="360" w:lineRule="auto"/>
        <w:ind w:firstLine="480" w:firstLineChars="200"/>
        <w:rPr>
          <w:rFonts w:cs="Times New Roman"/>
          <w:sz w:val="24"/>
          <w:szCs w:val="24"/>
        </w:rPr>
      </w:pPr>
      <w:r>
        <w:rPr>
          <w:rFonts w:cs="Times New Roman"/>
          <w:sz w:val="24"/>
          <w:szCs w:val="24"/>
        </w:rPr>
        <w:t>该生产线使用脲醛</w:t>
      </w:r>
      <w:r>
        <w:rPr>
          <w:rFonts w:hint="eastAsia" w:cs="Times New Roman"/>
          <w:sz w:val="24"/>
          <w:szCs w:val="24"/>
          <w:lang w:val="en-US" w:eastAsia="zh-CN"/>
        </w:rPr>
        <w:t>胶</w:t>
      </w:r>
      <w:r>
        <w:rPr>
          <w:rFonts w:cs="Times New Roman"/>
          <w:sz w:val="24"/>
          <w:szCs w:val="24"/>
        </w:rPr>
        <w:t>用量为845t/a，根据企业提供成分可知，项目使用的脲醛</w:t>
      </w:r>
      <w:r>
        <w:rPr>
          <w:rFonts w:hint="eastAsia" w:cs="Times New Roman"/>
          <w:sz w:val="24"/>
          <w:szCs w:val="24"/>
          <w:lang w:val="en-US" w:eastAsia="zh-CN"/>
        </w:rPr>
        <w:t>胶</w:t>
      </w:r>
      <w:r>
        <w:rPr>
          <w:rFonts w:cs="Times New Roman"/>
          <w:sz w:val="24"/>
          <w:szCs w:val="24"/>
        </w:rPr>
        <w:t>中游离甲醛的含量≤0.3%，按最不利情况游离甲醛完全挥发，按0.3%计算，脲醛</w:t>
      </w:r>
      <w:r>
        <w:rPr>
          <w:rFonts w:hint="eastAsia" w:cs="Times New Roman"/>
          <w:sz w:val="24"/>
          <w:szCs w:val="24"/>
          <w:lang w:val="en-US" w:eastAsia="zh-CN"/>
        </w:rPr>
        <w:t>胶</w:t>
      </w:r>
      <w:r>
        <w:rPr>
          <w:rFonts w:cs="Times New Roman"/>
          <w:sz w:val="24"/>
          <w:szCs w:val="24"/>
        </w:rPr>
        <w:t>中游离甲醛的年最大产生量为2.535t/a，产生速率为0.320kg/h。</w:t>
      </w:r>
    </w:p>
    <w:p>
      <w:pPr>
        <w:spacing w:line="360" w:lineRule="auto"/>
        <w:ind w:firstLine="482" w:firstLineChars="200"/>
        <w:rPr>
          <w:rFonts w:cs="Times New Roman"/>
          <w:b/>
          <w:bCs/>
          <w:sz w:val="24"/>
          <w:szCs w:val="24"/>
        </w:rPr>
      </w:pPr>
      <w:r>
        <w:rPr>
          <w:rFonts w:cs="Times New Roman"/>
          <w:b/>
          <w:bCs/>
          <w:sz w:val="24"/>
          <w:szCs w:val="24"/>
        </w:rPr>
        <w:t>氨</w:t>
      </w:r>
    </w:p>
    <w:p>
      <w:pPr>
        <w:spacing w:line="360" w:lineRule="auto"/>
        <w:ind w:firstLine="480" w:firstLineChars="200"/>
        <w:rPr>
          <w:rFonts w:cs="Times New Roman"/>
          <w:sz w:val="24"/>
          <w:szCs w:val="24"/>
        </w:rPr>
      </w:pPr>
      <w:r>
        <w:rPr>
          <w:rFonts w:cs="Times New Roman"/>
          <w:sz w:val="24"/>
          <w:szCs w:val="24"/>
        </w:rPr>
        <w:t>考虑脲醛</w:t>
      </w:r>
      <w:r>
        <w:rPr>
          <w:rFonts w:hint="eastAsia" w:cs="Times New Roman"/>
          <w:sz w:val="24"/>
          <w:szCs w:val="24"/>
          <w:lang w:val="en-US" w:eastAsia="zh-CN"/>
        </w:rPr>
        <w:t>胶</w:t>
      </w:r>
      <w:r>
        <w:rPr>
          <w:rFonts w:cs="Times New Roman"/>
          <w:sz w:val="24"/>
          <w:szCs w:val="24"/>
        </w:rPr>
        <w:t>加热到200摄氏度以上，可能分解产生的污染物会有氨，产生量按照脲醛</w:t>
      </w:r>
      <w:r>
        <w:rPr>
          <w:rFonts w:hint="eastAsia" w:cs="Times New Roman"/>
          <w:sz w:val="24"/>
          <w:szCs w:val="24"/>
          <w:lang w:val="en-US" w:eastAsia="zh-CN"/>
        </w:rPr>
        <w:t>胶</w:t>
      </w:r>
      <w:r>
        <w:rPr>
          <w:rFonts w:cs="Times New Roman"/>
          <w:sz w:val="24"/>
          <w:szCs w:val="24"/>
        </w:rPr>
        <w:t>用量的万分之一考虑，则氨的产生量为0.085t/a，产生速率为0.011kg/h。</w:t>
      </w:r>
    </w:p>
    <w:p>
      <w:pPr>
        <w:spacing w:line="360" w:lineRule="auto"/>
        <w:ind w:firstLine="482" w:firstLineChars="200"/>
        <w:rPr>
          <w:rFonts w:cs="Times New Roman"/>
          <w:b/>
          <w:bCs/>
          <w:sz w:val="24"/>
          <w:szCs w:val="24"/>
        </w:rPr>
      </w:pPr>
      <w:r>
        <w:rPr>
          <w:rFonts w:cs="Times New Roman"/>
          <w:b/>
          <w:bCs/>
          <w:sz w:val="24"/>
          <w:szCs w:val="24"/>
        </w:rPr>
        <w:t>VOCs</w:t>
      </w:r>
    </w:p>
    <w:p>
      <w:pPr>
        <w:spacing w:line="360" w:lineRule="auto"/>
        <w:ind w:firstLine="480" w:firstLineChars="200"/>
        <w:rPr>
          <w:rFonts w:cs="Times New Roman"/>
          <w:sz w:val="24"/>
          <w:szCs w:val="24"/>
        </w:rPr>
      </w:pPr>
      <w:r>
        <w:rPr>
          <w:rFonts w:cs="Times New Roman"/>
          <w:sz w:val="24"/>
          <w:szCs w:val="24"/>
        </w:rPr>
        <w:t>该生产线使用</w:t>
      </w:r>
      <w:r>
        <w:rPr>
          <w:rFonts w:hint="eastAsia" w:cs="Times New Roman"/>
          <w:sz w:val="24"/>
          <w:szCs w:val="24"/>
          <w:lang w:val="en-US" w:eastAsia="zh-CN"/>
        </w:rPr>
        <w:t>水性功能乳液</w:t>
      </w:r>
      <w:r>
        <w:rPr>
          <w:rFonts w:cs="Times New Roman"/>
          <w:sz w:val="24"/>
          <w:szCs w:val="24"/>
        </w:rPr>
        <w:t>用量为455t/a，根据企业提供成分可知，</w:t>
      </w:r>
      <w:r>
        <w:rPr>
          <w:rFonts w:cs="Times New Roman"/>
          <w:kern w:val="0"/>
          <w:sz w:val="24"/>
          <w:szCs w:val="24"/>
        </w:rPr>
        <w:t>VOC含量为75mg/kg（0.075g/L），</w:t>
      </w:r>
      <w:r>
        <w:rPr>
          <w:rFonts w:cs="Times New Roman"/>
          <w:sz w:val="24"/>
          <w:szCs w:val="24"/>
        </w:rPr>
        <w:t>按最不利情况完全挥发，则</w:t>
      </w:r>
      <w:r>
        <w:rPr>
          <w:rFonts w:hint="eastAsia" w:cs="Times New Roman"/>
          <w:sz w:val="24"/>
          <w:szCs w:val="24"/>
          <w:lang w:val="en-US" w:eastAsia="zh-CN"/>
        </w:rPr>
        <w:t>水性功能乳液</w:t>
      </w:r>
      <w:r>
        <w:rPr>
          <w:rFonts w:cs="Times New Roman"/>
          <w:sz w:val="24"/>
          <w:szCs w:val="24"/>
        </w:rPr>
        <w:t>中VOCs的年最大产生量为0.034t/a，产生速率为0.004kg/h。</w:t>
      </w:r>
    </w:p>
    <w:p>
      <w:pPr>
        <w:spacing w:line="360" w:lineRule="auto"/>
        <w:ind w:firstLine="482" w:firstLineChars="200"/>
        <w:rPr>
          <w:rFonts w:cs="Times New Roman"/>
          <w:b/>
          <w:bCs/>
          <w:sz w:val="24"/>
          <w:szCs w:val="24"/>
        </w:rPr>
      </w:pPr>
      <w:r>
        <w:rPr>
          <w:rFonts w:cs="Times New Roman"/>
          <w:b/>
          <w:bCs/>
          <w:sz w:val="24"/>
          <w:szCs w:val="24"/>
        </w:rPr>
        <w:t>2）烘干工序产生的天然气燃烧废气</w:t>
      </w:r>
    </w:p>
    <w:p>
      <w:pPr>
        <w:spacing w:line="360" w:lineRule="auto"/>
        <w:ind w:firstLine="480" w:firstLineChars="200"/>
        <w:rPr>
          <w:rFonts w:cs="Times New Roman"/>
          <w:sz w:val="24"/>
          <w:szCs w:val="24"/>
        </w:rPr>
      </w:pPr>
      <w:r>
        <w:rPr>
          <w:rFonts w:cs="Times New Roman"/>
          <w:sz w:val="24"/>
          <w:szCs w:val="24"/>
        </w:rPr>
        <w:t>项目烘干过程使用天然气作为燃料，天然气是一种清洁能源，废气中主要污染物为SO</w:t>
      </w:r>
      <w:r>
        <w:rPr>
          <w:rFonts w:cs="Times New Roman"/>
          <w:sz w:val="24"/>
          <w:szCs w:val="24"/>
          <w:vertAlign w:val="subscript"/>
        </w:rPr>
        <w:t>2</w:t>
      </w:r>
      <w:r>
        <w:rPr>
          <w:rFonts w:cs="Times New Roman"/>
          <w:sz w:val="24"/>
          <w:szCs w:val="24"/>
        </w:rPr>
        <w:t>和NO</w:t>
      </w:r>
      <w:r>
        <w:rPr>
          <w:rFonts w:cs="Times New Roman"/>
          <w:sz w:val="24"/>
          <w:szCs w:val="24"/>
          <w:vertAlign w:val="subscript"/>
        </w:rPr>
        <w:t>X</w:t>
      </w:r>
      <w:r>
        <w:rPr>
          <w:rFonts w:cs="Times New Roman"/>
          <w:sz w:val="24"/>
          <w:szCs w:val="24"/>
        </w:rPr>
        <w:t>，本项目天然气用量为115.5万</w:t>
      </w:r>
      <w:r>
        <w:rPr>
          <w:rFonts w:cs="Times New Roman"/>
          <w:bCs/>
          <w:sz w:val="24"/>
          <w:szCs w:val="24"/>
        </w:rPr>
        <w:t>m</w:t>
      </w:r>
      <w:r>
        <w:rPr>
          <w:rFonts w:cs="Times New Roman"/>
          <w:bCs/>
          <w:sz w:val="24"/>
          <w:szCs w:val="24"/>
          <w:vertAlign w:val="superscript"/>
        </w:rPr>
        <w:t>3</w:t>
      </w:r>
      <w:r>
        <w:rPr>
          <w:rFonts w:cs="Times New Roman"/>
          <w:sz w:val="24"/>
          <w:szCs w:val="24"/>
        </w:rPr>
        <w:t>/a，项目运行时间为7920h。</w:t>
      </w:r>
    </w:p>
    <w:p>
      <w:pPr>
        <w:spacing w:line="360" w:lineRule="auto"/>
        <w:ind w:firstLine="480" w:firstLineChars="200"/>
        <w:rPr>
          <w:rFonts w:cs="Times New Roman"/>
          <w:sz w:val="24"/>
          <w:szCs w:val="24"/>
        </w:rPr>
      </w:pPr>
      <w:r>
        <w:rPr>
          <w:rFonts w:cs="Times New Roman"/>
          <w:sz w:val="24"/>
          <w:szCs w:val="24"/>
        </w:rPr>
        <w:t>根据《排放源统计调查产排污核算方法和系数手册》工业行业产排污系数手册中4430 工业锅炉（热力生产和供应行业）产排污系数表-燃气工业锅炉的排污系数表以及经验系数可知燃烧天然气情况下污染物产排污系数如下：</w:t>
      </w:r>
    </w:p>
    <w:p>
      <w:pPr>
        <w:spacing w:line="360" w:lineRule="auto"/>
        <w:jc w:val="center"/>
        <w:rPr>
          <w:rFonts w:cs="Times New Roman"/>
          <w:b/>
          <w:sz w:val="24"/>
          <w:szCs w:val="24"/>
        </w:rPr>
      </w:pPr>
    </w:p>
    <w:p>
      <w:pPr>
        <w:spacing w:line="360" w:lineRule="auto"/>
        <w:jc w:val="center"/>
        <w:rPr>
          <w:rFonts w:cs="Times New Roman"/>
          <w:b/>
          <w:sz w:val="24"/>
          <w:szCs w:val="24"/>
        </w:rPr>
      </w:pPr>
      <w:r>
        <w:rPr>
          <w:rFonts w:cs="Times New Roman"/>
          <w:b/>
          <w:sz w:val="24"/>
          <w:szCs w:val="24"/>
        </w:rPr>
        <w:t>表2.2-1 天然气燃烧污染物产生系数</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59"/>
        <w:gridCol w:w="3178"/>
        <w:gridCol w:w="3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污染物指标</w:t>
            </w:r>
          </w:p>
        </w:tc>
        <w:tc>
          <w:tcPr>
            <w:tcW w:w="166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单位</w:t>
            </w:r>
          </w:p>
        </w:tc>
        <w:tc>
          <w:tcPr>
            <w:tcW w:w="1686"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废气量</w:t>
            </w:r>
          </w:p>
        </w:tc>
        <w:tc>
          <w:tcPr>
            <w:tcW w:w="1661" w:type="pct"/>
            <w:vAlign w:val="center"/>
          </w:tcPr>
          <w:p>
            <w:pPr>
              <w:autoSpaceDE w:val="0"/>
              <w:autoSpaceDN w:val="0"/>
              <w:adjustRightInd w:val="0"/>
              <w:snapToGrid w:val="0"/>
              <w:jc w:val="center"/>
              <w:rPr>
                <w:rFonts w:cs="Times New Roman"/>
                <w:kern w:val="0"/>
                <w:szCs w:val="21"/>
              </w:rPr>
            </w:pPr>
            <w:r>
              <w:rPr>
                <w:rFonts w:cs="Times New Roman"/>
                <w:bCs/>
                <w:szCs w:val="21"/>
              </w:rPr>
              <w:t>Nm</w:t>
            </w:r>
            <w:r>
              <w:rPr>
                <w:rFonts w:cs="Times New Roman"/>
                <w:bCs/>
                <w:szCs w:val="21"/>
                <w:vertAlign w:val="superscript"/>
              </w:rPr>
              <w:t>3</w:t>
            </w:r>
            <w:r>
              <w:rPr>
                <w:rFonts w:cs="Times New Roman"/>
                <w:bCs/>
                <w:szCs w:val="21"/>
              </w:rPr>
              <w:t>/万m</w:t>
            </w:r>
            <w:r>
              <w:rPr>
                <w:rFonts w:cs="Times New Roman"/>
                <w:bCs/>
                <w:szCs w:val="21"/>
                <w:vertAlign w:val="superscript"/>
              </w:rPr>
              <w:t>3</w:t>
            </w:r>
            <w:r>
              <w:rPr>
                <w:rFonts w:cs="Times New Roman"/>
                <w:bCs/>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107753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二氧化硫</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kern w:val="0"/>
                <w:szCs w:val="21"/>
              </w:rPr>
              <w:t>0.02S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氮氧化物</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15.87</w:t>
            </w:r>
            <w:r>
              <w:rPr>
                <w:rFonts w:cs="Times New Roman"/>
                <w:kern w:val="0"/>
                <w:szCs w:val="21"/>
              </w:rPr>
              <w:t>（低氮燃烧）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烟尘</w:t>
            </w:r>
          </w:p>
        </w:tc>
        <w:tc>
          <w:tcPr>
            <w:tcW w:w="166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kg/万m</w:t>
            </w:r>
            <w:r>
              <w:rPr>
                <w:rFonts w:cs="Times New Roman"/>
                <w:color w:val="000000" w:themeColor="text1"/>
                <w:kern w:val="0"/>
                <w:szCs w:val="21"/>
                <w:vertAlign w:val="superscript"/>
                <w14:textFill>
                  <w14:solidFill>
                    <w14:schemeClr w14:val="tx1"/>
                  </w14:solidFill>
                </w14:textFill>
              </w:rPr>
              <w:t>3</w:t>
            </w:r>
            <w:r>
              <w:rPr>
                <w:rFonts w:cs="Times New Roman"/>
                <w:color w:val="000000" w:themeColor="text1"/>
                <w:kern w:val="0"/>
                <w:szCs w:val="21"/>
                <w14:textFill>
                  <w14:solidFill>
                    <w14:schemeClr w14:val="tx1"/>
                  </w14:solidFill>
                </w14:textFill>
              </w:rPr>
              <w:t>-原料</w:t>
            </w:r>
          </w:p>
        </w:tc>
        <w:tc>
          <w:tcPr>
            <w:tcW w:w="1686"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53"/>
              <w:spacing w:line="240" w:lineRule="auto"/>
              <w:ind w:firstLine="360"/>
              <w:rPr>
                <w:rFonts w:ascii="Times New Roman" w:hAnsi="Times New Roman"/>
                <w:kern w:val="0"/>
                <w:sz w:val="21"/>
                <w:szCs w:val="21"/>
              </w:rPr>
            </w:pPr>
            <w:r>
              <w:rPr>
                <w:rFonts w:ascii="Times New Roman" w:hAnsi="Times New Roman"/>
                <w:sz w:val="18"/>
                <w:szCs w:val="18"/>
              </w:rPr>
              <w:t>注：二氧化硫的产排污系数是以含硫量（S）的形式表示的，其中含硫量（S）是指燃气收到基硫分含量，单位为mg/m</w:t>
            </w:r>
            <w:r>
              <w:rPr>
                <w:rFonts w:ascii="Times New Roman" w:hAnsi="Times New Roman"/>
                <w:sz w:val="18"/>
                <w:szCs w:val="18"/>
                <w:vertAlign w:val="superscript"/>
              </w:rPr>
              <w:t>3</w:t>
            </w:r>
            <w:r>
              <w:rPr>
                <w:rFonts w:ascii="Times New Roman" w:hAnsi="Times New Roman"/>
                <w:sz w:val="18"/>
                <w:szCs w:val="18"/>
              </w:rPr>
              <w:t>，根据《国家天然气标准》（GB17820-2018）中的规定，一类天然气技术指标中的含硫量为20mg/m</w:t>
            </w:r>
            <w:r>
              <w:rPr>
                <w:rFonts w:ascii="Times New Roman" w:hAnsi="Times New Roman"/>
                <w:sz w:val="18"/>
                <w:szCs w:val="18"/>
                <w:vertAlign w:val="superscript"/>
              </w:rPr>
              <w:t>3</w:t>
            </w:r>
            <w:r>
              <w:rPr>
                <w:rFonts w:ascii="Times New Roman" w:hAnsi="Times New Roman"/>
                <w:sz w:val="18"/>
                <w:szCs w:val="18"/>
              </w:rPr>
              <w:t>，则本项目取值S=20</w:t>
            </w:r>
          </w:p>
        </w:tc>
      </w:tr>
    </w:tbl>
    <w:p>
      <w:pPr>
        <w:spacing w:line="360" w:lineRule="auto"/>
        <w:ind w:firstLine="480" w:firstLineChars="200"/>
        <w:rPr>
          <w:rFonts w:cs="Times New Roman"/>
          <w:sz w:val="24"/>
          <w:szCs w:val="24"/>
        </w:rPr>
      </w:pPr>
      <w:r>
        <w:rPr>
          <w:rFonts w:cs="Times New Roman"/>
          <w:sz w:val="24"/>
          <w:szCs w:val="24"/>
        </w:rPr>
        <w:t>根据上表产污系数，计算得废气量产生量约为1244.54万</w:t>
      </w:r>
      <w:r>
        <w:rPr>
          <w:rFonts w:cs="Times New Roman"/>
          <w:bCs/>
          <w:sz w:val="24"/>
          <w:szCs w:val="24"/>
        </w:rPr>
        <w:t>m</w:t>
      </w:r>
      <w:r>
        <w:rPr>
          <w:rFonts w:cs="Times New Roman"/>
          <w:bCs/>
          <w:sz w:val="24"/>
          <w:szCs w:val="24"/>
          <w:vertAlign w:val="superscript"/>
        </w:rPr>
        <w:t>3</w:t>
      </w:r>
      <w:r>
        <w:rPr>
          <w:rFonts w:cs="Times New Roman"/>
          <w:sz w:val="24"/>
          <w:szCs w:val="24"/>
        </w:rPr>
        <w:t>、SO</w:t>
      </w:r>
      <w:r>
        <w:rPr>
          <w:rFonts w:cs="Times New Roman"/>
          <w:sz w:val="24"/>
          <w:szCs w:val="24"/>
          <w:vertAlign w:val="subscript"/>
        </w:rPr>
        <w:t>2</w:t>
      </w:r>
      <w:r>
        <w:rPr>
          <w:rFonts w:cs="Times New Roman"/>
          <w:sz w:val="24"/>
          <w:szCs w:val="24"/>
        </w:rPr>
        <w:t>产生量约为0.046t/a（0.006kg/h）、氮氧化物产生量约为1.833t/a（0.231kg/h）。</w:t>
      </w:r>
    </w:p>
    <w:p>
      <w:pPr>
        <w:spacing w:line="360" w:lineRule="auto"/>
        <w:ind w:firstLine="482" w:firstLineChars="200"/>
        <w:rPr>
          <w:rFonts w:cs="Times New Roman"/>
          <w:b/>
          <w:bCs/>
          <w:sz w:val="24"/>
          <w:szCs w:val="24"/>
        </w:rPr>
      </w:pPr>
      <w:r>
        <w:rPr>
          <w:rFonts w:cs="Times New Roman"/>
          <w:b/>
          <w:bCs/>
          <w:sz w:val="24"/>
          <w:szCs w:val="24"/>
        </w:rPr>
        <w:t>3）食堂油烟</w:t>
      </w:r>
    </w:p>
    <w:p>
      <w:pPr>
        <w:spacing w:line="360" w:lineRule="auto"/>
        <w:ind w:firstLine="480" w:firstLineChars="200"/>
        <w:rPr>
          <w:rFonts w:cs="Times New Roman"/>
          <w:sz w:val="24"/>
          <w:szCs w:val="24"/>
        </w:rPr>
      </w:pPr>
      <w:r>
        <w:rPr>
          <w:rFonts w:cs="Times New Roman"/>
          <w:bCs/>
          <w:sz w:val="24"/>
          <w:szCs w:val="24"/>
        </w:rPr>
        <w:t>项目提供员工食堂供工作人员就餐，项目食堂就餐人数为10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0.0085kg/d，0.0028t/a（0.0064kg/h）。（以330d</w:t>
      </w:r>
      <w:r>
        <w:rPr>
          <w:rFonts w:cs="Times New Roman"/>
          <w:sz w:val="24"/>
          <w:szCs w:val="24"/>
        </w:rPr>
        <w:t>，</w:t>
      </w:r>
      <w:r>
        <w:rPr>
          <w:rFonts w:cs="Times New Roman"/>
          <w:bCs/>
          <w:sz w:val="24"/>
          <w:szCs w:val="24"/>
        </w:rPr>
        <w:t>4h计）</w:t>
      </w:r>
    </w:p>
    <w:p>
      <w:pPr>
        <w:spacing w:line="360" w:lineRule="auto"/>
        <w:ind w:firstLine="480" w:firstLineChars="200"/>
        <w:rPr>
          <w:rFonts w:cs="Times New Roman"/>
          <w:sz w:val="24"/>
          <w:szCs w:val="24"/>
        </w:rPr>
      </w:pPr>
      <w:r>
        <w:rPr>
          <w:rFonts w:cs="Times New Roman"/>
          <w:sz w:val="24"/>
          <w:szCs w:val="24"/>
        </w:rPr>
        <w:t>综上所述，项目废气产排污环节、污染物种类及产生量见下表：</w:t>
      </w:r>
    </w:p>
    <w:p>
      <w:pPr>
        <w:spacing w:line="360" w:lineRule="auto"/>
        <w:jc w:val="center"/>
        <w:rPr>
          <w:rFonts w:cs="Times New Roman"/>
          <w:b/>
          <w:sz w:val="24"/>
          <w:szCs w:val="24"/>
        </w:rPr>
      </w:pPr>
      <w:r>
        <w:rPr>
          <w:rFonts w:cs="Times New Roman"/>
          <w:b/>
          <w:sz w:val="24"/>
          <w:szCs w:val="24"/>
        </w:rPr>
        <w:t>表2.2-2  废气产排污环节、污染物种类及产生量表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151"/>
        <w:gridCol w:w="1588"/>
        <w:gridCol w:w="1934"/>
        <w:gridCol w:w="1228"/>
        <w:gridCol w:w="1283"/>
        <w:gridCol w:w="13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tcBorders>
              <w:tl2br w:val="nil"/>
              <w:tr2bl w:val="nil"/>
            </w:tcBorders>
            <w:vAlign w:val="center"/>
          </w:tcPr>
          <w:p>
            <w:pPr>
              <w:jc w:val="center"/>
              <w:rPr>
                <w:rFonts w:cs="Times New Roman"/>
                <w:b/>
                <w:bCs/>
                <w:szCs w:val="21"/>
              </w:rPr>
            </w:pPr>
            <w:r>
              <w:rPr>
                <w:rFonts w:cs="Times New Roman"/>
                <w:b/>
                <w:bCs/>
                <w:szCs w:val="21"/>
              </w:rPr>
              <w:t>生产单元</w:t>
            </w:r>
          </w:p>
        </w:tc>
        <w:tc>
          <w:tcPr>
            <w:tcW w:w="601" w:type="pct"/>
            <w:vMerge w:val="restart"/>
            <w:tcBorders>
              <w:tl2br w:val="nil"/>
              <w:tr2bl w:val="nil"/>
            </w:tcBorders>
            <w:vAlign w:val="center"/>
          </w:tcPr>
          <w:p>
            <w:pPr>
              <w:jc w:val="center"/>
              <w:rPr>
                <w:rFonts w:cs="Times New Roman"/>
                <w:b/>
                <w:bCs/>
                <w:szCs w:val="21"/>
              </w:rPr>
            </w:pPr>
            <w:r>
              <w:rPr>
                <w:rFonts w:cs="Times New Roman"/>
                <w:b/>
                <w:bCs/>
                <w:szCs w:val="21"/>
              </w:rPr>
              <w:t>主要生产工艺</w:t>
            </w:r>
          </w:p>
        </w:tc>
        <w:tc>
          <w:tcPr>
            <w:tcW w:w="829" w:type="pct"/>
            <w:vMerge w:val="restart"/>
            <w:tcBorders>
              <w:tl2br w:val="nil"/>
              <w:tr2bl w:val="nil"/>
            </w:tcBorders>
            <w:vAlign w:val="center"/>
          </w:tcPr>
          <w:p>
            <w:pPr>
              <w:jc w:val="center"/>
              <w:rPr>
                <w:rFonts w:cs="Times New Roman"/>
                <w:b/>
                <w:bCs/>
                <w:szCs w:val="21"/>
              </w:rPr>
            </w:pPr>
            <w:r>
              <w:rPr>
                <w:rFonts w:cs="Times New Roman"/>
                <w:b/>
                <w:bCs/>
                <w:szCs w:val="21"/>
              </w:rPr>
              <w:t>废气产污环节</w:t>
            </w:r>
          </w:p>
        </w:tc>
        <w:tc>
          <w:tcPr>
            <w:tcW w:w="1010" w:type="pct"/>
            <w:vMerge w:val="restart"/>
            <w:tcBorders>
              <w:tl2br w:val="nil"/>
              <w:tr2bl w:val="nil"/>
            </w:tcBorders>
            <w:vAlign w:val="center"/>
          </w:tcPr>
          <w:p>
            <w:pPr>
              <w:jc w:val="center"/>
              <w:rPr>
                <w:rFonts w:cs="Times New Roman"/>
                <w:b/>
                <w:bCs/>
                <w:szCs w:val="21"/>
              </w:rPr>
            </w:pPr>
            <w:r>
              <w:rPr>
                <w:rFonts w:cs="Times New Roman"/>
                <w:b/>
                <w:bCs/>
                <w:szCs w:val="21"/>
              </w:rPr>
              <w:t>废气类别</w:t>
            </w:r>
          </w:p>
        </w:tc>
        <w:tc>
          <w:tcPr>
            <w:tcW w:w="641"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395" w:type="pct"/>
            <w:gridSpan w:val="2"/>
            <w:tcBorders>
              <w:tl2br w:val="nil"/>
              <w:tr2bl w:val="nil"/>
            </w:tcBorders>
            <w:vAlign w:val="center"/>
          </w:tcPr>
          <w:p>
            <w:pPr>
              <w:jc w:val="center"/>
              <w:rPr>
                <w:rFonts w:cs="Times New Roman"/>
                <w:b/>
                <w:bCs/>
                <w:szCs w:val="21"/>
              </w:rPr>
            </w:pPr>
            <w:r>
              <w:rPr>
                <w:rFonts w:cs="Times New Roman"/>
                <w:b/>
                <w:bCs/>
                <w:szCs w:val="21"/>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b/>
                <w:bCs/>
                <w:szCs w:val="21"/>
              </w:rPr>
            </w:pPr>
          </w:p>
        </w:tc>
        <w:tc>
          <w:tcPr>
            <w:tcW w:w="601" w:type="pct"/>
            <w:vMerge w:val="continue"/>
            <w:tcBorders>
              <w:tl2br w:val="nil"/>
              <w:tr2bl w:val="nil"/>
            </w:tcBorders>
            <w:vAlign w:val="center"/>
          </w:tcPr>
          <w:p>
            <w:pPr>
              <w:jc w:val="center"/>
              <w:rPr>
                <w:rFonts w:cs="Times New Roman"/>
                <w:b/>
                <w:bCs/>
                <w:szCs w:val="21"/>
              </w:rPr>
            </w:pPr>
          </w:p>
        </w:tc>
        <w:tc>
          <w:tcPr>
            <w:tcW w:w="829" w:type="pct"/>
            <w:vMerge w:val="continue"/>
            <w:tcBorders>
              <w:tl2br w:val="nil"/>
              <w:tr2bl w:val="nil"/>
            </w:tcBorders>
            <w:vAlign w:val="center"/>
          </w:tcPr>
          <w:p>
            <w:pPr>
              <w:jc w:val="center"/>
              <w:rPr>
                <w:rFonts w:cs="Times New Roman"/>
                <w:b/>
                <w:bCs/>
                <w:szCs w:val="21"/>
              </w:rPr>
            </w:pPr>
          </w:p>
        </w:tc>
        <w:tc>
          <w:tcPr>
            <w:tcW w:w="1010" w:type="pct"/>
            <w:vMerge w:val="continue"/>
            <w:tcBorders>
              <w:tl2br w:val="nil"/>
              <w:tr2bl w:val="nil"/>
            </w:tcBorders>
            <w:vAlign w:val="center"/>
          </w:tcPr>
          <w:p>
            <w:pPr>
              <w:jc w:val="center"/>
              <w:rPr>
                <w:rFonts w:cs="Times New Roman"/>
                <w:b/>
                <w:bCs/>
                <w:szCs w:val="21"/>
              </w:rPr>
            </w:pPr>
          </w:p>
        </w:tc>
        <w:tc>
          <w:tcPr>
            <w:tcW w:w="641" w:type="pct"/>
            <w:vMerge w:val="continue"/>
            <w:tcBorders>
              <w:tl2br w:val="nil"/>
              <w:tr2bl w:val="nil"/>
            </w:tcBorders>
            <w:vAlign w:val="center"/>
          </w:tcPr>
          <w:p>
            <w:pPr>
              <w:jc w:val="center"/>
              <w:rPr>
                <w:rFonts w:cs="Times New Roman"/>
                <w:b/>
                <w:bCs/>
                <w:szCs w:val="21"/>
              </w:rPr>
            </w:pPr>
          </w:p>
        </w:tc>
        <w:tc>
          <w:tcPr>
            <w:tcW w:w="670" w:type="pct"/>
            <w:tcBorders>
              <w:tl2br w:val="nil"/>
              <w:tr2bl w:val="nil"/>
            </w:tcBorders>
            <w:vAlign w:val="center"/>
          </w:tcPr>
          <w:p>
            <w:pPr>
              <w:jc w:val="center"/>
              <w:rPr>
                <w:rFonts w:cs="Times New Roman"/>
                <w:b/>
                <w:bCs/>
                <w:szCs w:val="21"/>
              </w:rPr>
            </w:pPr>
            <w:r>
              <w:rPr>
                <w:rFonts w:cs="Times New Roman"/>
                <w:b/>
                <w:bCs/>
                <w:szCs w:val="21"/>
              </w:rPr>
              <w:t>t/a</w:t>
            </w:r>
          </w:p>
        </w:tc>
        <w:tc>
          <w:tcPr>
            <w:tcW w:w="724" w:type="pct"/>
            <w:tcBorders>
              <w:tl2br w:val="nil"/>
              <w:tr2bl w:val="nil"/>
            </w:tcBorders>
            <w:vAlign w:val="center"/>
          </w:tcPr>
          <w:p>
            <w:pPr>
              <w:jc w:val="center"/>
              <w:rPr>
                <w:rFonts w:cs="Times New Roman"/>
                <w:b/>
                <w:bCs/>
                <w:szCs w:val="21"/>
              </w:rPr>
            </w:pPr>
            <w:r>
              <w:rPr>
                <w:rFonts w:cs="Times New Roman"/>
                <w:b/>
                <w:bCs/>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restart"/>
            <w:tcBorders>
              <w:tl2br w:val="nil"/>
              <w:tr2bl w:val="nil"/>
            </w:tcBorders>
            <w:vAlign w:val="center"/>
          </w:tcPr>
          <w:p>
            <w:pPr>
              <w:jc w:val="center"/>
              <w:rPr>
                <w:rFonts w:cs="Times New Roman"/>
                <w:szCs w:val="21"/>
              </w:rPr>
            </w:pPr>
            <w:r>
              <w:rPr>
                <w:rFonts w:cs="Times New Roman"/>
                <w:szCs w:val="21"/>
              </w:rPr>
              <w:t>本项目</w:t>
            </w:r>
          </w:p>
        </w:tc>
        <w:tc>
          <w:tcPr>
            <w:tcW w:w="601"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829"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1010" w:type="pct"/>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641" w:type="pct"/>
            <w:tcBorders>
              <w:tl2br w:val="nil"/>
              <w:tr2bl w:val="nil"/>
            </w:tcBorders>
            <w:vAlign w:val="center"/>
          </w:tcPr>
          <w:p>
            <w:pPr>
              <w:jc w:val="center"/>
              <w:rPr>
                <w:rFonts w:cs="Times New Roman"/>
                <w:szCs w:val="21"/>
              </w:rPr>
            </w:pPr>
            <w:r>
              <w:rPr>
                <w:rFonts w:cs="Times New Roman"/>
                <w:szCs w:val="21"/>
              </w:rPr>
              <w:t>甲醛</w:t>
            </w:r>
          </w:p>
        </w:tc>
        <w:tc>
          <w:tcPr>
            <w:tcW w:w="670" w:type="pct"/>
            <w:tcBorders>
              <w:tl2br w:val="nil"/>
              <w:tr2bl w:val="nil"/>
            </w:tcBorders>
            <w:vAlign w:val="center"/>
          </w:tcPr>
          <w:p>
            <w:pPr>
              <w:jc w:val="center"/>
              <w:rPr>
                <w:rFonts w:cs="Times New Roman"/>
                <w:szCs w:val="21"/>
              </w:rPr>
            </w:pPr>
            <w:r>
              <w:rPr>
                <w:rFonts w:cs="Times New Roman"/>
                <w:szCs w:val="21"/>
              </w:rPr>
              <w:t>2.535</w:t>
            </w:r>
          </w:p>
        </w:tc>
        <w:tc>
          <w:tcPr>
            <w:tcW w:w="724" w:type="pct"/>
            <w:tcBorders>
              <w:tl2br w:val="nil"/>
              <w:tr2bl w:val="nil"/>
            </w:tcBorders>
            <w:vAlign w:val="center"/>
          </w:tcPr>
          <w:p>
            <w:pPr>
              <w:jc w:val="center"/>
              <w:rPr>
                <w:rFonts w:cs="Times New Roman"/>
                <w:szCs w:val="21"/>
              </w:rPr>
            </w:pPr>
            <w:r>
              <w:rPr>
                <w:rFonts w:cs="Times New Roman"/>
                <w:szCs w:val="21"/>
              </w:rPr>
              <w:t>0.320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VOCs</w:t>
            </w:r>
          </w:p>
        </w:tc>
        <w:tc>
          <w:tcPr>
            <w:tcW w:w="670" w:type="pct"/>
            <w:tcBorders>
              <w:tl2br w:val="nil"/>
              <w:tr2bl w:val="nil"/>
            </w:tcBorders>
            <w:vAlign w:val="center"/>
          </w:tcPr>
          <w:p>
            <w:pPr>
              <w:jc w:val="center"/>
              <w:rPr>
                <w:rFonts w:cs="Times New Roman"/>
                <w:szCs w:val="21"/>
              </w:rPr>
            </w:pPr>
            <w:r>
              <w:rPr>
                <w:rFonts w:cs="Times New Roman"/>
                <w:szCs w:val="21"/>
              </w:rPr>
              <w:t>0.034</w:t>
            </w:r>
          </w:p>
        </w:tc>
        <w:tc>
          <w:tcPr>
            <w:tcW w:w="724" w:type="pct"/>
            <w:tcBorders>
              <w:tl2br w:val="nil"/>
              <w:tr2bl w:val="nil"/>
            </w:tcBorders>
            <w:vAlign w:val="center"/>
          </w:tcPr>
          <w:p>
            <w:pPr>
              <w:jc w:val="center"/>
              <w:rPr>
                <w:rFonts w:cs="Times New Roman"/>
                <w:szCs w:val="21"/>
              </w:rPr>
            </w:pPr>
            <w:r>
              <w:rPr>
                <w:rFonts w:cs="Times New Roman"/>
                <w:szCs w:val="21"/>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氨</w:t>
            </w:r>
          </w:p>
        </w:tc>
        <w:tc>
          <w:tcPr>
            <w:tcW w:w="670" w:type="pct"/>
            <w:tcBorders>
              <w:tl2br w:val="nil"/>
              <w:tr2bl w:val="nil"/>
            </w:tcBorders>
            <w:vAlign w:val="center"/>
          </w:tcPr>
          <w:p>
            <w:pPr>
              <w:jc w:val="center"/>
              <w:rPr>
                <w:rFonts w:cs="Times New Roman"/>
                <w:szCs w:val="21"/>
              </w:rPr>
            </w:pPr>
            <w:r>
              <w:rPr>
                <w:rFonts w:cs="Times New Roman"/>
                <w:szCs w:val="21"/>
              </w:rPr>
              <w:t>0.085</w:t>
            </w:r>
          </w:p>
        </w:tc>
        <w:tc>
          <w:tcPr>
            <w:tcW w:w="724" w:type="pct"/>
            <w:tcBorders>
              <w:tl2br w:val="nil"/>
              <w:tr2bl w:val="nil"/>
            </w:tcBorders>
            <w:vAlign w:val="center"/>
          </w:tcPr>
          <w:p>
            <w:pPr>
              <w:jc w:val="center"/>
              <w:rPr>
                <w:rFonts w:cs="Times New Roman"/>
                <w:szCs w:val="21"/>
              </w:rPr>
            </w:pPr>
            <w:r>
              <w:rPr>
                <w:rFonts w:cs="Times New Roman"/>
                <w:szCs w:val="21"/>
              </w:rPr>
              <w:t>0.011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22" w:type="pct"/>
            <w:vMerge w:val="continue"/>
            <w:tcBorders>
              <w:tl2br w:val="nil"/>
              <w:tr2bl w:val="nil"/>
            </w:tcBorders>
            <w:vAlign w:val="center"/>
          </w:tcPr>
          <w:p>
            <w:pPr>
              <w:jc w:val="center"/>
              <w:rPr>
                <w:rFonts w:cs="Times New Roman"/>
                <w:szCs w:val="21"/>
              </w:rPr>
            </w:pPr>
          </w:p>
        </w:tc>
        <w:tc>
          <w:tcPr>
            <w:tcW w:w="601" w:type="pct"/>
            <w:vMerge w:val="restart"/>
            <w:tcBorders>
              <w:tl2br w:val="nil"/>
              <w:tr2bl w:val="nil"/>
            </w:tcBorders>
            <w:vAlign w:val="center"/>
          </w:tcPr>
          <w:p>
            <w:pPr>
              <w:jc w:val="center"/>
              <w:rPr>
                <w:rFonts w:cs="Times New Roman"/>
                <w:szCs w:val="21"/>
              </w:rPr>
            </w:pPr>
            <w:r>
              <w:rPr>
                <w:rFonts w:cs="Times New Roman"/>
                <w:szCs w:val="21"/>
              </w:rPr>
              <w:t>烘干</w:t>
            </w:r>
          </w:p>
        </w:tc>
        <w:tc>
          <w:tcPr>
            <w:tcW w:w="829" w:type="pct"/>
            <w:vMerge w:val="restart"/>
            <w:tcBorders>
              <w:tl2br w:val="nil"/>
              <w:tr2bl w:val="nil"/>
            </w:tcBorders>
            <w:vAlign w:val="center"/>
          </w:tcPr>
          <w:p>
            <w:pPr>
              <w:jc w:val="center"/>
              <w:rPr>
                <w:rFonts w:cs="Times New Roman"/>
                <w:szCs w:val="21"/>
              </w:rPr>
            </w:pPr>
            <w:r>
              <w:rPr>
                <w:rFonts w:cs="Times New Roman"/>
                <w:szCs w:val="21"/>
              </w:rPr>
              <w:t>天然气燃烧</w:t>
            </w:r>
          </w:p>
        </w:tc>
        <w:tc>
          <w:tcPr>
            <w:tcW w:w="1010" w:type="pct"/>
            <w:vMerge w:val="restart"/>
            <w:tcBorders>
              <w:tl2br w:val="nil"/>
              <w:tr2bl w:val="nil"/>
            </w:tcBorders>
            <w:vAlign w:val="center"/>
          </w:tcPr>
          <w:p>
            <w:pPr>
              <w:jc w:val="center"/>
              <w:rPr>
                <w:rFonts w:cs="Times New Roman"/>
                <w:szCs w:val="21"/>
              </w:rPr>
            </w:pPr>
            <w:r>
              <w:rPr>
                <w:rFonts w:cs="Times New Roman"/>
                <w:szCs w:val="21"/>
              </w:rPr>
              <w:t>天然气燃烧废气</w:t>
            </w:r>
          </w:p>
        </w:tc>
        <w:tc>
          <w:tcPr>
            <w:tcW w:w="641" w:type="pc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670" w:type="pct"/>
            <w:tcBorders>
              <w:tl2br w:val="nil"/>
              <w:tr2bl w:val="nil"/>
            </w:tcBorders>
            <w:vAlign w:val="center"/>
          </w:tcPr>
          <w:p>
            <w:pPr>
              <w:jc w:val="center"/>
              <w:rPr>
                <w:rFonts w:cs="Times New Roman"/>
                <w:szCs w:val="21"/>
              </w:rPr>
            </w:pPr>
            <w:r>
              <w:rPr>
                <w:rFonts w:cs="Times New Roman"/>
                <w:szCs w:val="21"/>
              </w:rPr>
              <w:t>0.046</w:t>
            </w:r>
          </w:p>
        </w:tc>
        <w:tc>
          <w:tcPr>
            <w:tcW w:w="724" w:type="pct"/>
            <w:tcBorders>
              <w:tl2br w:val="nil"/>
              <w:tr2bl w:val="nil"/>
            </w:tcBorders>
            <w:vAlign w:val="center"/>
          </w:tcPr>
          <w:p>
            <w:pPr>
              <w:jc w:val="center"/>
              <w:rPr>
                <w:rFonts w:cs="Times New Roman"/>
                <w:szCs w:val="21"/>
              </w:rPr>
            </w:pPr>
            <w:r>
              <w:rPr>
                <w:rFonts w:cs="Times New Roman"/>
                <w:szCs w:val="21"/>
              </w:rPr>
              <w:t>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NOx</w:t>
            </w:r>
          </w:p>
        </w:tc>
        <w:tc>
          <w:tcPr>
            <w:tcW w:w="670" w:type="pct"/>
            <w:tcBorders>
              <w:tl2br w:val="nil"/>
              <w:tr2bl w:val="nil"/>
            </w:tcBorders>
            <w:vAlign w:val="center"/>
          </w:tcPr>
          <w:p>
            <w:pPr>
              <w:jc w:val="center"/>
              <w:rPr>
                <w:rFonts w:cs="Times New Roman"/>
                <w:szCs w:val="21"/>
              </w:rPr>
            </w:pPr>
            <w:r>
              <w:rPr>
                <w:rFonts w:cs="Times New Roman"/>
                <w:szCs w:val="21"/>
              </w:rPr>
              <w:t>1.833</w:t>
            </w:r>
          </w:p>
        </w:tc>
        <w:tc>
          <w:tcPr>
            <w:tcW w:w="724" w:type="pct"/>
            <w:tcBorders>
              <w:tl2br w:val="nil"/>
              <w:tr2bl w:val="nil"/>
            </w:tcBorders>
            <w:vAlign w:val="center"/>
          </w:tcPr>
          <w:p>
            <w:pPr>
              <w:jc w:val="center"/>
              <w:rPr>
                <w:rFonts w:cs="Times New Roman"/>
                <w:szCs w:val="21"/>
              </w:rPr>
            </w:pPr>
            <w:r>
              <w:rPr>
                <w:rFonts w:cs="Times New Roman"/>
                <w:szCs w:val="21"/>
              </w:rPr>
              <w:t>0.231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670"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0.162</w:t>
            </w:r>
          </w:p>
        </w:tc>
        <w:tc>
          <w:tcPr>
            <w:tcW w:w="724"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2" w:type="pct"/>
            <w:vMerge w:val="continue"/>
            <w:tcBorders>
              <w:tl2br w:val="nil"/>
              <w:tr2bl w:val="nil"/>
            </w:tcBorders>
            <w:vAlign w:val="center"/>
          </w:tcPr>
          <w:p>
            <w:pPr>
              <w:jc w:val="center"/>
              <w:rPr>
                <w:rFonts w:cs="Times New Roman"/>
                <w:szCs w:val="21"/>
              </w:rPr>
            </w:pPr>
          </w:p>
        </w:tc>
        <w:tc>
          <w:tcPr>
            <w:tcW w:w="601" w:type="pct"/>
            <w:tcBorders>
              <w:tl2br w:val="nil"/>
              <w:tr2bl w:val="nil"/>
            </w:tcBorders>
            <w:vAlign w:val="center"/>
          </w:tcPr>
          <w:p>
            <w:pPr>
              <w:jc w:val="center"/>
              <w:rPr>
                <w:rFonts w:cs="Times New Roman"/>
                <w:szCs w:val="21"/>
              </w:rPr>
            </w:pPr>
            <w:r>
              <w:rPr>
                <w:rFonts w:cs="Times New Roman"/>
                <w:szCs w:val="21"/>
              </w:rPr>
              <w:t>食堂</w:t>
            </w:r>
          </w:p>
        </w:tc>
        <w:tc>
          <w:tcPr>
            <w:tcW w:w="829" w:type="pct"/>
            <w:tcBorders>
              <w:tl2br w:val="nil"/>
              <w:tr2bl w:val="nil"/>
            </w:tcBorders>
            <w:vAlign w:val="center"/>
          </w:tcPr>
          <w:p>
            <w:pPr>
              <w:jc w:val="center"/>
              <w:rPr>
                <w:rFonts w:cs="Times New Roman"/>
                <w:szCs w:val="21"/>
              </w:rPr>
            </w:pPr>
            <w:r>
              <w:rPr>
                <w:rFonts w:cs="Times New Roman"/>
                <w:szCs w:val="21"/>
              </w:rPr>
              <w:t>食堂</w:t>
            </w:r>
          </w:p>
        </w:tc>
        <w:tc>
          <w:tcPr>
            <w:tcW w:w="1010" w:type="pct"/>
            <w:tcBorders>
              <w:tl2br w:val="nil"/>
              <w:tr2bl w:val="nil"/>
            </w:tcBorders>
            <w:vAlign w:val="center"/>
          </w:tcPr>
          <w:p>
            <w:pPr>
              <w:jc w:val="center"/>
              <w:rPr>
                <w:rFonts w:cs="Times New Roman"/>
                <w:szCs w:val="21"/>
              </w:rPr>
            </w:pPr>
            <w:r>
              <w:rPr>
                <w:rFonts w:cs="Times New Roman"/>
                <w:szCs w:val="21"/>
              </w:rPr>
              <w:t>食堂油烟</w:t>
            </w:r>
          </w:p>
        </w:tc>
        <w:tc>
          <w:tcPr>
            <w:tcW w:w="641" w:type="pct"/>
            <w:tcBorders>
              <w:tl2br w:val="nil"/>
              <w:tr2bl w:val="nil"/>
            </w:tcBorders>
            <w:vAlign w:val="center"/>
          </w:tcPr>
          <w:p>
            <w:pPr>
              <w:jc w:val="center"/>
              <w:rPr>
                <w:rFonts w:cs="Times New Roman"/>
                <w:szCs w:val="21"/>
              </w:rPr>
            </w:pPr>
            <w:r>
              <w:rPr>
                <w:rFonts w:cs="Times New Roman"/>
                <w:szCs w:val="21"/>
              </w:rPr>
              <w:t>油烟</w:t>
            </w:r>
          </w:p>
        </w:tc>
        <w:tc>
          <w:tcPr>
            <w:tcW w:w="670" w:type="pct"/>
            <w:tcBorders>
              <w:tl2br w:val="nil"/>
              <w:tr2bl w:val="nil"/>
            </w:tcBorders>
            <w:vAlign w:val="center"/>
          </w:tcPr>
          <w:p>
            <w:pPr>
              <w:jc w:val="center"/>
              <w:rPr>
                <w:rFonts w:cs="Times New Roman"/>
                <w:szCs w:val="21"/>
              </w:rPr>
            </w:pPr>
            <w:r>
              <w:rPr>
                <w:rFonts w:cs="Times New Roman"/>
                <w:bCs/>
                <w:szCs w:val="21"/>
              </w:rPr>
              <w:t>0.0028</w:t>
            </w:r>
          </w:p>
        </w:tc>
        <w:tc>
          <w:tcPr>
            <w:tcW w:w="724" w:type="pct"/>
            <w:tcBorders>
              <w:tl2br w:val="nil"/>
              <w:tr2bl w:val="nil"/>
            </w:tcBorders>
            <w:vAlign w:val="center"/>
          </w:tcPr>
          <w:p>
            <w:pPr>
              <w:jc w:val="center"/>
              <w:rPr>
                <w:rFonts w:cs="Times New Roman"/>
                <w:szCs w:val="21"/>
              </w:rPr>
            </w:pPr>
            <w:r>
              <w:rPr>
                <w:rFonts w:cs="Times New Roman"/>
                <w:szCs w:val="21"/>
              </w:rPr>
              <w:t>0.0064</w:t>
            </w:r>
          </w:p>
        </w:tc>
      </w:tr>
    </w:tbl>
    <w:p>
      <w:pPr>
        <w:spacing w:line="360" w:lineRule="auto"/>
        <w:ind w:firstLine="482" w:firstLineChars="200"/>
        <w:rPr>
          <w:rFonts w:cs="Times New Roman"/>
          <w:b/>
          <w:bCs/>
          <w:sz w:val="24"/>
          <w:szCs w:val="24"/>
        </w:rPr>
      </w:pPr>
      <w:r>
        <w:rPr>
          <w:rFonts w:cs="Times New Roman"/>
          <w:b/>
          <w:bCs/>
          <w:sz w:val="24"/>
          <w:szCs w:val="24"/>
        </w:rPr>
        <w:t>（2）2600湿法薄毡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sz w:val="24"/>
          <w:szCs w:val="24"/>
        </w:rPr>
      </w:pPr>
      <w:r>
        <w:rPr>
          <w:rFonts w:cs="Times New Roman"/>
          <w:sz w:val="24"/>
          <w:szCs w:val="24"/>
        </w:rPr>
        <w:t>项目使用粘结剂均为水基型胶粘剂，该生产线</w:t>
      </w:r>
      <w:r>
        <w:rPr>
          <w:rFonts w:hint="eastAsia" w:cs="Times New Roman"/>
          <w:sz w:val="24"/>
          <w:szCs w:val="24"/>
          <w:lang w:val="en-US" w:eastAsia="zh-CN"/>
        </w:rPr>
        <w:t>水性功能乳液</w:t>
      </w:r>
      <w:r>
        <w:rPr>
          <w:rFonts w:cs="Times New Roman"/>
          <w:sz w:val="24"/>
          <w:szCs w:val="24"/>
        </w:rPr>
        <w:t>年用量为525t/a，脲醛</w:t>
      </w:r>
      <w:r>
        <w:rPr>
          <w:rFonts w:hint="eastAsia" w:cs="Times New Roman"/>
          <w:sz w:val="24"/>
          <w:szCs w:val="24"/>
          <w:lang w:val="en-US" w:eastAsia="zh-CN"/>
        </w:rPr>
        <w:t>胶</w:t>
      </w:r>
      <w:r>
        <w:rPr>
          <w:rFonts w:cs="Times New Roman"/>
          <w:sz w:val="24"/>
          <w:szCs w:val="24"/>
        </w:rPr>
        <w:t>年用量为975t/a。在浸胶与烘干环节，均有废气产生。（330d，24h）</w:t>
      </w:r>
    </w:p>
    <w:p>
      <w:pPr>
        <w:spacing w:line="360" w:lineRule="auto"/>
        <w:ind w:firstLine="482" w:firstLineChars="200"/>
        <w:rPr>
          <w:rFonts w:cs="Times New Roman"/>
          <w:b/>
          <w:bCs/>
          <w:sz w:val="24"/>
          <w:szCs w:val="24"/>
        </w:rPr>
      </w:pPr>
      <w:r>
        <w:rPr>
          <w:rFonts w:cs="Times New Roman"/>
          <w:b/>
          <w:bCs/>
          <w:sz w:val="24"/>
          <w:szCs w:val="24"/>
        </w:rPr>
        <w:t>甲醛</w:t>
      </w:r>
    </w:p>
    <w:p>
      <w:pPr>
        <w:spacing w:line="360" w:lineRule="auto"/>
        <w:ind w:firstLine="480" w:firstLineChars="200"/>
        <w:rPr>
          <w:rFonts w:cs="Times New Roman"/>
          <w:sz w:val="24"/>
          <w:szCs w:val="24"/>
        </w:rPr>
      </w:pPr>
      <w:r>
        <w:rPr>
          <w:rFonts w:cs="Times New Roman"/>
          <w:sz w:val="24"/>
          <w:szCs w:val="24"/>
        </w:rPr>
        <w:t>该生产线使用脲醛</w:t>
      </w:r>
      <w:r>
        <w:rPr>
          <w:rFonts w:hint="eastAsia" w:cs="Times New Roman"/>
          <w:sz w:val="24"/>
          <w:szCs w:val="24"/>
          <w:lang w:val="en-US" w:eastAsia="zh-CN"/>
        </w:rPr>
        <w:t>胶</w:t>
      </w:r>
      <w:r>
        <w:rPr>
          <w:rFonts w:cs="Times New Roman"/>
          <w:sz w:val="24"/>
          <w:szCs w:val="24"/>
        </w:rPr>
        <w:t>用量为975t/a，根据企业提供成分可知，项目使用的脲醛</w:t>
      </w:r>
      <w:r>
        <w:rPr>
          <w:rFonts w:hint="eastAsia" w:cs="Times New Roman"/>
          <w:sz w:val="24"/>
          <w:szCs w:val="24"/>
          <w:lang w:val="en-US" w:eastAsia="zh-CN"/>
        </w:rPr>
        <w:t>胶</w:t>
      </w:r>
      <w:r>
        <w:rPr>
          <w:rFonts w:cs="Times New Roman"/>
          <w:sz w:val="24"/>
          <w:szCs w:val="24"/>
        </w:rPr>
        <w:t>中游离甲醛的含量≤0.3%，按最不利情况游离甲醛完全挥发，按0.3%计算，脲醛</w:t>
      </w:r>
      <w:r>
        <w:rPr>
          <w:rFonts w:hint="eastAsia" w:cs="Times New Roman"/>
          <w:sz w:val="24"/>
          <w:szCs w:val="24"/>
          <w:lang w:val="en-US" w:eastAsia="zh-CN"/>
        </w:rPr>
        <w:t>胶</w:t>
      </w:r>
      <w:r>
        <w:rPr>
          <w:rFonts w:cs="Times New Roman"/>
          <w:sz w:val="24"/>
          <w:szCs w:val="24"/>
        </w:rPr>
        <w:t>中游离甲醛的年最大产生量为2.925t/a，产生速率为0.369kg/h。</w:t>
      </w:r>
    </w:p>
    <w:p>
      <w:pPr>
        <w:spacing w:line="360" w:lineRule="auto"/>
        <w:ind w:firstLine="482" w:firstLineChars="200"/>
        <w:rPr>
          <w:rFonts w:cs="Times New Roman"/>
          <w:b/>
          <w:bCs/>
          <w:sz w:val="24"/>
          <w:szCs w:val="24"/>
        </w:rPr>
      </w:pPr>
      <w:r>
        <w:rPr>
          <w:rFonts w:cs="Times New Roman"/>
          <w:b/>
          <w:bCs/>
          <w:sz w:val="24"/>
          <w:szCs w:val="24"/>
        </w:rPr>
        <w:t>氨</w:t>
      </w:r>
    </w:p>
    <w:p>
      <w:pPr>
        <w:spacing w:line="360" w:lineRule="auto"/>
        <w:ind w:firstLine="480" w:firstLineChars="200"/>
        <w:rPr>
          <w:rFonts w:cs="Times New Roman"/>
          <w:sz w:val="24"/>
          <w:szCs w:val="24"/>
        </w:rPr>
      </w:pPr>
      <w:r>
        <w:rPr>
          <w:rFonts w:cs="Times New Roman"/>
          <w:sz w:val="24"/>
          <w:szCs w:val="24"/>
        </w:rPr>
        <w:t>考虑脲醛</w:t>
      </w:r>
      <w:r>
        <w:rPr>
          <w:rFonts w:hint="eastAsia" w:cs="Times New Roman"/>
          <w:sz w:val="24"/>
          <w:szCs w:val="24"/>
          <w:lang w:val="en-US" w:eastAsia="zh-CN"/>
        </w:rPr>
        <w:t>胶</w:t>
      </w:r>
      <w:r>
        <w:rPr>
          <w:rFonts w:cs="Times New Roman"/>
          <w:sz w:val="24"/>
          <w:szCs w:val="24"/>
        </w:rPr>
        <w:t>加热到200摄氏度以上，可能分解产生的污染物会有氨，产生量按照脲醛</w:t>
      </w:r>
      <w:r>
        <w:rPr>
          <w:rFonts w:hint="eastAsia" w:cs="Times New Roman"/>
          <w:sz w:val="24"/>
          <w:szCs w:val="24"/>
          <w:lang w:val="en-US" w:eastAsia="zh-CN"/>
        </w:rPr>
        <w:t>胶</w:t>
      </w:r>
      <w:r>
        <w:rPr>
          <w:rFonts w:cs="Times New Roman"/>
          <w:sz w:val="24"/>
          <w:szCs w:val="24"/>
        </w:rPr>
        <w:t>用量的万分之一考虑，则氨的产生量为0.098t/a，产生速率为0.012kg/h。</w:t>
      </w:r>
    </w:p>
    <w:p>
      <w:pPr>
        <w:spacing w:line="360" w:lineRule="auto"/>
        <w:ind w:firstLine="482" w:firstLineChars="200"/>
        <w:rPr>
          <w:rFonts w:cs="Times New Roman"/>
          <w:b/>
          <w:bCs/>
          <w:sz w:val="24"/>
          <w:szCs w:val="24"/>
        </w:rPr>
      </w:pPr>
      <w:r>
        <w:rPr>
          <w:rFonts w:cs="Times New Roman"/>
          <w:b/>
          <w:bCs/>
          <w:sz w:val="24"/>
          <w:szCs w:val="24"/>
        </w:rPr>
        <w:t>VOCs</w:t>
      </w:r>
    </w:p>
    <w:p>
      <w:pPr>
        <w:spacing w:line="360" w:lineRule="auto"/>
        <w:ind w:firstLine="480" w:firstLineChars="200"/>
        <w:rPr>
          <w:rFonts w:cs="Times New Roman"/>
          <w:sz w:val="24"/>
          <w:szCs w:val="24"/>
        </w:rPr>
      </w:pPr>
      <w:r>
        <w:rPr>
          <w:rFonts w:cs="Times New Roman"/>
          <w:sz w:val="24"/>
          <w:szCs w:val="24"/>
        </w:rPr>
        <w:t>该生产线使用</w:t>
      </w:r>
      <w:r>
        <w:rPr>
          <w:rFonts w:hint="eastAsia" w:cs="Times New Roman"/>
          <w:sz w:val="24"/>
          <w:szCs w:val="24"/>
          <w:lang w:val="en-US" w:eastAsia="zh-CN"/>
        </w:rPr>
        <w:t>水性功能乳液</w:t>
      </w:r>
      <w:r>
        <w:rPr>
          <w:rFonts w:cs="Times New Roman"/>
          <w:sz w:val="24"/>
          <w:szCs w:val="24"/>
        </w:rPr>
        <w:t>用量为525t/a，根据企业提供成分可知，</w:t>
      </w:r>
      <w:r>
        <w:rPr>
          <w:rFonts w:cs="Times New Roman"/>
          <w:kern w:val="0"/>
          <w:sz w:val="24"/>
          <w:szCs w:val="24"/>
        </w:rPr>
        <w:t>VOC含量为75mg/kg（0.075g/L），</w:t>
      </w:r>
      <w:r>
        <w:rPr>
          <w:rFonts w:cs="Times New Roman"/>
          <w:sz w:val="24"/>
          <w:szCs w:val="24"/>
        </w:rPr>
        <w:t>按最不利情况完全挥发，则</w:t>
      </w:r>
      <w:r>
        <w:rPr>
          <w:rFonts w:hint="eastAsia" w:cs="Times New Roman"/>
          <w:color w:val="000000" w:themeColor="text1"/>
          <w:sz w:val="24"/>
          <w:szCs w:val="24"/>
          <w:lang w:val="en-US" w:eastAsia="zh-CN"/>
          <w14:textFill>
            <w14:solidFill>
              <w14:schemeClr w14:val="tx1"/>
            </w14:solidFill>
          </w14:textFill>
        </w:rPr>
        <w:t>水性功能乳液</w:t>
      </w:r>
      <w:r>
        <w:rPr>
          <w:rFonts w:cs="Times New Roman"/>
          <w:sz w:val="24"/>
          <w:szCs w:val="24"/>
        </w:rPr>
        <w:t>中VOCs的年最大产生量为0.039t/a，产生速率为0.005kg/h。</w:t>
      </w:r>
    </w:p>
    <w:p>
      <w:pPr>
        <w:spacing w:line="360" w:lineRule="auto"/>
        <w:ind w:firstLine="482" w:firstLineChars="200"/>
        <w:rPr>
          <w:rFonts w:cs="Times New Roman"/>
          <w:b/>
          <w:bCs/>
          <w:sz w:val="24"/>
          <w:szCs w:val="24"/>
        </w:rPr>
      </w:pPr>
      <w:r>
        <w:rPr>
          <w:rFonts w:cs="Times New Roman"/>
          <w:b/>
          <w:bCs/>
          <w:sz w:val="24"/>
          <w:szCs w:val="24"/>
        </w:rPr>
        <w:t>2）烘干工序产生的天然气燃烧废气</w:t>
      </w:r>
    </w:p>
    <w:p>
      <w:pPr>
        <w:spacing w:line="360" w:lineRule="auto"/>
        <w:ind w:firstLine="480" w:firstLineChars="200"/>
        <w:rPr>
          <w:rFonts w:cs="Times New Roman"/>
          <w:sz w:val="24"/>
          <w:szCs w:val="24"/>
        </w:rPr>
      </w:pPr>
      <w:r>
        <w:rPr>
          <w:rFonts w:cs="Times New Roman"/>
          <w:sz w:val="24"/>
          <w:szCs w:val="24"/>
        </w:rPr>
        <w:t>项目烘干过程使用天然气作为燃料，天然气是一种清洁能源，废气中主要污染物为SO</w:t>
      </w:r>
      <w:r>
        <w:rPr>
          <w:rFonts w:cs="Times New Roman"/>
          <w:sz w:val="24"/>
          <w:szCs w:val="24"/>
          <w:vertAlign w:val="subscript"/>
        </w:rPr>
        <w:t>2</w:t>
      </w:r>
      <w:r>
        <w:rPr>
          <w:rFonts w:cs="Times New Roman"/>
          <w:sz w:val="24"/>
          <w:szCs w:val="24"/>
        </w:rPr>
        <w:t>和NO</w:t>
      </w:r>
      <w:r>
        <w:rPr>
          <w:rFonts w:cs="Times New Roman"/>
          <w:sz w:val="24"/>
          <w:szCs w:val="24"/>
          <w:vertAlign w:val="subscript"/>
        </w:rPr>
        <w:t>X</w:t>
      </w:r>
      <w:r>
        <w:rPr>
          <w:rFonts w:cs="Times New Roman"/>
          <w:sz w:val="24"/>
          <w:szCs w:val="24"/>
        </w:rPr>
        <w:t>，本项目天然气用量为</w:t>
      </w:r>
      <w:r>
        <w:rPr>
          <w:rFonts w:hint="eastAsia" w:cs="Times New Roman"/>
          <w:color w:val="000000" w:themeColor="text1"/>
          <w:sz w:val="24"/>
          <w:szCs w:val="24"/>
          <w:lang w:val="en-US" w:eastAsia="zh-CN"/>
          <w14:textFill>
            <w14:solidFill>
              <w14:schemeClr w14:val="tx1"/>
            </w14:solidFill>
          </w14:textFill>
        </w:rPr>
        <w:t>142</w:t>
      </w:r>
      <w:r>
        <w:rPr>
          <w:rFonts w:cs="Times New Roman"/>
          <w:color w:val="000000" w:themeColor="text1"/>
          <w:sz w:val="24"/>
          <w:szCs w:val="24"/>
          <w14:textFill>
            <w14:solidFill>
              <w14:schemeClr w14:val="tx1"/>
            </w14:solidFill>
          </w14:textFill>
        </w:rPr>
        <w:t>.5万</w:t>
      </w:r>
      <w:r>
        <w:rPr>
          <w:rFonts w:cs="Times New Roman"/>
          <w:bCs/>
          <w:sz w:val="24"/>
          <w:szCs w:val="24"/>
        </w:rPr>
        <w:t>m</w:t>
      </w:r>
      <w:r>
        <w:rPr>
          <w:rFonts w:cs="Times New Roman"/>
          <w:bCs/>
          <w:sz w:val="24"/>
          <w:szCs w:val="24"/>
          <w:vertAlign w:val="superscript"/>
        </w:rPr>
        <w:t>3</w:t>
      </w:r>
      <w:r>
        <w:rPr>
          <w:rFonts w:cs="Times New Roman"/>
          <w:sz w:val="24"/>
          <w:szCs w:val="24"/>
        </w:rPr>
        <w:t>/a，项目运行时间为7920h。</w:t>
      </w:r>
    </w:p>
    <w:p>
      <w:pPr>
        <w:spacing w:line="360" w:lineRule="auto"/>
        <w:ind w:firstLine="480" w:firstLineChars="200"/>
        <w:rPr>
          <w:rFonts w:cs="Times New Roman"/>
          <w:sz w:val="24"/>
          <w:szCs w:val="24"/>
        </w:rPr>
      </w:pPr>
      <w:r>
        <w:rPr>
          <w:rFonts w:cs="Times New Roman"/>
          <w:sz w:val="24"/>
          <w:szCs w:val="24"/>
        </w:rPr>
        <w:t>根据《排放源统计调查产排污核算方法和系数手册》工业行业产排污系数手册中4430 工业锅炉（热力生产和供应行业）产排污系数表-燃气工业锅炉的排污系数表以及经验系数可知燃烧天然气情况下污染物产排污系数如下：</w:t>
      </w:r>
    </w:p>
    <w:p>
      <w:pPr>
        <w:spacing w:line="360" w:lineRule="auto"/>
        <w:jc w:val="center"/>
        <w:rPr>
          <w:rFonts w:cs="Times New Roman"/>
          <w:b/>
          <w:sz w:val="24"/>
          <w:szCs w:val="24"/>
        </w:rPr>
      </w:pPr>
      <w:r>
        <w:rPr>
          <w:rFonts w:cs="Times New Roman"/>
          <w:b/>
          <w:sz w:val="24"/>
          <w:szCs w:val="24"/>
        </w:rPr>
        <w:t>表2.2-3 天然气燃烧污染物产生系数</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159"/>
        <w:gridCol w:w="3178"/>
        <w:gridCol w:w="32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污染物指标</w:t>
            </w:r>
          </w:p>
        </w:tc>
        <w:tc>
          <w:tcPr>
            <w:tcW w:w="1661"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单位</w:t>
            </w:r>
          </w:p>
        </w:tc>
        <w:tc>
          <w:tcPr>
            <w:tcW w:w="1686" w:type="pct"/>
            <w:shd w:val="clear" w:color="auto" w:fill="auto"/>
            <w:vAlign w:val="center"/>
          </w:tcPr>
          <w:p>
            <w:pPr>
              <w:autoSpaceDE w:val="0"/>
              <w:autoSpaceDN w:val="0"/>
              <w:adjustRightInd w:val="0"/>
              <w:snapToGrid w:val="0"/>
              <w:jc w:val="center"/>
              <w:rPr>
                <w:rFonts w:cs="Times New Roman"/>
                <w:b/>
                <w:kern w:val="0"/>
                <w:szCs w:val="21"/>
              </w:rPr>
            </w:pPr>
            <w:r>
              <w:rPr>
                <w:rFonts w:cs="Times New Roman"/>
                <w:b/>
                <w:kern w:val="0"/>
                <w:szCs w:val="21"/>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废气量</w:t>
            </w:r>
          </w:p>
        </w:tc>
        <w:tc>
          <w:tcPr>
            <w:tcW w:w="1661" w:type="pct"/>
            <w:vAlign w:val="center"/>
          </w:tcPr>
          <w:p>
            <w:pPr>
              <w:autoSpaceDE w:val="0"/>
              <w:autoSpaceDN w:val="0"/>
              <w:adjustRightInd w:val="0"/>
              <w:snapToGrid w:val="0"/>
              <w:jc w:val="center"/>
              <w:rPr>
                <w:rFonts w:cs="Times New Roman"/>
                <w:kern w:val="0"/>
                <w:szCs w:val="21"/>
              </w:rPr>
            </w:pPr>
            <w:r>
              <w:rPr>
                <w:rFonts w:cs="Times New Roman"/>
                <w:bCs/>
                <w:szCs w:val="21"/>
              </w:rPr>
              <w:t>Nm</w:t>
            </w:r>
            <w:r>
              <w:rPr>
                <w:rFonts w:cs="Times New Roman"/>
                <w:bCs/>
                <w:szCs w:val="21"/>
                <w:vertAlign w:val="superscript"/>
              </w:rPr>
              <w:t>3</w:t>
            </w:r>
            <w:r>
              <w:rPr>
                <w:rFonts w:cs="Times New Roman"/>
                <w:bCs/>
                <w:szCs w:val="21"/>
              </w:rPr>
              <w:t>/万m</w:t>
            </w:r>
            <w:r>
              <w:rPr>
                <w:rFonts w:cs="Times New Roman"/>
                <w:bCs/>
                <w:szCs w:val="21"/>
                <w:vertAlign w:val="superscript"/>
              </w:rPr>
              <w:t>3</w:t>
            </w:r>
            <w:r>
              <w:rPr>
                <w:rFonts w:cs="Times New Roman"/>
                <w:bCs/>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107753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二氧化硫</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kern w:val="0"/>
                <w:szCs w:val="21"/>
              </w:rPr>
              <w:t>0.02S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kern w:val="0"/>
                <w:szCs w:val="21"/>
              </w:rPr>
            </w:pPr>
            <w:r>
              <w:rPr>
                <w:rFonts w:cs="Times New Roman"/>
                <w:kern w:val="0"/>
                <w:szCs w:val="21"/>
              </w:rPr>
              <w:t>氮氧化物</w:t>
            </w:r>
          </w:p>
        </w:tc>
        <w:tc>
          <w:tcPr>
            <w:tcW w:w="1661" w:type="pct"/>
            <w:vAlign w:val="center"/>
          </w:tcPr>
          <w:p>
            <w:pPr>
              <w:autoSpaceDE w:val="0"/>
              <w:autoSpaceDN w:val="0"/>
              <w:adjustRightInd w:val="0"/>
              <w:snapToGrid w:val="0"/>
              <w:jc w:val="center"/>
              <w:rPr>
                <w:rFonts w:cs="Times New Roman"/>
                <w:kern w:val="0"/>
                <w:szCs w:val="21"/>
              </w:rPr>
            </w:pPr>
            <w:r>
              <w:rPr>
                <w:rFonts w:cs="Times New Roman"/>
                <w:kern w:val="0"/>
                <w:szCs w:val="21"/>
              </w:rPr>
              <w:t>kg/万m</w:t>
            </w:r>
            <w:r>
              <w:rPr>
                <w:rFonts w:cs="Times New Roman"/>
                <w:kern w:val="0"/>
                <w:szCs w:val="21"/>
                <w:vertAlign w:val="superscript"/>
              </w:rPr>
              <w:t>3</w:t>
            </w:r>
            <w:r>
              <w:rPr>
                <w:rFonts w:cs="Times New Roman"/>
                <w:kern w:val="0"/>
                <w:szCs w:val="21"/>
              </w:rPr>
              <w:t>-原料</w:t>
            </w:r>
          </w:p>
        </w:tc>
        <w:tc>
          <w:tcPr>
            <w:tcW w:w="1686" w:type="pct"/>
            <w:vAlign w:val="center"/>
          </w:tcPr>
          <w:p>
            <w:pPr>
              <w:autoSpaceDE w:val="0"/>
              <w:autoSpaceDN w:val="0"/>
              <w:adjustRightInd w:val="0"/>
              <w:snapToGrid w:val="0"/>
              <w:jc w:val="center"/>
              <w:rPr>
                <w:rFonts w:cs="Times New Roman"/>
                <w:kern w:val="0"/>
                <w:szCs w:val="21"/>
              </w:rPr>
            </w:pPr>
            <w:r>
              <w:rPr>
                <w:rFonts w:cs="Times New Roman"/>
                <w:bCs/>
                <w:szCs w:val="21"/>
              </w:rPr>
              <w:t>15.87</w:t>
            </w:r>
            <w:r>
              <w:rPr>
                <w:rFonts w:cs="Times New Roman"/>
                <w:kern w:val="0"/>
                <w:szCs w:val="21"/>
              </w:rPr>
              <w:t>（低氮燃烧）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5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烟尘</w:t>
            </w:r>
          </w:p>
        </w:tc>
        <w:tc>
          <w:tcPr>
            <w:tcW w:w="1661"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kg/万m</w:t>
            </w:r>
            <w:r>
              <w:rPr>
                <w:rFonts w:cs="Times New Roman"/>
                <w:color w:val="000000" w:themeColor="text1"/>
                <w:kern w:val="0"/>
                <w:szCs w:val="21"/>
                <w:vertAlign w:val="superscript"/>
                <w14:textFill>
                  <w14:solidFill>
                    <w14:schemeClr w14:val="tx1"/>
                  </w14:solidFill>
                </w14:textFill>
              </w:rPr>
              <w:t>3</w:t>
            </w:r>
            <w:r>
              <w:rPr>
                <w:rFonts w:cs="Times New Roman"/>
                <w:color w:val="000000" w:themeColor="text1"/>
                <w:kern w:val="0"/>
                <w:szCs w:val="21"/>
                <w14:textFill>
                  <w14:solidFill>
                    <w14:schemeClr w14:val="tx1"/>
                  </w14:solidFill>
                </w14:textFill>
              </w:rPr>
              <w:t>-原料</w:t>
            </w:r>
          </w:p>
        </w:tc>
        <w:tc>
          <w:tcPr>
            <w:tcW w:w="1686" w:type="pct"/>
            <w:vAlign w:val="center"/>
          </w:tcPr>
          <w:p>
            <w:pPr>
              <w:autoSpaceDE w:val="0"/>
              <w:autoSpaceDN w:val="0"/>
              <w:adjustRightInd w:val="0"/>
              <w:snapToGrid w:val="0"/>
              <w:jc w:val="center"/>
              <w:rPr>
                <w:rFonts w:cs="Times New Roman"/>
                <w:color w:val="000000" w:themeColor="text1"/>
                <w:kern w:val="0"/>
                <w:szCs w:val="21"/>
                <w14:textFill>
                  <w14:solidFill>
                    <w14:schemeClr w14:val="tx1"/>
                  </w14:solidFill>
                </w14:textFill>
              </w:rPr>
            </w:pPr>
            <w:r>
              <w:rPr>
                <w:rFonts w:cs="Times New Roman"/>
                <w:color w:val="000000" w:themeColor="text1"/>
                <w:kern w:val="0"/>
                <w:szCs w:val="21"/>
                <w14:textFill>
                  <w14:solidFill>
                    <w14:schemeClr w14:val="tx1"/>
                  </w14:solidFill>
                </w14:textFill>
              </w:rPr>
              <w:t>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3"/>
            <w:vAlign w:val="center"/>
          </w:tcPr>
          <w:p>
            <w:pPr>
              <w:pStyle w:val="53"/>
              <w:spacing w:line="240" w:lineRule="auto"/>
              <w:ind w:firstLine="360"/>
              <w:rPr>
                <w:rFonts w:ascii="Times New Roman" w:hAnsi="Times New Roman"/>
                <w:kern w:val="0"/>
                <w:sz w:val="21"/>
                <w:szCs w:val="21"/>
              </w:rPr>
            </w:pPr>
            <w:r>
              <w:rPr>
                <w:rFonts w:ascii="Times New Roman" w:hAnsi="Times New Roman"/>
                <w:sz w:val="18"/>
                <w:szCs w:val="18"/>
              </w:rPr>
              <w:t>注：二氧化硫的产排污系数是以含硫量（S）的形式表示的，其中含硫量（S）是指燃气收到基硫分含量，单位为mg/m</w:t>
            </w:r>
            <w:r>
              <w:rPr>
                <w:rFonts w:ascii="Times New Roman" w:hAnsi="Times New Roman"/>
                <w:sz w:val="18"/>
                <w:szCs w:val="18"/>
                <w:vertAlign w:val="superscript"/>
              </w:rPr>
              <w:t>3</w:t>
            </w:r>
            <w:r>
              <w:rPr>
                <w:rFonts w:ascii="Times New Roman" w:hAnsi="Times New Roman"/>
                <w:sz w:val="18"/>
                <w:szCs w:val="18"/>
              </w:rPr>
              <w:t>，根据《国家天然气标准》（GB17820-2018）中的规定，一类天然气技术指标中的含硫量为20mg/m</w:t>
            </w:r>
            <w:r>
              <w:rPr>
                <w:rFonts w:ascii="Times New Roman" w:hAnsi="Times New Roman"/>
                <w:sz w:val="18"/>
                <w:szCs w:val="18"/>
                <w:vertAlign w:val="superscript"/>
              </w:rPr>
              <w:t>3</w:t>
            </w:r>
            <w:r>
              <w:rPr>
                <w:rFonts w:ascii="Times New Roman" w:hAnsi="Times New Roman"/>
                <w:sz w:val="18"/>
                <w:szCs w:val="18"/>
              </w:rPr>
              <w:t>，则本项目取值S=20</w:t>
            </w:r>
          </w:p>
        </w:tc>
      </w:tr>
    </w:tbl>
    <w:p>
      <w:pPr>
        <w:spacing w:line="360" w:lineRule="auto"/>
        <w:ind w:firstLine="480" w:firstLineChars="200"/>
        <w:rPr>
          <w:rFonts w:cs="Times New Roman"/>
          <w:sz w:val="24"/>
          <w:szCs w:val="24"/>
        </w:rPr>
      </w:pPr>
      <w:r>
        <w:rPr>
          <w:rFonts w:hint="eastAsia" w:cs="Times New Roman"/>
          <w:sz w:val="24"/>
          <w:szCs w:val="24"/>
        </w:rPr>
        <w:t>根据上表产污系数，计算得废气产生量约为1535.48万m</w:t>
      </w:r>
      <w:r>
        <w:rPr>
          <w:rFonts w:hint="eastAsia" w:cs="Times New Roman"/>
          <w:sz w:val="24"/>
          <w:szCs w:val="24"/>
          <w:vertAlign w:val="superscript"/>
        </w:rPr>
        <w:t>3</w:t>
      </w:r>
      <w:r>
        <w:rPr>
          <w:rFonts w:hint="eastAsia" w:cs="Times New Roman"/>
          <w:sz w:val="24"/>
          <w:szCs w:val="24"/>
        </w:rPr>
        <w:t>、SO</w:t>
      </w:r>
      <w:r>
        <w:rPr>
          <w:rFonts w:hint="eastAsia" w:cs="Times New Roman"/>
          <w:sz w:val="24"/>
          <w:szCs w:val="24"/>
          <w:vertAlign w:val="subscript"/>
        </w:rPr>
        <w:t>2</w:t>
      </w:r>
      <w:r>
        <w:rPr>
          <w:rFonts w:hint="eastAsia" w:cs="Times New Roman"/>
          <w:sz w:val="24"/>
          <w:szCs w:val="24"/>
        </w:rPr>
        <w:t>产生量约为0.057t/a（0.007kg/h）、氮氧化物产生量约为2.261t/a（0.285kg/h）；烟尘产生量约为0.2t/a（0.025kg/h）。</w:t>
      </w:r>
    </w:p>
    <w:p>
      <w:pPr>
        <w:spacing w:line="360" w:lineRule="auto"/>
        <w:ind w:firstLine="482" w:firstLineChars="200"/>
        <w:rPr>
          <w:rFonts w:cs="Times New Roman"/>
          <w:b/>
          <w:bCs/>
          <w:sz w:val="24"/>
          <w:szCs w:val="24"/>
        </w:rPr>
      </w:pPr>
      <w:r>
        <w:rPr>
          <w:rFonts w:cs="Times New Roman"/>
          <w:b/>
          <w:bCs/>
          <w:sz w:val="24"/>
          <w:szCs w:val="24"/>
        </w:rPr>
        <w:t>3）食堂油烟</w:t>
      </w:r>
    </w:p>
    <w:p>
      <w:pPr>
        <w:spacing w:line="360" w:lineRule="auto"/>
        <w:ind w:firstLine="480" w:firstLineChars="200"/>
        <w:rPr>
          <w:rFonts w:cs="Times New Roman"/>
          <w:sz w:val="24"/>
          <w:szCs w:val="24"/>
        </w:rPr>
      </w:pPr>
      <w:r>
        <w:rPr>
          <w:rFonts w:cs="Times New Roman"/>
          <w:bCs/>
          <w:sz w:val="24"/>
          <w:szCs w:val="24"/>
        </w:rPr>
        <w:t>项目提供员工食堂供工作人员就餐，项目食堂就餐人数为10人，食物在烹饪、加工过程中将挥发出油脂、有机质及热分解或裂解产物，从而产生油烟废气。油烟废气成分复杂，包括有醛、酮、烃、脂肪酸、醇、芳香化合物、脂、内脂和杂环化合物等300多种化学物质，对人体危害较大。人均食用油日用量约30g/人·d，一般油烟挥发量占总耗油量的2%~4%，平均为2.83%，则本项目食堂油烟产生量为0.0085kg/d，0.0028t/a（0.0064kg/h）。（以330d</w:t>
      </w:r>
      <w:r>
        <w:rPr>
          <w:rFonts w:cs="Times New Roman"/>
          <w:sz w:val="24"/>
          <w:szCs w:val="24"/>
        </w:rPr>
        <w:t>，</w:t>
      </w:r>
      <w:r>
        <w:rPr>
          <w:rFonts w:cs="Times New Roman"/>
          <w:bCs/>
          <w:sz w:val="24"/>
          <w:szCs w:val="24"/>
        </w:rPr>
        <w:t>4h计）</w:t>
      </w:r>
    </w:p>
    <w:p>
      <w:pPr>
        <w:spacing w:line="360" w:lineRule="auto"/>
        <w:ind w:firstLine="480" w:firstLineChars="200"/>
        <w:rPr>
          <w:rFonts w:cs="Times New Roman"/>
          <w:b/>
          <w:sz w:val="24"/>
          <w:szCs w:val="24"/>
        </w:rPr>
      </w:pPr>
      <w:r>
        <w:rPr>
          <w:rFonts w:cs="Times New Roman"/>
          <w:sz w:val="24"/>
          <w:szCs w:val="24"/>
        </w:rPr>
        <w:t>综上所述，项目废气产排污环节、污染物种类及产生量见下表：</w:t>
      </w:r>
    </w:p>
    <w:p>
      <w:pPr>
        <w:spacing w:line="360" w:lineRule="auto"/>
        <w:jc w:val="center"/>
        <w:rPr>
          <w:rFonts w:cs="Times New Roman"/>
          <w:b/>
          <w:sz w:val="24"/>
          <w:szCs w:val="24"/>
        </w:rPr>
      </w:pPr>
      <w:r>
        <w:rPr>
          <w:rFonts w:cs="Times New Roman"/>
          <w:b/>
          <w:sz w:val="24"/>
          <w:szCs w:val="24"/>
        </w:rPr>
        <w:t>表2.2-4 废气产排污环节、污染物种类及产生量表</w:t>
      </w:r>
    </w:p>
    <w:tbl>
      <w:tblPr>
        <w:tblStyle w:val="27"/>
        <w:tblW w:w="4999"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151"/>
        <w:gridCol w:w="1588"/>
        <w:gridCol w:w="1934"/>
        <w:gridCol w:w="1227"/>
        <w:gridCol w:w="1282"/>
        <w:gridCol w:w="13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restart"/>
            <w:tcBorders>
              <w:tl2br w:val="nil"/>
              <w:tr2bl w:val="nil"/>
            </w:tcBorders>
            <w:vAlign w:val="center"/>
          </w:tcPr>
          <w:p>
            <w:pPr>
              <w:jc w:val="center"/>
              <w:rPr>
                <w:rFonts w:cs="Times New Roman"/>
                <w:b/>
                <w:bCs/>
                <w:szCs w:val="21"/>
              </w:rPr>
            </w:pPr>
            <w:r>
              <w:rPr>
                <w:rFonts w:cs="Times New Roman"/>
                <w:b/>
                <w:bCs/>
                <w:szCs w:val="21"/>
              </w:rPr>
              <w:t>生产单元</w:t>
            </w:r>
          </w:p>
        </w:tc>
        <w:tc>
          <w:tcPr>
            <w:tcW w:w="601" w:type="pct"/>
            <w:vMerge w:val="restart"/>
            <w:tcBorders>
              <w:tl2br w:val="nil"/>
              <w:tr2bl w:val="nil"/>
            </w:tcBorders>
            <w:vAlign w:val="center"/>
          </w:tcPr>
          <w:p>
            <w:pPr>
              <w:jc w:val="center"/>
              <w:rPr>
                <w:rFonts w:cs="Times New Roman"/>
                <w:b/>
                <w:bCs/>
                <w:szCs w:val="21"/>
              </w:rPr>
            </w:pPr>
            <w:r>
              <w:rPr>
                <w:rFonts w:cs="Times New Roman"/>
                <w:b/>
                <w:bCs/>
                <w:szCs w:val="21"/>
              </w:rPr>
              <w:t>主要生产工艺</w:t>
            </w:r>
          </w:p>
        </w:tc>
        <w:tc>
          <w:tcPr>
            <w:tcW w:w="829" w:type="pct"/>
            <w:vMerge w:val="restart"/>
            <w:tcBorders>
              <w:tl2br w:val="nil"/>
              <w:tr2bl w:val="nil"/>
            </w:tcBorders>
            <w:vAlign w:val="center"/>
          </w:tcPr>
          <w:p>
            <w:pPr>
              <w:jc w:val="center"/>
              <w:rPr>
                <w:rFonts w:cs="Times New Roman"/>
                <w:b/>
                <w:bCs/>
                <w:szCs w:val="21"/>
              </w:rPr>
            </w:pPr>
            <w:r>
              <w:rPr>
                <w:rFonts w:cs="Times New Roman"/>
                <w:b/>
                <w:bCs/>
                <w:szCs w:val="21"/>
              </w:rPr>
              <w:t>废气产污环节</w:t>
            </w:r>
          </w:p>
        </w:tc>
        <w:tc>
          <w:tcPr>
            <w:tcW w:w="1010" w:type="pct"/>
            <w:vMerge w:val="restart"/>
            <w:tcBorders>
              <w:tl2br w:val="nil"/>
              <w:tr2bl w:val="nil"/>
            </w:tcBorders>
            <w:vAlign w:val="center"/>
          </w:tcPr>
          <w:p>
            <w:pPr>
              <w:jc w:val="center"/>
              <w:rPr>
                <w:rFonts w:cs="Times New Roman"/>
                <w:b/>
                <w:bCs/>
                <w:szCs w:val="21"/>
              </w:rPr>
            </w:pPr>
            <w:r>
              <w:rPr>
                <w:rFonts w:cs="Times New Roman"/>
                <w:b/>
                <w:bCs/>
                <w:szCs w:val="21"/>
              </w:rPr>
              <w:t>废气类别</w:t>
            </w:r>
          </w:p>
        </w:tc>
        <w:tc>
          <w:tcPr>
            <w:tcW w:w="641"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395" w:type="pct"/>
            <w:gridSpan w:val="2"/>
            <w:tcBorders>
              <w:tl2br w:val="nil"/>
              <w:tr2bl w:val="nil"/>
            </w:tcBorders>
            <w:vAlign w:val="center"/>
          </w:tcPr>
          <w:p>
            <w:pPr>
              <w:jc w:val="center"/>
              <w:rPr>
                <w:rFonts w:cs="Times New Roman"/>
                <w:b/>
                <w:bCs/>
                <w:szCs w:val="21"/>
              </w:rPr>
            </w:pPr>
            <w:r>
              <w:rPr>
                <w:rFonts w:cs="Times New Roman"/>
                <w:b/>
                <w:bCs/>
                <w:szCs w:val="21"/>
              </w:rPr>
              <w:t>产生量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jc w:val="center"/>
              <w:rPr>
                <w:rFonts w:cs="Times New Roman"/>
                <w:b/>
                <w:bCs/>
                <w:szCs w:val="21"/>
              </w:rPr>
            </w:pPr>
          </w:p>
        </w:tc>
        <w:tc>
          <w:tcPr>
            <w:tcW w:w="601" w:type="pct"/>
            <w:vMerge w:val="continue"/>
            <w:tcBorders>
              <w:tl2br w:val="nil"/>
              <w:tr2bl w:val="nil"/>
            </w:tcBorders>
            <w:vAlign w:val="center"/>
          </w:tcPr>
          <w:p>
            <w:pPr>
              <w:jc w:val="center"/>
              <w:rPr>
                <w:rFonts w:cs="Times New Roman"/>
                <w:b/>
                <w:bCs/>
                <w:szCs w:val="21"/>
              </w:rPr>
            </w:pPr>
          </w:p>
        </w:tc>
        <w:tc>
          <w:tcPr>
            <w:tcW w:w="829" w:type="pct"/>
            <w:vMerge w:val="continue"/>
            <w:tcBorders>
              <w:tl2br w:val="nil"/>
              <w:tr2bl w:val="nil"/>
            </w:tcBorders>
            <w:vAlign w:val="center"/>
          </w:tcPr>
          <w:p>
            <w:pPr>
              <w:jc w:val="center"/>
              <w:rPr>
                <w:rFonts w:cs="Times New Roman"/>
                <w:b/>
                <w:bCs/>
                <w:szCs w:val="21"/>
              </w:rPr>
            </w:pPr>
          </w:p>
        </w:tc>
        <w:tc>
          <w:tcPr>
            <w:tcW w:w="1010" w:type="pct"/>
            <w:vMerge w:val="continue"/>
            <w:tcBorders>
              <w:tl2br w:val="nil"/>
              <w:tr2bl w:val="nil"/>
            </w:tcBorders>
            <w:vAlign w:val="center"/>
          </w:tcPr>
          <w:p>
            <w:pPr>
              <w:jc w:val="center"/>
              <w:rPr>
                <w:rFonts w:cs="Times New Roman"/>
                <w:b/>
                <w:bCs/>
                <w:szCs w:val="21"/>
              </w:rPr>
            </w:pPr>
          </w:p>
        </w:tc>
        <w:tc>
          <w:tcPr>
            <w:tcW w:w="641" w:type="pct"/>
            <w:vMerge w:val="continue"/>
            <w:tcBorders>
              <w:tl2br w:val="nil"/>
              <w:tr2bl w:val="nil"/>
            </w:tcBorders>
            <w:vAlign w:val="center"/>
          </w:tcPr>
          <w:p>
            <w:pPr>
              <w:jc w:val="center"/>
              <w:rPr>
                <w:rFonts w:cs="Times New Roman"/>
                <w:b/>
                <w:bCs/>
                <w:szCs w:val="21"/>
              </w:rPr>
            </w:pPr>
          </w:p>
        </w:tc>
        <w:tc>
          <w:tcPr>
            <w:tcW w:w="669" w:type="pct"/>
            <w:tcBorders>
              <w:tl2br w:val="nil"/>
              <w:tr2bl w:val="nil"/>
            </w:tcBorders>
            <w:vAlign w:val="center"/>
          </w:tcPr>
          <w:p>
            <w:pPr>
              <w:jc w:val="center"/>
              <w:rPr>
                <w:rFonts w:cs="Times New Roman"/>
                <w:b/>
                <w:bCs/>
                <w:szCs w:val="21"/>
              </w:rPr>
            </w:pPr>
            <w:r>
              <w:rPr>
                <w:rFonts w:cs="Times New Roman"/>
                <w:b/>
                <w:bCs/>
                <w:szCs w:val="21"/>
              </w:rPr>
              <w:t>t/a</w:t>
            </w:r>
          </w:p>
        </w:tc>
        <w:tc>
          <w:tcPr>
            <w:tcW w:w="725" w:type="pct"/>
            <w:tcBorders>
              <w:tl2br w:val="nil"/>
              <w:tr2bl w:val="nil"/>
            </w:tcBorders>
            <w:vAlign w:val="center"/>
          </w:tcPr>
          <w:p>
            <w:pPr>
              <w:jc w:val="center"/>
              <w:rPr>
                <w:rFonts w:cs="Times New Roman"/>
                <w:b/>
                <w:bCs/>
                <w:szCs w:val="21"/>
              </w:rPr>
            </w:pPr>
            <w:r>
              <w:rPr>
                <w:rFonts w:cs="Times New Roman"/>
                <w:b/>
                <w:bCs/>
                <w:szCs w:val="21"/>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restart"/>
            <w:tcBorders>
              <w:tl2br w:val="nil"/>
              <w:tr2bl w:val="nil"/>
            </w:tcBorders>
            <w:vAlign w:val="center"/>
          </w:tcPr>
          <w:p>
            <w:pPr>
              <w:jc w:val="center"/>
              <w:rPr>
                <w:rFonts w:cs="Times New Roman"/>
                <w:szCs w:val="21"/>
              </w:rPr>
            </w:pPr>
            <w:r>
              <w:rPr>
                <w:rFonts w:cs="Times New Roman"/>
                <w:szCs w:val="21"/>
              </w:rPr>
              <w:t>本项目</w:t>
            </w:r>
          </w:p>
        </w:tc>
        <w:tc>
          <w:tcPr>
            <w:tcW w:w="601"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829" w:type="pct"/>
            <w:vMerge w:val="restart"/>
            <w:tcBorders>
              <w:tl2br w:val="nil"/>
              <w:tr2bl w:val="nil"/>
            </w:tcBorders>
            <w:vAlign w:val="center"/>
          </w:tcPr>
          <w:p>
            <w:pPr>
              <w:jc w:val="center"/>
              <w:rPr>
                <w:rFonts w:cs="Times New Roman"/>
                <w:szCs w:val="21"/>
              </w:rPr>
            </w:pPr>
            <w:r>
              <w:rPr>
                <w:rFonts w:cs="Times New Roman"/>
                <w:szCs w:val="21"/>
              </w:rPr>
              <w:t>浸胶、烘干</w:t>
            </w:r>
          </w:p>
        </w:tc>
        <w:tc>
          <w:tcPr>
            <w:tcW w:w="1010" w:type="pct"/>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641" w:type="pct"/>
            <w:tcBorders>
              <w:tl2br w:val="nil"/>
              <w:tr2bl w:val="nil"/>
            </w:tcBorders>
            <w:vAlign w:val="center"/>
          </w:tcPr>
          <w:p>
            <w:pPr>
              <w:jc w:val="center"/>
              <w:rPr>
                <w:rFonts w:cs="Times New Roman"/>
                <w:szCs w:val="21"/>
              </w:rPr>
            </w:pPr>
            <w:r>
              <w:rPr>
                <w:rFonts w:cs="Times New Roman"/>
                <w:szCs w:val="21"/>
              </w:rPr>
              <w:t>甲醛</w:t>
            </w:r>
          </w:p>
        </w:tc>
        <w:tc>
          <w:tcPr>
            <w:tcW w:w="669" w:type="pct"/>
            <w:tcBorders>
              <w:tl2br w:val="nil"/>
              <w:tr2bl w:val="nil"/>
            </w:tcBorders>
            <w:vAlign w:val="center"/>
          </w:tcPr>
          <w:p>
            <w:pPr>
              <w:jc w:val="center"/>
              <w:rPr>
                <w:rFonts w:cs="Times New Roman"/>
                <w:szCs w:val="21"/>
              </w:rPr>
            </w:pPr>
            <w:r>
              <w:rPr>
                <w:rFonts w:cs="Times New Roman"/>
                <w:szCs w:val="21"/>
              </w:rPr>
              <w:t>2.925</w:t>
            </w:r>
          </w:p>
        </w:tc>
        <w:tc>
          <w:tcPr>
            <w:tcW w:w="725" w:type="pct"/>
            <w:tcBorders>
              <w:tl2br w:val="nil"/>
              <w:tr2bl w:val="nil"/>
            </w:tcBorders>
            <w:vAlign w:val="center"/>
          </w:tcPr>
          <w:p>
            <w:pPr>
              <w:jc w:val="center"/>
              <w:rPr>
                <w:rFonts w:cs="Times New Roman"/>
                <w:szCs w:val="21"/>
              </w:rPr>
            </w:pPr>
            <w:r>
              <w:rPr>
                <w:rFonts w:cs="Times New Roman"/>
                <w:szCs w:val="21"/>
              </w:rPr>
              <w:t>0.369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VOCs</w:t>
            </w:r>
          </w:p>
        </w:tc>
        <w:tc>
          <w:tcPr>
            <w:tcW w:w="669" w:type="pct"/>
            <w:tcBorders>
              <w:tl2br w:val="nil"/>
              <w:tr2bl w:val="nil"/>
            </w:tcBorders>
            <w:vAlign w:val="center"/>
          </w:tcPr>
          <w:p>
            <w:pPr>
              <w:jc w:val="center"/>
              <w:rPr>
                <w:rFonts w:cs="Times New Roman"/>
                <w:szCs w:val="21"/>
              </w:rPr>
            </w:pPr>
            <w:r>
              <w:rPr>
                <w:rFonts w:cs="Times New Roman"/>
                <w:szCs w:val="21"/>
              </w:rPr>
              <w:t>0.039</w:t>
            </w:r>
          </w:p>
        </w:tc>
        <w:tc>
          <w:tcPr>
            <w:tcW w:w="725" w:type="pct"/>
            <w:tcBorders>
              <w:tl2br w:val="nil"/>
              <w:tr2bl w:val="nil"/>
            </w:tcBorders>
            <w:vAlign w:val="center"/>
          </w:tcPr>
          <w:p>
            <w:pPr>
              <w:jc w:val="center"/>
              <w:rPr>
                <w:rFonts w:cs="Times New Roman"/>
                <w:szCs w:val="21"/>
              </w:rPr>
            </w:pPr>
            <w:r>
              <w:rPr>
                <w:rFonts w:cs="Times New Roman"/>
                <w:szCs w:val="21"/>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氨</w:t>
            </w:r>
          </w:p>
        </w:tc>
        <w:tc>
          <w:tcPr>
            <w:tcW w:w="669" w:type="pct"/>
            <w:tcBorders>
              <w:tl2br w:val="nil"/>
              <w:tr2bl w:val="nil"/>
            </w:tcBorders>
            <w:vAlign w:val="center"/>
          </w:tcPr>
          <w:p>
            <w:pPr>
              <w:jc w:val="center"/>
              <w:rPr>
                <w:rFonts w:cs="Times New Roman"/>
                <w:szCs w:val="21"/>
              </w:rPr>
            </w:pPr>
            <w:r>
              <w:rPr>
                <w:rFonts w:cs="Times New Roman"/>
                <w:szCs w:val="21"/>
              </w:rPr>
              <w:t>0.098</w:t>
            </w:r>
          </w:p>
        </w:tc>
        <w:tc>
          <w:tcPr>
            <w:tcW w:w="725" w:type="pct"/>
            <w:tcBorders>
              <w:tl2br w:val="nil"/>
              <w:tr2bl w:val="nil"/>
            </w:tcBorders>
            <w:vAlign w:val="center"/>
          </w:tcPr>
          <w:p>
            <w:pPr>
              <w:jc w:val="center"/>
              <w:rPr>
                <w:rFonts w:cs="Times New Roman"/>
                <w:szCs w:val="21"/>
              </w:rPr>
            </w:pPr>
            <w:r>
              <w:rPr>
                <w:rFonts w:cs="Times New Roman"/>
                <w:szCs w:val="21"/>
              </w:rPr>
              <w:t>0.012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jc w:val="center"/>
              <w:rPr>
                <w:rFonts w:cs="Times New Roman"/>
                <w:szCs w:val="21"/>
              </w:rPr>
            </w:pPr>
          </w:p>
        </w:tc>
        <w:tc>
          <w:tcPr>
            <w:tcW w:w="601" w:type="pct"/>
            <w:vMerge w:val="restart"/>
            <w:tcBorders>
              <w:tl2br w:val="nil"/>
              <w:tr2bl w:val="nil"/>
            </w:tcBorders>
            <w:vAlign w:val="center"/>
          </w:tcPr>
          <w:p>
            <w:pPr>
              <w:jc w:val="center"/>
              <w:rPr>
                <w:rFonts w:cs="Times New Roman"/>
                <w:szCs w:val="21"/>
              </w:rPr>
            </w:pPr>
            <w:r>
              <w:rPr>
                <w:rFonts w:cs="Times New Roman"/>
                <w:szCs w:val="21"/>
              </w:rPr>
              <w:t>烘干</w:t>
            </w:r>
          </w:p>
        </w:tc>
        <w:tc>
          <w:tcPr>
            <w:tcW w:w="829" w:type="pct"/>
            <w:vMerge w:val="restart"/>
            <w:tcBorders>
              <w:tl2br w:val="nil"/>
              <w:tr2bl w:val="nil"/>
            </w:tcBorders>
            <w:vAlign w:val="center"/>
          </w:tcPr>
          <w:p>
            <w:pPr>
              <w:jc w:val="center"/>
              <w:rPr>
                <w:rFonts w:cs="Times New Roman"/>
                <w:szCs w:val="21"/>
              </w:rPr>
            </w:pPr>
            <w:r>
              <w:rPr>
                <w:rFonts w:cs="Times New Roman"/>
                <w:szCs w:val="21"/>
              </w:rPr>
              <w:t>天然气燃烧</w:t>
            </w:r>
          </w:p>
        </w:tc>
        <w:tc>
          <w:tcPr>
            <w:tcW w:w="1010" w:type="pct"/>
            <w:vMerge w:val="restart"/>
            <w:tcBorders>
              <w:tl2br w:val="nil"/>
              <w:tr2bl w:val="nil"/>
            </w:tcBorders>
            <w:vAlign w:val="center"/>
          </w:tcPr>
          <w:p>
            <w:pPr>
              <w:jc w:val="center"/>
              <w:rPr>
                <w:rFonts w:cs="Times New Roman"/>
                <w:szCs w:val="21"/>
              </w:rPr>
            </w:pPr>
            <w:r>
              <w:rPr>
                <w:rFonts w:cs="Times New Roman"/>
                <w:szCs w:val="21"/>
              </w:rPr>
              <w:t>天然气燃烧废气</w:t>
            </w:r>
          </w:p>
        </w:tc>
        <w:tc>
          <w:tcPr>
            <w:tcW w:w="641" w:type="pc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669" w:type="pct"/>
            <w:tcBorders>
              <w:tl2br w:val="nil"/>
              <w:tr2bl w:val="nil"/>
            </w:tcBorders>
            <w:vAlign w:val="center"/>
          </w:tcPr>
          <w:p>
            <w:pPr>
              <w:jc w:val="center"/>
              <w:rPr>
                <w:rFonts w:hint="default" w:eastAsia="宋体" w:cs="Times New Roman"/>
                <w:szCs w:val="21"/>
                <w:lang w:val="en-US" w:eastAsia="zh-CN"/>
              </w:rPr>
            </w:pPr>
            <w:r>
              <w:rPr>
                <w:rFonts w:cs="Times New Roman"/>
                <w:szCs w:val="21"/>
              </w:rPr>
              <w:t>0.0</w:t>
            </w:r>
            <w:r>
              <w:rPr>
                <w:rFonts w:hint="eastAsia" w:cs="Times New Roman"/>
                <w:szCs w:val="21"/>
                <w:lang w:val="en-US" w:eastAsia="zh-CN"/>
              </w:rPr>
              <w:t>57</w:t>
            </w:r>
          </w:p>
        </w:tc>
        <w:tc>
          <w:tcPr>
            <w:tcW w:w="725" w:type="pct"/>
            <w:tcBorders>
              <w:tl2br w:val="nil"/>
              <w:tr2bl w:val="nil"/>
            </w:tcBorders>
            <w:vAlign w:val="center"/>
          </w:tcPr>
          <w:p>
            <w:pPr>
              <w:jc w:val="center"/>
              <w:rPr>
                <w:rFonts w:hint="eastAsia" w:eastAsia="宋体" w:cs="Times New Roman"/>
                <w:szCs w:val="21"/>
                <w:lang w:eastAsia="zh-CN"/>
              </w:rPr>
            </w:pPr>
            <w:r>
              <w:rPr>
                <w:rFonts w:cs="Times New Roman"/>
                <w:szCs w:val="21"/>
              </w:rPr>
              <w:t>0.00</w:t>
            </w:r>
            <w:r>
              <w:rPr>
                <w:rFonts w:hint="eastAsia" w:cs="Times New Roman"/>
                <w:szCs w:val="21"/>
                <w:lang w:val="en-US" w:eastAsia="zh-CN"/>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cs="Times New Roman"/>
                <w:szCs w:val="21"/>
              </w:rPr>
            </w:pPr>
            <w:r>
              <w:rPr>
                <w:rFonts w:cs="Times New Roman"/>
                <w:szCs w:val="21"/>
              </w:rPr>
              <w:t>NOx</w:t>
            </w:r>
          </w:p>
        </w:tc>
        <w:tc>
          <w:tcPr>
            <w:tcW w:w="669" w:type="pct"/>
            <w:tcBorders>
              <w:tl2br w:val="nil"/>
              <w:tr2bl w:val="nil"/>
            </w:tcBorders>
            <w:vAlign w:val="center"/>
          </w:tcPr>
          <w:p>
            <w:pPr>
              <w:jc w:val="center"/>
              <w:rPr>
                <w:rFonts w:hint="default" w:eastAsia="宋体" w:cs="Times New Roman"/>
                <w:szCs w:val="21"/>
                <w:lang w:val="en-US" w:eastAsia="zh-CN"/>
              </w:rPr>
            </w:pPr>
            <w:r>
              <w:rPr>
                <w:rFonts w:hint="eastAsia" w:cs="Times New Roman"/>
                <w:szCs w:val="21"/>
                <w:lang w:val="en-US" w:eastAsia="zh-CN"/>
              </w:rPr>
              <w:t>2.261</w:t>
            </w:r>
          </w:p>
        </w:tc>
        <w:tc>
          <w:tcPr>
            <w:tcW w:w="725" w:type="pct"/>
            <w:tcBorders>
              <w:tl2br w:val="nil"/>
              <w:tr2bl w:val="nil"/>
            </w:tcBorders>
            <w:vAlign w:val="center"/>
          </w:tcPr>
          <w:p>
            <w:pPr>
              <w:jc w:val="center"/>
              <w:rPr>
                <w:rFonts w:hint="default" w:eastAsia="宋体" w:cs="Times New Roman"/>
                <w:szCs w:val="21"/>
                <w:lang w:val="en-US" w:eastAsia="zh-CN"/>
              </w:rPr>
            </w:pPr>
            <w:r>
              <w:rPr>
                <w:rFonts w:cs="Times New Roman"/>
                <w:szCs w:val="21"/>
              </w:rPr>
              <w:t>0.2</w:t>
            </w:r>
            <w:r>
              <w:rPr>
                <w:rFonts w:hint="eastAsia" w:cs="Times New Roman"/>
                <w:szCs w:val="21"/>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jc w:val="center"/>
              <w:rPr>
                <w:rFonts w:cs="Times New Roman"/>
                <w:szCs w:val="21"/>
              </w:rPr>
            </w:pPr>
          </w:p>
        </w:tc>
        <w:tc>
          <w:tcPr>
            <w:tcW w:w="601" w:type="pct"/>
            <w:vMerge w:val="continue"/>
            <w:tcBorders>
              <w:tl2br w:val="nil"/>
              <w:tr2bl w:val="nil"/>
            </w:tcBorders>
            <w:vAlign w:val="center"/>
          </w:tcPr>
          <w:p>
            <w:pPr>
              <w:jc w:val="center"/>
              <w:rPr>
                <w:rFonts w:cs="Times New Roman"/>
                <w:szCs w:val="21"/>
              </w:rPr>
            </w:pPr>
          </w:p>
        </w:tc>
        <w:tc>
          <w:tcPr>
            <w:tcW w:w="829" w:type="pct"/>
            <w:vMerge w:val="continue"/>
            <w:tcBorders>
              <w:tl2br w:val="nil"/>
              <w:tr2bl w:val="nil"/>
            </w:tcBorders>
            <w:vAlign w:val="center"/>
          </w:tcPr>
          <w:p>
            <w:pPr>
              <w:jc w:val="center"/>
              <w:rPr>
                <w:rFonts w:cs="Times New Roman"/>
                <w:szCs w:val="21"/>
              </w:rPr>
            </w:pPr>
          </w:p>
        </w:tc>
        <w:tc>
          <w:tcPr>
            <w:tcW w:w="1010" w:type="pct"/>
            <w:vMerge w:val="continue"/>
            <w:tcBorders>
              <w:tl2br w:val="nil"/>
              <w:tr2bl w:val="nil"/>
            </w:tcBorders>
            <w:vAlign w:val="center"/>
          </w:tcPr>
          <w:p>
            <w:pPr>
              <w:jc w:val="center"/>
              <w:rPr>
                <w:rFonts w:cs="Times New Roman"/>
                <w:szCs w:val="21"/>
              </w:rPr>
            </w:pPr>
          </w:p>
        </w:tc>
        <w:tc>
          <w:tcPr>
            <w:tcW w:w="641" w:type="pct"/>
            <w:tcBorders>
              <w:tl2br w:val="nil"/>
              <w:tr2bl w:val="nil"/>
            </w:tcBorders>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669" w:type="pct"/>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0.2</w:t>
            </w:r>
          </w:p>
        </w:tc>
        <w:tc>
          <w:tcPr>
            <w:tcW w:w="725"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1" w:type="pct"/>
            <w:vMerge w:val="continue"/>
            <w:tcBorders>
              <w:tl2br w:val="nil"/>
              <w:tr2bl w:val="nil"/>
            </w:tcBorders>
            <w:vAlign w:val="center"/>
          </w:tcPr>
          <w:p>
            <w:pPr>
              <w:jc w:val="center"/>
              <w:rPr>
                <w:rFonts w:cs="Times New Roman"/>
                <w:szCs w:val="21"/>
              </w:rPr>
            </w:pPr>
          </w:p>
        </w:tc>
        <w:tc>
          <w:tcPr>
            <w:tcW w:w="601" w:type="pct"/>
            <w:tcBorders>
              <w:tl2br w:val="nil"/>
              <w:tr2bl w:val="nil"/>
            </w:tcBorders>
            <w:vAlign w:val="center"/>
          </w:tcPr>
          <w:p>
            <w:pPr>
              <w:jc w:val="center"/>
              <w:rPr>
                <w:rFonts w:cs="Times New Roman"/>
                <w:szCs w:val="21"/>
              </w:rPr>
            </w:pPr>
            <w:r>
              <w:rPr>
                <w:rFonts w:cs="Times New Roman"/>
                <w:szCs w:val="21"/>
              </w:rPr>
              <w:t>食堂</w:t>
            </w:r>
          </w:p>
        </w:tc>
        <w:tc>
          <w:tcPr>
            <w:tcW w:w="829" w:type="pct"/>
            <w:tcBorders>
              <w:tl2br w:val="nil"/>
              <w:tr2bl w:val="nil"/>
            </w:tcBorders>
            <w:vAlign w:val="center"/>
          </w:tcPr>
          <w:p>
            <w:pPr>
              <w:jc w:val="center"/>
              <w:rPr>
                <w:rFonts w:cs="Times New Roman"/>
                <w:szCs w:val="21"/>
              </w:rPr>
            </w:pPr>
            <w:r>
              <w:rPr>
                <w:rFonts w:cs="Times New Roman"/>
                <w:szCs w:val="21"/>
              </w:rPr>
              <w:t>食堂</w:t>
            </w:r>
          </w:p>
        </w:tc>
        <w:tc>
          <w:tcPr>
            <w:tcW w:w="1010" w:type="pct"/>
            <w:tcBorders>
              <w:tl2br w:val="nil"/>
              <w:tr2bl w:val="nil"/>
            </w:tcBorders>
            <w:vAlign w:val="center"/>
          </w:tcPr>
          <w:p>
            <w:pPr>
              <w:jc w:val="center"/>
              <w:rPr>
                <w:rFonts w:cs="Times New Roman"/>
                <w:szCs w:val="21"/>
              </w:rPr>
            </w:pPr>
            <w:r>
              <w:rPr>
                <w:rFonts w:cs="Times New Roman"/>
                <w:szCs w:val="21"/>
              </w:rPr>
              <w:t>食堂油烟</w:t>
            </w:r>
          </w:p>
        </w:tc>
        <w:tc>
          <w:tcPr>
            <w:tcW w:w="641" w:type="pct"/>
            <w:tcBorders>
              <w:tl2br w:val="nil"/>
              <w:tr2bl w:val="nil"/>
            </w:tcBorders>
            <w:vAlign w:val="center"/>
          </w:tcPr>
          <w:p>
            <w:pPr>
              <w:jc w:val="center"/>
              <w:rPr>
                <w:rFonts w:cs="Times New Roman"/>
                <w:szCs w:val="21"/>
              </w:rPr>
            </w:pPr>
            <w:r>
              <w:rPr>
                <w:rFonts w:cs="Times New Roman"/>
                <w:szCs w:val="21"/>
              </w:rPr>
              <w:t>油烟</w:t>
            </w:r>
          </w:p>
        </w:tc>
        <w:tc>
          <w:tcPr>
            <w:tcW w:w="669" w:type="pct"/>
            <w:tcBorders>
              <w:tl2br w:val="nil"/>
              <w:tr2bl w:val="nil"/>
            </w:tcBorders>
            <w:vAlign w:val="center"/>
          </w:tcPr>
          <w:p>
            <w:pPr>
              <w:jc w:val="center"/>
              <w:rPr>
                <w:rFonts w:cs="Times New Roman"/>
                <w:szCs w:val="21"/>
              </w:rPr>
            </w:pPr>
            <w:r>
              <w:rPr>
                <w:rFonts w:cs="Times New Roman"/>
                <w:bCs/>
                <w:szCs w:val="21"/>
              </w:rPr>
              <w:t>0.0028</w:t>
            </w:r>
          </w:p>
        </w:tc>
        <w:tc>
          <w:tcPr>
            <w:tcW w:w="725" w:type="pct"/>
            <w:tcBorders>
              <w:tl2br w:val="nil"/>
              <w:tr2bl w:val="nil"/>
            </w:tcBorders>
            <w:vAlign w:val="center"/>
          </w:tcPr>
          <w:p>
            <w:pPr>
              <w:jc w:val="center"/>
              <w:rPr>
                <w:rFonts w:cs="Times New Roman"/>
                <w:szCs w:val="21"/>
              </w:rPr>
            </w:pPr>
            <w:r>
              <w:rPr>
                <w:rFonts w:cs="Times New Roman"/>
                <w:szCs w:val="21"/>
              </w:rPr>
              <w:t>0.0064</w:t>
            </w:r>
          </w:p>
        </w:tc>
      </w:tr>
    </w:tbl>
    <w:p>
      <w:pPr>
        <w:spacing w:line="360" w:lineRule="auto"/>
        <w:ind w:firstLine="482" w:firstLineChars="200"/>
        <w:rPr>
          <w:rFonts w:cs="Times New Roman"/>
          <w:b/>
          <w:sz w:val="24"/>
          <w:szCs w:val="24"/>
        </w:rPr>
      </w:pPr>
      <w:r>
        <w:rPr>
          <w:rFonts w:cs="Times New Roman"/>
          <w:b/>
          <w:sz w:val="24"/>
          <w:szCs w:val="24"/>
        </w:rPr>
        <w:t>2、治理设施、排放形式、排放口基本信息</w:t>
      </w:r>
    </w:p>
    <w:p>
      <w:pPr>
        <w:spacing w:line="360" w:lineRule="auto"/>
        <w:ind w:firstLine="482" w:firstLineChars="200"/>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（1）2100湿法薄毡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bCs/>
          <w:sz w:val="24"/>
          <w:szCs w:val="24"/>
        </w:rPr>
      </w:pPr>
      <w:r>
        <w:rPr>
          <w:rFonts w:cs="Times New Roman"/>
          <w:bCs/>
          <w:sz w:val="24"/>
          <w:szCs w:val="24"/>
        </w:rPr>
        <w:t>在浸胶与烘干环节，均有废气产生，浸胶与烘干设备为密闭设备，废气经密闭设备顶部排气口管道收集，收集效率以98%计，设计风机风量25000</w:t>
      </w:r>
      <w:r>
        <w:rPr>
          <w:rFonts w:cs="Times New Roman"/>
          <w:sz w:val="24"/>
          <w:szCs w:val="24"/>
        </w:rPr>
        <w:t>m</w:t>
      </w:r>
      <w:r>
        <w:rPr>
          <w:rFonts w:cs="Times New Roman"/>
          <w:sz w:val="24"/>
          <w:szCs w:val="24"/>
          <w:vertAlign w:val="superscript"/>
        </w:rPr>
        <w:t>3</w:t>
      </w:r>
      <w:r>
        <w:rPr>
          <w:rFonts w:cs="Times New Roman"/>
          <w:bCs/>
          <w:sz w:val="24"/>
          <w:szCs w:val="24"/>
        </w:rPr>
        <w:t>/h，收集后的废气共经一套“二级活性炭吸附”设施处理，甲醛、有机废气处理效率按84%计，氨处理效率按20%计，处理后由18m高的排气筒DA005排放。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经过上述工艺处理后，甲醛有组织排放量为</w:t>
      </w:r>
      <w:r>
        <w:rPr>
          <w:rFonts w:cs="Times New Roman"/>
          <w:color w:val="000000" w:themeColor="text1"/>
          <w:sz w:val="24"/>
          <w:szCs w:val="24"/>
          <w14:textFill>
            <w14:solidFill>
              <w14:schemeClr w14:val="tx1"/>
            </w14:solidFill>
          </w14:textFill>
        </w:rPr>
        <w:t>0.397t/a，排放速率为0.050kg/h，排放浓度为2.0mg/m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0.051t/a，排放速率为0.006kg/h；</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氨</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0.06</w:t>
      </w:r>
      <w:r>
        <w:rPr>
          <w:rFonts w:hint="eastAsia" w:cs="Times New Roman"/>
          <w:color w:val="000000" w:themeColor="text1"/>
          <w:sz w:val="24"/>
          <w:szCs w:val="24"/>
          <w:lang w:val="en-US" w:eastAsia="zh-CN"/>
          <w14:textFill>
            <w14:solidFill>
              <w14:schemeClr w14:val="tx1"/>
            </w14:solidFill>
          </w14:textFill>
        </w:rPr>
        <w:t>7</w:t>
      </w:r>
      <w:r>
        <w:rPr>
          <w:rFonts w:cs="Times New Roman"/>
          <w:color w:val="000000" w:themeColor="text1"/>
          <w:sz w:val="24"/>
          <w:szCs w:val="24"/>
          <w14:textFill>
            <w14:solidFill>
              <w14:schemeClr w14:val="tx1"/>
            </w14:solidFill>
          </w14:textFill>
        </w:rPr>
        <w:t>t/a，排放速率为0.008kg/h，排放浓度为0.3</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0.002t/a，排放速率为0.0002kg/h；</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VOCs</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0.005t/a，排放速率为0.001kg/h，排放浓度为0.0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0.001t/a，排放速率为0.0001kg/h。</w:t>
      </w:r>
    </w:p>
    <w:p>
      <w:pPr>
        <w:spacing w:line="360" w:lineRule="auto"/>
        <w:ind w:firstLine="482" w:firstLineChars="200"/>
        <w:rPr>
          <w:rFonts w:cs="Times New Roman"/>
          <w:bCs/>
          <w:sz w:val="24"/>
          <w:szCs w:val="24"/>
        </w:rPr>
      </w:pPr>
      <w:r>
        <w:rPr>
          <w:rFonts w:cs="Times New Roman"/>
          <w:b/>
          <w:sz w:val="24"/>
          <w:szCs w:val="24"/>
        </w:rPr>
        <w:t>活性炭吸附处理装置：</w:t>
      </w:r>
      <w:r>
        <w:rPr>
          <w:rFonts w:cs="Times New Roman"/>
          <w:bCs/>
          <w:sz w:val="24"/>
          <w:szCs w:val="24"/>
        </w:rPr>
        <w:t>根据刘芬、刘品华《活性炭纤维在挥发性有机废气处理中应用》的实验结果表明：“每公斤活性炭可吸附0.22kg~0.25kg有机废气”（本次环评取0.25kg）。本项目有机废气产生量为2.569t/a，因此，活性炭使用量为10.277t。环评要求活性炭至少每三个月更换一次，活性炭填充量为2.6t。废活性炭产生量为12.969t。</w:t>
      </w:r>
    </w:p>
    <w:p>
      <w:pPr>
        <w:spacing w:line="360" w:lineRule="auto"/>
        <w:ind w:firstLine="482" w:firstLineChars="200"/>
        <w:rPr>
          <w:rFonts w:cs="Times New Roman"/>
          <w:b/>
          <w:sz w:val="24"/>
          <w:szCs w:val="24"/>
        </w:rPr>
      </w:pPr>
      <w:r>
        <w:rPr>
          <w:rFonts w:cs="Times New Roman"/>
          <w:b/>
          <w:sz w:val="24"/>
          <w:szCs w:val="24"/>
        </w:rPr>
        <w:t>2）烘干工序产生的天然气燃烧废气</w:t>
      </w:r>
    </w:p>
    <w:p>
      <w:pPr>
        <w:spacing w:line="360" w:lineRule="auto"/>
        <w:ind w:firstLine="480" w:firstLineChars="200"/>
        <w:rPr>
          <w:rFonts w:cs="Times New Roman"/>
          <w:bCs/>
          <w:sz w:val="24"/>
          <w:szCs w:val="24"/>
        </w:rPr>
      </w:pPr>
      <w:r>
        <w:rPr>
          <w:rFonts w:cs="Times New Roman"/>
          <w:bCs/>
          <w:sz w:val="24"/>
          <w:szCs w:val="24"/>
        </w:rPr>
        <w:t>环评建议企业安装低氮燃烧装置，烘干炉产生的废气由18m高排气筒（DA005）排放。项目设计风机风量为25000m</w:t>
      </w:r>
      <w:r>
        <w:rPr>
          <w:rFonts w:cs="Times New Roman"/>
          <w:bCs/>
          <w:sz w:val="24"/>
          <w:szCs w:val="24"/>
          <w:vertAlign w:val="superscript"/>
        </w:rPr>
        <w:t>3</w:t>
      </w:r>
      <w:r>
        <w:rPr>
          <w:rFonts w:cs="Times New Roman"/>
          <w:bCs/>
          <w:sz w:val="24"/>
          <w:szCs w:val="24"/>
        </w:rPr>
        <w:t>/h（烟气量716.7m</w:t>
      </w:r>
      <w:r>
        <w:rPr>
          <w:rFonts w:cs="Times New Roman"/>
          <w:bCs/>
          <w:sz w:val="24"/>
          <w:szCs w:val="24"/>
          <w:vertAlign w:val="superscript"/>
        </w:rPr>
        <w:t>3</w:t>
      </w:r>
      <w:r>
        <w:rPr>
          <w:rFonts w:cs="Times New Roman"/>
          <w:bCs/>
          <w:sz w:val="24"/>
          <w:szCs w:val="24"/>
        </w:rPr>
        <w:t>/h）。</w:t>
      </w:r>
    </w:p>
    <w:p>
      <w:pPr>
        <w:spacing w:line="360" w:lineRule="auto"/>
        <w:jc w:val="center"/>
        <w:rPr>
          <w:rFonts w:cs="Times New Roman"/>
          <w:b/>
          <w:sz w:val="24"/>
          <w:szCs w:val="24"/>
        </w:rPr>
      </w:pPr>
      <w:r>
        <w:rPr>
          <w:rFonts w:cs="Times New Roman"/>
          <w:b/>
          <w:sz w:val="24"/>
          <w:szCs w:val="24"/>
        </w:rPr>
        <w:t>表2.2-5 天然气燃烧废气产排情况</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418"/>
        <w:gridCol w:w="2805"/>
        <w:gridCol w:w="2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b/>
                <w:bCs/>
                <w:szCs w:val="21"/>
              </w:rPr>
            </w:pPr>
            <w:r>
              <w:rPr>
                <w:rFonts w:cs="Times New Roman"/>
                <w:szCs w:val="21"/>
              </w:rPr>
              <w:t>内容</w:t>
            </w:r>
          </w:p>
        </w:tc>
        <w:tc>
          <w:tcPr>
            <w:tcW w:w="1466" w:type="pct"/>
            <w:tcBorders>
              <w:tl2br w:val="nil"/>
              <w:tr2bl w:val="nil"/>
            </w:tcBorders>
            <w:shd w:val="clear" w:color="auto" w:fill="auto"/>
            <w:noWrap/>
            <w:vAlign w:val="center"/>
          </w:tcPr>
          <w:p>
            <w:pPr>
              <w:widowControl/>
              <w:jc w:val="center"/>
              <w:rPr>
                <w:rFonts w:cs="Times New Roman"/>
                <w:b/>
                <w:bCs/>
                <w:szCs w:val="21"/>
              </w:rPr>
            </w:pPr>
            <w:r>
              <w:rPr>
                <w:rFonts w:cs="Times New Roman"/>
                <w:szCs w:val="21"/>
              </w:rPr>
              <w:t>SO</w:t>
            </w:r>
            <w:r>
              <w:rPr>
                <w:rFonts w:cs="Times New Roman"/>
                <w:szCs w:val="21"/>
                <w:vertAlign w:val="subscript"/>
              </w:rPr>
              <w:t>2</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NO</w:t>
            </w:r>
            <w:r>
              <w:rPr>
                <w:rFonts w:cs="Times New Roman"/>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排气总量m</w:t>
            </w:r>
            <w:r>
              <w:rPr>
                <w:rFonts w:cs="Times New Roman"/>
                <w:szCs w:val="21"/>
                <w:vertAlign w:val="superscript"/>
              </w:rPr>
              <w:t>3</w:t>
            </w:r>
            <w:r>
              <w:rPr>
                <w:rFonts w:cs="Times New Roman"/>
                <w:szCs w:val="21"/>
              </w:rPr>
              <w:t>/h</w:t>
            </w:r>
          </w:p>
        </w:tc>
        <w:tc>
          <w:tcPr>
            <w:tcW w:w="293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内径m</w:t>
            </w:r>
          </w:p>
        </w:tc>
        <w:tc>
          <w:tcPr>
            <w:tcW w:w="293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处理措施</w:t>
            </w:r>
          </w:p>
        </w:tc>
        <w:tc>
          <w:tcPr>
            <w:tcW w:w="293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低氮燃烧器+排气筒（DA005）排放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restart"/>
            <w:tcBorders>
              <w:tl2br w:val="nil"/>
              <w:tr2bl w:val="nil"/>
            </w:tcBorders>
            <w:shd w:val="clear" w:color="auto" w:fill="auto"/>
            <w:noWrap/>
            <w:vAlign w:val="center"/>
          </w:tcPr>
          <w:p>
            <w:pPr>
              <w:widowControl/>
              <w:jc w:val="center"/>
              <w:rPr>
                <w:rFonts w:hint="default" w:eastAsia="宋体" w:cs="Times New Roman"/>
                <w:szCs w:val="21"/>
                <w:lang w:val="en-US" w:eastAsia="zh-CN"/>
              </w:rPr>
            </w:pPr>
            <w:r>
              <w:rPr>
                <w:rFonts w:hint="eastAsia" w:cs="Times New Roman"/>
                <w:szCs w:val="21"/>
                <w:lang w:val="en-US" w:eastAsia="zh-CN"/>
              </w:rPr>
              <w:t>排放量</w:t>
            </w: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排放量t/a</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0.046</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1.833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continue"/>
            <w:tcBorders>
              <w:tl2br w:val="nil"/>
              <w:tr2bl w:val="nil"/>
            </w:tcBorders>
            <w:shd w:val="clear" w:color="auto" w:fill="auto"/>
            <w:noWrap/>
            <w:vAlign w:val="center"/>
          </w:tcPr>
          <w:p>
            <w:pPr>
              <w:widowControl/>
              <w:jc w:val="center"/>
              <w:rPr>
                <w:rFonts w:cs="Times New Roman"/>
                <w:szCs w:val="21"/>
              </w:rPr>
            </w:pP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0.006</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0.231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continue"/>
            <w:tcBorders>
              <w:tl2br w:val="nil"/>
              <w:tr2bl w:val="nil"/>
            </w:tcBorders>
            <w:shd w:val="clear" w:color="auto" w:fill="auto"/>
            <w:noWrap/>
            <w:vAlign w:val="center"/>
          </w:tcPr>
          <w:p>
            <w:pPr>
              <w:widowControl/>
              <w:jc w:val="center"/>
              <w:rPr>
                <w:rFonts w:cs="Times New Roman"/>
                <w:szCs w:val="21"/>
              </w:rPr>
            </w:pP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0.233</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9.258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restart"/>
            <w:tcBorders>
              <w:tl2br w:val="nil"/>
              <w:tr2bl w:val="nil"/>
            </w:tcBorders>
            <w:shd w:val="clear" w:color="auto" w:fill="auto"/>
            <w:noWrap/>
            <w:vAlign w:val="center"/>
          </w:tcPr>
          <w:p>
            <w:pPr>
              <w:widowControl/>
              <w:jc w:val="center"/>
              <w:rPr>
                <w:rFonts w:cs="Times New Roman"/>
                <w:szCs w:val="21"/>
              </w:rPr>
            </w:pPr>
            <w:r>
              <w:rPr>
                <w:rFonts w:cs="Times New Roman"/>
                <w:szCs w:val="21"/>
              </w:rPr>
              <w:t>评价标准</w:t>
            </w: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continue"/>
            <w:tcBorders>
              <w:tl2br w:val="nil"/>
              <w:tr2bl w:val="nil"/>
            </w:tcBorders>
            <w:shd w:val="clear" w:color="auto" w:fill="auto"/>
            <w:noWrap/>
            <w:vAlign w:val="center"/>
          </w:tcPr>
          <w:p>
            <w:pPr>
              <w:widowControl/>
              <w:jc w:val="left"/>
              <w:rPr>
                <w:rFonts w:cs="Times New Roman"/>
                <w:szCs w:val="21"/>
              </w:rPr>
            </w:pP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200</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达标情况</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r>
    </w:tbl>
    <w:p>
      <w:pPr>
        <w:spacing w:line="360" w:lineRule="auto"/>
        <w:ind w:firstLine="482" w:firstLineChars="200"/>
        <w:rPr>
          <w:rFonts w:cs="Times New Roman"/>
          <w:bCs/>
          <w:sz w:val="24"/>
          <w:szCs w:val="24"/>
        </w:rPr>
      </w:pPr>
      <w:r>
        <w:rPr>
          <w:rFonts w:cs="Times New Roman"/>
          <w:b/>
          <w:sz w:val="24"/>
          <w:szCs w:val="24"/>
        </w:rPr>
        <w:t>3）</w:t>
      </w:r>
      <w:r>
        <w:rPr>
          <w:rFonts w:cs="Times New Roman"/>
          <w:b/>
          <w:bCs/>
          <w:sz w:val="24"/>
          <w:szCs w:val="24"/>
        </w:rPr>
        <w:t>食堂油烟</w:t>
      </w:r>
    </w:p>
    <w:p>
      <w:pPr>
        <w:spacing w:line="360" w:lineRule="auto"/>
        <w:ind w:firstLine="480" w:firstLineChars="200"/>
        <w:rPr>
          <w:rFonts w:cs="Times New Roman"/>
          <w:sz w:val="24"/>
          <w:szCs w:val="24"/>
        </w:rPr>
      </w:pPr>
      <w:r>
        <w:rPr>
          <w:rFonts w:cs="Times New Roman"/>
          <w:bCs/>
          <w:sz w:val="24"/>
          <w:szCs w:val="24"/>
        </w:rPr>
        <w:t>食堂安装了1台油烟净化器（风量为3000m</w:t>
      </w:r>
      <w:r>
        <w:rPr>
          <w:rFonts w:cs="Times New Roman"/>
          <w:bCs/>
          <w:sz w:val="24"/>
          <w:szCs w:val="24"/>
          <w:vertAlign w:val="superscript"/>
        </w:rPr>
        <w:t>3</w:t>
      </w:r>
      <w:r>
        <w:rPr>
          <w:rFonts w:cs="Times New Roman"/>
          <w:bCs/>
          <w:sz w:val="24"/>
          <w:szCs w:val="24"/>
        </w:rPr>
        <w:t>/h），食堂油烟经处理后通过油烟管道（DA004）外排，处理效率按60%计。</w:t>
      </w:r>
    </w:p>
    <w:p>
      <w:pPr>
        <w:spacing w:line="360" w:lineRule="auto"/>
        <w:ind w:firstLine="480" w:firstLineChars="200"/>
        <w:rPr>
          <w:rFonts w:cs="Times New Roman"/>
          <w:b/>
          <w:bCs/>
          <w:sz w:val="24"/>
          <w:szCs w:val="24"/>
        </w:rPr>
      </w:pPr>
      <w:r>
        <w:rPr>
          <w:rFonts w:cs="Times New Roman"/>
          <w:sz w:val="24"/>
          <w:szCs w:val="24"/>
        </w:rPr>
        <w:t>食堂油烟经上述治理措施后，食堂油烟排放量为0.0011t/a，排放速率为0.0008kg/h，排放浓度为0.283mg/m</w:t>
      </w:r>
      <w:r>
        <w:rPr>
          <w:rFonts w:cs="Times New Roman"/>
          <w:sz w:val="24"/>
          <w:szCs w:val="24"/>
          <w:vertAlign w:val="superscript"/>
        </w:rPr>
        <w:t>3</w:t>
      </w:r>
      <w:r>
        <w:rPr>
          <w:rFonts w:cs="Times New Roman"/>
          <w:sz w:val="24"/>
          <w:szCs w:val="24"/>
        </w:rPr>
        <w:t>。因此，</w:t>
      </w:r>
      <w:r>
        <w:rPr>
          <w:rFonts w:cs="Times New Roman"/>
          <w:bCs/>
          <w:sz w:val="24"/>
          <w:szCs w:val="24"/>
        </w:rPr>
        <w:t>本项目</w:t>
      </w:r>
      <w:r>
        <w:rPr>
          <w:rFonts w:cs="Times New Roman"/>
          <w:sz w:val="24"/>
          <w:szCs w:val="24"/>
        </w:rPr>
        <w:t>食堂油烟经处理后排放浓度能满足《饮食业油烟排放标准（试行）》（GB18483-2001）中相关标准（2.0mg/m</w:t>
      </w:r>
      <w:r>
        <w:rPr>
          <w:rFonts w:cs="Times New Roman"/>
          <w:sz w:val="24"/>
          <w:szCs w:val="24"/>
          <w:vertAlign w:val="superscript"/>
        </w:rPr>
        <w:t>3</w:t>
      </w:r>
      <w:r>
        <w:rPr>
          <w:rFonts w:cs="Times New Roman"/>
          <w:sz w:val="24"/>
          <w:szCs w:val="24"/>
        </w:rPr>
        <w:t>），可以实现达标排放。</w:t>
      </w:r>
    </w:p>
    <w:p>
      <w:pPr>
        <w:spacing w:line="360" w:lineRule="auto"/>
        <w:ind w:firstLine="480" w:firstLineChars="200"/>
        <w:rPr>
          <w:rFonts w:cs="Times New Roman"/>
          <w:sz w:val="24"/>
          <w:szCs w:val="24"/>
        </w:rPr>
      </w:pPr>
      <w:r>
        <w:rPr>
          <w:rFonts w:cs="Times New Roman"/>
          <w:sz w:val="24"/>
          <w:szCs w:val="24"/>
        </w:rPr>
        <w:t>综上所述，项目治理设施、排放形式表2.2-6。</w:t>
      </w:r>
    </w:p>
    <w:p>
      <w:pPr>
        <w:spacing w:line="360" w:lineRule="auto"/>
        <w:jc w:val="center"/>
        <w:rPr>
          <w:rFonts w:cs="Times New Roman"/>
          <w:b/>
          <w:sz w:val="24"/>
          <w:szCs w:val="24"/>
        </w:rPr>
      </w:pPr>
      <w:r>
        <w:rPr>
          <w:rFonts w:cs="Times New Roman"/>
          <w:b/>
          <w:sz w:val="24"/>
          <w:szCs w:val="24"/>
        </w:rPr>
        <w:t>表2.2-6 项目废气治理设施、排放形式一览表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13"/>
        <w:gridCol w:w="1032"/>
        <w:gridCol w:w="1115"/>
        <w:gridCol w:w="3027"/>
        <w:gridCol w:w="1115"/>
        <w:gridCol w:w="954"/>
        <w:gridCol w:w="1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vMerge w:val="restart"/>
            <w:tcBorders>
              <w:tl2br w:val="nil"/>
              <w:tr2bl w:val="nil"/>
            </w:tcBorders>
            <w:vAlign w:val="center"/>
          </w:tcPr>
          <w:p>
            <w:pPr>
              <w:jc w:val="center"/>
              <w:rPr>
                <w:rFonts w:cs="Times New Roman"/>
                <w:b/>
                <w:bCs/>
                <w:szCs w:val="21"/>
              </w:rPr>
            </w:pPr>
            <w:r>
              <w:rPr>
                <w:rFonts w:cs="Times New Roman"/>
                <w:b/>
                <w:bCs/>
                <w:szCs w:val="21"/>
              </w:rPr>
              <w:t>废气类型</w:t>
            </w:r>
          </w:p>
        </w:tc>
        <w:tc>
          <w:tcPr>
            <w:tcW w:w="545"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589" w:type="pct"/>
            <w:vMerge w:val="restart"/>
            <w:tcBorders>
              <w:tl2br w:val="nil"/>
              <w:tr2bl w:val="nil"/>
            </w:tcBorders>
            <w:vAlign w:val="center"/>
          </w:tcPr>
          <w:p>
            <w:pPr>
              <w:jc w:val="center"/>
              <w:rPr>
                <w:rFonts w:cs="Times New Roman"/>
                <w:b/>
                <w:bCs/>
                <w:szCs w:val="21"/>
              </w:rPr>
            </w:pPr>
            <w:r>
              <w:rPr>
                <w:rFonts w:cs="Times New Roman"/>
                <w:b/>
                <w:bCs/>
                <w:szCs w:val="21"/>
              </w:rPr>
              <w:t>排放形式</w:t>
            </w:r>
          </w:p>
        </w:tc>
        <w:tc>
          <w:tcPr>
            <w:tcW w:w="3383" w:type="pct"/>
            <w:gridSpan w:val="4"/>
            <w:tcBorders>
              <w:tl2br w:val="nil"/>
              <w:tr2bl w:val="nil"/>
            </w:tcBorders>
            <w:vAlign w:val="center"/>
          </w:tcPr>
          <w:p>
            <w:pPr>
              <w:jc w:val="center"/>
              <w:rPr>
                <w:rFonts w:cs="Times New Roman"/>
                <w:b/>
                <w:bCs/>
                <w:szCs w:val="21"/>
              </w:rPr>
            </w:pPr>
            <w:r>
              <w:rPr>
                <w:rFonts w:cs="Times New Roman"/>
                <w:b/>
                <w:bCs/>
                <w:szCs w:val="21"/>
              </w:rPr>
              <w:t>污染物治理设施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vMerge w:val="continue"/>
            <w:tcBorders>
              <w:tl2br w:val="nil"/>
              <w:tr2bl w:val="nil"/>
            </w:tcBorders>
            <w:vAlign w:val="center"/>
          </w:tcPr>
          <w:p>
            <w:pPr>
              <w:jc w:val="center"/>
              <w:rPr>
                <w:rFonts w:cs="Times New Roman"/>
                <w:b/>
                <w:bCs/>
                <w:szCs w:val="21"/>
              </w:rPr>
            </w:pPr>
          </w:p>
        </w:tc>
        <w:tc>
          <w:tcPr>
            <w:tcW w:w="545" w:type="pct"/>
            <w:vMerge w:val="continue"/>
            <w:tcBorders>
              <w:tl2br w:val="nil"/>
              <w:tr2bl w:val="nil"/>
            </w:tcBorders>
            <w:vAlign w:val="center"/>
          </w:tcPr>
          <w:p>
            <w:pPr>
              <w:jc w:val="center"/>
              <w:rPr>
                <w:rFonts w:cs="Times New Roman"/>
                <w:b/>
                <w:bCs/>
                <w:szCs w:val="21"/>
              </w:rPr>
            </w:pPr>
          </w:p>
        </w:tc>
        <w:tc>
          <w:tcPr>
            <w:tcW w:w="589" w:type="pct"/>
            <w:vMerge w:val="continue"/>
            <w:tcBorders>
              <w:tl2br w:val="nil"/>
              <w:tr2bl w:val="nil"/>
            </w:tcBorders>
            <w:vAlign w:val="center"/>
          </w:tcPr>
          <w:p>
            <w:pPr>
              <w:jc w:val="center"/>
              <w:rPr>
                <w:rFonts w:cs="Times New Roman"/>
                <w:b/>
                <w:bCs/>
                <w:szCs w:val="21"/>
              </w:rPr>
            </w:pPr>
          </w:p>
        </w:tc>
        <w:tc>
          <w:tcPr>
            <w:tcW w:w="1599" w:type="pct"/>
            <w:tcBorders>
              <w:tl2br w:val="nil"/>
              <w:tr2bl w:val="nil"/>
            </w:tcBorders>
            <w:vAlign w:val="center"/>
          </w:tcPr>
          <w:p>
            <w:pPr>
              <w:jc w:val="center"/>
              <w:rPr>
                <w:rFonts w:cs="Times New Roman"/>
                <w:b/>
                <w:bCs/>
                <w:szCs w:val="21"/>
              </w:rPr>
            </w:pPr>
            <w:r>
              <w:rPr>
                <w:rFonts w:cs="Times New Roman"/>
                <w:b/>
                <w:bCs/>
                <w:szCs w:val="21"/>
              </w:rPr>
              <w:t>治理设施名称及工艺</w:t>
            </w:r>
          </w:p>
        </w:tc>
        <w:tc>
          <w:tcPr>
            <w:tcW w:w="589" w:type="pct"/>
            <w:tcBorders>
              <w:tl2br w:val="nil"/>
              <w:tr2bl w:val="nil"/>
            </w:tcBorders>
            <w:vAlign w:val="center"/>
          </w:tcPr>
          <w:p>
            <w:pPr>
              <w:jc w:val="center"/>
              <w:rPr>
                <w:rFonts w:cs="Times New Roman"/>
                <w:b/>
                <w:bCs/>
                <w:szCs w:val="21"/>
              </w:rPr>
            </w:pPr>
            <w:r>
              <w:rPr>
                <w:rFonts w:cs="Times New Roman"/>
                <w:b/>
                <w:bCs/>
                <w:szCs w:val="21"/>
              </w:rPr>
              <w:t>收集效率（%）</w:t>
            </w:r>
          </w:p>
        </w:tc>
        <w:tc>
          <w:tcPr>
            <w:tcW w:w="504" w:type="pct"/>
            <w:tcBorders>
              <w:tl2br w:val="nil"/>
              <w:tr2bl w:val="nil"/>
            </w:tcBorders>
            <w:vAlign w:val="center"/>
          </w:tcPr>
          <w:p>
            <w:pPr>
              <w:jc w:val="center"/>
              <w:rPr>
                <w:rFonts w:cs="Times New Roman"/>
                <w:b/>
                <w:bCs/>
                <w:szCs w:val="21"/>
              </w:rPr>
            </w:pPr>
            <w:r>
              <w:rPr>
                <w:rFonts w:cs="Times New Roman"/>
                <w:b/>
                <w:bCs/>
                <w:szCs w:val="21"/>
              </w:rPr>
              <w:t>去除率（%）</w:t>
            </w:r>
          </w:p>
        </w:tc>
        <w:tc>
          <w:tcPr>
            <w:tcW w:w="688" w:type="pct"/>
            <w:tcBorders>
              <w:tl2br w:val="nil"/>
              <w:tr2bl w:val="nil"/>
            </w:tcBorders>
            <w:vAlign w:val="center"/>
          </w:tcPr>
          <w:p>
            <w:pPr>
              <w:jc w:val="center"/>
              <w:rPr>
                <w:rFonts w:cs="Times New Roman"/>
                <w:b/>
                <w:bCs/>
                <w:szCs w:val="21"/>
              </w:rPr>
            </w:pPr>
            <w:r>
              <w:rPr>
                <w:rFonts w:cs="Times New Roman"/>
                <w:b/>
                <w:bCs/>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1032" w:type="dxa"/>
            <w:tcBorders>
              <w:tl2br w:val="nil"/>
              <w:tr2bl w:val="nil"/>
            </w:tcBorders>
            <w:vAlign w:val="center"/>
          </w:tcPr>
          <w:p>
            <w:pPr>
              <w:jc w:val="center"/>
              <w:rPr>
                <w:rFonts w:cs="Times New Roman"/>
                <w:szCs w:val="21"/>
              </w:rPr>
            </w:pPr>
            <w:r>
              <w:rPr>
                <w:rFonts w:cs="Times New Roman"/>
                <w:szCs w:val="21"/>
              </w:rPr>
              <w:t>甲醛</w:t>
            </w:r>
          </w:p>
        </w:tc>
        <w:tc>
          <w:tcPr>
            <w:tcW w:w="1115" w:type="dxa"/>
            <w:tcBorders>
              <w:tl2br w:val="nil"/>
              <w:tr2bl w:val="nil"/>
            </w:tcBorders>
            <w:vAlign w:val="center"/>
          </w:tcPr>
          <w:p>
            <w:pPr>
              <w:jc w:val="center"/>
              <w:rPr>
                <w:rFonts w:cs="Times New Roman"/>
                <w:szCs w:val="21"/>
              </w:rPr>
            </w:pPr>
            <w:r>
              <w:rPr>
                <w:rFonts w:cs="Times New Roman"/>
                <w:szCs w:val="21"/>
              </w:rPr>
              <w:t>有组织</w:t>
            </w:r>
          </w:p>
        </w:tc>
        <w:tc>
          <w:tcPr>
            <w:tcW w:w="3027" w:type="dxa"/>
            <w:vMerge w:val="restart"/>
            <w:tcBorders>
              <w:tl2br w:val="nil"/>
              <w:tr2bl w:val="nil"/>
            </w:tcBorders>
            <w:vAlign w:val="center"/>
          </w:tcPr>
          <w:p>
            <w:pPr>
              <w:jc w:val="center"/>
              <w:rPr>
                <w:rFonts w:cs="Times New Roman"/>
                <w:szCs w:val="21"/>
              </w:rPr>
            </w:pPr>
            <w:r>
              <w:rPr>
                <w:rFonts w:cs="Times New Roman"/>
                <w:szCs w:val="21"/>
              </w:rPr>
              <w:t>经一套二级活性炭吸附装置处理后由18m高排气筒（DA005）排放</w:t>
            </w:r>
          </w:p>
        </w:tc>
        <w:tc>
          <w:tcPr>
            <w:tcW w:w="1115" w:type="dxa"/>
            <w:tcBorders>
              <w:tl2br w:val="nil"/>
              <w:tr2bl w:val="nil"/>
            </w:tcBorders>
            <w:vAlign w:val="center"/>
          </w:tcPr>
          <w:p>
            <w:pPr>
              <w:jc w:val="center"/>
              <w:rPr>
                <w:rFonts w:cs="Times New Roman"/>
                <w:szCs w:val="21"/>
              </w:rPr>
            </w:pPr>
            <w:r>
              <w:rPr>
                <w:rFonts w:cs="Times New Roman"/>
                <w:szCs w:val="21"/>
              </w:rPr>
              <w:t>98</w:t>
            </w:r>
          </w:p>
        </w:tc>
        <w:tc>
          <w:tcPr>
            <w:tcW w:w="954" w:type="dxa"/>
            <w:tcBorders>
              <w:tl2br w:val="nil"/>
              <w:tr2bl w:val="nil"/>
            </w:tcBorders>
            <w:vAlign w:val="center"/>
          </w:tcPr>
          <w:p>
            <w:pPr>
              <w:jc w:val="center"/>
              <w:rPr>
                <w:rFonts w:cs="Times New Roman"/>
                <w:szCs w:val="21"/>
              </w:rPr>
            </w:pPr>
            <w:r>
              <w:rPr>
                <w:rFonts w:cs="Times New Roman"/>
                <w:szCs w:val="21"/>
              </w:rPr>
              <w:t>84</w:t>
            </w:r>
          </w:p>
        </w:tc>
        <w:tc>
          <w:tcPr>
            <w:tcW w:w="1308" w:type="dxa"/>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13" w:type="dxa"/>
            <w:vMerge w:val="continue"/>
            <w:tcBorders>
              <w:tl2br w:val="nil"/>
              <w:tr2bl w:val="nil"/>
            </w:tcBorders>
            <w:vAlign w:val="center"/>
          </w:tcPr>
          <w:p>
            <w:pPr>
              <w:jc w:val="center"/>
              <w:rPr>
                <w:rFonts w:cs="Times New Roman"/>
                <w:szCs w:val="21"/>
              </w:rPr>
            </w:pPr>
          </w:p>
        </w:tc>
        <w:tc>
          <w:tcPr>
            <w:tcW w:w="1032" w:type="dxa"/>
            <w:tcBorders>
              <w:tl2br w:val="nil"/>
              <w:tr2bl w:val="nil"/>
            </w:tcBorders>
            <w:vAlign w:val="center"/>
          </w:tcPr>
          <w:p>
            <w:pPr>
              <w:jc w:val="center"/>
              <w:rPr>
                <w:rFonts w:cs="Times New Roman"/>
                <w:szCs w:val="21"/>
              </w:rPr>
            </w:pPr>
            <w:r>
              <w:rPr>
                <w:rFonts w:cs="Times New Roman"/>
                <w:szCs w:val="21"/>
              </w:rPr>
              <w:t>氨</w:t>
            </w:r>
          </w:p>
        </w:tc>
        <w:tc>
          <w:tcPr>
            <w:tcW w:w="1115" w:type="dxa"/>
            <w:tcBorders>
              <w:tl2br w:val="nil"/>
              <w:tr2bl w:val="nil"/>
            </w:tcBorders>
            <w:vAlign w:val="center"/>
          </w:tcPr>
          <w:p>
            <w:pPr>
              <w:jc w:val="center"/>
              <w:rPr>
                <w:rFonts w:cs="Times New Roman"/>
                <w:szCs w:val="21"/>
              </w:rPr>
            </w:pPr>
            <w:r>
              <w:rPr>
                <w:rFonts w:cs="Times New Roman"/>
                <w:szCs w:val="21"/>
              </w:rPr>
              <w:t>有组织</w:t>
            </w:r>
          </w:p>
        </w:tc>
        <w:tc>
          <w:tcPr>
            <w:tcW w:w="3027" w:type="dxa"/>
            <w:vMerge w:val="continue"/>
            <w:tcBorders>
              <w:tl2br w:val="nil"/>
              <w:tr2bl w:val="nil"/>
            </w:tcBorders>
            <w:vAlign w:val="center"/>
          </w:tcPr>
          <w:p>
            <w:pPr>
              <w:jc w:val="center"/>
              <w:rPr>
                <w:rFonts w:cs="Times New Roman"/>
                <w:szCs w:val="21"/>
              </w:rPr>
            </w:pPr>
          </w:p>
        </w:tc>
        <w:tc>
          <w:tcPr>
            <w:tcW w:w="1115" w:type="dxa"/>
            <w:tcBorders>
              <w:tl2br w:val="nil"/>
              <w:tr2bl w:val="nil"/>
            </w:tcBorders>
            <w:vAlign w:val="center"/>
          </w:tcPr>
          <w:p>
            <w:pPr>
              <w:jc w:val="center"/>
              <w:rPr>
                <w:rFonts w:cs="Times New Roman"/>
                <w:szCs w:val="21"/>
              </w:rPr>
            </w:pPr>
            <w:r>
              <w:rPr>
                <w:rFonts w:cs="Times New Roman"/>
                <w:szCs w:val="21"/>
              </w:rPr>
              <w:t>98</w:t>
            </w:r>
          </w:p>
        </w:tc>
        <w:tc>
          <w:tcPr>
            <w:tcW w:w="954" w:type="dxa"/>
            <w:tcBorders>
              <w:tl2br w:val="nil"/>
              <w:tr2bl w:val="nil"/>
            </w:tcBorders>
            <w:vAlign w:val="center"/>
          </w:tcPr>
          <w:p>
            <w:pPr>
              <w:jc w:val="center"/>
              <w:rPr>
                <w:rFonts w:cs="Times New Roman"/>
                <w:szCs w:val="21"/>
              </w:rPr>
            </w:pPr>
            <w:r>
              <w:rPr>
                <w:rFonts w:cs="Times New Roman"/>
                <w:szCs w:val="21"/>
              </w:rPr>
              <w:t>20</w:t>
            </w:r>
          </w:p>
        </w:tc>
        <w:tc>
          <w:tcPr>
            <w:tcW w:w="1308" w:type="dxa"/>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continue"/>
            <w:tcBorders>
              <w:tl2br w:val="nil"/>
              <w:tr2bl w:val="nil"/>
            </w:tcBorders>
            <w:vAlign w:val="center"/>
          </w:tcPr>
          <w:p>
            <w:pPr>
              <w:jc w:val="center"/>
              <w:rPr>
                <w:rFonts w:cs="Times New Roman"/>
                <w:szCs w:val="21"/>
              </w:rPr>
            </w:pPr>
          </w:p>
        </w:tc>
        <w:tc>
          <w:tcPr>
            <w:tcW w:w="1032" w:type="dxa"/>
            <w:tcBorders>
              <w:tl2br w:val="nil"/>
              <w:tr2bl w:val="nil"/>
            </w:tcBorders>
            <w:vAlign w:val="center"/>
          </w:tcPr>
          <w:p>
            <w:pPr>
              <w:jc w:val="center"/>
              <w:rPr>
                <w:rFonts w:cs="Times New Roman"/>
                <w:szCs w:val="21"/>
              </w:rPr>
            </w:pPr>
            <w:r>
              <w:rPr>
                <w:rFonts w:cs="Times New Roman"/>
                <w:szCs w:val="21"/>
              </w:rPr>
              <w:t>VOCs</w:t>
            </w:r>
          </w:p>
        </w:tc>
        <w:tc>
          <w:tcPr>
            <w:tcW w:w="1115" w:type="dxa"/>
            <w:tcBorders>
              <w:tl2br w:val="nil"/>
              <w:tr2bl w:val="nil"/>
            </w:tcBorders>
            <w:vAlign w:val="center"/>
          </w:tcPr>
          <w:p>
            <w:pPr>
              <w:jc w:val="center"/>
              <w:rPr>
                <w:rFonts w:cs="Times New Roman"/>
                <w:szCs w:val="21"/>
              </w:rPr>
            </w:pPr>
            <w:r>
              <w:rPr>
                <w:rFonts w:cs="Times New Roman"/>
                <w:szCs w:val="21"/>
              </w:rPr>
              <w:t>有组织</w:t>
            </w:r>
          </w:p>
        </w:tc>
        <w:tc>
          <w:tcPr>
            <w:tcW w:w="3027" w:type="dxa"/>
            <w:vMerge w:val="continue"/>
            <w:tcBorders>
              <w:tl2br w:val="nil"/>
              <w:tr2bl w:val="nil"/>
            </w:tcBorders>
            <w:vAlign w:val="center"/>
          </w:tcPr>
          <w:p>
            <w:pPr>
              <w:jc w:val="center"/>
              <w:rPr>
                <w:rFonts w:cs="Times New Roman"/>
                <w:szCs w:val="21"/>
              </w:rPr>
            </w:pPr>
          </w:p>
        </w:tc>
        <w:tc>
          <w:tcPr>
            <w:tcW w:w="1115" w:type="dxa"/>
            <w:tcBorders>
              <w:tl2br w:val="nil"/>
              <w:tr2bl w:val="nil"/>
            </w:tcBorders>
            <w:vAlign w:val="center"/>
          </w:tcPr>
          <w:p>
            <w:pPr>
              <w:jc w:val="center"/>
              <w:rPr>
                <w:rFonts w:cs="Times New Roman"/>
                <w:szCs w:val="21"/>
              </w:rPr>
            </w:pPr>
            <w:r>
              <w:rPr>
                <w:rFonts w:cs="Times New Roman"/>
                <w:szCs w:val="21"/>
              </w:rPr>
              <w:t>98</w:t>
            </w:r>
          </w:p>
        </w:tc>
        <w:tc>
          <w:tcPr>
            <w:tcW w:w="954" w:type="dxa"/>
            <w:tcBorders>
              <w:tl2br w:val="nil"/>
              <w:tr2bl w:val="nil"/>
            </w:tcBorders>
            <w:vAlign w:val="center"/>
          </w:tcPr>
          <w:p>
            <w:pPr>
              <w:jc w:val="center"/>
              <w:rPr>
                <w:rFonts w:cs="Times New Roman"/>
                <w:szCs w:val="21"/>
              </w:rPr>
            </w:pPr>
            <w:r>
              <w:rPr>
                <w:rFonts w:cs="Times New Roman"/>
                <w:szCs w:val="21"/>
              </w:rPr>
              <w:t>84</w:t>
            </w:r>
          </w:p>
        </w:tc>
        <w:tc>
          <w:tcPr>
            <w:tcW w:w="1308" w:type="dxa"/>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restart"/>
            <w:vAlign w:val="center"/>
          </w:tcPr>
          <w:p>
            <w:pPr>
              <w:jc w:val="center"/>
              <w:rPr>
                <w:rFonts w:cs="Times New Roman"/>
                <w:szCs w:val="21"/>
              </w:rPr>
            </w:pPr>
            <w:r>
              <w:rPr>
                <w:rFonts w:cs="Times New Roman"/>
                <w:szCs w:val="21"/>
              </w:rPr>
              <w:t>天然气燃烧废气</w:t>
            </w:r>
          </w:p>
        </w:tc>
        <w:tc>
          <w:tcPr>
            <w:tcW w:w="1032" w:type="dxa"/>
            <w:vAlign w:val="center"/>
          </w:tcPr>
          <w:p>
            <w:pPr>
              <w:jc w:val="center"/>
              <w:rPr>
                <w:rFonts w:cs="Times New Roman"/>
                <w:szCs w:val="21"/>
              </w:rPr>
            </w:pPr>
            <w:r>
              <w:rPr>
                <w:rFonts w:cs="Times New Roman"/>
                <w:szCs w:val="21"/>
              </w:rPr>
              <w:t>SO</w:t>
            </w:r>
            <w:r>
              <w:rPr>
                <w:rFonts w:cs="Times New Roman"/>
                <w:szCs w:val="21"/>
                <w:vertAlign w:val="subscript"/>
              </w:rPr>
              <w:t>2</w:t>
            </w:r>
          </w:p>
        </w:tc>
        <w:tc>
          <w:tcPr>
            <w:tcW w:w="1115" w:type="dxa"/>
            <w:vAlign w:val="center"/>
          </w:tcPr>
          <w:p>
            <w:pPr>
              <w:jc w:val="center"/>
              <w:rPr>
                <w:rFonts w:cs="Times New Roman"/>
                <w:szCs w:val="21"/>
              </w:rPr>
            </w:pPr>
            <w:r>
              <w:rPr>
                <w:rFonts w:cs="Times New Roman"/>
                <w:szCs w:val="21"/>
              </w:rPr>
              <w:t>有组织</w:t>
            </w:r>
          </w:p>
        </w:tc>
        <w:tc>
          <w:tcPr>
            <w:tcW w:w="3027" w:type="dxa"/>
            <w:vMerge w:val="restart"/>
            <w:vAlign w:val="center"/>
          </w:tcPr>
          <w:p>
            <w:pPr>
              <w:jc w:val="center"/>
              <w:rPr>
                <w:rFonts w:cs="Times New Roman"/>
                <w:szCs w:val="21"/>
              </w:rPr>
            </w:pPr>
            <w:r>
              <w:rPr>
                <w:rFonts w:cs="Times New Roman"/>
                <w:szCs w:val="21"/>
              </w:rPr>
              <w:t>安装低氮燃烧器，废气通过18m高排气筒（DA005）排放</w:t>
            </w: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w:t>
            </w:r>
          </w:p>
        </w:tc>
        <w:tc>
          <w:tcPr>
            <w:tcW w:w="1304" w:type="dxa"/>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continue"/>
            <w:vAlign w:val="center"/>
          </w:tcPr>
          <w:p>
            <w:pPr>
              <w:jc w:val="center"/>
              <w:rPr>
                <w:rFonts w:cs="Times New Roman"/>
                <w:szCs w:val="21"/>
              </w:rPr>
            </w:pPr>
          </w:p>
        </w:tc>
        <w:tc>
          <w:tcPr>
            <w:tcW w:w="1032" w:type="dxa"/>
            <w:vAlign w:val="center"/>
          </w:tcPr>
          <w:p>
            <w:pPr>
              <w:jc w:val="center"/>
              <w:rPr>
                <w:rFonts w:cs="Times New Roman"/>
                <w:szCs w:val="21"/>
              </w:rPr>
            </w:pPr>
            <w:r>
              <w:rPr>
                <w:rFonts w:cs="Times New Roman"/>
                <w:szCs w:val="21"/>
              </w:rPr>
              <w:t>NOx</w:t>
            </w:r>
          </w:p>
        </w:tc>
        <w:tc>
          <w:tcPr>
            <w:tcW w:w="1115" w:type="dxa"/>
            <w:vAlign w:val="center"/>
          </w:tcPr>
          <w:p>
            <w:pPr>
              <w:jc w:val="center"/>
              <w:rPr>
                <w:rFonts w:cs="Times New Roman"/>
                <w:szCs w:val="21"/>
              </w:rPr>
            </w:pPr>
            <w:r>
              <w:rPr>
                <w:rFonts w:cs="Times New Roman"/>
                <w:szCs w:val="21"/>
              </w:rPr>
              <w:t>有组织</w:t>
            </w:r>
          </w:p>
        </w:tc>
        <w:tc>
          <w:tcPr>
            <w:tcW w:w="3027" w:type="dxa"/>
            <w:vMerge w:val="continue"/>
            <w:vAlign w:val="center"/>
          </w:tcPr>
          <w:p>
            <w:pPr>
              <w:jc w:val="center"/>
              <w:rPr>
                <w:rFonts w:cs="Times New Roman"/>
                <w:szCs w:val="21"/>
              </w:rPr>
            </w:pP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w:t>
            </w:r>
          </w:p>
        </w:tc>
        <w:tc>
          <w:tcPr>
            <w:tcW w:w="1304" w:type="dxa"/>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continue"/>
            <w:vAlign w:val="center"/>
          </w:tcPr>
          <w:p>
            <w:pPr>
              <w:jc w:val="center"/>
              <w:rPr>
                <w:rFonts w:cs="Times New Roman"/>
                <w:szCs w:val="21"/>
              </w:rPr>
            </w:pPr>
          </w:p>
        </w:tc>
        <w:tc>
          <w:tcPr>
            <w:tcW w:w="1032"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115"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3027" w:type="dxa"/>
            <w:vMerge w:val="continue"/>
            <w:vAlign w:val="center"/>
          </w:tcPr>
          <w:p>
            <w:pPr>
              <w:jc w:val="center"/>
              <w:rPr>
                <w:rFonts w:cs="Times New Roman"/>
                <w:szCs w:val="21"/>
              </w:rPr>
            </w:pP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w:t>
            </w:r>
          </w:p>
        </w:tc>
        <w:tc>
          <w:tcPr>
            <w:tcW w:w="1304" w:type="dxa"/>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Align w:val="center"/>
          </w:tcPr>
          <w:p>
            <w:pPr>
              <w:jc w:val="center"/>
              <w:rPr>
                <w:rFonts w:cs="Times New Roman"/>
                <w:szCs w:val="21"/>
              </w:rPr>
            </w:pPr>
            <w:r>
              <w:rPr>
                <w:rFonts w:cs="Times New Roman"/>
                <w:szCs w:val="21"/>
              </w:rPr>
              <w:t>食堂油烟</w:t>
            </w:r>
          </w:p>
        </w:tc>
        <w:tc>
          <w:tcPr>
            <w:tcW w:w="1032" w:type="dxa"/>
            <w:vAlign w:val="center"/>
          </w:tcPr>
          <w:p>
            <w:pPr>
              <w:jc w:val="center"/>
              <w:rPr>
                <w:rFonts w:cs="Times New Roman"/>
                <w:szCs w:val="21"/>
              </w:rPr>
            </w:pPr>
            <w:r>
              <w:rPr>
                <w:rFonts w:cs="Times New Roman"/>
                <w:szCs w:val="21"/>
              </w:rPr>
              <w:t>油烟</w:t>
            </w:r>
          </w:p>
        </w:tc>
        <w:tc>
          <w:tcPr>
            <w:tcW w:w="1115" w:type="dxa"/>
            <w:vAlign w:val="center"/>
          </w:tcPr>
          <w:p>
            <w:pPr>
              <w:jc w:val="center"/>
              <w:rPr>
                <w:rFonts w:cs="Times New Roman"/>
                <w:szCs w:val="21"/>
              </w:rPr>
            </w:pPr>
            <w:r>
              <w:rPr>
                <w:rFonts w:cs="Times New Roman"/>
                <w:szCs w:val="21"/>
              </w:rPr>
              <w:t>无组织</w:t>
            </w:r>
          </w:p>
        </w:tc>
        <w:tc>
          <w:tcPr>
            <w:tcW w:w="3027" w:type="dxa"/>
            <w:vAlign w:val="center"/>
          </w:tcPr>
          <w:p>
            <w:pPr>
              <w:jc w:val="center"/>
              <w:rPr>
                <w:rFonts w:cs="Times New Roman"/>
                <w:szCs w:val="21"/>
                <w:lang w:bidi="ar"/>
              </w:rPr>
            </w:pPr>
            <w:r>
              <w:rPr>
                <w:rFonts w:cs="Times New Roman"/>
                <w:szCs w:val="21"/>
                <w:lang w:bidi="ar"/>
              </w:rPr>
              <w:t>经油烟净化器处理后外排</w:t>
            </w: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60</w:t>
            </w:r>
          </w:p>
        </w:tc>
        <w:tc>
          <w:tcPr>
            <w:tcW w:w="1304" w:type="dxa"/>
            <w:vAlign w:val="center"/>
          </w:tcPr>
          <w:p>
            <w:pPr>
              <w:jc w:val="center"/>
              <w:rPr>
                <w:rFonts w:cs="Times New Roman"/>
                <w:szCs w:val="21"/>
              </w:rPr>
            </w:pPr>
            <w:r>
              <w:rPr>
                <w:rFonts w:cs="Times New Roman"/>
                <w:szCs w:val="21"/>
              </w:rPr>
              <w:t>是</w:t>
            </w:r>
          </w:p>
        </w:tc>
      </w:tr>
    </w:tbl>
    <w:p>
      <w:pPr>
        <w:spacing w:line="360" w:lineRule="auto"/>
        <w:ind w:firstLine="482" w:firstLineChars="200"/>
        <w:rPr>
          <w:rFonts w:cs="Times New Roman"/>
          <w:b/>
          <w:bCs/>
          <w:sz w:val="24"/>
          <w:szCs w:val="24"/>
        </w:rPr>
      </w:pPr>
      <w:r>
        <w:rPr>
          <w:rFonts w:cs="Times New Roman"/>
          <w:b/>
          <w:bCs/>
          <w:sz w:val="24"/>
          <w:szCs w:val="24"/>
        </w:rPr>
        <w:t>（2）2600湿法薄毡</w:t>
      </w:r>
    </w:p>
    <w:p>
      <w:pPr>
        <w:spacing w:line="360" w:lineRule="auto"/>
        <w:ind w:firstLine="482" w:firstLineChars="200"/>
        <w:rPr>
          <w:rFonts w:cs="Times New Roman"/>
          <w:b/>
          <w:bCs/>
          <w:sz w:val="24"/>
          <w:szCs w:val="24"/>
        </w:rPr>
      </w:pPr>
      <w:r>
        <w:rPr>
          <w:rFonts w:cs="Times New Roman"/>
          <w:b/>
          <w:bCs/>
          <w:sz w:val="24"/>
          <w:szCs w:val="24"/>
        </w:rPr>
        <w:t>1）原料在浸胶、烘干环节产生的废气</w:t>
      </w:r>
    </w:p>
    <w:p>
      <w:pPr>
        <w:spacing w:line="360" w:lineRule="auto"/>
        <w:ind w:firstLine="480" w:firstLineChars="200"/>
        <w:rPr>
          <w:rFonts w:cs="Times New Roman"/>
          <w:bCs/>
          <w:sz w:val="24"/>
          <w:szCs w:val="24"/>
        </w:rPr>
      </w:pPr>
      <w:r>
        <w:rPr>
          <w:rFonts w:cs="Times New Roman"/>
          <w:bCs/>
          <w:sz w:val="24"/>
          <w:szCs w:val="24"/>
        </w:rPr>
        <w:t>在浸胶与烘干环节，均有废气产生，浸胶与烘干设备为密闭设备，废气经密闭设备顶部排气口管道收集，收集效率以98%计，设计风机风量25000</w:t>
      </w:r>
      <w:r>
        <w:rPr>
          <w:rFonts w:cs="Times New Roman"/>
          <w:sz w:val="24"/>
          <w:szCs w:val="24"/>
        </w:rPr>
        <w:t>m</w:t>
      </w:r>
      <w:r>
        <w:rPr>
          <w:rFonts w:cs="Times New Roman"/>
          <w:sz w:val="24"/>
          <w:szCs w:val="24"/>
          <w:vertAlign w:val="superscript"/>
        </w:rPr>
        <w:t>3</w:t>
      </w:r>
      <w:r>
        <w:rPr>
          <w:rFonts w:cs="Times New Roman"/>
          <w:bCs/>
          <w:sz w:val="24"/>
          <w:szCs w:val="24"/>
        </w:rPr>
        <w:t>/h，收集后的废气共经一套“二级活性炭吸附”设施处理，甲醛、有机废气处理效率按84%计，氨处理效率按20%计，处理后由18m高的排气筒DA006排放。</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经过上述工艺处理后，甲醛有组织排放量为</w:t>
      </w:r>
      <w:r>
        <w:rPr>
          <w:rFonts w:cs="Times New Roman"/>
          <w:color w:val="000000" w:themeColor="text1"/>
          <w:sz w:val="24"/>
          <w:szCs w:val="24"/>
          <w14:textFill>
            <w14:solidFill>
              <w14:schemeClr w14:val="tx1"/>
            </w14:solidFill>
          </w14:textFill>
        </w:rPr>
        <w:t>0.4</w:t>
      </w:r>
      <w:r>
        <w:rPr>
          <w:rFonts w:hint="eastAsia" w:cs="Times New Roman"/>
          <w:color w:val="000000" w:themeColor="text1"/>
          <w:sz w:val="24"/>
          <w:szCs w:val="24"/>
          <w:lang w:val="en-US" w:eastAsia="zh-CN"/>
          <w14:textFill>
            <w14:solidFill>
              <w14:schemeClr w14:val="tx1"/>
            </w14:solidFill>
          </w14:textFill>
        </w:rPr>
        <w:t>59</w:t>
      </w:r>
      <w:r>
        <w:rPr>
          <w:rFonts w:cs="Times New Roman"/>
          <w:color w:val="000000" w:themeColor="text1"/>
          <w:sz w:val="24"/>
          <w:szCs w:val="24"/>
          <w14:textFill>
            <w14:solidFill>
              <w14:schemeClr w14:val="tx1"/>
            </w14:solidFill>
          </w14:textFill>
        </w:rPr>
        <w:t>t/a，排放速率为0.058kg/h，排放浓度为2.3</w:t>
      </w:r>
      <w:r>
        <w:rPr>
          <w:rFonts w:hint="eastAsia" w:cs="Times New Roman"/>
          <w:color w:val="000000" w:themeColor="text1"/>
          <w:sz w:val="24"/>
          <w:szCs w:val="24"/>
          <w:lang w:val="en-US" w:eastAsia="zh-CN"/>
          <w14:textFill>
            <w14:solidFill>
              <w14:schemeClr w14:val="tx1"/>
            </w14:solidFill>
          </w14:textFill>
        </w:rPr>
        <w:t>2</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0.059t/a，排放速率为0.007kg/h；</w:t>
      </w:r>
    </w:p>
    <w:p>
      <w:pPr>
        <w:spacing w:line="360" w:lineRule="auto"/>
        <w:ind w:firstLine="480" w:firstLineChars="200"/>
        <w:rPr>
          <w:rFonts w:cs="Times New Roman"/>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氨</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0.076t/a，排放速率为0.010kg/h，排放浓度为0.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0.002t/a，排放速率为0.000</w:t>
      </w:r>
      <w:r>
        <w:rPr>
          <w:rFonts w:hint="eastAsia" w:cs="Times New Roman"/>
          <w:color w:val="000000" w:themeColor="text1"/>
          <w:sz w:val="24"/>
          <w:szCs w:val="24"/>
          <w:lang w:val="en-US" w:eastAsia="zh-CN"/>
          <w14:textFill>
            <w14:solidFill>
              <w14:schemeClr w14:val="tx1"/>
            </w14:solidFill>
          </w14:textFill>
        </w:rPr>
        <w:t>3</w:t>
      </w:r>
      <w:r>
        <w:rPr>
          <w:rFonts w:cs="Times New Roman"/>
          <w:color w:val="000000" w:themeColor="text1"/>
          <w:sz w:val="24"/>
          <w:szCs w:val="24"/>
          <w14:textFill>
            <w14:solidFill>
              <w14:schemeClr w14:val="tx1"/>
            </w14:solidFill>
          </w14:textFill>
        </w:rPr>
        <w:t>kg/h；</w:t>
      </w:r>
    </w:p>
    <w:p>
      <w:pPr>
        <w:spacing w:line="360" w:lineRule="auto"/>
        <w:ind w:firstLine="480" w:firstLineChars="200"/>
        <w:rPr>
          <w:rFonts w:cs="Times New Roman"/>
          <w:bCs/>
          <w:color w:val="000000" w:themeColor="text1"/>
          <w:sz w:val="24"/>
          <w:szCs w:val="24"/>
          <w14:textFill>
            <w14:solidFill>
              <w14:schemeClr w14:val="tx1"/>
            </w14:solidFill>
          </w14:textFill>
        </w:rPr>
      </w:pPr>
      <w:r>
        <w:rPr>
          <w:rFonts w:cs="Times New Roman"/>
          <w:color w:val="000000" w:themeColor="text1"/>
          <w:sz w:val="24"/>
          <w:szCs w:val="24"/>
          <w14:textFill>
            <w14:solidFill>
              <w14:schemeClr w14:val="tx1"/>
            </w14:solidFill>
          </w14:textFill>
        </w:rPr>
        <w:t>VOCs</w:t>
      </w:r>
      <w:r>
        <w:rPr>
          <w:rFonts w:cs="Times New Roman"/>
          <w:bCs/>
          <w:color w:val="000000" w:themeColor="text1"/>
          <w:sz w:val="24"/>
          <w:szCs w:val="24"/>
          <w14:textFill>
            <w14:solidFill>
              <w14:schemeClr w14:val="tx1"/>
            </w14:solidFill>
          </w14:textFill>
        </w:rPr>
        <w:t>有组织排放量为</w:t>
      </w:r>
      <w:r>
        <w:rPr>
          <w:rFonts w:cs="Times New Roman"/>
          <w:color w:val="000000" w:themeColor="text1"/>
          <w:sz w:val="24"/>
          <w:szCs w:val="24"/>
          <w14:textFill>
            <w14:solidFill>
              <w14:schemeClr w14:val="tx1"/>
            </w14:solidFill>
          </w14:textFill>
        </w:rPr>
        <w:t>0.006t/a，排放速率为0.001kg/h，排放浓度为0.0</w:t>
      </w:r>
      <w:r>
        <w:rPr>
          <w:rFonts w:hint="eastAsia" w:cs="Times New Roman"/>
          <w:color w:val="000000" w:themeColor="text1"/>
          <w:sz w:val="24"/>
          <w:szCs w:val="24"/>
          <w:lang w:val="en-US" w:eastAsia="zh-CN"/>
          <w14:textFill>
            <w14:solidFill>
              <w14:schemeClr w14:val="tx1"/>
            </w14:solidFill>
          </w14:textFill>
        </w:rPr>
        <w:t>4</w:t>
      </w:r>
      <w:r>
        <w:rPr>
          <w:rFonts w:cs="Times New Roman"/>
          <w:color w:val="000000" w:themeColor="text1"/>
          <w:sz w:val="24"/>
          <w:szCs w:val="24"/>
          <w14:textFill>
            <w14:solidFill>
              <w14:schemeClr w14:val="tx1"/>
            </w14:solidFill>
          </w14:textFill>
        </w:rPr>
        <w:t>mg/m</w:t>
      </w:r>
      <w:r>
        <w:rPr>
          <w:rFonts w:cs="Times New Roman"/>
          <w:color w:val="000000" w:themeColor="text1"/>
          <w:sz w:val="24"/>
          <w:szCs w:val="24"/>
          <w:vertAlign w:val="superscript"/>
          <w14:textFill>
            <w14:solidFill>
              <w14:schemeClr w14:val="tx1"/>
            </w14:solidFill>
          </w14:textFill>
        </w:rPr>
        <w:t>3</w:t>
      </w:r>
      <w:r>
        <w:rPr>
          <w:rFonts w:cs="Times New Roman"/>
          <w:color w:val="000000" w:themeColor="text1"/>
          <w:sz w:val="24"/>
          <w:szCs w:val="24"/>
          <w14:textFill>
            <w14:solidFill>
              <w14:schemeClr w14:val="tx1"/>
            </w14:solidFill>
          </w14:textFill>
        </w:rPr>
        <w:t>，</w:t>
      </w:r>
      <w:r>
        <w:rPr>
          <w:rFonts w:cs="Times New Roman"/>
          <w:bCs/>
          <w:color w:val="000000" w:themeColor="text1"/>
          <w:sz w:val="24"/>
          <w:szCs w:val="24"/>
          <w14:textFill>
            <w14:solidFill>
              <w14:schemeClr w14:val="tx1"/>
            </w14:solidFill>
          </w14:textFill>
        </w:rPr>
        <w:t>无组织排放量为</w:t>
      </w:r>
      <w:r>
        <w:rPr>
          <w:rFonts w:cs="Times New Roman"/>
          <w:color w:val="000000" w:themeColor="text1"/>
          <w:sz w:val="24"/>
          <w:szCs w:val="24"/>
          <w14:textFill>
            <w14:solidFill>
              <w14:schemeClr w14:val="tx1"/>
            </w14:solidFill>
          </w14:textFill>
        </w:rPr>
        <w:t>0.001t/a，排放速率为0.0001kg/h。</w:t>
      </w:r>
    </w:p>
    <w:p>
      <w:pPr>
        <w:spacing w:line="360" w:lineRule="auto"/>
        <w:ind w:firstLine="482" w:firstLineChars="200"/>
        <w:rPr>
          <w:rFonts w:cs="Times New Roman"/>
          <w:bCs/>
          <w:sz w:val="24"/>
          <w:szCs w:val="24"/>
        </w:rPr>
      </w:pPr>
      <w:r>
        <w:rPr>
          <w:rFonts w:cs="Times New Roman"/>
          <w:b/>
          <w:sz w:val="24"/>
          <w:szCs w:val="24"/>
        </w:rPr>
        <w:t>活性炭吸附处理装置：</w:t>
      </w:r>
      <w:r>
        <w:rPr>
          <w:rFonts w:cs="Times New Roman"/>
          <w:bCs/>
          <w:sz w:val="24"/>
          <w:szCs w:val="24"/>
        </w:rPr>
        <w:t>根据刘芬、刘品华《活性炭纤维在挥发性有机废气处理中应用》的实验结果表明：“每公斤活性炭可吸附0.22kg~0.25kg有机废气”（本次环评取0.25kg）。本项目有机废气产生量为2.964t/a，因此，活性炭使用量为11.858t。环评要求活性炭至少每三个月更换一次，活性炭填充量为3t。废活性炭产生量为14.964t。</w:t>
      </w:r>
    </w:p>
    <w:p>
      <w:pPr>
        <w:spacing w:line="360" w:lineRule="auto"/>
        <w:ind w:firstLine="482" w:firstLineChars="200"/>
        <w:rPr>
          <w:rFonts w:cs="Times New Roman"/>
          <w:b/>
          <w:sz w:val="24"/>
          <w:szCs w:val="24"/>
        </w:rPr>
      </w:pPr>
      <w:r>
        <w:rPr>
          <w:rFonts w:cs="Times New Roman"/>
          <w:b/>
          <w:sz w:val="24"/>
          <w:szCs w:val="24"/>
        </w:rPr>
        <w:t>2）烘干工序产生的天然气燃烧废气</w:t>
      </w:r>
    </w:p>
    <w:p>
      <w:pPr>
        <w:spacing w:line="360" w:lineRule="auto"/>
        <w:ind w:firstLine="480" w:firstLineChars="200"/>
        <w:rPr>
          <w:rFonts w:cs="Times New Roman"/>
          <w:bCs/>
          <w:sz w:val="24"/>
          <w:szCs w:val="24"/>
        </w:rPr>
      </w:pPr>
      <w:r>
        <w:rPr>
          <w:rFonts w:cs="Times New Roman"/>
          <w:bCs/>
          <w:sz w:val="24"/>
          <w:szCs w:val="24"/>
        </w:rPr>
        <w:t>环评建议企业安装低氮燃烧装置，烘干炉产生的废气由18m高排气筒（DA006）排放。项目设计风机风量为25000m</w:t>
      </w:r>
      <w:r>
        <w:rPr>
          <w:rFonts w:cs="Times New Roman"/>
          <w:bCs/>
          <w:sz w:val="24"/>
          <w:szCs w:val="24"/>
          <w:vertAlign w:val="superscript"/>
        </w:rPr>
        <w:t>3</w:t>
      </w:r>
      <w:r>
        <w:rPr>
          <w:rFonts w:cs="Times New Roman"/>
          <w:bCs/>
          <w:sz w:val="24"/>
          <w:szCs w:val="24"/>
        </w:rPr>
        <w:t>/h（烟气量716.7m</w:t>
      </w:r>
      <w:r>
        <w:rPr>
          <w:rFonts w:cs="Times New Roman"/>
          <w:bCs/>
          <w:sz w:val="24"/>
          <w:szCs w:val="24"/>
          <w:vertAlign w:val="superscript"/>
        </w:rPr>
        <w:t>3</w:t>
      </w:r>
      <w:r>
        <w:rPr>
          <w:rFonts w:cs="Times New Roman"/>
          <w:bCs/>
          <w:sz w:val="24"/>
          <w:szCs w:val="24"/>
        </w:rPr>
        <w:t>/h）。</w:t>
      </w:r>
    </w:p>
    <w:p>
      <w:pPr>
        <w:spacing w:line="360" w:lineRule="auto"/>
        <w:jc w:val="center"/>
        <w:rPr>
          <w:rFonts w:cs="Times New Roman"/>
          <w:b/>
          <w:sz w:val="24"/>
          <w:szCs w:val="24"/>
        </w:rPr>
      </w:pPr>
      <w:r>
        <w:rPr>
          <w:rFonts w:cs="Times New Roman"/>
          <w:b/>
          <w:sz w:val="24"/>
          <w:szCs w:val="24"/>
        </w:rPr>
        <w:t>表2.2-7 天然气燃烧废气产排情况</w:t>
      </w:r>
    </w:p>
    <w:tbl>
      <w:tblPr>
        <w:tblStyle w:val="26"/>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2418"/>
        <w:gridCol w:w="2805"/>
        <w:gridCol w:w="28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b/>
                <w:bCs/>
                <w:szCs w:val="21"/>
              </w:rPr>
            </w:pPr>
            <w:r>
              <w:rPr>
                <w:rFonts w:cs="Times New Roman"/>
                <w:szCs w:val="21"/>
              </w:rPr>
              <w:t>内容</w:t>
            </w:r>
          </w:p>
        </w:tc>
        <w:tc>
          <w:tcPr>
            <w:tcW w:w="1466" w:type="pct"/>
            <w:tcBorders>
              <w:tl2br w:val="nil"/>
              <w:tr2bl w:val="nil"/>
            </w:tcBorders>
            <w:shd w:val="clear" w:color="auto" w:fill="auto"/>
            <w:noWrap/>
            <w:vAlign w:val="center"/>
          </w:tcPr>
          <w:p>
            <w:pPr>
              <w:widowControl/>
              <w:jc w:val="center"/>
              <w:rPr>
                <w:rFonts w:cs="Times New Roman"/>
                <w:b/>
                <w:bCs/>
                <w:szCs w:val="21"/>
              </w:rPr>
            </w:pPr>
            <w:r>
              <w:rPr>
                <w:rFonts w:cs="Times New Roman"/>
                <w:szCs w:val="21"/>
              </w:rPr>
              <w:t>SO</w:t>
            </w:r>
            <w:r>
              <w:rPr>
                <w:rFonts w:cs="Times New Roman"/>
                <w:szCs w:val="21"/>
                <w:vertAlign w:val="subscript"/>
              </w:rPr>
              <w:t>2</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NO</w:t>
            </w:r>
            <w:r>
              <w:rPr>
                <w:rFonts w:cs="Times New Roman"/>
                <w:szCs w:val="21"/>
                <w:vertAlign w:val="sub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排气总量m</w:t>
            </w:r>
            <w:r>
              <w:rPr>
                <w:rFonts w:cs="Times New Roman"/>
                <w:szCs w:val="21"/>
                <w:vertAlign w:val="superscript"/>
              </w:rPr>
              <w:t>3</w:t>
            </w:r>
            <w:r>
              <w:rPr>
                <w:rFonts w:cs="Times New Roman"/>
                <w:szCs w:val="21"/>
              </w:rPr>
              <w:t>/h</w:t>
            </w:r>
          </w:p>
        </w:tc>
        <w:tc>
          <w:tcPr>
            <w:tcW w:w="293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25000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内径m</w:t>
            </w:r>
          </w:p>
        </w:tc>
        <w:tc>
          <w:tcPr>
            <w:tcW w:w="293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处理措施</w:t>
            </w:r>
          </w:p>
        </w:tc>
        <w:tc>
          <w:tcPr>
            <w:tcW w:w="2934"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低氮燃烧器+排气筒（DA005）排放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restart"/>
            <w:tcBorders>
              <w:tl2br w:val="nil"/>
              <w:tr2bl w:val="nil"/>
            </w:tcBorders>
            <w:shd w:val="clear" w:color="auto" w:fill="auto"/>
            <w:noWrap/>
            <w:vAlign w:val="center"/>
          </w:tcPr>
          <w:p>
            <w:pPr>
              <w:widowControl/>
              <w:jc w:val="center"/>
              <w:rPr>
                <w:rFonts w:hint="default" w:eastAsia="宋体" w:cs="Times New Roman"/>
                <w:szCs w:val="21"/>
                <w:lang w:val="en-US" w:eastAsia="zh-CN"/>
              </w:rPr>
            </w:pPr>
            <w:r>
              <w:rPr>
                <w:rFonts w:hint="eastAsia" w:cs="Times New Roman"/>
                <w:szCs w:val="21"/>
                <w:lang w:val="en-US" w:eastAsia="zh-CN"/>
              </w:rPr>
              <w:t>排放量</w:t>
            </w: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排放量t/a</w:t>
            </w:r>
          </w:p>
        </w:tc>
        <w:tc>
          <w:tcPr>
            <w:tcW w:w="1466" w:type="pct"/>
            <w:tcBorders>
              <w:tl2br w:val="nil"/>
              <w:tr2bl w:val="nil"/>
            </w:tcBorders>
            <w:shd w:val="clear" w:color="auto" w:fill="auto"/>
            <w:noWrap/>
            <w:vAlign w:val="center"/>
          </w:tcPr>
          <w:p>
            <w:pPr>
              <w:widowControl/>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57</w:t>
            </w:r>
          </w:p>
        </w:tc>
        <w:tc>
          <w:tcPr>
            <w:tcW w:w="1467" w:type="pct"/>
            <w:tcBorders>
              <w:tl2br w:val="nil"/>
              <w:tr2bl w:val="nil"/>
            </w:tcBorders>
            <w:shd w:val="clear" w:color="auto" w:fill="auto"/>
            <w:noWrap/>
            <w:vAlign w:val="center"/>
          </w:tcPr>
          <w:p>
            <w:pPr>
              <w:widowControl/>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2.261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continue"/>
            <w:tcBorders>
              <w:tl2br w:val="nil"/>
              <w:tr2bl w:val="nil"/>
            </w:tcBorders>
            <w:shd w:val="clear" w:color="auto" w:fill="auto"/>
            <w:noWrap/>
            <w:vAlign w:val="center"/>
          </w:tcPr>
          <w:p>
            <w:pPr>
              <w:widowControl/>
              <w:jc w:val="center"/>
              <w:rPr>
                <w:rFonts w:cs="Times New Roman"/>
                <w:szCs w:val="21"/>
              </w:rPr>
            </w:pP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466" w:type="pct"/>
            <w:tcBorders>
              <w:tl2br w:val="nil"/>
              <w:tr2bl w:val="nil"/>
            </w:tcBorders>
            <w:shd w:val="clear" w:color="auto" w:fill="auto"/>
            <w:noWrap/>
            <w:vAlign w:val="center"/>
          </w:tcPr>
          <w:p>
            <w:pPr>
              <w:widowControl/>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7</w:t>
            </w:r>
          </w:p>
        </w:tc>
        <w:tc>
          <w:tcPr>
            <w:tcW w:w="1467" w:type="pct"/>
            <w:tcBorders>
              <w:tl2br w:val="nil"/>
              <w:tr2bl w:val="nil"/>
            </w:tcBorders>
            <w:shd w:val="clear" w:color="auto" w:fill="auto"/>
            <w:noWrap/>
            <w:vAlign w:val="center"/>
          </w:tcPr>
          <w:p>
            <w:pPr>
              <w:widowControl/>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0.2</w:t>
            </w:r>
            <w:r>
              <w:rPr>
                <w:rFonts w:hint="eastAsia" w:cs="Times New Roman"/>
                <w:color w:val="000000" w:themeColor="text1"/>
                <w:szCs w:val="21"/>
                <w:lang w:val="en-US" w:eastAsia="zh-CN"/>
                <w14:textFill>
                  <w14:solidFill>
                    <w14:schemeClr w14:val="tx1"/>
                  </w14:solidFill>
                </w14:textFill>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continue"/>
            <w:tcBorders>
              <w:tl2br w:val="nil"/>
              <w:tr2bl w:val="nil"/>
            </w:tcBorders>
            <w:shd w:val="clear" w:color="auto" w:fill="auto"/>
            <w:noWrap/>
            <w:vAlign w:val="center"/>
          </w:tcPr>
          <w:p>
            <w:pPr>
              <w:widowControl/>
              <w:jc w:val="center"/>
              <w:rPr>
                <w:rFonts w:cs="Times New Roman"/>
                <w:szCs w:val="21"/>
              </w:rPr>
            </w:pP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466" w:type="pct"/>
            <w:tcBorders>
              <w:tl2br w:val="nil"/>
              <w:tr2bl w:val="nil"/>
            </w:tcBorders>
            <w:shd w:val="clear" w:color="auto" w:fill="auto"/>
            <w:noWrap/>
            <w:vAlign w:val="center"/>
          </w:tcPr>
          <w:p>
            <w:pPr>
              <w:widowControl/>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0.2</w:t>
            </w:r>
            <w:r>
              <w:rPr>
                <w:rFonts w:hint="eastAsia" w:cs="Times New Roman"/>
                <w:color w:val="000000" w:themeColor="text1"/>
                <w:szCs w:val="21"/>
                <w:lang w:val="en-US" w:eastAsia="zh-CN"/>
                <w14:textFill>
                  <w14:solidFill>
                    <w14:schemeClr w14:val="tx1"/>
                  </w14:solidFill>
                </w14:textFill>
              </w:rPr>
              <w:t>8</w:t>
            </w:r>
          </w:p>
        </w:tc>
        <w:tc>
          <w:tcPr>
            <w:tcW w:w="1467" w:type="pct"/>
            <w:tcBorders>
              <w:tl2br w:val="nil"/>
              <w:tr2bl w:val="nil"/>
            </w:tcBorders>
            <w:shd w:val="clear" w:color="auto" w:fill="auto"/>
            <w:noWrap/>
            <w:vAlign w:val="center"/>
          </w:tcPr>
          <w:p>
            <w:pPr>
              <w:widowControl/>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restart"/>
            <w:tcBorders>
              <w:tl2br w:val="nil"/>
              <w:tr2bl w:val="nil"/>
            </w:tcBorders>
            <w:shd w:val="clear" w:color="auto" w:fill="auto"/>
            <w:noWrap/>
            <w:vAlign w:val="center"/>
          </w:tcPr>
          <w:p>
            <w:pPr>
              <w:widowControl/>
              <w:jc w:val="center"/>
              <w:rPr>
                <w:rFonts w:cs="Times New Roman"/>
                <w:szCs w:val="21"/>
              </w:rPr>
            </w:pPr>
            <w:r>
              <w:rPr>
                <w:rFonts w:cs="Times New Roman"/>
                <w:szCs w:val="21"/>
              </w:rPr>
              <w:t>评价标准</w:t>
            </w: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排放速率kg/h</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00" w:type="pct"/>
            <w:vMerge w:val="continue"/>
            <w:tcBorders>
              <w:tl2br w:val="nil"/>
              <w:tr2bl w:val="nil"/>
            </w:tcBorders>
            <w:shd w:val="clear" w:color="auto" w:fill="auto"/>
            <w:noWrap/>
            <w:vAlign w:val="center"/>
          </w:tcPr>
          <w:p>
            <w:pPr>
              <w:widowControl/>
              <w:jc w:val="left"/>
              <w:rPr>
                <w:rFonts w:cs="Times New Roman"/>
                <w:szCs w:val="21"/>
              </w:rPr>
            </w:pPr>
          </w:p>
        </w:tc>
        <w:tc>
          <w:tcPr>
            <w:tcW w:w="1264" w:type="pct"/>
            <w:tcBorders>
              <w:tl2br w:val="nil"/>
              <w:tr2bl w:val="nil"/>
            </w:tcBorders>
            <w:shd w:val="clear" w:color="auto" w:fill="auto"/>
            <w:noWrap/>
            <w:vAlign w:val="center"/>
          </w:tcPr>
          <w:p>
            <w:pPr>
              <w:widowControl/>
              <w:jc w:val="center"/>
              <w:rPr>
                <w:rFonts w:cs="Times New Roman"/>
                <w:szCs w:val="21"/>
              </w:rPr>
            </w:pPr>
            <w:r>
              <w:rPr>
                <w:rFonts w:cs="Times New Roman"/>
                <w:szCs w:val="21"/>
              </w:rPr>
              <w:t>排放浓度mg/m</w:t>
            </w:r>
            <w:r>
              <w:rPr>
                <w:rFonts w:cs="Times New Roman"/>
                <w:szCs w:val="21"/>
                <w:vertAlign w:val="superscript"/>
              </w:rPr>
              <w:t>3</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200</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65" w:type="pct"/>
            <w:gridSpan w:val="2"/>
            <w:tcBorders>
              <w:tl2br w:val="nil"/>
              <w:tr2bl w:val="nil"/>
            </w:tcBorders>
            <w:shd w:val="clear" w:color="auto" w:fill="auto"/>
            <w:noWrap/>
            <w:vAlign w:val="center"/>
          </w:tcPr>
          <w:p>
            <w:pPr>
              <w:widowControl/>
              <w:jc w:val="center"/>
              <w:rPr>
                <w:rFonts w:cs="Times New Roman"/>
                <w:szCs w:val="21"/>
              </w:rPr>
            </w:pPr>
            <w:r>
              <w:rPr>
                <w:rFonts w:cs="Times New Roman"/>
                <w:szCs w:val="21"/>
              </w:rPr>
              <w:t>达标情况</w:t>
            </w:r>
          </w:p>
        </w:tc>
        <w:tc>
          <w:tcPr>
            <w:tcW w:w="1466"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c>
          <w:tcPr>
            <w:tcW w:w="1467" w:type="pct"/>
            <w:tcBorders>
              <w:tl2br w:val="nil"/>
              <w:tr2bl w:val="nil"/>
            </w:tcBorders>
            <w:shd w:val="clear" w:color="auto" w:fill="auto"/>
            <w:noWrap/>
            <w:vAlign w:val="center"/>
          </w:tcPr>
          <w:p>
            <w:pPr>
              <w:widowControl/>
              <w:jc w:val="center"/>
              <w:rPr>
                <w:rFonts w:cs="Times New Roman"/>
                <w:szCs w:val="21"/>
              </w:rPr>
            </w:pPr>
            <w:r>
              <w:rPr>
                <w:rFonts w:cs="Times New Roman"/>
                <w:szCs w:val="21"/>
              </w:rPr>
              <w:t>达标</w:t>
            </w:r>
          </w:p>
        </w:tc>
      </w:tr>
    </w:tbl>
    <w:p>
      <w:pPr>
        <w:spacing w:line="360" w:lineRule="auto"/>
        <w:ind w:firstLine="482" w:firstLineChars="200"/>
        <w:rPr>
          <w:rFonts w:cs="Times New Roman"/>
          <w:bCs/>
          <w:sz w:val="24"/>
          <w:szCs w:val="24"/>
        </w:rPr>
      </w:pPr>
      <w:r>
        <w:rPr>
          <w:rFonts w:cs="Times New Roman"/>
          <w:b/>
          <w:sz w:val="24"/>
          <w:szCs w:val="24"/>
        </w:rPr>
        <w:t>3）</w:t>
      </w:r>
      <w:r>
        <w:rPr>
          <w:rFonts w:cs="Times New Roman"/>
          <w:b/>
          <w:bCs/>
          <w:sz w:val="24"/>
          <w:szCs w:val="24"/>
        </w:rPr>
        <w:t>食堂油烟</w:t>
      </w:r>
    </w:p>
    <w:p>
      <w:pPr>
        <w:spacing w:line="360" w:lineRule="auto"/>
        <w:ind w:firstLine="480" w:firstLineChars="200"/>
        <w:rPr>
          <w:rFonts w:cs="Times New Roman"/>
          <w:sz w:val="24"/>
          <w:szCs w:val="24"/>
        </w:rPr>
      </w:pPr>
      <w:r>
        <w:rPr>
          <w:rFonts w:cs="Times New Roman"/>
          <w:bCs/>
          <w:sz w:val="24"/>
          <w:szCs w:val="24"/>
        </w:rPr>
        <w:t>食堂安装了1台油烟净化器（风量为3000m</w:t>
      </w:r>
      <w:r>
        <w:rPr>
          <w:rFonts w:cs="Times New Roman"/>
          <w:bCs/>
          <w:sz w:val="24"/>
          <w:szCs w:val="24"/>
          <w:vertAlign w:val="superscript"/>
        </w:rPr>
        <w:t>3</w:t>
      </w:r>
      <w:r>
        <w:rPr>
          <w:rFonts w:cs="Times New Roman"/>
          <w:bCs/>
          <w:sz w:val="24"/>
          <w:szCs w:val="24"/>
        </w:rPr>
        <w:t>/h），食堂油烟经处理后通过油烟管道（DA004）外排，处理效率按60%计。</w:t>
      </w:r>
    </w:p>
    <w:p>
      <w:pPr>
        <w:spacing w:line="360" w:lineRule="auto"/>
        <w:ind w:firstLine="480" w:firstLineChars="200"/>
        <w:rPr>
          <w:rFonts w:cs="Times New Roman"/>
          <w:b/>
          <w:bCs/>
          <w:sz w:val="24"/>
          <w:szCs w:val="24"/>
        </w:rPr>
      </w:pPr>
      <w:r>
        <w:rPr>
          <w:rFonts w:cs="Times New Roman"/>
          <w:sz w:val="24"/>
          <w:szCs w:val="24"/>
        </w:rPr>
        <w:t>食堂油烟经上述治理措施后，食堂油烟排放量为0.0011t/a，排放速率为0.0008kg/h，排放浓度为0.283mg/m</w:t>
      </w:r>
      <w:r>
        <w:rPr>
          <w:rFonts w:cs="Times New Roman"/>
          <w:sz w:val="24"/>
          <w:szCs w:val="24"/>
          <w:vertAlign w:val="superscript"/>
        </w:rPr>
        <w:t>3</w:t>
      </w:r>
      <w:r>
        <w:rPr>
          <w:rFonts w:cs="Times New Roman"/>
          <w:sz w:val="24"/>
          <w:szCs w:val="24"/>
        </w:rPr>
        <w:t>。因此，</w:t>
      </w:r>
      <w:r>
        <w:rPr>
          <w:rFonts w:cs="Times New Roman"/>
          <w:bCs/>
          <w:sz w:val="24"/>
          <w:szCs w:val="24"/>
        </w:rPr>
        <w:t>本项目</w:t>
      </w:r>
      <w:r>
        <w:rPr>
          <w:rFonts w:cs="Times New Roman"/>
          <w:sz w:val="24"/>
          <w:szCs w:val="24"/>
        </w:rPr>
        <w:t>食堂油烟经处理后排放浓度能满足《饮食业油烟排放标准（试行）》（GB18483-2001）中相关标准（2.0mg/m</w:t>
      </w:r>
      <w:r>
        <w:rPr>
          <w:rFonts w:cs="Times New Roman"/>
          <w:sz w:val="24"/>
          <w:szCs w:val="24"/>
          <w:vertAlign w:val="superscript"/>
        </w:rPr>
        <w:t>3</w:t>
      </w:r>
      <w:r>
        <w:rPr>
          <w:rFonts w:cs="Times New Roman"/>
          <w:sz w:val="24"/>
          <w:szCs w:val="24"/>
        </w:rPr>
        <w:t>），可以实现达标排放。</w:t>
      </w:r>
    </w:p>
    <w:p>
      <w:pPr>
        <w:spacing w:line="360" w:lineRule="auto"/>
        <w:ind w:firstLine="480" w:firstLineChars="200"/>
        <w:rPr>
          <w:rFonts w:cs="Times New Roman"/>
          <w:b/>
          <w:sz w:val="24"/>
          <w:szCs w:val="24"/>
        </w:rPr>
      </w:pPr>
      <w:r>
        <w:rPr>
          <w:rFonts w:cs="Times New Roman"/>
          <w:sz w:val="24"/>
          <w:szCs w:val="24"/>
        </w:rPr>
        <w:t>综上所述，项目治理设施、排放形式表2.2-8。</w:t>
      </w:r>
    </w:p>
    <w:p>
      <w:pPr>
        <w:spacing w:line="360" w:lineRule="auto"/>
        <w:jc w:val="center"/>
        <w:rPr>
          <w:rFonts w:cs="Times New Roman"/>
          <w:b/>
          <w:sz w:val="24"/>
          <w:szCs w:val="24"/>
        </w:rPr>
      </w:pPr>
      <w:r>
        <w:rPr>
          <w:rFonts w:cs="Times New Roman"/>
          <w:b/>
          <w:sz w:val="24"/>
          <w:szCs w:val="24"/>
        </w:rPr>
        <w:t>表2.2-8 项目废气治理设施、排放形式一览表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13"/>
        <w:gridCol w:w="1032"/>
        <w:gridCol w:w="1115"/>
        <w:gridCol w:w="3027"/>
        <w:gridCol w:w="1115"/>
        <w:gridCol w:w="954"/>
        <w:gridCol w:w="1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vMerge w:val="restart"/>
            <w:tcBorders>
              <w:tl2br w:val="nil"/>
              <w:tr2bl w:val="nil"/>
            </w:tcBorders>
            <w:vAlign w:val="center"/>
          </w:tcPr>
          <w:p>
            <w:pPr>
              <w:jc w:val="center"/>
              <w:rPr>
                <w:rFonts w:cs="Times New Roman"/>
                <w:b/>
                <w:bCs/>
                <w:szCs w:val="21"/>
              </w:rPr>
            </w:pPr>
            <w:r>
              <w:rPr>
                <w:rFonts w:cs="Times New Roman"/>
                <w:b/>
                <w:bCs/>
                <w:szCs w:val="21"/>
              </w:rPr>
              <w:t>废气类型</w:t>
            </w:r>
          </w:p>
        </w:tc>
        <w:tc>
          <w:tcPr>
            <w:tcW w:w="545"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589" w:type="pct"/>
            <w:vMerge w:val="restart"/>
            <w:tcBorders>
              <w:tl2br w:val="nil"/>
              <w:tr2bl w:val="nil"/>
            </w:tcBorders>
            <w:vAlign w:val="center"/>
          </w:tcPr>
          <w:p>
            <w:pPr>
              <w:jc w:val="center"/>
              <w:rPr>
                <w:rFonts w:cs="Times New Roman"/>
                <w:b/>
                <w:bCs/>
                <w:szCs w:val="21"/>
              </w:rPr>
            </w:pPr>
            <w:r>
              <w:rPr>
                <w:rFonts w:cs="Times New Roman"/>
                <w:b/>
                <w:bCs/>
                <w:szCs w:val="21"/>
              </w:rPr>
              <w:t>排放形式</w:t>
            </w:r>
          </w:p>
        </w:tc>
        <w:tc>
          <w:tcPr>
            <w:tcW w:w="3383" w:type="pct"/>
            <w:gridSpan w:val="4"/>
            <w:tcBorders>
              <w:tl2br w:val="nil"/>
              <w:tr2bl w:val="nil"/>
            </w:tcBorders>
            <w:vAlign w:val="center"/>
          </w:tcPr>
          <w:p>
            <w:pPr>
              <w:jc w:val="center"/>
              <w:rPr>
                <w:rFonts w:cs="Times New Roman"/>
                <w:b/>
                <w:bCs/>
                <w:szCs w:val="21"/>
              </w:rPr>
            </w:pPr>
            <w:r>
              <w:rPr>
                <w:rFonts w:cs="Times New Roman"/>
                <w:b/>
                <w:bCs/>
                <w:szCs w:val="21"/>
              </w:rPr>
              <w:t>污染物治理设施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482" w:type="pct"/>
            <w:vMerge w:val="continue"/>
            <w:tcBorders>
              <w:tl2br w:val="nil"/>
              <w:tr2bl w:val="nil"/>
            </w:tcBorders>
            <w:vAlign w:val="center"/>
          </w:tcPr>
          <w:p>
            <w:pPr>
              <w:jc w:val="center"/>
              <w:rPr>
                <w:rFonts w:cs="Times New Roman"/>
                <w:b/>
                <w:bCs/>
                <w:szCs w:val="21"/>
              </w:rPr>
            </w:pPr>
          </w:p>
        </w:tc>
        <w:tc>
          <w:tcPr>
            <w:tcW w:w="545" w:type="pct"/>
            <w:vMerge w:val="continue"/>
            <w:tcBorders>
              <w:tl2br w:val="nil"/>
              <w:tr2bl w:val="nil"/>
            </w:tcBorders>
            <w:vAlign w:val="center"/>
          </w:tcPr>
          <w:p>
            <w:pPr>
              <w:jc w:val="center"/>
              <w:rPr>
                <w:rFonts w:cs="Times New Roman"/>
                <w:b/>
                <w:bCs/>
                <w:szCs w:val="21"/>
              </w:rPr>
            </w:pPr>
          </w:p>
        </w:tc>
        <w:tc>
          <w:tcPr>
            <w:tcW w:w="589" w:type="pct"/>
            <w:vMerge w:val="continue"/>
            <w:tcBorders>
              <w:tl2br w:val="nil"/>
              <w:tr2bl w:val="nil"/>
            </w:tcBorders>
            <w:vAlign w:val="center"/>
          </w:tcPr>
          <w:p>
            <w:pPr>
              <w:jc w:val="center"/>
              <w:rPr>
                <w:rFonts w:cs="Times New Roman"/>
                <w:b/>
                <w:bCs/>
                <w:szCs w:val="21"/>
              </w:rPr>
            </w:pPr>
          </w:p>
        </w:tc>
        <w:tc>
          <w:tcPr>
            <w:tcW w:w="1599" w:type="pct"/>
            <w:tcBorders>
              <w:tl2br w:val="nil"/>
              <w:tr2bl w:val="nil"/>
            </w:tcBorders>
            <w:vAlign w:val="center"/>
          </w:tcPr>
          <w:p>
            <w:pPr>
              <w:jc w:val="center"/>
              <w:rPr>
                <w:rFonts w:cs="Times New Roman"/>
                <w:b/>
                <w:bCs/>
                <w:szCs w:val="21"/>
              </w:rPr>
            </w:pPr>
            <w:r>
              <w:rPr>
                <w:rFonts w:cs="Times New Roman"/>
                <w:b/>
                <w:bCs/>
                <w:szCs w:val="21"/>
              </w:rPr>
              <w:t>治理设施名称及工艺</w:t>
            </w:r>
          </w:p>
        </w:tc>
        <w:tc>
          <w:tcPr>
            <w:tcW w:w="589" w:type="pct"/>
            <w:tcBorders>
              <w:tl2br w:val="nil"/>
              <w:tr2bl w:val="nil"/>
            </w:tcBorders>
            <w:vAlign w:val="center"/>
          </w:tcPr>
          <w:p>
            <w:pPr>
              <w:jc w:val="center"/>
              <w:rPr>
                <w:rFonts w:cs="Times New Roman"/>
                <w:b/>
                <w:bCs/>
                <w:szCs w:val="21"/>
              </w:rPr>
            </w:pPr>
            <w:r>
              <w:rPr>
                <w:rFonts w:cs="Times New Roman"/>
                <w:b/>
                <w:bCs/>
                <w:szCs w:val="21"/>
              </w:rPr>
              <w:t>收集效率（%）</w:t>
            </w:r>
          </w:p>
        </w:tc>
        <w:tc>
          <w:tcPr>
            <w:tcW w:w="504" w:type="pct"/>
            <w:tcBorders>
              <w:tl2br w:val="nil"/>
              <w:tr2bl w:val="nil"/>
            </w:tcBorders>
            <w:vAlign w:val="center"/>
          </w:tcPr>
          <w:p>
            <w:pPr>
              <w:jc w:val="center"/>
              <w:rPr>
                <w:rFonts w:cs="Times New Roman"/>
                <w:b/>
                <w:bCs/>
                <w:szCs w:val="21"/>
              </w:rPr>
            </w:pPr>
            <w:r>
              <w:rPr>
                <w:rFonts w:cs="Times New Roman"/>
                <w:b/>
                <w:bCs/>
                <w:szCs w:val="21"/>
              </w:rPr>
              <w:t>去除率（%）</w:t>
            </w:r>
          </w:p>
        </w:tc>
        <w:tc>
          <w:tcPr>
            <w:tcW w:w="688" w:type="pct"/>
            <w:tcBorders>
              <w:tl2br w:val="nil"/>
              <w:tr2bl w:val="nil"/>
            </w:tcBorders>
            <w:vAlign w:val="center"/>
          </w:tcPr>
          <w:p>
            <w:pPr>
              <w:jc w:val="center"/>
              <w:rPr>
                <w:rFonts w:cs="Times New Roman"/>
                <w:b/>
                <w:bCs/>
                <w:szCs w:val="21"/>
              </w:rPr>
            </w:pPr>
            <w:r>
              <w:rPr>
                <w:rFonts w:cs="Times New Roman"/>
                <w:b/>
                <w:bCs/>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restart"/>
            <w:tcBorders>
              <w:tl2br w:val="nil"/>
              <w:tr2bl w:val="nil"/>
            </w:tcBorders>
            <w:vAlign w:val="center"/>
          </w:tcPr>
          <w:p>
            <w:pPr>
              <w:jc w:val="center"/>
              <w:rPr>
                <w:rFonts w:cs="Times New Roman"/>
                <w:szCs w:val="21"/>
              </w:rPr>
            </w:pPr>
            <w:r>
              <w:rPr>
                <w:rFonts w:cs="Times New Roman"/>
                <w:szCs w:val="21"/>
              </w:rPr>
              <w:t>原料在浸胶、烘干环节产生的废气</w:t>
            </w:r>
          </w:p>
        </w:tc>
        <w:tc>
          <w:tcPr>
            <w:tcW w:w="1032" w:type="dxa"/>
            <w:tcBorders>
              <w:tl2br w:val="nil"/>
              <w:tr2bl w:val="nil"/>
            </w:tcBorders>
            <w:vAlign w:val="center"/>
          </w:tcPr>
          <w:p>
            <w:pPr>
              <w:jc w:val="center"/>
              <w:rPr>
                <w:rFonts w:cs="Times New Roman"/>
                <w:szCs w:val="21"/>
              </w:rPr>
            </w:pPr>
            <w:r>
              <w:rPr>
                <w:rFonts w:cs="Times New Roman"/>
                <w:szCs w:val="21"/>
              </w:rPr>
              <w:t>甲醛</w:t>
            </w:r>
          </w:p>
        </w:tc>
        <w:tc>
          <w:tcPr>
            <w:tcW w:w="1115" w:type="dxa"/>
            <w:tcBorders>
              <w:tl2br w:val="nil"/>
              <w:tr2bl w:val="nil"/>
            </w:tcBorders>
            <w:vAlign w:val="center"/>
          </w:tcPr>
          <w:p>
            <w:pPr>
              <w:jc w:val="center"/>
              <w:rPr>
                <w:rFonts w:cs="Times New Roman"/>
                <w:szCs w:val="21"/>
              </w:rPr>
            </w:pPr>
            <w:r>
              <w:rPr>
                <w:rFonts w:cs="Times New Roman"/>
                <w:szCs w:val="21"/>
              </w:rPr>
              <w:t>有组织</w:t>
            </w:r>
          </w:p>
        </w:tc>
        <w:tc>
          <w:tcPr>
            <w:tcW w:w="3027" w:type="dxa"/>
            <w:vMerge w:val="restart"/>
            <w:tcBorders>
              <w:tl2br w:val="nil"/>
              <w:tr2bl w:val="nil"/>
            </w:tcBorders>
            <w:vAlign w:val="center"/>
          </w:tcPr>
          <w:p>
            <w:pPr>
              <w:jc w:val="center"/>
              <w:rPr>
                <w:rFonts w:cs="Times New Roman"/>
                <w:szCs w:val="21"/>
              </w:rPr>
            </w:pPr>
            <w:r>
              <w:rPr>
                <w:rFonts w:cs="Times New Roman"/>
                <w:szCs w:val="21"/>
              </w:rPr>
              <w:t>经一套二级活性炭吸附装置处理后由18m高排气筒（DA005）排放</w:t>
            </w:r>
          </w:p>
        </w:tc>
        <w:tc>
          <w:tcPr>
            <w:tcW w:w="1115" w:type="dxa"/>
            <w:tcBorders>
              <w:tl2br w:val="nil"/>
              <w:tr2bl w:val="nil"/>
            </w:tcBorders>
            <w:vAlign w:val="center"/>
          </w:tcPr>
          <w:p>
            <w:pPr>
              <w:jc w:val="center"/>
              <w:rPr>
                <w:rFonts w:cs="Times New Roman"/>
                <w:szCs w:val="21"/>
              </w:rPr>
            </w:pPr>
            <w:r>
              <w:rPr>
                <w:rFonts w:cs="Times New Roman"/>
                <w:szCs w:val="21"/>
              </w:rPr>
              <w:t>98</w:t>
            </w:r>
          </w:p>
        </w:tc>
        <w:tc>
          <w:tcPr>
            <w:tcW w:w="954" w:type="dxa"/>
            <w:tcBorders>
              <w:tl2br w:val="nil"/>
              <w:tr2bl w:val="nil"/>
            </w:tcBorders>
            <w:vAlign w:val="center"/>
          </w:tcPr>
          <w:p>
            <w:pPr>
              <w:jc w:val="center"/>
              <w:rPr>
                <w:rFonts w:cs="Times New Roman"/>
                <w:szCs w:val="21"/>
              </w:rPr>
            </w:pPr>
            <w:r>
              <w:rPr>
                <w:rFonts w:cs="Times New Roman"/>
                <w:szCs w:val="21"/>
              </w:rPr>
              <w:t>84</w:t>
            </w:r>
          </w:p>
        </w:tc>
        <w:tc>
          <w:tcPr>
            <w:tcW w:w="1308" w:type="dxa"/>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13" w:type="dxa"/>
            <w:vMerge w:val="continue"/>
            <w:tcBorders>
              <w:tl2br w:val="nil"/>
              <w:tr2bl w:val="nil"/>
            </w:tcBorders>
            <w:vAlign w:val="center"/>
          </w:tcPr>
          <w:p>
            <w:pPr>
              <w:jc w:val="center"/>
              <w:rPr>
                <w:rFonts w:cs="Times New Roman"/>
                <w:szCs w:val="21"/>
              </w:rPr>
            </w:pPr>
          </w:p>
        </w:tc>
        <w:tc>
          <w:tcPr>
            <w:tcW w:w="1032" w:type="dxa"/>
            <w:tcBorders>
              <w:tl2br w:val="nil"/>
              <w:tr2bl w:val="nil"/>
            </w:tcBorders>
            <w:vAlign w:val="center"/>
          </w:tcPr>
          <w:p>
            <w:pPr>
              <w:jc w:val="center"/>
              <w:rPr>
                <w:rFonts w:cs="Times New Roman"/>
                <w:szCs w:val="21"/>
              </w:rPr>
            </w:pPr>
            <w:r>
              <w:rPr>
                <w:rFonts w:cs="Times New Roman"/>
                <w:szCs w:val="21"/>
              </w:rPr>
              <w:t>氨</w:t>
            </w:r>
          </w:p>
        </w:tc>
        <w:tc>
          <w:tcPr>
            <w:tcW w:w="1115" w:type="dxa"/>
            <w:tcBorders>
              <w:tl2br w:val="nil"/>
              <w:tr2bl w:val="nil"/>
            </w:tcBorders>
            <w:vAlign w:val="center"/>
          </w:tcPr>
          <w:p>
            <w:pPr>
              <w:jc w:val="center"/>
              <w:rPr>
                <w:rFonts w:cs="Times New Roman"/>
                <w:szCs w:val="21"/>
              </w:rPr>
            </w:pPr>
            <w:r>
              <w:rPr>
                <w:rFonts w:cs="Times New Roman"/>
                <w:szCs w:val="21"/>
              </w:rPr>
              <w:t>有组织</w:t>
            </w:r>
          </w:p>
        </w:tc>
        <w:tc>
          <w:tcPr>
            <w:tcW w:w="3027" w:type="dxa"/>
            <w:vMerge w:val="continue"/>
            <w:tcBorders>
              <w:tl2br w:val="nil"/>
              <w:tr2bl w:val="nil"/>
            </w:tcBorders>
            <w:vAlign w:val="center"/>
          </w:tcPr>
          <w:p>
            <w:pPr>
              <w:jc w:val="center"/>
              <w:rPr>
                <w:rFonts w:cs="Times New Roman"/>
                <w:szCs w:val="21"/>
              </w:rPr>
            </w:pPr>
          </w:p>
        </w:tc>
        <w:tc>
          <w:tcPr>
            <w:tcW w:w="1115" w:type="dxa"/>
            <w:tcBorders>
              <w:tl2br w:val="nil"/>
              <w:tr2bl w:val="nil"/>
            </w:tcBorders>
            <w:vAlign w:val="center"/>
          </w:tcPr>
          <w:p>
            <w:pPr>
              <w:jc w:val="center"/>
              <w:rPr>
                <w:rFonts w:cs="Times New Roman"/>
                <w:szCs w:val="21"/>
              </w:rPr>
            </w:pPr>
            <w:r>
              <w:rPr>
                <w:rFonts w:cs="Times New Roman"/>
                <w:szCs w:val="21"/>
              </w:rPr>
              <w:t>98</w:t>
            </w:r>
          </w:p>
        </w:tc>
        <w:tc>
          <w:tcPr>
            <w:tcW w:w="954" w:type="dxa"/>
            <w:tcBorders>
              <w:tl2br w:val="nil"/>
              <w:tr2bl w:val="nil"/>
            </w:tcBorders>
            <w:vAlign w:val="center"/>
          </w:tcPr>
          <w:p>
            <w:pPr>
              <w:jc w:val="center"/>
              <w:rPr>
                <w:rFonts w:cs="Times New Roman"/>
                <w:szCs w:val="21"/>
              </w:rPr>
            </w:pPr>
            <w:r>
              <w:rPr>
                <w:rFonts w:cs="Times New Roman"/>
                <w:szCs w:val="21"/>
              </w:rPr>
              <w:t>20</w:t>
            </w:r>
          </w:p>
        </w:tc>
        <w:tc>
          <w:tcPr>
            <w:tcW w:w="1308" w:type="dxa"/>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continue"/>
            <w:tcBorders>
              <w:tl2br w:val="nil"/>
              <w:tr2bl w:val="nil"/>
            </w:tcBorders>
            <w:vAlign w:val="center"/>
          </w:tcPr>
          <w:p>
            <w:pPr>
              <w:jc w:val="center"/>
              <w:rPr>
                <w:rFonts w:cs="Times New Roman"/>
                <w:szCs w:val="21"/>
              </w:rPr>
            </w:pPr>
          </w:p>
        </w:tc>
        <w:tc>
          <w:tcPr>
            <w:tcW w:w="1032" w:type="dxa"/>
            <w:tcBorders>
              <w:tl2br w:val="nil"/>
              <w:tr2bl w:val="nil"/>
            </w:tcBorders>
            <w:vAlign w:val="center"/>
          </w:tcPr>
          <w:p>
            <w:pPr>
              <w:jc w:val="center"/>
              <w:rPr>
                <w:rFonts w:cs="Times New Roman"/>
                <w:szCs w:val="21"/>
              </w:rPr>
            </w:pPr>
            <w:r>
              <w:rPr>
                <w:rFonts w:cs="Times New Roman"/>
                <w:szCs w:val="21"/>
              </w:rPr>
              <w:t>VOCs</w:t>
            </w:r>
          </w:p>
        </w:tc>
        <w:tc>
          <w:tcPr>
            <w:tcW w:w="1115" w:type="dxa"/>
            <w:tcBorders>
              <w:tl2br w:val="nil"/>
              <w:tr2bl w:val="nil"/>
            </w:tcBorders>
            <w:vAlign w:val="center"/>
          </w:tcPr>
          <w:p>
            <w:pPr>
              <w:jc w:val="center"/>
              <w:rPr>
                <w:rFonts w:cs="Times New Roman"/>
                <w:szCs w:val="21"/>
              </w:rPr>
            </w:pPr>
            <w:r>
              <w:rPr>
                <w:rFonts w:cs="Times New Roman"/>
                <w:szCs w:val="21"/>
              </w:rPr>
              <w:t>有组织</w:t>
            </w:r>
          </w:p>
        </w:tc>
        <w:tc>
          <w:tcPr>
            <w:tcW w:w="3027" w:type="dxa"/>
            <w:vMerge w:val="continue"/>
            <w:tcBorders>
              <w:tl2br w:val="nil"/>
              <w:tr2bl w:val="nil"/>
            </w:tcBorders>
            <w:vAlign w:val="center"/>
          </w:tcPr>
          <w:p>
            <w:pPr>
              <w:jc w:val="center"/>
              <w:rPr>
                <w:rFonts w:cs="Times New Roman"/>
                <w:szCs w:val="21"/>
              </w:rPr>
            </w:pPr>
          </w:p>
        </w:tc>
        <w:tc>
          <w:tcPr>
            <w:tcW w:w="1115" w:type="dxa"/>
            <w:tcBorders>
              <w:tl2br w:val="nil"/>
              <w:tr2bl w:val="nil"/>
            </w:tcBorders>
            <w:vAlign w:val="center"/>
          </w:tcPr>
          <w:p>
            <w:pPr>
              <w:jc w:val="center"/>
              <w:rPr>
                <w:rFonts w:cs="Times New Roman"/>
                <w:szCs w:val="21"/>
              </w:rPr>
            </w:pPr>
            <w:r>
              <w:rPr>
                <w:rFonts w:cs="Times New Roman"/>
                <w:szCs w:val="21"/>
              </w:rPr>
              <w:t>98</w:t>
            </w:r>
          </w:p>
        </w:tc>
        <w:tc>
          <w:tcPr>
            <w:tcW w:w="954" w:type="dxa"/>
            <w:tcBorders>
              <w:tl2br w:val="nil"/>
              <w:tr2bl w:val="nil"/>
            </w:tcBorders>
            <w:vAlign w:val="center"/>
          </w:tcPr>
          <w:p>
            <w:pPr>
              <w:jc w:val="center"/>
              <w:rPr>
                <w:rFonts w:cs="Times New Roman"/>
                <w:szCs w:val="21"/>
              </w:rPr>
            </w:pPr>
            <w:r>
              <w:rPr>
                <w:rFonts w:cs="Times New Roman"/>
                <w:szCs w:val="21"/>
              </w:rPr>
              <w:t>84</w:t>
            </w:r>
          </w:p>
        </w:tc>
        <w:tc>
          <w:tcPr>
            <w:tcW w:w="1308" w:type="dxa"/>
            <w:tcBorders>
              <w:tl2br w:val="nil"/>
              <w:tr2bl w:val="nil"/>
            </w:tcBorders>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restart"/>
            <w:vAlign w:val="center"/>
          </w:tcPr>
          <w:p>
            <w:pPr>
              <w:jc w:val="center"/>
              <w:rPr>
                <w:rFonts w:cs="Times New Roman"/>
                <w:szCs w:val="21"/>
              </w:rPr>
            </w:pPr>
            <w:r>
              <w:rPr>
                <w:rFonts w:cs="Times New Roman"/>
                <w:szCs w:val="21"/>
              </w:rPr>
              <w:t>天然气燃烧废气</w:t>
            </w:r>
          </w:p>
        </w:tc>
        <w:tc>
          <w:tcPr>
            <w:tcW w:w="1032" w:type="dxa"/>
            <w:vAlign w:val="center"/>
          </w:tcPr>
          <w:p>
            <w:pPr>
              <w:jc w:val="center"/>
              <w:rPr>
                <w:rFonts w:cs="Times New Roman"/>
                <w:szCs w:val="21"/>
              </w:rPr>
            </w:pPr>
            <w:r>
              <w:rPr>
                <w:rFonts w:cs="Times New Roman"/>
                <w:szCs w:val="21"/>
              </w:rPr>
              <w:t>SO</w:t>
            </w:r>
            <w:r>
              <w:rPr>
                <w:rFonts w:cs="Times New Roman"/>
                <w:szCs w:val="21"/>
                <w:vertAlign w:val="subscript"/>
              </w:rPr>
              <w:t>2</w:t>
            </w:r>
          </w:p>
        </w:tc>
        <w:tc>
          <w:tcPr>
            <w:tcW w:w="1115" w:type="dxa"/>
            <w:vAlign w:val="center"/>
          </w:tcPr>
          <w:p>
            <w:pPr>
              <w:jc w:val="center"/>
              <w:rPr>
                <w:rFonts w:cs="Times New Roman"/>
                <w:szCs w:val="21"/>
              </w:rPr>
            </w:pPr>
            <w:r>
              <w:rPr>
                <w:rFonts w:cs="Times New Roman"/>
                <w:szCs w:val="21"/>
              </w:rPr>
              <w:t>有组织</w:t>
            </w:r>
          </w:p>
        </w:tc>
        <w:tc>
          <w:tcPr>
            <w:tcW w:w="3027" w:type="dxa"/>
            <w:vMerge w:val="restart"/>
            <w:vAlign w:val="center"/>
          </w:tcPr>
          <w:p>
            <w:pPr>
              <w:jc w:val="center"/>
              <w:rPr>
                <w:rFonts w:cs="Times New Roman"/>
                <w:szCs w:val="21"/>
              </w:rPr>
            </w:pPr>
            <w:r>
              <w:rPr>
                <w:rFonts w:cs="Times New Roman"/>
                <w:szCs w:val="21"/>
              </w:rPr>
              <w:t>安装低氮燃烧器，废气通过18m高排气筒（DA005）排放</w:t>
            </w: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w:t>
            </w:r>
          </w:p>
        </w:tc>
        <w:tc>
          <w:tcPr>
            <w:tcW w:w="1304" w:type="dxa"/>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continue"/>
            <w:vAlign w:val="center"/>
          </w:tcPr>
          <w:p>
            <w:pPr>
              <w:jc w:val="center"/>
              <w:rPr>
                <w:rFonts w:cs="Times New Roman"/>
                <w:szCs w:val="21"/>
              </w:rPr>
            </w:pPr>
          </w:p>
        </w:tc>
        <w:tc>
          <w:tcPr>
            <w:tcW w:w="1032" w:type="dxa"/>
            <w:vAlign w:val="center"/>
          </w:tcPr>
          <w:p>
            <w:pPr>
              <w:jc w:val="center"/>
              <w:rPr>
                <w:rFonts w:cs="Times New Roman"/>
                <w:szCs w:val="21"/>
              </w:rPr>
            </w:pPr>
            <w:r>
              <w:rPr>
                <w:rFonts w:cs="Times New Roman"/>
                <w:szCs w:val="21"/>
              </w:rPr>
              <w:t>NOx</w:t>
            </w:r>
          </w:p>
        </w:tc>
        <w:tc>
          <w:tcPr>
            <w:tcW w:w="1115" w:type="dxa"/>
            <w:vAlign w:val="center"/>
          </w:tcPr>
          <w:p>
            <w:pPr>
              <w:jc w:val="center"/>
              <w:rPr>
                <w:rFonts w:cs="Times New Roman"/>
                <w:szCs w:val="21"/>
              </w:rPr>
            </w:pPr>
            <w:r>
              <w:rPr>
                <w:rFonts w:cs="Times New Roman"/>
                <w:szCs w:val="21"/>
              </w:rPr>
              <w:t>有组织</w:t>
            </w:r>
          </w:p>
        </w:tc>
        <w:tc>
          <w:tcPr>
            <w:tcW w:w="3027" w:type="dxa"/>
            <w:vMerge w:val="continue"/>
            <w:vAlign w:val="center"/>
          </w:tcPr>
          <w:p>
            <w:pPr>
              <w:jc w:val="center"/>
              <w:rPr>
                <w:rFonts w:cs="Times New Roman"/>
                <w:szCs w:val="21"/>
              </w:rPr>
            </w:pP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w:t>
            </w:r>
          </w:p>
        </w:tc>
        <w:tc>
          <w:tcPr>
            <w:tcW w:w="1304" w:type="dxa"/>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Merge w:val="continue"/>
            <w:vAlign w:val="center"/>
          </w:tcPr>
          <w:p>
            <w:pPr>
              <w:jc w:val="center"/>
              <w:rPr>
                <w:rFonts w:cs="Times New Roman"/>
                <w:szCs w:val="21"/>
              </w:rPr>
            </w:pPr>
          </w:p>
        </w:tc>
        <w:tc>
          <w:tcPr>
            <w:tcW w:w="1032"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1115"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有组织</w:t>
            </w:r>
          </w:p>
        </w:tc>
        <w:tc>
          <w:tcPr>
            <w:tcW w:w="3027" w:type="dxa"/>
            <w:vMerge w:val="continue"/>
            <w:vAlign w:val="center"/>
          </w:tcPr>
          <w:p>
            <w:pPr>
              <w:jc w:val="center"/>
              <w:rPr>
                <w:rFonts w:cs="Times New Roman"/>
                <w:szCs w:val="21"/>
              </w:rPr>
            </w:pP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w:t>
            </w:r>
          </w:p>
        </w:tc>
        <w:tc>
          <w:tcPr>
            <w:tcW w:w="1304" w:type="dxa"/>
            <w:vAlign w:val="center"/>
          </w:tcPr>
          <w:p>
            <w:pPr>
              <w:jc w:val="center"/>
              <w:rPr>
                <w:rFonts w:cs="Times New Roman"/>
                <w:szCs w:val="21"/>
              </w:rPr>
            </w:pPr>
            <w:r>
              <w:rPr>
                <w:rFonts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913" w:type="dxa"/>
            <w:vAlign w:val="center"/>
          </w:tcPr>
          <w:p>
            <w:pPr>
              <w:jc w:val="center"/>
              <w:rPr>
                <w:rFonts w:cs="Times New Roman"/>
                <w:szCs w:val="21"/>
              </w:rPr>
            </w:pPr>
            <w:r>
              <w:rPr>
                <w:rFonts w:cs="Times New Roman"/>
                <w:szCs w:val="21"/>
              </w:rPr>
              <w:t>食堂油烟</w:t>
            </w:r>
          </w:p>
        </w:tc>
        <w:tc>
          <w:tcPr>
            <w:tcW w:w="1032" w:type="dxa"/>
            <w:vAlign w:val="center"/>
          </w:tcPr>
          <w:p>
            <w:pPr>
              <w:jc w:val="center"/>
              <w:rPr>
                <w:rFonts w:cs="Times New Roman"/>
                <w:szCs w:val="21"/>
              </w:rPr>
            </w:pPr>
            <w:r>
              <w:rPr>
                <w:rFonts w:cs="Times New Roman"/>
                <w:szCs w:val="21"/>
              </w:rPr>
              <w:t>油烟</w:t>
            </w:r>
          </w:p>
        </w:tc>
        <w:tc>
          <w:tcPr>
            <w:tcW w:w="1115" w:type="dxa"/>
            <w:vAlign w:val="center"/>
          </w:tcPr>
          <w:p>
            <w:pPr>
              <w:jc w:val="center"/>
              <w:rPr>
                <w:rFonts w:cs="Times New Roman"/>
                <w:szCs w:val="21"/>
              </w:rPr>
            </w:pPr>
            <w:r>
              <w:rPr>
                <w:rFonts w:cs="Times New Roman"/>
                <w:szCs w:val="21"/>
              </w:rPr>
              <w:t>无组织</w:t>
            </w:r>
          </w:p>
        </w:tc>
        <w:tc>
          <w:tcPr>
            <w:tcW w:w="3027" w:type="dxa"/>
            <w:vAlign w:val="center"/>
          </w:tcPr>
          <w:p>
            <w:pPr>
              <w:jc w:val="center"/>
              <w:rPr>
                <w:rFonts w:cs="Times New Roman"/>
                <w:szCs w:val="21"/>
                <w:lang w:bidi="ar"/>
              </w:rPr>
            </w:pPr>
            <w:r>
              <w:rPr>
                <w:rFonts w:cs="Times New Roman"/>
                <w:szCs w:val="21"/>
                <w:lang w:bidi="ar"/>
              </w:rPr>
              <w:t>经油烟净化器处理后外排</w:t>
            </w:r>
          </w:p>
        </w:tc>
        <w:tc>
          <w:tcPr>
            <w:tcW w:w="1115" w:type="dxa"/>
            <w:vAlign w:val="center"/>
          </w:tcPr>
          <w:p>
            <w:pPr>
              <w:jc w:val="center"/>
              <w:rPr>
                <w:rFonts w:cs="Times New Roman"/>
                <w:szCs w:val="21"/>
              </w:rPr>
            </w:pPr>
            <w:r>
              <w:rPr>
                <w:rFonts w:cs="Times New Roman"/>
                <w:szCs w:val="21"/>
              </w:rPr>
              <w:t>/</w:t>
            </w:r>
          </w:p>
        </w:tc>
        <w:tc>
          <w:tcPr>
            <w:tcW w:w="956" w:type="dxa"/>
            <w:vAlign w:val="center"/>
          </w:tcPr>
          <w:p>
            <w:pPr>
              <w:jc w:val="center"/>
              <w:rPr>
                <w:rFonts w:cs="Times New Roman"/>
                <w:szCs w:val="21"/>
              </w:rPr>
            </w:pPr>
            <w:r>
              <w:rPr>
                <w:rFonts w:cs="Times New Roman"/>
                <w:szCs w:val="21"/>
              </w:rPr>
              <w:t>60</w:t>
            </w:r>
          </w:p>
        </w:tc>
        <w:tc>
          <w:tcPr>
            <w:tcW w:w="1304" w:type="dxa"/>
            <w:vAlign w:val="center"/>
          </w:tcPr>
          <w:p>
            <w:pPr>
              <w:jc w:val="center"/>
              <w:rPr>
                <w:rFonts w:cs="Times New Roman"/>
                <w:szCs w:val="21"/>
              </w:rPr>
            </w:pPr>
            <w:r>
              <w:rPr>
                <w:rFonts w:cs="Times New Roman"/>
                <w:szCs w:val="21"/>
              </w:rPr>
              <w:t>是</w:t>
            </w:r>
          </w:p>
        </w:tc>
      </w:tr>
    </w:tbl>
    <w:p>
      <w:pPr>
        <w:spacing w:line="360" w:lineRule="auto"/>
        <w:ind w:firstLine="360" w:firstLineChars="150"/>
        <w:rPr>
          <w:rFonts w:cs="Times New Roman"/>
          <w:bCs/>
          <w:sz w:val="24"/>
          <w:szCs w:val="24"/>
        </w:rPr>
      </w:pPr>
      <w:r>
        <w:rPr>
          <w:rFonts w:cs="Times New Roman"/>
          <w:bCs/>
          <w:sz w:val="24"/>
          <w:szCs w:val="24"/>
        </w:rPr>
        <w:t>排放口基本信息见下表。</w:t>
      </w:r>
    </w:p>
    <w:p>
      <w:pPr>
        <w:spacing w:line="360" w:lineRule="auto"/>
        <w:jc w:val="center"/>
        <w:rPr>
          <w:rFonts w:cs="Times New Roman"/>
          <w:b/>
          <w:sz w:val="24"/>
          <w:szCs w:val="24"/>
        </w:rPr>
      </w:pPr>
      <w:r>
        <w:rPr>
          <w:rFonts w:cs="Times New Roman"/>
          <w:b/>
          <w:sz w:val="24"/>
          <w:szCs w:val="24"/>
        </w:rPr>
        <w:t>表2.2-9  废气排放口基本信息表</w:t>
      </w:r>
    </w:p>
    <w:tbl>
      <w:tblPr>
        <w:tblStyle w:val="27"/>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48"/>
        <w:gridCol w:w="1197"/>
        <w:gridCol w:w="1222"/>
        <w:gridCol w:w="1431"/>
        <w:gridCol w:w="1433"/>
        <w:gridCol w:w="829"/>
        <w:gridCol w:w="829"/>
        <w:gridCol w:w="831"/>
        <w:gridCol w:w="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500" w:type="pct"/>
            <w:vMerge w:val="restart"/>
            <w:tcBorders>
              <w:tl2br w:val="nil"/>
              <w:tr2bl w:val="nil"/>
            </w:tcBorders>
            <w:vAlign w:val="center"/>
          </w:tcPr>
          <w:p>
            <w:pPr>
              <w:jc w:val="center"/>
              <w:rPr>
                <w:rFonts w:cs="Times New Roman"/>
                <w:b/>
                <w:bCs/>
                <w:szCs w:val="21"/>
              </w:rPr>
            </w:pPr>
            <w:r>
              <w:rPr>
                <w:rFonts w:cs="Times New Roman"/>
                <w:b/>
                <w:bCs/>
                <w:szCs w:val="21"/>
              </w:rPr>
              <w:t>排放口编号</w:t>
            </w:r>
          </w:p>
        </w:tc>
        <w:tc>
          <w:tcPr>
            <w:tcW w:w="631" w:type="pct"/>
            <w:vMerge w:val="restart"/>
            <w:tcBorders>
              <w:tl2br w:val="nil"/>
              <w:tr2bl w:val="nil"/>
            </w:tcBorders>
            <w:vAlign w:val="center"/>
          </w:tcPr>
          <w:p>
            <w:pPr>
              <w:jc w:val="center"/>
              <w:rPr>
                <w:rFonts w:cs="Times New Roman"/>
                <w:b/>
                <w:bCs/>
                <w:szCs w:val="21"/>
              </w:rPr>
            </w:pPr>
            <w:r>
              <w:rPr>
                <w:rFonts w:cs="Times New Roman"/>
                <w:b/>
                <w:bCs/>
                <w:szCs w:val="21"/>
              </w:rPr>
              <w:t>排放口名称</w:t>
            </w:r>
          </w:p>
        </w:tc>
        <w:tc>
          <w:tcPr>
            <w:tcW w:w="644" w:type="pct"/>
            <w:vMerge w:val="restart"/>
            <w:tcBorders>
              <w:tl2br w:val="nil"/>
              <w:tr2bl w:val="nil"/>
            </w:tcBorders>
            <w:vAlign w:val="center"/>
          </w:tcPr>
          <w:p>
            <w:pPr>
              <w:jc w:val="center"/>
              <w:rPr>
                <w:rFonts w:cs="Times New Roman"/>
                <w:b/>
                <w:bCs/>
                <w:szCs w:val="21"/>
              </w:rPr>
            </w:pPr>
            <w:r>
              <w:rPr>
                <w:rFonts w:cs="Times New Roman"/>
                <w:b/>
                <w:bCs/>
                <w:szCs w:val="21"/>
              </w:rPr>
              <w:t>污染物种类</w:t>
            </w:r>
          </w:p>
        </w:tc>
        <w:tc>
          <w:tcPr>
            <w:tcW w:w="1511" w:type="pct"/>
            <w:gridSpan w:val="2"/>
            <w:tcBorders>
              <w:tl2br w:val="nil"/>
              <w:tr2bl w:val="nil"/>
            </w:tcBorders>
            <w:vAlign w:val="center"/>
          </w:tcPr>
          <w:p>
            <w:pPr>
              <w:jc w:val="center"/>
              <w:rPr>
                <w:rFonts w:cs="Times New Roman"/>
                <w:b/>
                <w:bCs/>
                <w:szCs w:val="21"/>
              </w:rPr>
            </w:pPr>
            <w:r>
              <w:rPr>
                <w:rFonts w:cs="Times New Roman"/>
                <w:b/>
                <w:bCs/>
                <w:szCs w:val="21"/>
              </w:rPr>
              <w:t>排放口地理坐标</w:t>
            </w:r>
          </w:p>
        </w:tc>
        <w:tc>
          <w:tcPr>
            <w:tcW w:w="438" w:type="pct"/>
            <w:vMerge w:val="restart"/>
            <w:tcBorders>
              <w:tl2br w:val="nil"/>
              <w:tr2bl w:val="nil"/>
            </w:tcBorders>
            <w:vAlign w:val="center"/>
          </w:tcPr>
          <w:p>
            <w:pPr>
              <w:jc w:val="center"/>
              <w:rPr>
                <w:rFonts w:cs="Times New Roman"/>
                <w:b/>
                <w:bCs/>
                <w:szCs w:val="21"/>
              </w:rPr>
            </w:pPr>
            <w:r>
              <w:rPr>
                <w:rFonts w:cs="Times New Roman"/>
                <w:b/>
                <w:bCs/>
                <w:szCs w:val="21"/>
              </w:rPr>
              <w:t>排气筒高度(m)</w:t>
            </w:r>
          </w:p>
        </w:tc>
        <w:tc>
          <w:tcPr>
            <w:tcW w:w="438" w:type="pct"/>
            <w:vMerge w:val="restart"/>
            <w:tcBorders>
              <w:tl2br w:val="nil"/>
              <w:tr2bl w:val="nil"/>
            </w:tcBorders>
            <w:vAlign w:val="center"/>
          </w:tcPr>
          <w:p>
            <w:pPr>
              <w:jc w:val="center"/>
              <w:rPr>
                <w:rFonts w:cs="Times New Roman"/>
                <w:b/>
                <w:bCs/>
                <w:szCs w:val="21"/>
              </w:rPr>
            </w:pPr>
            <w:r>
              <w:rPr>
                <w:rFonts w:cs="Times New Roman"/>
                <w:b/>
                <w:bCs/>
                <w:szCs w:val="21"/>
              </w:rPr>
              <w:t>排气筒内径(m)</w:t>
            </w:r>
          </w:p>
        </w:tc>
        <w:tc>
          <w:tcPr>
            <w:tcW w:w="439" w:type="pct"/>
            <w:vMerge w:val="restart"/>
            <w:tcBorders>
              <w:tl2br w:val="nil"/>
              <w:tr2bl w:val="nil"/>
            </w:tcBorders>
            <w:vAlign w:val="center"/>
          </w:tcPr>
          <w:p>
            <w:pPr>
              <w:jc w:val="center"/>
              <w:rPr>
                <w:rFonts w:cs="Times New Roman"/>
                <w:b/>
                <w:bCs/>
                <w:szCs w:val="21"/>
              </w:rPr>
            </w:pPr>
            <w:r>
              <w:rPr>
                <w:rFonts w:cs="Times New Roman"/>
                <w:b/>
                <w:bCs/>
                <w:szCs w:val="21"/>
              </w:rPr>
              <w:t>排放温度(℃)</w:t>
            </w:r>
          </w:p>
        </w:tc>
        <w:tc>
          <w:tcPr>
            <w:tcW w:w="395" w:type="pct"/>
            <w:vMerge w:val="restart"/>
            <w:tcBorders>
              <w:tl2br w:val="nil"/>
              <w:tr2bl w:val="nil"/>
            </w:tcBorders>
            <w:vAlign w:val="center"/>
          </w:tcPr>
          <w:p>
            <w:pPr>
              <w:jc w:val="center"/>
              <w:rPr>
                <w:rFonts w:cs="Times New Roman"/>
                <w:b/>
                <w:bCs/>
                <w:szCs w:val="21"/>
              </w:rPr>
            </w:pPr>
            <w:r>
              <w:rPr>
                <w:rFonts w:cs="Times New Roman"/>
                <w:b/>
                <w:bCs/>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70" w:hRule="atLeast"/>
        </w:trPr>
        <w:tc>
          <w:tcPr>
            <w:tcW w:w="500" w:type="pct"/>
            <w:vMerge w:val="continue"/>
            <w:tcBorders>
              <w:tl2br w:val="nil"/>
              <w:tr2bl w:val="nil"/>
            </w:tcBorders>
            <w:vAlign w:val="center"/>
          </w:tcPr>
          <w:p>
            <w:pPr>
              <w:jc w:val="center"/>
              <w:rPr>
                <w:rFonts w:cs="Times New Roman"/>
                <w:szCs w:val="21"/>
              </w:rPr>
            </w:pPr>
          </w:p>
        </w:tc>
        <w:tc>
          <w:tcPr>
            <w:tcW w:w="631" w:type="pct"/>
            <w:vMerge w:val="continue"/>
            <w:tcBorders>
              <w:tl2br w:val="nil"/>
              <w:tr2bl w:val="nil"/>
            </w:tcBorders>
            <w:vAlign w:val="center"/>
          </w:tcPr>
          <w:p>
            <w:pPr>
              <w:jc w:val="center"/>
              <w:rPr>
                <w:rFonts w:cs="Times New Roman"/>
                <w:szCs w:val="21"/>
              </w:rPr>
            </w:pPr>
          </w:p>
        </w:tc>
        <w:tc>
          <w:tcPr>
            <w:tcW w:w="644" w:type="pct"/>
            <w:vMerge w:val="continue"/>
            <w:tcBorders>
              <w:tl2br w:val="nil"/>
              <w:tr2bl w:val="nil"/>
            </w:tcBorders>
            <w:vAlign w:val="center"/>
          </w:tcPr>
          <w:p>
            <w:pPr>
              <w:jc w:val="center"/>
              <w:rPr>
                <w:rFonts w:cs="Times New Roman"/>
                <w:szCs w:val="21"/>
              </w:rPr>
            </w:pPr>
          </w:p>
        </w:tc>
        <w:tc>
          <w:tcPr>
            <w:tcW w:w="755" w:type="pct"/>
            <w:tcBorders>
              <w:tl2br w:val="nil"/>
              <w:tr2bl w:val="nil"/>
            </w:tcBorders>
            <w:vAlign w:val="center"/>
          </w:tcPr>
          <w:p>
            <w:pPr>
              <w:jc w:val="center"/>
              <w:rPr>
                <w:rFonts w:cs="Times New Roman"/>
                <w:b/>
                <w:bCs/>
                <w:szCs w:val="21"/>
              </w:rPr>
            </w:pPr>
            <w:r>
              <w:rPr>
                <w:rFonts w:cs="Times New Roman"/>
                <w:b/>
                <w:bCs/>
                <w:szCs w:val="21"/>
              </w:rPr>
              <w:t>经度</w:t>
            </w:r>
          </w:p>
        </w:tc>
        <w:tc>
          <w:tcPr>
            <w:tcW w:w="755" w:type="pct"/>
            <w:tcBorders>
              <w:tl2br w:val="nil"/>
              <w:tr2bl w:val="nil"/>
            </w:tcBorders>
            <w:vAlign w:val="center"/>
          </w:tcPr>
          <w:p>
            <w:pPr>
              <w:jc w:val="center"/>
              <w:rPr>
                <w:rFonts w:cs="Times New Roman"/>
                <w:b/>
                <w:bCs/>
                <w:szCs w:val="21"/>
              </w:rPr>
            </w:pPr>
            <w:r>
              <w:rPr>
                <w:rFonts w:cs="Times New Roman"/>
                <w:b/>
                <w:bCs/>
                <w:szCs w:val="21"/>
              </w:rPr>
              <w:t>纬度</w:t>
            </w:r>
          </w:p>
        </w:tc>
        <w:tc>
          <w:tcPr>
            <w:tcW w:w="438" w:type="pct"/>
            <w:vMerge w:val="continue"/>
            <w:tcBorders>
              <w:tl2br w:val="nil"/>
              <w:tr2bl w:val="nil"/>
            </w:tcBorders>
            <w:vAlign w:val="center"/>
          </w:tcPr>
          <w:p>
            <w:pPr>
              <w:jc w:val="center"/>
              <w:rPr>
                <w:rFonts w:cs="Times New Roman"/>
                <w:szCs w:val="21"/>
              </w:rPr>
            </w:pPr>
          </w:p>
        </w:tc>
        <w:tc>
          <w:tcPr>
            <w:tcW w:w="438" w:type="pct"/>
            <w:vMerge w:val="continue"/>
            <w:tcBorders>
              <w:tl2br w:val="nil"/>
              <w:tr2bl w:val="nil"/>
            </w:tcBorders>
            <w:vAlign w:val="center"/>
          </w:tcPr>
          <w:p>
            <w:pPr>
              <w:jc w:val="center"/>
              <w:rPr>
                <w:rFonts w:cs="Times New Roman"/>
                <w:szCs w:val="21"/>
              </w:rPr>
            </w:pPr>
          </w:p>
        </w:tc>
        <w:tc>
          <w:tcPr>
            <w:tcW w:w="439" w:type="pct"/>
            <w:vMerge w:val="continue"/>
            <w:tcBorders>
              <w:tl2br w:val="nil"/>
              <w:tr2bl w:val="nil"/>
            </w:tcBorders>
            <w:vAlign w:val="center"/>
          </w:tcPr>
          <w:p>
            <w:pPr>
              <w:jc w:val="center"/>
              <w:rPr>
                <w:rFonts w:cs="Times New Roman"/>
                <w:szCs w:val="21"/>
              </w:rPr>
            </w:pPr>
          </w:p>
        </w:tc>
        <w:tc>
          <w:tcPr>
            <w:tcW w:w="395"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500" w:type="pct"/>
            <w:tcBorders>
              <w:tl2br w:val="nil"/>
              <w:tr2bl w:val="nil"/>
            </w:tcBorders>
            <w:vAlign w:val="center"/>
          </w:tcPr>
          <w:p>
            <w:pPr>
              <w:jc w:val="center"/>
              <w:rPr>
                <w:rFonts w:cs="Times New Roman"/>
                <w:szCs w:val="21"/>
              </w:rPr>
            </w:pPr>
            <w:r>
              <w:rPr>
                <w:rFonts w:cs="Times New Roman"/>
                <w:szCs w:val="21"/>
              </w:rPr>
              <w:t>DA005</w:t>
            </w:r>
          </w:p>
        </w:tc>
        <w:tc>
          <w:tcPr>
            <w:tcW w:w="631" w:type="pct"/>
            <w:tcBorders>
              <w:tl2br w:val="nil"/>
              <w:tr2bl w:val="nil"/>
            </w:tcBorders>
            <w:vAlign w:val="center"/>
          </w:tcPr>
          <w:p>
            <w:pPr>
              <w:jc w:val="center"/>
              <w:rPr>
                <w:rFonts w:cs="Times New Roman"/>
                <w:szCs w:val="21"/>
              </w:rPr>
            </w:pPr>
            <w:r>
              <w:rPr>
                <w:rFonts w:cs="Times New Roman"/>
                <w:szCs w:val="21"/>
              </w:rPr>
              <w:t>浸胶、烘干排气筒</w:t>
            </w:r>
          </w:p>
        </w:tc>
        <w:tc>
          <w:tcPr>
            <w:tcW w:w="644" w:type="pct"/>
            <w:vMerge w:val="restart"/>
            <w:tcBorders>
              <w:tl2br w:val="nil"/>
              <w:tr2bl w:val="nil"/>
            </w:tcBorders>
            <w:vAlign w:val="center"/>
          </w:tcPr>
          <w:p>
            <w:pPr>
              <w:jc w:val="center"/>
              <w:rPr>
                <w:rFonts w:cs="Times New Roman"/>
                <w:szCs w:val="21"/>
              </w:rPr>
            </w:pPr>
            <w:r>
              <w:rPr>
                <w:rFonts w:cs="Times New Roman"/>
                <w:szCs w:val="21"/>
              </w:rPr>
              <w:t>甲醛、VOCs、氨、SO</w:t>
            </w:r>
            <w:r>
              <w:rPr>
                <w:rFonts w:cs="Times New Roman"/>
                <w:szCs w:val="21"/>
                <w:vertAlign w:val="subscript"/>
              </w:rPr>
              <w:t>2</w:t>
            </w:r>
            <w:r>
              <w:rPr>
                <w:rFonts w:cs="Times New Roman"/>
                <w:szCs w:val="21"/>
              </w:rPr>
              <w:t>、NOx</w:t>
            </w:r>
          </w:p>
        </w:tc>
        <w:tc>
          <w:tcPr>
            <w:tcW w:w="755" w:type="pct"/>
            <w:tcBorders>
              <w:tl2br w:val="nil"/>
              <w:tr2bl w:val="nil"/>
            </w:tcBorders>
            <w:vAlign w:val="center"/>
          </w:tcPr>
          <w:p>
            <w:pPr>
              <w:jc w:val="center"/>
              <w:rPr>
                <w:rFonts w:cs="Times New Roman"/>
                <w:bCs/>
                <w:szCs w:val="21"/>
              </w:rPr>
            </w:pPr>
            <w:r>
              <w:rPr>
                <w:rFonts w:cs="Times New Roman"/>
                <w:bCs/>
                <w:szCs w:val="21"/>
              </w:rPr>
              <w:t>107.690447</w:t>
            </w:r>
          </w:p>
        </w:tc>
        <w:tc>
          <w:tcPr>
            <w:tcW w:w="755" w:type="pct"/>
            <w:tcBorders>
              <w:tl2br w:val="nil"/>
              <w:tr2bl w:val="nil"/>
            </w:tcBorders>
            <w:vAlign w:val="center"/>
          </w:tcPr>
          <w:p>
            <w:pPr>
              <w:jc w:val="center"/>
              <w:rPr>
                <w:rFonts w:cs="Times New Roman"/>
                <w:bCs/>
                <w:szCs w:val="21"/>
              </w:rPr>
            </w:pPr>
            <w:r>
              <w:rPr>
                <w:rFonts w:cs="Times New Roman"/>
                <w:bCs/>
                <w:szCs w:val="21"/>
              </w:rPr>
              <w:t>31.430632</w:t>
            </w:r>
          </w:p>
        </w:tc>
        <w:tc>
          <w:tcPr>
            <w:tcW w:w="438" w:type="pct"/>
            <w:tcBorders>
              <w:tl2br w:val="nil"/>
              <w:tr2bl w:val="nil"/>
            </w:tcBorders>
            <w:vAlign w:val="center"/>
          </w:tcPr>
          <w:p>
            <w:pPr>
              <w:jc w:val="center"/>
              <w:rPr>
                <w:rFonts w:cs="Times New Roman"/>
                <w:szCs w:val="21"/>
              </w:rPr>
            </w:pPr>
            <w:r>
              <w:rPr>
                <w:rFonts w:cs="Times New Roman"/>
                <w:szCs w:val="21"/>
              </w:rPr>
              <w:t>18</w:t>
            </w:r>
          </w:p>
        </w:tc>
        <w:tc>
          <w:tcPr>
            <w:tcW w:w="438" w:type="pct"/>
            <w:tcBorders>
              <w:tl2br w:val="nil"/>
              <w:tr2bl w:val="nil"/>
            </w:tcBorders>
            <w:vAlign w:val="center"/>
          </w:tcPr>
          <w:p>
            <w:pPr>
              <w:jc w:val="center"/>
              <w:rPr>
                <w:rFonts w:cs="Times New Roman"/>
                <w:szCs w:val="21"/>
              </w:rPr>
            </w:pPr>
            <w:r>
              <w:rPr>
                <w:rFonts w:cs="Times New Roman"/>
                <w:szCs w:val="21"/>
              </w:rPr>
              <w:t>0.5</w:t>
            </w:r>
          </w:p>
        </w:tc>
        <w:tc>
          <w:tcPr>
            <w:tcW w:w="439" w:type="pct"/>
            <w:tcBorders>
              <w:tl2br w:val="nil"/>
              <w:tr2bl w:val="nil"/>
            </w:tcBorders>
            <w:vAlign w:val="center"/>
          </w:tcPr>
          <w:p>
            <w:pPr>
              <w:jc w:val="center"/>
              <w:rPr>
                <w:rFonts w:cs="Times New Roman"/>
                <w:szCs w:val="21"/>
              </w:rPr>
            </w:pPr>
            <w:r>
              <w:rPr>
                <w:rFonts w:cs="Times New Roman"/>
                <w:szCs w:val="21"/>
              </w:rPr>
              <w:t>常温</w:t>
            </w:r>
          </w:p>
        </w:tc>
        <w:tc>
          <w:tcPr>
            <w:tcW w:w="395" w:type="pct"/>
            <w:vMerge w:val="restart"/>
            <w:tcBorders>
              <w:tl2br w:val="nil"/>
              <w:tr2bl w:val="nil"/>
            </w:tcBorders>
            <w:vAlign w:val="center"/>
          </w:tcPr>
          <w:p>
            <w:pPr>
              <w:jc w:val="center"/>
              <w:rPr>
                <w:rFonts w:cs="Times New Roman"/>
                <w:szCs w:val="21"/>
              </w:rPr>
            </w:pPr>
            <w:r>
              <w:rPr>
                <w:rFonts w:cs="Times New Roman"/>
                <w:szCs w:val="21"/>
              </w:rPr>
              <w:t>一般排放口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c>
          <w:tcPr>
            <w:tcW w:w="500" w:type="pct"/>
            <w:tcBorders>
              <w:tl2br w:val="nil"/>
              <w:tr2bl w:val="nil"/>
            </w:tcBorders>
            <w:vAlign w:val="center"/>
          </w:tcPr>
          <w:p>
            <w:pPr>
              <w:jc w:val="center"/>
              <w:rPr>
                <w:rFonts w:cs="Times New Roman"/>
                <w:szCs w:val="21"/>
              </w:rPr>
            </w:pPr>
            <w:r>
              <w:rPr>
                <w:rFonts w:cs="Times New Roman"/>
                <w:szCs w:val="21"/>
              </w:rPr>
              <w:t>DA006</w:t>
            </w:r>
          </w:p>
        </w:tc>
        <w:tc>
          <w:tcPr>
            <w:tcW w:w="631" w:type="pct"/>
            <w:tcBorders>
              <w:tl2br w:val="nil"/>
              <w:tr2bl w:val="nil"/>
            </w:tcBorders>
            <w:vAlign w:val="center"/>
          </w:tcPr>
          <w:p>
            <w:pPr>
              <w:jc w:val="center"/>
              <w:rPr>
                <w:rFonts w:cs="Times New Roman"/>
                <w:szCs w:val="21"/>
              </w:rPr>
            </w:pPr>
            <w:r>
              <w:rPr>
                <w:rFonts w:cs="Times New Roman"/>
                <w:szCs w:val="21"/>
              </w:rPr>
              <w:t>浸胶、烘干排气筒</w:t>
            </w:r>
          </w:p>
        </w:tc>
        <w:tc>
          <w:tcPr>
            <w:tcW w:w="644" w:type="pct"/>
            <w:vMerge w:val="continue"/>
            <w:tcBorders>
              <w:tl2br w:val="nil"/>
              <w:tr2bl w:val="nil"/>
            </w:tcBorders>
            <w:vAlign w:val="center"/>
          </w:tcPr>
          <w:p>
            <w:pPr>
              <w:jc w:val="center"/>
              <w:rPr>
                <w:rFonts w:cs="Times New Roman"/>
                <w:szCs w:val="21"/>
              </w:rPr>
            </w:pPr>
          </w:p>
        </w:tc>
        <w:tc>
          <w:tcPr>
            <w:tcW w:w="755" w:type="pct"/>
            <w:tcBorders>
              <w:tl2br w:val="nil"/>
              <w:tr2bl w:val="nil"/>
            </w:tcBorders>
            <w:vAlign w:val="center"/>
          </w:tcPr>
          <w:p>
            <w:pPr>
              <w:jc w:val="center"/>
              <w:rPr>
                <w:rFonts w:cs="Times New Roman"/>
                <w:bCs/>
                <w:szCs w:val="21"/>
              </w:rPr>
            </w:pPr>
            <w:r>
              <w:rPr>
                <w:rFonts w:cs="Times New Roman"/>
                <w:bCs/>
                <w:szCs w:val="21"/>
              </w:rPr>
              <w:t>107.690498</w:t>
            </w:r>
          </w:p>
        </w:tc>
        <w:tc>
          <w:tcPr>
            <w:tcW w:w="755" w:type="pct"/>
            <w:tcBorders>
              <w:tl2br w:val="nil"/>
              <w:tr2bl w:val="nil"/>
            </w:tcBorders>
            <w:vAlign w:val="center"/>
          </w:tcPr>
          <w:p>
            <w:pPr>
              <w:jc w:val="center"/>
              <w:rPr>
                <w:rFonts w:cs="Times New Roman"/>
                <w:bCs/>
                <w:szCs w:val="21"/>
              </w:rPr>
            </w:pPr>
            <w:r>
              <w:rPr>
                <w:rFonts w:cs="Times New Roman"/>
                <w:bCs/>
                <w:szCs w:val="21"/>
              </w:rPr>
              <w:t>31.430721</w:t>
            </w:r>
          </w:p>
        </w:tc>
        <w:tc>
          <w:tcPr>
            <w:tcW w:w="438" w:type="pct"/>
            <w:tcBorders>
              <w:tl2br w:val="nil"/>
              <w:tr2bl w:val="nil"/>
            </w:tcBorders>
            <w:vAlign w:val="center"/>
          </w:tcPr>
          <w:p>
            <w:pPr>
              <w:jc w:val="center"/>
              <w:rPr>
                <w:rFonts w:cs="Times New Roman"/>
                <w:szCs w:val="21"/>
              </w:rPr>
            </w:pPr>
            <w:r>
              <w:rPr>
                <w:rFonts w:cs="Times New Roman"/>
                <w:szCs w:val="21"/>
              </w:rPr>
              <w:t>18</w:t>
            </w:r>
          </w:p>
        </w:tc>
        <w:tc>
          <w:tcPr>
            <w:tcW w:w="438" w:type="pct"/>
            <w:tcBorders>
              <w:tl2br w:val="nil"/>
              <w:tr2bl w:val="nil"/>
            </w:tcBorders>
            <w:vAlign w:val="center"/>
          </w:tcPr>
          <w:p>
            <w:pPr>
              <w:jc w:val="center"/>
              <w:rPr>
                <w:rFonts w:cs="Times New Roman"/>
                <w:szCs w:val="21"/>
              </w:rPr>
            </w:pPr>
            <w:r>
              <w:rPr>
                <w:rFonts w:cs="Times New Roman"/>
                <w:szCs w:val="21"/>
              </w:rPr>
              <w:t>0.5</w:t>
            </w:r>
          </w:p>
        </w:tc>
        <w:tc>
          <w:tcPr>
            <w:tcW w:w="439" w:type="pct"/>
            <w:tcBorders>
              <w:tl2br w:val="nil"/>
              <w:tr2bl w:val="nil"/>
            </w:tcBorders>
            <w:vAlign w:val="center"/>
          </w:tcPr>
          <w:p>
            <w:pPr>
              <w:jc w:val="center"/>
              <w:rPr>
                <w:rFonts w:cs="Times New Roman"/>
                <w:szCs w:val="21"/>
              </w:rPr>
            </w:pPr>
            <w:r>
              <w:rPr>
                <w:rFonts w:cs="Times New Roman"/>
                <w:szCs w:val="21"/>
              </w:rPr>
              <w:t>常温</w:t>
            </w:r>
          </w:p>
        </w:tc>
        <w:tc>
          <w:tcPr>
            <w:tcW w:w="395" w:type="pct"/>
            <w:vMerge w:val="continue"/>
            <w:tcBorders>
              <w:tl2br w:val="nil"/>
              <w:tr2bl w:val="nil"/>
            </w:tcBorders>
            <w:vAlign w:val="center"/>
          </w:tcPr>
          <w:p>
            <w:pPr>
              <w:jc w:val="center"/>
              <w:rPr>
                <w:rFonts w:cs="Times New Roman"/>
                <w:szCs w:val="21"/>
              </w:rPr>
            </w:pPr>
          </w:p>
        </w:tc>
      </w:tr>
    </w:tbl>
    <w:p>
      <w:pPr>
        <w:spacing w:line="360" w:lineRule="auto"/>
        <w:ind w:firstLine="482" w:firstLineChars="200"/>
        <w:rPr>
          <w:rFonts w:cs="Times New Roman"/>
          <w:b/>
          <w:sz w:val="24"/>
          <w:szCs w:val="24"/>
        </w:rPr>
      </w:pPr>
      <w:r>
        <w:rPr>
          <w:rFonts w:cs="Times New Roman"/>
          <w:b/>
          <w:bCs/>
          <w:sz w:val="24"/>
          <w:szCs w:val="24"/>
        </w:rPr>
        <w:t>3、</w:t>
      </w:r>
      <w:r>
        <w:rPr>
          <w:rFonts w:cs="Times New Roman"/>
          <w:b/>
          <w:sz w:val="24"/>
          <w:szCs w:val="24"/>
        </w:rPr>
        <w:t>污染物排放信息</w:t>
      </w:r>
    </w:p>
    <w:p>
      <w:pPr>
        <w:spacing w:line="360" w:lineRule="auto"/>
        <w:ind w:firstLine="480" w:firstLineChars="200"/>
        <w:rPr>
          <w:rFonts w:cs="Times New Roman"/>
          <w:b/>
          <w:bCs/>
          <w:sz w:val="24"/>
          <w:szCs w:val="24"/>
        </w:rPr>
      </w:pPr>
      <w:r>
        <w:rPr>
          <w:rFonts w:cs="Times New Roman"/>
          <w:sz w:val="24"/>
          <w:szCs w:val="24"/>
        </w:rPr>
        <w:t>本项目废气污染物排放信息见下表。</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sectPr>
          <w:pgSz w:w="11906" w:h="16838"/>
          <w:pgMar w:top="1134" w:right="1134" w:bottom="1134" w:left="1417" w:header="851" w:footer="992" w:gutter="0"/>
          <w:cols w:space="720" w:num="1"/>
          <w:docGrid w:type="lines" w:linePitch="312" w:charSpace="0"/>
        </w:sectPr>
      </w:pPr>
    </w:p>
    <w:p>
      <w:pPr>
        <w:spacing w:line="360" w:lineRule="auto"/>
        <w:jc w:val="center"/>
        <w:rPr>
          <w:rFonts w:cs="Times New Roman"/>
          <w:b/>
          <w:sz w:val="24"/>
          <w:szCs w:val="24"/>
        </w:rPr>
      </w:pPr>
      <w:r>
        <w:rPr>
          <w:rFonts w:cs="Times New Roman"/>
          <w:b/>
          <w:sz w:val="24"/>
          <w:szCs w:val="24"/>
        </w:rPr>
        <w:t>表2.2-10  废气污染物排放信息表</w:t>
      </w:r>
    </w:p>
    <w:tbl>
      <w:tblPr>
        <w:tblStyle w:val="26"/>
        <w:tblW w:w="1434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02"/>
        <w:gridCol w:w="763"/>
        <w:gridCol w:w="880"/>
        <w:gridCol w:w="630"/>
        <w:gridCol w:w="1171"/>
        <w:gridCol w:w="645"/>
        <w:gridCol w:w="841"/>
        <w:gridCol w:w="916"/>
        <w:gridCol w:w="675"/>
        <w:gridCol w:w="738"/>
        <w:gridCol w:w="778"/>
        <w:gridCol w:w="781"/>
        <w:gridCol w:w="766"/>
        <w:gridCol w:w="811"/>
        <w:gridCol w:w="991"/>
        <w:gridCol w:w="615"/>
        <w:gridCol w:w="781"/>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restart"/>
            <w:tcBorders>
              <w:tl2br w:val="nil"/>
              <w:tr2bl w:val="nil"/>
            </w:tcBorders>
            <w:vAlign w:val="center"/>
          </w:tcPr>
          <w:p>
            <w:pPr>
              <w:jc w:val="center"/>
              <w:rPr>
                <w:rFonts w:cs="Times New Roman"/>
                <w:b/>
                <w:bCs/>
                <w:sz w:val="18"/>
                <w:szCs w:val="18"/>
              </w:rPr>
            </w:pPr>
            <w:r>
              <w:rPr>
                <w:rFonts w:cs="Times New Roman"/>
                <w:b/>
                <w:bCs/>
                <w:sz w:val="18"/>
                <w:szCs w:val="18"/>
              </w:rPr>
              <w:t>污染源</w:t>
            </w:r>
          </w:p>
        </w:tc>
        <w:tc>
          <w:tcPr>
            <w:tcW w:w="763" w:type="dxa"/>
            <w:vMerge w:val="restart"/>
            <w:tcBorders>
              <w:tl2br w:val="nil"/>
              <w:tr2bl w:val="nil"/>
            </w:tcBorders>
            <w:vAlign w:val="center"/>
          </w:tcPr>
          <w:p>
            <w:pPr>
              <w:jc w:val="center"/>
              <w:rPr>
                <w:rFonts w:cs="Times New Roman"/>
                <w:b/>
                <w:bCs/>
                <w:sz w:val="18"/>
                <w:szCs w:val="18"/>
              </w:rPr>
            </w:pPr>
            <w:r>
              <w:rPr>
                <w:rFonts w:cs="Times New Roman"/>
                <w:b/>
                <w:bCs/>
                <w:sz w:val="18"/>
                <w:szCs w:val="18"/>
              </w:rPr>
              <w:t>污染物</w:t>
            </w:r>
          </w:p>
        </w:tc>
        <w:tc>
          <w:tcPr>
            <w:tcW w:w="880" w:type="dxa"/>
            <w:vMerge w:val="restart"/>
            <w:tcBorders>
              <w:tl2br w:val="nil"/>
              <w:tr2bl w:val="nil"/>
            </w:tcBorders>
            <w:vAlign w:val="center"/>
          </w:tcPr>
          <w:p>
            <w:pPr>
              <w:jc w:val="center"/>
              <w:rPr>
                <w:rFonts w:cs="Times New Roman"/>
                <w:b/>
                <w:bCs/>
                <w:sz w:val="18"/>
                <w:szCs w:val="18"/>
              </w:rPr>
            </w:pPr>
            <w:r>
              <w:rPr>
                <w:rFonts w:cs="Times New Roman"/>
                <w:b/>
                <w:bCs/>
                <w:sz w:val="18"/>
                <w:szCs w:val="18"/>
              </w:rPr>
              <w:t>污染物产生量（t/a）</w:t>
            </w:r>
          </w:p>
        </w:tc>
        <w:tc>
          <w:tcPr>
            <w:tcW w:w="2446" w:type="dxa"/>
            <w:gridSpan w:val="3"/>
            <w:tcBorders>
              <w:tl2br w:val="nil"/>
              <w:tr2bl w:val="nil"/>
            </w:tcBorders>
            <w:vAlign w:val="center"/>
          </w:tcPr>
          <w:p>
            <w:pPr>
              <w:jc w:val="center"/>
              <w:rPr>
                <w:rFonts w:cs="Times New Roman"/>
                <w:b/>
                <w:bCs/>
                <w:sz w:val="18"/>
                <w:szCs w:val="18"/>
              </w:rPr>
            </w:pPr>
            <w:r>
              <w:rPr>
                <w:rFonts w:cs="Times New Roman"/>
                <w:b/>
                <w:bCs/>
                <w:sz w:val="18"/>
                <w:szCs w:val="18"/>
              </w:rPr>
              <w:t>治理措施</w:t>
            </w:r>
          </w:p>
        </w:tc>
        <w:tc>
          <w:tcPr>
            <w:tcW w:w="9555" w:type="dxa"/>
            <w:gridSpan w:val="12"/>
            <w:tcBorders>
              <w:tl2br w:val="nil"/>
              <w:tr2bl w:val="nil"/>
            </w:tcBorders>
            <w:vAlign w:val="center"/>
          </w:tcPr>
          <w:p>
            <w:pPr>
              <w:jc w:val="center"/>
              <w:rPr>
                <w:rFonts w:cs="Times New Roman"/>
                <w:b/>
                <w:bCs/>
                <w:sz w:val="18"/>
                <w:szCs w:val="18"/>
              </w:rPr>
            </w:pPr>
            <w:r>
              <w:rPr>
                <w:rFonts w:cs="Times New Roman"/>
                <w:b/>
                <w:bCs/>
                <w:sz w:val="18"/>
                <w:szCs w:val="18"/>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continue"/>
            <w:tcBorders>
              <w:tl2br w:val="nil"/>
              <w:tr2bl w:val="nil"/>
            </w:tcBorders>
            <w:vAlign w:val="center"/>
          </w:tcPr>
          <w:p>
            <w:pPr>
              <w:jc w:val="center"/>
              <w:rPr>
                <w:rFonts w:cs="Times New Roman"/>
                <w:b/>
                <w:bCs/>
                <w:sz w:val="18"/>
                <w:szCs w:val="18"/>
              </w:rPr>
            </w:pPr>
          </w:p>
        </w:tc>
        <w:tc>
          <w:tcPr>
            <w:tcW w:w="763" w:type="dxa"/>
            <w:vMerge w:val="continue"/>
            <w:tcBorders>
              <w:tl2br w:val="nil"/>
              <w:tr2bl w:val="nil"/>
            </w:tcBorders>
            <w:vAlign w:val="center"/>
          </w:tcPr>
          <w:p>
            <w:pPr>
              <w:jc w:val="center"/>
              <w:rPr>
                <w:rFonts w:cs="Times New Roman"/>
                <w:b/>
                <w:bCs/>
                <w:sz w:val="18"/>
                <w:szCs w:val="18"/>
              </w:rPr>
            </w:pPr>
          </w:p>
        </w:tc>
        <w:tc>
          <w:tcPr>
            <w:tcW w:w="880" w:type="dxa"/>
            <w:vMerge w:val="continue"/>
            <w:tcBorders>
              <w:tl2br w:val="nil"/>
              <w:tr2bl w:val="nil"/>
            </w:tcBorders>
            <w:vAlign w:val="center"/>
          </w:tcPr>
          <w:p>
            <w:pPr>
              <w:jc w:val="center"/>
              <w:rPr>
                <w:rFonts w:cs="Times New Roman"/>
                <w:b/>
                <w:bCs/>
                <w:sz w:val="18"/>
                <w:szCs w:val="18"/>
              </w:rPr>
            </w:pPr>
          </w:p>
        </w:tc>
        <w:tc>
          <w:tcPr>
            <w:tcW w:w="630" w:type="dxa"/>
            <w:vMerge w:val="restart"/>
            <w:tcBorders>
              <w:tl2br w:val="nil"/>
              <w:tr2bl w:val="nil"/>
            </w:tcBorders>
            <w:vAlign w:val="center"/>
          </w:tcPr>
          <w:p>
            <w:pPr>
              <w:jc w:val="center"/>
              <w:rPr>
                <w:rFonts w:cs="Times New Roman"/>
                <w:b/>
                <w:bCs/>
                <w:sz w:val="18"/>
                <w:szCs w:val="18"/>
              </w:rPr>
            </w:pPr>
            <w:r>
              <w:rPr>
                <w:rFonts w:cs="Times New Roman"/>
                <w:b/>
                <w:bCs/>
                <w:sz w:val="18"/>
                <w:szCs w:val="18"/>
              </w:rPr>
              <w:t>收集效率（%）</w:t>
            </w:r>
          </w:p>
        </w:tc>
        <w:tc>
          <w:tcPr>
            <w:tcW w:w="1171" w:type="dxa"/>
            <w:vMerge w:val="restart"/>
            <w:tcBorders>
              <w:tl2br w:val="nil"/>
              <w:tr2bl w:val="nil"/>
            </w:tcBorders>
            <w:vAlign w:val="center"/>
          </w:tcPr>
          <w:p>
            <w:pPr>
              <w:jc w:val="center"/>
              <w:rPr>
                <w:rFonts w:cs="Times New Roman"/>
                <w:b/>
                <w:bCs/>
                <w:sz w:val="18"/>
                <w:szCs w:val="18"/>
              </w:rPr>
            </w:pPr>
            <w:r>
              <w:rPr>
                <w:rFonts w:cs="Times New Roman"/>
                <w:b/>
                <w:bCs/>
                <w:sz w:val="18"/>
                <w:szCs w:val="18"/>
              </w:rPr>
              <w:t>治理工艺</w:t>
            </w:r>
          </w:p>
        </w:tc>
        <w:tc>
          <w:tcPr>
            <w:tcW w:w="645" w:type="dxa"/>
            <w:vMerge w:val="restart"/>
            <w:tcBorders>
              <w:tl2br w:val="nil"/>
              <w:tr2bl w:val="nil"/>
            </w:tcBorders>
            <w:vAlign w:val="center"/>
          </w:tcPr>
          <w:p>
            <w:pPr>
              <w:jc w:val="center"/>
              <w:rPr>
                <w:rFonts w:cs="Times New Roman"/>
                <w:b/>
                <w:bCs/>
                <w:sz w:val="18"/>
                <w:szCs w:val="18"/>
              </w:rPr>
            </w:pPr>
            <w:r>
              <w:rPr>
                <w:rFonts w:cs="Times New Roman"/>
                <w:b/>
                <w:bCs/>
                <w:sz w:val="18"/>
                <w:szCs w:val="18"/>
              </w:rPr>
              <w:t>去除效率（%）</w:t>
            </w:r>
          </w:p>
        </w:tc>
        <w:tc>
          <w:tcPr>
            <w:tcW w:w="3170" w:type="dxa"/>
            <w:gridSpan w:val="4"/>
            <w:tcBorders>
              <w:tl2br w:val="nil"/>
              <w:tr2bl w:val="nil"/>
            </w:tcBorders>
            <w:vAlign w:val="center"/>
          </w:tcPr>
          <w:p>
            <w:pPr>
              <w:jc w:val="center"/>
              <w:rPr>
                <w:rFonts w:cs="Times New Roman"/>
                <w:b/>
                <w:bCs/>
                <w:sz w:val="18"/>
                <w:szCs w:val="18"/>
              </w:rPr>
            </w:pPr>
            <w:r>
              <w:rPr>
                <w:rFonts w:cs="Times New Roman"/>
                <w:b/>
                <w:bCs/>
                <w:sz w:val="18"/>
                <w:szCs w:val="18"/>
              </w:rPr>
              <w:t>有组织</w:t>
            </w:r>
          </w:p>
        </w:tc>
        <w:tc>
          <w:tcPr>
            <w:tcW w:w="1559" w:type="dxa"/>
            <w:gridSpan w:val="2"/>
            <w:tcBorders>
              <w:tl2br w:val="nil"/>
              <w:tr2bl w:val="nil"/>
            </w:tcBorders>
            <w:vAlign w:val="center"/>
          </w:tcPr>
          <w:p>
            <w:pPr>
              <w:jc w:val="center"/>
              <w:rPr>
                <w:rFonts w:cs="Times New Roman"/>
                <w:b/>
                <w:bCs/>
                <w:sz w:val="18"/>
                <w:szCs w:val="18"/>
              </w:rPr>
            </w:pPr>
            <w:r>
              <w:rPr>
                <w:rFonts w:cs="Times New Roman"/>
                <w:b/>
                <w:bCs/>
                <w:sz w:val="18"/>
                <w:szCs w:val="18"/>
              </w:rPr>
              <w:t>无组织</w:t>
            </w:r>
          </w:p>
        </w:tc>
        <w:tc>
          <w:tcPr>
            <w:tcW w:w="766" w:type="dxa"/>
            <w:vMerge w:val="restart"/>
            <w:tcBorders>
              <w:tl2br w:val="nil"/>
              <w:tr2bl w:val="nil"/>
            </w:tcBorders>
            <w:vAlign w:val="center"/>
          </w:tcPr>
          <w:p>
            <w:pPr>
              <w:jc w:val="center"/>
              <w:rPr>
                <w:rFonts w:cs="Times New Roman"/>
                <w:b/>
                <w:bCs/>
                <w:sz w:val="18"/>
                <w:szCs w:val="18"/>
              </w:rPr>
            </w:pPr>
            <w:r>
              <w:rPr>
                <w:rFonts w:cs="Times New Roman"/>
                <w:b/>
                <w:bCs/>
                <w:sz w:val="18"/>
                <w:szCs w:val="18"/>
              </w:rPr>
              <w:t>排放时间</w:t>
            </w:r>
          </w:p>
        </w:tc>
        <w:tc>
          <w:tcPr>
            <w:tcW w:w="811" w:type="dxa"/>
            <w:vMerge w:val="restart"/>
            <w:tcBorders>
              <w:tl2br w:val="nil"/>
              <w:tr2bl w:val="nil"/>
            </w:tcBorders>
            <w:vAlign w:val="center"/>
          </w:tcPr>
          <w:p>
            <w:pPr>
              <w:jc w:val="center"/>
              <w:rPr>
                <w:rFonts w:cs="Times New Roman"/>
                <w:b/>
                <w:bCs/>
                <w:sz w:val="18"/>
                <w:szCs w:val="18"/>
              </w:rPr>
            </w:pPr>
            <w:r>
              <w:rPr>
                <w:rFonts w:cs="Times New Roman"/>
                <w:b/>
                <w:bCs/>
                <w:sz w:val="18"/>
                <w:szCs w:val="18"/>
              </w:rPr>
              <w:t>排气筒编号</w:t>
            </w:r>
          </w:p>
        </w:tc>
        <w:tc>
          <w:tcPr>
            <w:tcW w:w="991" w:type="dxa"/>
            <w:vMerge w:val="restart"/>
            <w:tcBorders>
              <w:tl2br w:val="nil"/>
              <w:tr2bl w:val="nil"/>
            </w:tcBorders>
            <w:vAlign w:val="center"/>
          </w:tcPr>
          <w:p>
            <w:pPr>
              <w:jc w:val="center"/>
              <w:rPr>
                <w:rFonts w:cs="Times New Roman"/>
                <w:b/>
                <w:bCs/>
                <w:sz w:val="18"/>
                <w:szCs w:val="18"/>
              </w:rPr>
            </w:pPr>
            <w:r>
              <w:rPr>
                <w:rFonts w:cs="Times New Roman"/>
                <w:b/>
                <w:bCs/>
                <w:sz w:val="18"/>
                <w:szCs w:val="18"/>
              </w:rPr>
              <w:t>排放口类型</w:t>
            </w:r>
          </w:p>
        </w:tc>
        <w:tc>
          <w:tcPr>
            <w:tcW w:w="2258" w:type="dxa"/>
            <w:gridSpan w:val="3"/>
            <w:tcBorders>
              <w:tl2br w:val="nil"/>
              <w:tr2bl w:val="nil"/>
            </w:tcBorders>
            <w:vAlign w:val="center"/>
          </w:tcPr>
          <w:p>
            <w:pPr>
              <w:jc w:val="center"/>
              <w:rPr>
                <w:rFonts w:cs="Times New Roman"/>
                <w:b/>
                <w:bCs/>
                <w:sz w:val="18"/>
                <w:szCs w:val="18"/>
              </w:rPr>
            </w:pPr>
            <w:r>
              <w:rPr>
                <w:rFonts w:cs="Times New Roman"/>
                <w:b/>
                <w:bCs/>
                <w:sz w:val="18"/>
                <w:szCs w:val="18"/>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continue"/>
            <w:tcBorders>
              <w:tl2br w:val="nil"/>
              <w:tr2bl w:val="nil"/>
            </w:tcBorders>
            <w:vAlign w:val="center"/>
          </w:tcPr>
          <w:p>
            <w:pPr>
              <w:jc w:val="center"/>
              <w:rPr>
                <w:rFonts w:cs="Times New Roman"/>
                <w:b/>
                <w:bCs/>
                <w:sz w:val="18"/>
                <w:szCs w:val="18"/>
              </w:rPr>
            </w:pPr>
          </w:p>
        </w:tc>
        <w:tc>
          <w:tcPr>
            <w:tcW w:w="763" w:type="dxa"/>
            <w:vMerge w:val="continue"/>
            <w:tcBorders>
              <w:tl2br w:val="nil"/>
              <w:tr2bl w:val="nil"/>
            </w:tcBorders>
            <w:vAlign w:val="center"/>
          </w:tcPr>
          <w:p>
            <w:pPr>
              <w:jc w:val="center"/>
              <w:rPr>
                <w:rFonts w:cs="Times New Roman"/>
                <w:b/>
                <w:bCs/>
                <w:sz w:val="18"/>
                <w:szCs w:val="18"/>
              </w:rPr>
            </w:pPr>
          </w:p>
        </w:tc>
        <w:tc>
          <w:tcPr>
            <w:tcW w:w="880" w:type="dxa"/>
            <w:vMerge w:val="continue"/>
            <w:tcBorders>
              <w:tl2br w:val="nil"/>
              <w:tr2bl w:val="nil"/>
            </w:tcBorders>
            <w:vAlign w:val="center"/>
          </w:tcPr>
          <w:p>
            <w:pPr>
              <w:jc w:val="center"/>
              <w:rPr>
                <w:rFonts w:cs="Times New Roman"/>
                <w:b/>
                <w:bCs/>
                <w:sz w:val="18"/>
                <w:szCs w:val="18"/>
              </w:rPr>
            </w:pPr>
          </w:p>
        </w:tc>
        <w:tc>
          <w:tcPr>
            <w:tcW w:w="630" w:type="dxa"/>
            <w:vMerge w:val="continue"/>
            <w:tcBorders>
              <w:tl2br w:val="nil"/>
              <w:tr2bl w:val="nil"/>
            </w:tcBorders>
            <w:vAlign w:val="center"/>
          </w:tcPr>
          <w:p>
            <w:pPr>
              <w:jc w:val="center"/>
              <w:rPr>
                <w:rFonts w:cs="Times New Roman"/>
                <w:b/>
                <w:bCs/>
                <w:sz w:val="18"/>
                <w:szCs w:val="18"/>
              </w:rPr>
            </w:pPr>
          </w:p>
        </w:tc>
        <w:tc>
          <w:tcPr>
            <w:tcW w:w="1171" w:type="dxa"/>
            <w:vMerge w:val="continue"/>
            <w:tcBorders>
              <w:tl2br w:val="nil"/>
              <w:tr2bl w:val="nil"/>
            </w:tcBorders>
            <w:vAlign w:val="center"/>
          </w:tcPr>
          <w:p>
            <w:pPr>
              <w:jc w:val="center"/>
              <w:rPr>
                <w:rFonts w:cs="Times New Roman"/>
                <w:b/>
                <w:bCs/>
                <w:sz w:val="18"/>
                <w:szCs w:val="18"/>
              </w:rPr>
            </w:pPr>
          </w:p>
        </w:tc>
        <w:tc>
          <w:tcPr>
            <w:tcW w:w="645" w:type="dxa"/>
            <w:vMerge w:val="continue"/>
            <w:tcBorders>
              <w:tl2br w:val="nil"/>
              <w:tr2bl w:val="nil"/>
            </w:tcBorders>
            <w:vAlign w:val="center"/>
          </w:tcPr>
          <w:p>
            <w:pPr>
              <w:jc w:val="center"/>
              <w:rPr>
                <w:rFonts w:cs="Times New Roman"/>
                <w:b/>
                <w:bCs/>
                <w:sz w:val="18"/>
                <w:szCs w:val="18"/>
              </w:rPr>
            </w:pPr>
          </w:p>
        </w:tc>
        <w:tc>
          <w:tcPr>
            <w:tcW w:w="841" w:type="dxa"/>
            <w:vMerge w:val="restart"/>
            <w:tcBorders>
              <w:tl2br w:val="nil"/>
              <w:tr2bl w:val="nil"/>
            </w:tcBorders>
            <w:vAlign w:val="center"/>
          </w:tcPr>
          <w:p>
            <w:pPr>
              <w:jc w:val="center"/>
              <w:rPr>
                <w:rFonts w:cs="Times New Roman"/>
                <w:b/>
                <w:bCs/>
                <w:sz w:val="18"/>
                <w:szCs w:val="18"/>
              </w:rPr>
            </w:pPr>
            <w:r>
              <w:rPr>
                <w:rFonts w:cs="Times New Roman"/>
                <w:b/>
                <w:bCs/>
                <w:sz w:val="18"/>
                <w:szCs w:val="18"/>
              </w:rPr>
              <w:t>废气量（m</w:t>
            </w:r>
            <w:r>
              <w:rPr>
                <w:rFonts w:cs="Times New Roman"/>
                <w:b/>
                <w:bCs/>
                <w:sz w:val="18"/>
                <w:szCs w:val="18"/>
                <w:vertAlign w:val="superscript"/>
              </w:rPr>
              <w:t>3</w:t>
            </w:r>
            <w:r>
              <w:rPr>
                <w:rFonts w:cs="Times New Roman"/>
                <w:b/>
                <w:bCs/>
                <w:sz w:val="18"/>
                <w:szCs w:val="18"/>
              </w:rPr>
              <w:t>/h）</w:t>
            </w:r>
          </w:p>
        </w:tc>
        <w:tc>
          <w:tcPr>
            <w:tcW w:w="916" w:type="dxa"/>
            <w:vMerge w:val="restart"/>
            <w:tcBorders>
              <w:tl2br w:val="nil"/>
              <w:tr2bl w:val="nil"/>
            </w:tcBorders>
            <w:vAlign w:val="center"/>
          </w:tcPr>
          <w:p>
            <w:pPr>
              <w:jc w:val="center"/>
              <w:rPr>
                <w:rFonts w:cs="Times New Roman"/>
                <w:b/>
                <w:bCs/>
                <w:sz w:val="18"/>
                <w:szCs w:val="18"/>
              </w:rPr>
            </w:pPr>
            <w:r>
              <w:rPr>
                <w:rFonts w:cs="Times New Roman"/>
                <w:b/>
                <w:bCs/>
                <w:sz w:val="18"/>
                <w:szCs w:val="18"/>
              </w:rPr>
              <w:t>浓度（mg/m</w:t>
            </w:r>
            <w:r>
              <w:rPr>
                <w:rFonts w:cs="Times New Roman"/>
                <w:b/>
                <w:bCs/>
                <w:sz w:val="18"/>
                <w:szCs w:val="18"/>
                <w:vertAlign w:val="superscript"/>
              </w:rPr>
              <w:t>3</w:t>
            </w:r>
            <w:r>
              <w:rPr>
                <w:rFonts w:cs="Times New Roman"/>
                <w:b/>
                <w:bCs/>
                <w:sz w:val="18"/>
                <w:szCs w:val="18"/>
              </w:rPr>
              <w:t>）</w:t>
            </w:r>
          </w:p>
        </w:tc>
        <w:tc>
          <w:tcPr>
            <w:tcW w:w="1413" w:type="dxa"/>
            <w:gridSpan w:val="2"/>
            <w:tcBorders>
              <w:tl2br w:val="nil"/>
              <w:tr2bl w:val="nil"/>
            </w:tcBorders>
            <w:vAlign w:val="center"/>
          </w:tcPr>
          <w:p>
            <w:pPr>
              <w:jc w:val="center"/>
              <w:rPr>
                <w:rFonts w:cs="Times New Roman"/>
                <w:b/>
                <w:bCs/>
                <w:sz w:val="18"/>
                <w:szCs w:val="18"/>
              </w:rPr>
            </w:pPr>
            <w:r>
              <w:rPr>
                <w:rFonts w:cs="Times New Roman"/>
                <w:b/>
                <w:bCs/>
                <w:sz w:val="18"/>
                <w:szCs w:val="18"/>
              </w:rPr>
              <w:t>排放量</w:t>
            </w:r>
          </w:p>
        </w:tc>
        <w:tc>
          <w:tcPr>
            <w:tcW w:w="1559" w:type="dxa"/>
            <w:gridSpan w:val="2"/>
            <w:tcBorders>
              <w:tl2br w:val="nil"/>
              <w:tr2bl w:val="nil"/>
            </w:tcBorders>
            <w:vAlign w:val="center"/>
          </w:tcPr>
          <w:p>
            <w:pPr>
              <w:jc w:val="center"/>
              <w:rPr>
                <w:rFonts w:cs="Times New Roman"/>
                <w:b/>
                <w:bCs/>
                <w:sz w:val="18"/>
                <w:szCs w:val="18"/>
              </w:rPr>
            </w:pPr>
            <w:r>
              <w:rPr>
                <w:rFonts w:cs="Times New Roman"/>
                <w:b/>
                <w:bCs/>
                <w:sz w:val="18"/>
                <w:szCs w:val="18"/>
              </w:rPr>
              <w:t>排放量</w:t>
            </w:r>
          </w:p>
        </w:tc>
        <w:tc>
          <w:tcPr>
            <w:tcW w:w="766" w:type="dxa"/>
            <w:vMerge w:val="continue"/>
            <w:tcBorders>
              <w:tl2br w:val="nil"/>
              <w:tr2bl w:val="nil"/>
            </w:tcBorders>
            <w:vAlign w:val="center"/>
          </w:tcPr>
          <w:p>
            <w:pPr>
              <w:jc w:val="center"/>
              <w:rPr>
                <w:rFonts w:cs="Times New Roman"/>
                <w:b/>
                <w:bCs/>
                <w:sz w:val="18"/>
                <w:szCs w:val="18"/>
              </w:rPr>
            </w:pPr>
          </w:p>
        </w:tc>
        <w:tc>
          <w:tcPr>
            <w:tcW w:w="811" w:type="dxa"/>
            <w:vMerge w:val="continue"/>
            <w:tcBorders>
              <w:tl2br w:val="nil"/>
              <w:tr2bl w:val="nil"/>
            </w:tcBorders>
            <w:vAlign w:val="center"/>
          </w:tcPr>
          <w:p>
            <w:pPr>
              <w:jc w:val="center"/>
              <w:rPr>
                <w:rFonts w:cs="Times New Roman"/>
                <w:b/>
                <w:bCs/>
                <w:sz w:val="18"/>
                <w:szCs w:val="18"/>
              </w:rPr>
            </w:pPr>
          </w:p>
        </w:tc>
        <w:tc>
          <w:tcPr>
            <w:tcW w:w="991" w:type="dxa"/>
            <w:vMerge w:val="continue"/>
            <w:tcBorders>
              <w:tl2br w:val="nil"/>
              <w:tr2bl w:val="nil"/>
            </w:tcBorders>
            <w:vAlign w:val="center"/>
          </w:tcPr>
          <w:p>
            <w:pPr>
              <w:jc w:val="center"/>
              <w:rPr>
                <w:rFonts w:cs="Times New Roman"/>
                <w:b/>
                <w:bCs/>
                <w:sz w:val="18"/>
                <w:szCs w:val="18"/>
              </w:rPr>
            </w:pPr>
          </w:p>
        </w:tc>
        <w:tc>
          <w:tcPr>
            <w:tcW w:w="1396" w:type="dxa"/>
            <w:gridSpan w:val="2"/>
            <w:tcBorders>
              <w:tl2br w:val="nil"/>
              <w:tr2bl w:val="nil"/>
            </w:tcBorders>
            <w:vAlign w:val="center"/>
          </w:tcPr>
          <w:p>
            <w:pPr>
              <w:jc w:val="center"/>
              <w:rPr>
                <w:rFonts w:cs="Times New Roman"/>
                <w:b/>
                <w:bCs/>
                <w:sz w:val="18"/>
                <w:szCs w:val="18"/>
              </w:rPr>
            </w:pPr>
            <w:r>
              <w:rPr>
                <w:rFonts w:cs="Times New Roman"/>
                <w:b/>
                <w:bCs/>
                <w:sz w:val="18"/>
                <w:szCs w:val="18"/>
              </w:rPr>
              <w:t>有组织</w:t>
            </w:r>
          </w:p>
        </w:tc>
        <w:tc>
          <w:tcPr>
            <w:tcW w:w="862" w:type="dxa"/>
            <w:tcBorders>
              <w:tl2br w:val="nil"/>
              <w:tr2bl w:val="nil"/>
            </w:tcBorders>
            <w:vAlign w:val="center"/>
          </w:tcPr>
          <w:p>
            <w:pPr>
              <w:jc w:val="center"/>
              <w:rPr>
                <w:rFonts w:cs="Times New Roman"/>
                <w:b/>
                <w:bCs/>
                <w:sz w:val="18"/>
                <w:szCs w:val="18"/>
              </w:rPr>
            </w:pPr>
            <w:r>
              <w:rPr>
                <w:rFonts w:cs="Times New Roman"/>
                <w:b/>
                <w:bCs/>
                <w:sz w:val="18"/>
                <w:szCs w:val="18"/>
              </w:rPr>
              <w:t>无组织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702" w:type="dxa"/>
            <w:vMerge w:val="continue"/>
            <w:tcBorders>
              <w:tl2br w:val="nil"/>
              <w:tr2bl w:val="nil"/>
            </w:tcBorders>
            <w:vAlign w:val="center"/>
          </w:tcPr>
          <w:p>
            <w:pPr>
              <w:jc w:val="center"/>
              <w:rPr>
                <w:rFonts w:cs="Times New Roman"/>
                <w:b/>
                <w:bCs/>
                <w:sz w:val="18"/>
                <w:szCs w:val="18"/>
              </w:rPr>
            </w:pPr>
          </w:p>
        </w:tc>
        <w:tc>
          <w:tcPr>
            <w:tcW w:w="763" w:type="dxa"/>
            <w:vMerge w:val="continue"/>
            <w:tcBorders>
              <w:tl2br w:val="nil"/>
              <w:tr2bl w:val="nil"/>
            </w:tcBorders>
            <w:vAlign w:val="center"/>
          </w:tcPr>
          <w:p>
            <w:pPr>
              <w:jc w:val="center"/>
              <w:rPr>
                <w:rFonts w:cs="Times New Roman"/>
                <w:b/>
                <w:bCs/>
                <w:sz w:val="18"/>
                <w:szCs w:val="18"/>
              </w:rPr>
            </w:pPr>
          </w:p>
        </w:tc>
        <w:tc>
          <w:tcPr>
            <w:tcW w:w="880" w:type="dxa"/>
            <w:vMerge w:val="continue"/>
            <w:tcBorders>
              <w:tl2br w:val="nil"/>
              <w:tr2bl w:val="nil"/>
            </w:tcBorders>
            <w:vAlign w:val="center"/>
          </w:tcPr>
          <w:p>
            <w:pPr>
              <w:jc w:val="center"/>
              <w:rPr>
                <w:rFonts w:cs="Times New Roman"/>
                <w:b/>
                <w:bCs/>
                <w:sz w:val="18"/>
                <w:szCs w:val="18"/>
              </w:rPr>
            </w:pPr>
          </w:p>
        </w:tc>
        <w:tc>
          <w:tcPr>
            <w:tcW w:w="630" w:type="dxa"/>
            <w:vMerge w:val="continue"/>
            <w:tcBorders>
              <w:tl2br w:val="nil"/>
              <w:tr2bl w:val="nil"/>
            </w:tcBorders>
            <w:vAlign w:val="center"/>
          </w:tcPr>
          <w:p>
            <w:pPr>
              <w:jc w:val="center"/>
              <w:rPr>
                <w:rFonts w:cs="Times New Roman"/>
                <w:b/>
                <w:bCs/>
                <w:sz w:val="18"/>
                <w:szCs w:val="18"/>
              </w:rPr>
            </w:pPr>
          </w:p>
        </w:tc>
        <w:tc>
          <w:tcPr>
            <w:tcW w:w="1171" w:type="dxa"/>
            <w:vMerge w:val="continue"/>
            <w:tcBorders>
              <w:tl2br w:val="nil"/>
              <w:tr2bl w:val="nil"/>
            </w:tcBorders>
            <w:vAlign w:val="center"/>
          </w:tcPr>
          <w:p>
            <w:pPr>
              <w:jc w:val="center"/>
              <w:rPr>
                <w:rFonts w:cs="Times New Roman"/>
                <w:b/>
                <w:bCs/>
                <w:sz w:val="18"/>
                <w:szCs w:val="18"/>
              </w:rPr>
            </w:pPr>
          </w:p>
        </w:tc>
        <w:tc>
          <w:tcPr>
            <w:tcW w:w="645" w:type="dxa"/>
            <w:vMerge w:val="continue"/>
            <w:tcBorders>
              <w:tl2br w:val="nil"/>
              <w:tr2bl w:val="nil"/>
            </w:tcBorders>
            <w:vAlign w:val="center"/>
          </w:tcPr>
          <w:p>
            <w:pPr>
              <w:jc w:val="center"/>
              <w:rPr>
                <w:rFonts w:cs="Times New Roman"/>
                <w:b/>
                <w:bCs/>
                <w:sz w:val="18"/>
                <w:szCs w:val="18"/>
              </w:rPr>
            </w:pPr>
          </w:p>
        </w:tc>
        <w:tc>
          <w:tcPr>
            <w:tcW w:w="841" w:type="dxa"/>
            <w:vMerge w:val="continue"/>
            <w:tcBorders>
              <w:tl2br w:val="nil"/>
              <w:tr2bl w:val="nil"/>
            </w:tcBorders>
            <w:vAlign w:val="center"/>
          </w:tcPr>
          <w:p>
            <w:pPr>
              <w:jc w:val="center"/>
              <w:rPr>
                <w:rFonts w:cs="Times New Roman"/>
                <w:b/>
                <w:bCs/>
                <w:sz w:val="18"/>
                <w:szCs w:val="18"/>
              </w:rPr>
            </w:pPr>
          </w:p>
        </w:tc>
        <w:tc>
          <w:tcPr>
            <w:tcW w:w="916" w:type="dxa"/>
            <w:vMerge w:val="continue"/>
            <w:tcBorders>
              <w:tl2br w:val="nil"/>
              <w:tr2bl w:val="nil"/>
            </w:tcBorders>
            <w:vAlign w:val="center"/>
          </w:tcPr>
          <w:p>
            <w:pPr>
              <w:jc w:val="center"/>
              <w:rPr>
                <w:rFonts w:cs="Times New Roman"/>
                <w:b/>
                <w:bCs/>
                <w:sz w:val="18"/>
                <w:szCs w:val="18"/>
              </w:rPr>
            </w:pPr>
          </w:p>
        </w:tc>
        <w:tc>
          <w:tcPr>
            <w:tcW w:w="675" w:type="dxa"/>
            <w:tcBorders>
              <w:tl2br w:val="nil"/>
              <w:tr2bl w:val="nil"/>
            </w:tcBorders>
            <w:vAlign w:val="center"/>
          </w:tcPr>
          <w:p>
            <w:pPr>
              <w:jc w:val="center"/>
              <w:rPr>
                <w:rFonts w:cs="Times New Roman"/>
                <w:b/>
                <w:bCs/>
                <w:sz w:val="18"/>
                <w:szCs w:val="18"/>
              </w:rPr>
            </w:pPr>
            <w:r>
              <w:rPr>
                <w:rFonts w:cs="Times New Roman"/>
                <w:b/>
                <w:bCs/>
                <w:sz w:val="18"/>
                <w:szCs w:val="18"/>
              </w:rPr>
              <w:t>kg/h</w:t>
            </w:r>
          </w:p>
        </w:tc>
        <w:tc>
          <w:tcPr>
            <w:tcW w:w="738" w:type="dxa"/>
            <w:tcBorders>
              <w:tl2br w:val="nil"/>
              <w:tr2bl w:val="nil"/>
            </w:tcBorders>
            <w:vAlign w:val="center"/>
          </w:tcPr>
          <w:p>
            <w:pPr>
              <w:jc w:val="center"/>
              <w:rPr>
                <w:rFonts w:cs="Times New Roman"/>
                <w:b/>
                <w:bCs/>
                <w:sz w:val="18"/>
                <w:szCs w:val="18"/>
              </w:rPr>
            </w:pPr>
            <w:r>
              <w:rPr>
                <w:rFonts w:cs="Times New Roman"/>
                <w:b/>
                <w:bCs/>
                <w:sz w:val="18"/>
                <w:szCs w:val="18"/>
              </w:rPr>
              <w:t>t/a</w:t>
            </w:r>
          </w:p>
        </w:tc>
        <w:tc>
          <w:tcPr>
            <w:tcW w:w="778" w:type="dxa"/>
            <w:tcBorders>
              <w:tl2br w:val="nil"/>
              <w:tr2bl w:val="nil"/>
            </w:tcBorders>
            <w:vAlign w:val="center"/>
          </w:tcPr>
          <w:p>
            <w:pPr>
              <w:jc w:val="center"/>
              <w:rPr>
                <w:rFonts w:cs="Times New Roman"/>
                <w:b/>
                <w:bCs/>
                <w:sz w:val="18"/>
                <w:szCs w:val="18"/>
              </w:rPr>
            </w:pPr>
            <w:r>
              <w:rPr>
                <w:rFonts w:cs="Times New Roman"/>
                <w:b/>
                <w:bCs/>
                <w:sz w:val="18"/>
                <w:szCs w:val="18"/>
              </w:rPr>
              <w:t>kg/h</w:t>
            </w:r>
          </w:p>
        </w:tc>
        <w:tc>
          <w:tcPr>
            <w:tcW w:w="781" w:type="dxa"/>
            <w:tcBorders>
              <w:tl2br w:val="nil"/>
              <w:tr2bl w:val="nil"/>
            </w:tcBorders>
            <w:vAlign w:val="center"/>
          </w:tcPr>
          <w:p>
            <w:pPr>
              <w:jc w:val="center"/>
              <w:rPr>
                <w:rFonts w:cs="Times New Roman"/>
                <w:b/>
                <w:bCs/>
                <w:sz w:val="18"/>
                <w:szCs w:val="18"/>
              </w:rPr>
            </w:pPr>
            <w:r>
              <w:rPr>
                <w:rFonts w:cs="Times New Roman"/>
                <w:b/>
                <w:bCs/>
                <w:sz w:val="18"/>
                <w:szCs w:val="18"/>
              </w:rPr>
              <w:t>t/a</w:t>
            </w:r>
          </w:p>
        </w:tc>
        <w:tc>
          <w:tcPr>
            <w:tcW w:w="766" w:type="dxa"/>
            <w:tcBorders>
              <w:tl2br w:val="nil"/>
              <w:tr2bl w:val="nil"/>
            </w:tcBorders>
            <w:vAlign w:val="center"/>
          </w:tcPr>
          <w:p>
            <w:pPr>
              <w:jc w:val="center"/>
              <w:rPr>
                <w:rFonts w:cs="Times New Roman"/>
                <w:b/>
                <w:bCs/>
                <w:sz w:val="18"/>
                <w:szCs w:val="18"/>
              </w:rPr>
            </w:pPr>
            <w:r>
              <w:rPr>
                <w:rFonts w:cs="Times New Roman"/>
                <w:b/>
                <w:bCs/>
                <w:sz w:val="18"/>
                <w:szCs w:val="18"/>
              </w:rPr>
              <w:t>h</w:t>
            </w:r>
          </w:p>
        </w:tc>
        <w:tc>
          <w:tcPr>
            <w:tcW w:w="811" w:type="dxa"/>
            <w:vMerge w:val="continue"/>
            <w:tcBorders>
              <w:tl2br w:val="nil"/>
              <w:tr2bl w:val="nil"/>
            </w:tcBorders>
            <w:vAlign w:val="center"/>
          </w:tcPr>
          <w:p>
            <w:pPr>
              <w:jc w:val="center"/>
              <w:rPr>
                <w:rFonts w:cs="Times New Roman"/>
                <w:b/>
                <w:bCs/>
                <w:sz w:val="18"/>
                <w:szCs w:val="18"/>
              </w:rPr>
            </w:pPr>
          </w:p>
        </w:tc>
        <w:tc>
          <w:tcPr>
            <w:tcW w:w="991" w:type="dxa"/>
            <w:vMerge w:val="continue"/>
            <w:tcBorders>
              <w:tl2br w:val="nil"/>
              <w:tr2bl w:val="nil"/>
            </w:tcBorders>
            <w:vAlign w:val="center"/>
          </w:tcPr>
          <w:p>
            <w:pPr>
              <w:jc w:val="center"/>
              <w:rPr>
                <w:rFonts w:cs="Times New Roman"/>
                <w:b/>
                <w:bCs/>
                <w:sz w:val="18"/>
                <w:szCs w:val="18"/>
              </w:rPr>
            </w:pPr>
          </w:p>
        </w:tc>
        <w:tc>
          <w:tcPr>
            <w:tcW w:w="615" w:type="dxa"/>
            <w:tcBorders>
              <w:tl2br w:val="nil"/>
              <w:tr2bl w:val="nil"/>
            </w:tcBorders>
            <w:vAlign w:val="center"/>
          </w:tcPr>
          <w:p>
            <w:pPr>
              <w:jc w:val="center"/>
              <w:rPr>
                <w:rFonts w:cs="Times New Roman"/>
                <w:b/>
                <w:bCs/>
                <w:sz w:val="18"/>
                <w:szCs w:val="18"/>
              </w:rPr>
            </w:pPr>
            <w:r>
              <w:rPr>
                <w:rFonts w:cs="Times New Roman"/>
                <w:b/>
                <w:bCs/>
                <w:sz w:val="18"/>
                <w:szCs w:val="18"/>
              </w:rPr>
              <w:t>kg/h</w:t>
            </w:r>
          </w:p>
        </w:tc>
        <w:tc>
          <w:tcPr>
            <w:tcW w:w="781" w:type="dxa"/>
            <w:tcBorders>
              <w:tl2br w:val="nil"/>
              <w:tr2bl w:val="nil"/>
            </w:tcBorders>
            <w:vAlign w:val="center"/>
          </w:tcPr>
          <w:p>
            <w:pPr>
              <w:jc w:val="center"/>
              <w:rPr>
                <w:rFonts w:cs="Times New Roman"/>
                <w:b/>
                <w:bCs/>
                <w:sz w:val="18"/>
                <w:szCs w:val="18"/>
              </w:rPr>
            </w:pPr>
            <w:r>
              <w:rPr>
                <w:rFonts w:cs="Times New Roman"/>
                <w:b/>
                <w:bCs/>
                <w:sz w:val="18"/>
                <w:szCs w:val="18"/>
              </w:rPr>
              <w:t>mg/m</w:t>
            </w:r>
            <w:r>
              <w:rPr>
                <w:rFonts w:cs="Times New Roman"/>
                <w:b/>
                <w:bCs/>
                <w:sz w:val="18"/>
                <w:szCs w:val="18"/>
                <w:vertAlign w:val="superscript"/>
              </w:rPr>
              <w:t>3</w:t>
            </w:r>
          </w:p>
        </w:tc>
        <w:tc>
          <w:tcPr>
            <w:tcW w:w="862" w:type="dxa"/>
            <w:tcBorders>
              <w:tl2br w:val="nil"/>
              <w:tr2bl w:val="nil"/>
            </w:tcBorders>
            <w:vAlign w:val="center"/>
          </w:tcPr>
          <w:p>
            <w:pPr>
              <w:jc w:val="center"/>
              <w:rPr>
                <w:rFonts w:cs="Times New Roman"/>
                <w:b/>
                <w:bCs/>
                <w:sz w:val="18"/>
                <w:szCs w:val="18"/>
              </w:rPr>
            </w:pPr>
            <w:r>
              <w:rPr>
                <w:rFonts w:cs="Times New Roman"/>
                <w:b/>
                <w:bCs/>
                <w:sz w:val="18"/>
                <w:szCs w:val="18"/>
              </w:rPr>
              <w:t>mg/m</w:t>
            </w:r>
            <w:r>
              <w:rPr>
                <w:rFonts w:cs="Times New Roman"/>
                <w:b/>
                <w:bCs/>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46" w:type="dxa"/>
            <w:gridSpan w:val="18"/>
            <w:tcBorders>
              <w:tl2br w:val="nil"/>
              <w:tr2bl w:val="nil"/>
            </w:tcBorders>
            <w:vAlign w:val="center"/>
          </w:tcPr>
          <w:p>
            <w:pPr>
              <w:jc w:val="left"/>
              <w:rPr>
                <w:rFonts w:cs="Times New Roman"/>
                <w:b/>
                <w:bCs/>
                <w:sz w:val="18"/>
                <w:szCs w:val="18"/>
              </w:rPr>
            </w:pPr>
            <w:r>
              <w:rPr>
                <w:rFonts w:cs="Times New Roman"/>
                <w:b/>
                <w:bCs/>
                <w:sz w:val="18"/>
                <w:szCs w:val="18"/>
              </w:rPr>
              <w:t>2100湿法薄毡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原料在浸胶、烘干环节产生的废气</w:t>
            </w: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甲醛</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2.535</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二级活性炭吸附装置</w:t>
            </w:r>
          </w:p>
        </w:tc>
        <w:tc>
          <w:tcPr>
            <w:tcW w:w="645"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8</w:t>
            </w:r>
            <w:r>
              <w:rPr>
                <w:rFonts w:hint="eastAsia" w:cs="Times New Roman"/>
                <w:color w:val="000000" w:themeColor="text1"/>
                <w:sz w:val="18"/>
                <w:szCs w:val="18"/>
                <w:lang w:val="en-US" w:eastAsia="zh-CN"/>
                <w14:textFill>
                  <w14:solidFill>
                    <w14:schemeClr w14:val="tx1"/>
                  </w14:solidFill>
                </w14:textFill>
              </w:rPr>
              <w:t>4</w:t>
            </w:r>
          </w:p>
        </w:tc>
        <w:tc>
          <w:tcPr>
            <w:tcW w:w="84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25000</w:t>
            </w:r>
          </w:p>
        </w:tc>
        <w:tc>
          <w:tcPr>
            <w:tcW w:w="916"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2</w:t>
            </w:r>
            <w:r>
              <w:rPr>
                <w:rFonts w:hint="eastAsia" w:cs="Times New Roman"/>
                <w:color w:val="000000" w:themeColor="text1"/>
                <w:sz w:val="18"/>
                <w:szCs w:val="18"/>
                <w:lang w:val="en-US" w:eastAsia="zh-CN"/>
                <w14:textFill>
                  <w14:solidFill>
                    <w14:schemeClr w14:val="tx1"/>
                  </w14:solidFill>
                </w14:textFill>
              </w:rPr>
              <w:t>.0</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0.050</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0.397</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0.006</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0.051</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DA005</w:t>
            </w:r>
          </w:p>
        </w:tc>
        <w:tc>
          <w:tcPr>
            <w:tcW w:w="991" w:type="dxa"/>
            <w:vMerge w:val="restart"/>
            <w:tcBorders>
              <w:tl2br w:val="nil"/>
              <w:tr2bl w:val="nil"/>
            </w:tcBorders>
            <w:vAlign w:val="center"/>
          </w:tcPr>
          <w:p>
            <w:pPr>
              <w:jc w:val="center"/>
              <w:rPr>
                <w:rFonts w:cs="Times New Roman"/>
                <w:sz w:val="18"/>
                <w:szCs w:val="18"/>
              </w:rPr>
            </w:pPr>
            <w:r>
              <w:rPr>
                <w:rFonts w:cs="Times New Roman"/>
                <w:sz w:val="18"/>
                <w:szCs w:val="18"/>
              </w:rPr>
              <w:t>主要排放口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0.26</w:t>
            </w:r>
          </w:p>
        </w:tc>
        <w:tc>
          <w:tcPr>
            <w:tcW w:w="781" w:type="dxa"/>
            <w:tcBorders>
              <w:tl2br w:val="nil"/>
              <w:tr2bl w:val="nil"/>
            </w:tcBorders>
            <w:vAlign w:val="center"/>
          </w:tcPr>
          <w:p>
            <w:pPr>
              <w:jc w:val="center"/>
              <w:rPr>
                <w:rFonts w:cs="Times New Roman"/>
                <w:sz w:val="18"/>
                <w:szCs w:val="18"/>
              </w:rPr>
            </w:pPr>
            <w:r>
              <w:rPr>
                <w:rFonts w:cs="Times New Roman"/>
                <w:sz w:val="18"/>
                <w:szCs w:val="18"/>
              </w:rPr>
              <w:t>5</w:t>
            </w:r>
          </w:p>
        </w:tc>
        <w:tc>
          <w:tcPr>
            <w:tcW w:w="862" w:type="dxa"/>
            <w:tcBorders>
              <w:tl2br w:val="nil"/>
              <w:tr2bl w:val="nil"/>
            </w:tcBorders>
            <w:vAlign w:val="center"/>
          </w:tcPr>
          <w:p>
            <w:pPr>
              <w:jc w:val="center"/>
              <w:rPr>
                <w:rFonts w:cs="Times New Roman"/>
                <w:sz w:val="18"/>
                <w:szCs w:val="18"/>
              </w:rPr>
            </w:pPr>
            <w:r>
              <w:rPr>
                <w:rFonts w:cs="Times New Roman"/>
                <w:sz w:val="18"/>
                <w:szCs w:val="18"/>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VOCs</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0.034</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84</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w:t>
            </w:r>
            <w:r>
              <w:rPr>
                <w:rFonts w:hint="eastAsia" w:cs="Times New Roman"/>
                <w:color w:val="000000" w:themeColor="text1"/>
                <w:sz w:val="18"/>
                <w:szCs w:val="18"/>
                <w:lang w:val="en-US" w:eastAsia="zh-CN"/>
                <w14:textFill>
                  <w14:solidFill>
                    <w14:schemeClr w14:val="tx1"/>
                  </w14:solidFill>
                </w14:textFill>
              </w:rPr>
              <w:t>4</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0.005</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0.0001</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5.44</w:t>
            </w:r>
          </w:p>
        </w:tc>
        <w:tc>
          <w:tcPr>
            <w:tcW w:w="781" w:type="dxa"/>
            <w:tcBorders>
              <w:tl2br w:val="nil"/>
              <w:tr2bl w:val="nil"/>
            </w:tcBorders>
            <w:vAlign w:val="center"/>
          </w:tcPr>
          <w:p>
            <w:pPr>
              <w:jc w:val="center"/>
              <w:rPr>
                <w:rFonts w:cs="Times New Roman"/>
                <w:sz w:val="18"/>
                <w:szCs w:val="18"/>
              </w:rPr>
            </w:pPr>
            <w:r>
              <w:rPr>
                <w:rFonts w:cs="Times New Roman"/>
                <w:sz w:val="18"/>
                <w:szCs w:val="18"/>
              </w:rPr>
              <w:t>60</w:t>
            </w:r>
          </w:p>
        </w:tc>
        <w:tc>
          <w:tcPr>
            <w:tcW w:w="862" w:type="dxa"/>
            <w:tcBorders>
              <w:tl2br w:val="nil"/>
              <w:tr2bl w:val="nil"/>
            </w:tcBorders>
            <w:vAlign w:val="center"/>
          </w:tcPr>
          <w:p>
            <w:pPr>
              <w:jc w:val="center"/>
              <w:rPr>
                <w:rFonts w:cs="Times New Roman"/>
                <w:sz w:val="18"/>
                <w:szCs w:val="18"/>
              </w:rPr>
            </w:pPr>
            <w:r>
              <w:rPr>
                <w:rFonts w:cs="Times New Roman"/>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氨</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0.085</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0.3</w:t>
            </w:r>
            <w:r>
              <w:rPr>
                <w:rFonts w:hint="eastAsia" w:cs="Times New Roman"/>
                <w:color w:val="000000" w:themeColor="text1"/>
                <w:sz w:val="18"/>
                <w:szCs w:val="18"/>
                <w:lang w:val="en-US" w:eastAsia="zh-CN"/>
                <w14:textFill>
                  <w14:solidFill>
                    <w14:schemeClr w14:val="tx1"/>
                  </w14:solidFill>
                </w14:textFill>
              </w:rPr>
              <w:t>2</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0.008</w:t>
            </w:r>
          </w:p>
        </w:tc>
        <w:tc>
          <w:tcPr>
            <w:tcW w:w="73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0.06</w:t>
            </w:r>
            <w:r>
              <w:rPr>
                <w:rFonts w:hint="eastAsia" w:cs="Times New Roman"/>
                <w:color w:val="000000" w:themeColor="text1"/>
                <w:sz w:val="18"/>
                <w:szCs w:val="18"/>
                <w:lang w:val="en-US" w:eastAsia="zh-CN"/>
                <w14:textFill>
                  <w14:solidFill>
                    <w14:schemeClr w14:val="tx1"/>
                  </w14:solidFill>
                </w14:textFill>
              </w:rPr>
              <w:t>7</w:t>
            </w:r>
          </w:p>
        </w:tc>
        <w:tc>
          <w:tcPr>
            <w:tcW w:w="77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0.000</w:t>
            </w:r>
            <w:r>
              <w:rPr>
                <w:rFonts w:hint="eastAsia" w:cs="Times New Roman"/>
                <w:color w:val="000000" w:themeColor="text1"/>
                <w:sz w:val="18"/>
                <w:szCs w:val="18"/>
                <w:lang w:val="en-US" w:eastAsia="zh-CN"/>
                <w14:textFill>
                  <w14:solidFill>
                    <w14:schemeClr w14:val="tx1"/>
                  </w14:solidFill>
                </w14:textFill>
              </w:rPr>
              <w:t>3</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0.002</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7.18</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天然气燃烧废气</w:t>
            </w: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SO</w:t>
            </w:r>
            <w:r>
              <w:rPr>
                <w:rFonts w:cs="Times New Roman"/>
                <w:color w:val="000000" w:themeColor="text1"/>
                <w:sz w:val="18"/>
                <w:szCs w:val="18"/>
                <w:vertAlign w:val="subscript"/>
                <w14:textFill>
                  <w14:solidFill>
                    <w14:schemeClr w14:val="tx1"/>
                  </w14:solidFill>
                </w14:textFill>
              </w:rPr>
              <w:t>2</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0.046</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低氮燃烧器</w:t>
            </w: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4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25000</w:t>
            </w: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0.233</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0.006</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0.046</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DA005</w:t>
            </w: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50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NOx</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1.833</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9.258</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0.231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1.833</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100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颗粒物</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0.162</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0.817</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0.020</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0.162</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hint="eastAsia" w:cs="Times New Roman"/>
                <w:sz w:val="18"/>
                <w:szCs w:val="18"/>
              </w:rPr>
              <w:t>10</w:t>
            </w:r>
          </w:p>
        </w:tc>
        <w:tc>
          <w:tcPr>
            <w:tcW w:w="862" w:type="dxa"/>
            <w:tcBorders>
              <w:tl2br w:val="nil"/>
              <w:tr2bl w:val="nil"/>
            </w:tcBorders>
            <w:vAlign w:val="center"/>
          </w:tcPr>
          <w:p>
            <w:pPr>
              <w:jc w:val="center"/>
              <w:rPr>
                <w:rFonts w:cs="Times New Roman"/>
                <w:sz w:val="18"/>
                <w:szCs w:val="18"/>
              </w:rPr>
            </w:pPr>
            <w:r>
              <w:rPr>
                <w:rFonts w:hint="eastAsia"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tcBorders>
              <w:tl2br w:val="nil"/>
              <w:tr2bl w:val="nil"/>
            </w:tcBorders>
            <w:vAlign w:val="center"/>
          </w:tcPr>
          <w:p>
            <w:pPr>
              <w:jc w:val="center"/>
              <w:rPr>
                <w:rFonts w:cs="Times New Roman"/>
                <w:sz w:val="18"/>
                <w:szCs w:val="18"/>
              </w:rPr>
            </w:pPr>
            <w:r>
              <w:rPr>
                <w:rFonts w:cs="Times New Roman"/>
                <w:sz w:val="18"/>
                <w:szCs w:val="18"/>
              </w:rPr>
              <w:t>食堂油烟</w:t>
            </w: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油烟</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0.0028</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油烟净化器</w:t>
            </w: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60</w:t>
            </w:r>
          </w:p>
        </w:tc>
        <w:tc>
          <w:tcPr>
            <w:tcW w:w="84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3000</w:t>
            </w:r>
          </w:p>
        </w:tc>
        <w:tc>
          <w:tcPr>
            <w:tcW w:w="916" w:type="dxa"/>
            <w:tcBorders>
              <w:tl2br w:val="nil"/>
              <w:tr2bl w:val="nil"/>
            </w:tcBorders>
            <w:vAlign w:val="center"/>
          </w:tcPr>
          <w:p>
            <w:pPr>
              <w:widowControl/>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0.283</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0.0008</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0.0011</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1320</w:t>
            </w:r>
          </w:p>
        </w:tc>
        <w:tc>
          <w:tcPr>
            <w:tcW w:w="811" w:type="dxa"/>
            <w:tcBorders>
              <w:tl2br w:val="nil"/>
              <w:tr2bl w:val="nil"/>
            </w:tcBorders>
            <w:vAlign w:val="center"/>
          </w:tcPr>
          <w:p>
            <w:pPr>
              <w:jc w:val="center"/>
              <w:rPr>
                <w:rFonts w:cs="Times New Roman"/>
                <w:sz w:val="18"/>
                <w:szCs w:val="18"/>
              </w:rPr>
            </w:pPr>
            <w:r>
              <w:rPr>
                <w:rFonts w:cs="Times New Roman"/>
                <w:sz w:val="18"/>
                <w:szCs w:val="18"/>
              </w:rPr>
              <w:t>DA004</w:t>
            </w:r>
          </w:p>
        </w:tc>
        <w:tc>
          <w:tcPr>
            <w:tcW w:w="991" w:type="dxa"/>
            <w:tcBorders>
              <w:tl2br w:val="nil"/>
              <w:tr2bl w:val="nil"/>
            </w:tcBorders>
            <w:vAlign w:val="center"/>
          </w:tcPr>
          <w:p>
            <w:pPr>
              <w:jc w:val="center"/>
              <w:rPr>
                <w:rFonts w:cs="Times New Roman"/>
                <w:sz w:val="18"/>
                <w:szCs w:val="18"/>
              </w:rPr>
            </w:pPr>
            <w:r>
              <w:rPr>
                <w:rFonts w:cs="Times New Roman"/>
                <w:sz w:val="18"/>
                <w:szCs w:val="18"/>
              </w:rPr>
              <w:t>一般排放口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4346" w:type="dxa"/>
            <w:gridSpan w:val="18"/>
            <w:tcBorders>
              <w:tl2br w:val="nil"/>
              <w:tr2bl w:val="nil"/>
            </w:tcBorders>
            <w:vAlign w:val="center"/>
          </w:tcPr>
          <w:p>
            <w:pPr>
              <w:rPr>
                <w:rFonts w:cs="Times New Roman"/>
                <w:b/>
                <w:bCs/>
                <w:color w:val="000000" w:themeColor="text1"/>
                <w:sz w:val="18"/>
                <w:szCs w:val="18"/>
                <w14:textFill>
                  <w14:solidFill>
                    <w14:schemeClr w14:val="tx1"/>
                  </w14:solidFill>
                </w14:textFill>
              </w:rPr>
            </w:pPr>
            <w:r>
              <w:rPr>
                <w:rFonts w:cs="Times New Roman"/>
                <w:b/>
                <w:bCs/>
                <w:color w:val="000000" w:themeColor="text1"/>
                <w:sz w:val="18"/>
                <w:szCs w:val="18"/>
                <w14:textFill>
                  <w14:solidFill>
                    <w14:schemeClr w14:val="tx1"/>
                  </w14:solidFill>
                </w14:textFill>
              </w:rPr>
              <w:t>2600湿法薄毡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原料在浸胶、烘干环节产生的废气</w:t>
            </w: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甲醛</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2.925</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二级活性炭吸附装置</w:t>
            </w:r>
          </w:p>
        </w:tc>
        <w:tc>
          <w:tcPr>
            <w:tcW w:w="645"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8</w:t>
            </w:r>
            <w:r>
              <w:rPr>
                <w:rFonts w:hint="eastAsia" w:cs="Times New Roman"/>
                <w:color w:val="000000" w:themeColor="text1"/>
                <w:sz w:val="18"/>
                <w:szCs w:val="18"/>
                <w:lang w:val="en-US" w:eastAsia="zh-CN"/>
                <w14:textFill>
                  <w14:solidFill>
                    <w14:schemeClr w14:val="tx1"/>
                  </w14:solidFill>
                </w14:textFill>
              </w:rPr>
              <w:t>4</w:t>
            </w:r>
          </w:p>
        </w:tc>
        <w:tc>
          <w:tcPr>
            <w:tcW w:w="84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25000</w:t>
            </w: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2.3</w:t>
            </w:r>
            <w:r>
              <w:rPr>
                <w:rFonts w:hint="eastAsia" w:cs="Times New Roman"/>
                <w:color w:val="000000" w:themeColor="text1"/>
                <w:sz w:val="18"/>
                <w:szCs w:val="18"/>
                <w:lang w:val="en-US" w:eastAsia="zh-CN"/>
                <w14:textFill>
                  <w14:solidFill>
                    <w14:schemeClr w14:val="tx1"/>
                  </w14:solidFill>
                </w14:textFill>
              </w:rPr>
              <w:t>2</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0.058</w:t>
            </w:r>
          </w:p>
        </w:tc>
        <w:tc>
          <w:tcPr>
            <w:tcW w:w="738"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0.4</w:t>
            </w:r>
            <w:r>
              <w:rPr>
                <w:rFonts w:hint="eastAsia" w:cs="Times New Roman"/>
                <w:color w:val="000000" w:themeColor="text1"/>
                <w:sz w:val="18"/>
                <w:szCs w:val="18"/>
                <w:lang w:val="en-US" w:eastAsia="zh-CN"/>
                <w14:textFill>
                  <w14:solidFill>
                    <w14:schemeClr w14:val="tx1"/>
                  </w14:solidFill>
                </w14:textFill>
              </w:rPr>
              <w:t>59</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0.007</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0.059</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DA006</w:t>
            </w:r>
          </w:p>
        </w:tc>
        <w:tc>
          <w:tcPr>
            <w:tcW w:w="991" w:type="dxa"/>
            <w:vMerge w:val="restart"/>
            <w:tcBorders>
              <w:tl2br w:val="nil"/>
              <w:tr2bl w:val="nil"/>
            </w:tcBorders>
            <w:vAlign w:val="center"/>
          </w:tcPr>
          <w:p>
            <w:pPr>
              <w:jc w:val="center"/>
              <w:rPr>
                <w:rFonts w:cs="Times New Roman"/>
                <w:sz w:val="18"/>
                <w:szCs w:val="18"/>
              </w:rPr>
            </w:pPr>
            <w:r>
              <w:rPr>
                <w:rFonts w:cs="Times New Roman"/>
                <w:sz w:val="18"/>
                <w:szCs w:val="18"/>
              </w:rPr>
              <w:t>主要排放口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0.26</w:t>
            </w:r>
          </w:p>
        </w:tc>
        <w:tc>
          <w:tcPr>
            <w:tcW w:w="781" w:type="dxa"/>
            <w:tcBorders>
              <w:tl2br w:val="nil"/>
              <w:tr2bl w:val="nil"/>
            </w:tcBorders>
            <w:vAlign w:val="center"/>
          </w:tcPr>
          <w:p>
            <w:pPr>
              <w:jc w:val="center"/>
              <w:rPr>
                <w:rFonts w:cs="Times New Roman"/>
                <w:sz w:val="18"/>
                <w:szCs w:val="18"/>
              </w:rPr>
            </w:pPr>
            <w:r>
              <w:rPr>
                <w:rFonts w:cs="Times New Roman"/>
                <w:sz w:val="18"/>
                <w:szCs w:val="18"/>
              </w:rPr>
              <w:t>5</w:t>
            </w:r>
          </w:p>
        </w:tc>
        <w:tc>
          <w:tcPr>
            <w:tcW w:w="862" w:type="dxa"/>
            <w:tcBorders>
              <w:tl2br w:val="nil"/>
              <w:tr2bl w:val="nil"/>
            </w:tcBorders>
            <w:vAlign w:val="center"/>
          </w:tcPr>
          <w:p>
            <w:pPr>
              <w:jc w:val="center"/>
              <w:rPr>
                <w:rFonts w:cs="Times New Roman"/>
                <w:sz w:val="18"/>
                <w:szCs w:val="18"/>
              </w:rPr>
            </w:pPr>
            <w:r>
              <w:rPr>
                <w:rFonts w:cs="Times New Roman"/>
                <w:sz w:val="18"/>
                <w:szCs w:val="18"/>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VOCs</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0.039</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84</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w:t>
            </w:r>
            <w:r>
              <w:rPr>
                <w:rFonts w:hint="eastAsia" w:cs="Times New Roman"/>
                <w:color w:val="000000" w:themeColor="text1"/>
                <w:sz w:val="18"/>
                <w:szCs w:val="18"/>
                <w:lang w:val="en-US" w:eastAsia="zh-CN"/>
                <w14:textFill>
                  <w14:solidFill>
                    <w14:schemeClr w14:val="tx1"/>
                  </w14:solidFill>
                </w14:textFill>
              </w:rPr>
              <w:t>4</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0.006</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0.0001</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0.001</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5.44</w:t>
            </w:r>
          </w:p>
        </w:tc>
        <w:tc>
          <w:tcPr>
            <w:tcW w:w="781" w:type="dxa"/>
            <w:tcBorders>
              <w:tl2br w:val="nil"/>
              <w:tr2bl w:val="nil"/>
            </w:tcBorders>
            <w:vAlign w:val="center"/>
          </w:tcPr>
          <w:p>
            <w:pPr>
              <w:jc w:val="center"/>
              <w:rPr>
                <w:rFonts w:cs="Times New Roman"/>
                <w:sz w:val="18"/>
                <w:szCs w:val="18"/>
              </w:rPr>
            </w:pPr>
            <w:r>
              <w:rPr>
                <w:rFonts w:cs="Times New Roman"/>
                <w:sz w:val="18"/>
                <w:szCs w:val="18"/>
              </w:rPr>
              <w:t>60</w:t>
            </w:r>
          </w:p>
        </w:tc>
        <w:tc>
          <w:tcPr>
            <w:tcW w:w="862" w:type="dxa"/>
            <w:tcBorders>
              <w:tl2br w:val="nil"/>
              <w:tr2bl w:val="nil"/>
            </w:tcBorders>
            <w:vAlign w:val="center"/>
          </w:tcPr>
          <w:p>
            <w:pPr>
              <w:jc w:val="center"/>
              <w:rPr>
                <w:rFonts w:cs="Times New Roman"/>
                <w:sz w:val="18"/>
                <w:szCs w:val="18"/>
              </w:rPr>
            </w:pPr>
            <w:r>
              <w:rPr>
                <w:rFonts w:cs="Times New Roman"/>
                <w:sz w:val="18"/>
                <w:szCs w:val="18"/>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氨</w:t>
            </w:r>
          </w:p>
        </w:tc>
        <w:tc>
          <w:tcPr>
            <w:tcW w:w="88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0.098</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98</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20</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4</w:t>
            </w:r>
          </w:p>
        </w:tc>
        <w:tc>
          <w:tcPr>
            <w:tcW w:w="67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0.01</w:t>
            </w:r>
          </w:p>
        </w:tc>
        <w:tc>
          <w:tcPr>
            <w:tcW w:w="73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0.076</w:t>
            </w:r>
          </w:p>
        </w:tc>
        <w:tc>
          <w:tcPr>
            <w:tcW w:w="77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0.000</w:t>
            </w:r>
            <w:r>
              <w:rPr>
                <w:rFonts w:hint="eastAsia" w:cs="Times New Roman"/>
                <w:color w:val="000000" w:themeColor="text1"/>
                <w:sz w:val="18"/>
                <w:szCs w:val="18"/>
                <w:lang w:val="en-US" w:eastAsia="zh-CN"/>
                <w14:textFill>
                  <w14:solidFill>
                    <w14:schemeClr w14:val="tx1"/>
                  </w14:solidFill>
                </w14:textFill>
              </w:rPr>
              <w:t>3</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0.002</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7.18</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restart"/>
            <w:tcBorders>
              <w:tl2br w:val="nil"/>
              <w:tr2bl w:val="nil"/>
            </w:tcBorders>
            <w:vAlign w:val="center"/>
          </w:tcPr>
          <w:p>
            <w:pPr>
              <w:jc w:val="center"/>
              <w:rPr>
                <w:rFonts w:cs="Times New Roman"/>
                <w:sz w:val="18"/>
                <w:szCs w:val="18"/>
              </w:rPr>
            </w:pPr>
            <w:r>
              <w:rPr>
                <w:rFonts w:cs="Times New Roman"/>
                <w:sz w:val="18"/>
                <w:szCs w:val="18"/>
              </w:rPr>
              <w:t>天然气燃烧废气</w:t>
            </w: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SO</w:t>
            </w:r>
            <w:r>
              <w:rPr>
                <w:rFonts w:cs="Times New Roman"/>
                <w:color w:val="000000" w:themeColor="text1"/>
                <w:sz w:val="18"/>
                <w:szCs w:val="18"/>
                <w:vertAlign w:val="subscript"/>
                <w14:textFill>
                  <w14:solidFill>
                    <w14:schemeClr w14:val="tx1"/>
                  </w14:solidFill>
                </w14:textFill>
              </w:rPr>
              <w:t>2</w:t>
            </w:r>
          </w:p>
        </w:tc>
        <w:tc>
          <w:tcPr>
            <w:tcW w:w="8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0.057</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低氮燃烧器</w:t>
            </w: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41" w:type="dxa"/>
            <w:vMerge w:val="restart"/>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25000</w:t>
            </w:r>
          </w:p>
        </w:tc>
        <w:tc>
          <w:tcPr>
            <w:tcW w:w="916" w:type="dxa"/>
            <w:tcBorders>
              <w:tl2br w:val="nil"/>
              <w:tr2bl w:val="nil"/>
            </w:tcBorders>
            <w:vAlign w:val="center"/>
          </w:tcPr>
          <w:p>
            <w:pPr>
              <w:widowControl/>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0.28</w:t>
            </w:r>
          </w:p>
        </w:tc>
        <w:tc>
          <w:tcPr>
            <w:tcW w:w="675"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cs="Times New Roman"/>
                <w:color w:val="000000" w:themeColor="text1"/>
                <w:sz w:val="18"/>
                <w:szCs w:val="18"/>
                <w14:textFill>
                  <w14:solidFill>
                    <w14:schemeClr w14:val="tx1"/>
                  </w14:solidFill>
                </w14:textFill>
              </w:rPr>
              <w:t>0.00</w:t>
            </w:r>
            <w:r>
              <w:rPr>
                <w:rFonts w:hint="eastAsia" w:cs="Times New Roman"/>
                <w:color w:val="000000" w:themeColor="text1"/>
                <w:sz w:val="18"/>
                <w:szCs w:val="18"/>
                <w:lang w:val="en-US" w:eastAsia="zh-CN"/>
                <w14:textFill>
                  <w14:solidFill>
                    <w14:schemeClr w14:val="tx1"/>
                  </w14:solidFill>
                </w14:textFill>
              </w:rPr>
              <w:t>7</w:t>
            </w:r>
          </w:p>
        </w:tc>
        <w:tc>
          <w:tcPr>
            <w:tcW w:w="738"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057</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restart"/>
            <w:tcBorders>
              <w:tl2br w:val="nil"/>
              <w:tr2bl w:val="nil"/>
            </w:tcBorders>
            <w:vAlign w:val="center"/>
          </w:tcPr>
          <w:p>
            <w:pPr>
              <w:jc w:val="center"/>
              <w:rPr>
                <w:rFonts w:cs="Times New Roman"/>
                <w:sz w:val="18"/>
                <w:szCs w:val="18"/>
              </w:rPr>
            </w:pPr>
            <w:r>
              <w:rPr>
                <w:rFonts w:cs="Times New Roman"/>
                <w:sz w:val="18"/>
                <w:szCs w:val="18"/>
              </w:rPr>
              <w:t>DA006</w:t>
            </w: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50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NOx</w:t>
            </w:r>
          </w:p>
        </w:tc>
        <w:tc>
          <w:tcPr>
            <w:tcW w:w="880"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2.261</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11.4</w:t>
            </w:r>
          </w:p>
        </w:tc>
        <w:tc>
          <w:tcPr>
            <w:tcW w:w="675"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285</w:t>
            </w:r>
          </w:p>
        </w:tc>
        <w:tc>
          <w:tcPr>
            <w:tcW w:w="738" w:type="dxa"/>
            <w:tcBorders>
              <w:tl2br w:val="nil"/>
              <w:tr2bl w:val="nil"/>
            </w:tcBorders>
            <w:vAlign w:val="center"/>
          </w:tcPr>
          <w:p>
            <w:pPr>
              <w:jc w:val="center"/>
              <w:rPr>
                <w:rFonts w:hint="default"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2.261</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100</w:t>
            </w:r>
          </w:p>
        </w:tc>
        <w:tc>
          <w:tcPr>
            <w:tcW w:w="862" w:type="dxa"/>
            <w:tcBorders>
              <w:tl2br w:val="nil"/>
              <w:tr2bl w:val="nil"/>
            </w:tcBorders>
            <w:vAlign w:val="center"/>
          </w:tcPr>
          <w:p>
            <w:pPr>
              <w:jc w:val="center"/>
              <w:rPr>
                <w:rFonts w:cs="Times New Roman"/>
                <w:sz w:val="18"/>
                <w:szCs w:val="18"/>
              </w:rPr>
            </w:pPr>
            <w:r>
              <w:rPr>
                <w:rFonts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vMerge w:val="continue"/>
            <w:tcBorders>
              <w:tl2br w:val="nil"/>
              <w:tr2bl w:val="nil"/>
            </w:tcBorders>
            <w:vAlign w:val="center"/>
          </w:tcPr>
          <w:p>
            <w:pPr>
              <w:jc w:val="center"/>
              <w:rPr>
                <w:rFonts w:cs="Times New Roman"/>
                <w:sz w:val="18"/>
                <w:szCs w:val="18"/>
              </w:rPr>
            </w:pPr>
          </w:p>
        </w:tc>
        <w:tc>
          <w:tcPr>
            <w:tcW w:w="763"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颗粒物</w:t>
            </w:r>
          </w:p>
        </w:tc>
        <w:tc>
          <w:tcPr>
            <w:tcW w:w="880"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2</w:t>
            </w:r>
          </w:p>
        </w:tc>
        <w:tc>
          <w:tcPr>
            <w:tcW w:w="630"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117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645"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hint="eastAsia" w:cs="Times New Roman"/>
                <w:color w:val="000000" w:themeColor="text1"/>
                <w:sz w:val="18"/>
                <w:szCs w:val="18"/>
                <w14:textFill>
                  <w14:solidFill>
                    <w14:schemeClr w14:val="tx1"/>
                  </w14:solidFill>
                </w14:textFill>
              </w:rPr>
              <w:t>/</w:t>
            </w:r>
          </w:p>
        </w:tc>
        <w:tc>
          <w:tcPr>
            <w:tcW w:w="841" w:type="dxa"/>
            <w:vMerge w:val="continue"/>
            <w:tcBorders>
              <w:tl2br w:val="nil"/>
              <w:tr2bl w:val="nil"/>
            </w:tcBorders>
            <w:vAlign w:val="center"/>
          </w:tcPr>
          <w:p>
            <w:pPr>
              <w:jc w:val="center"/>
              <w:rPr>
                <w:rFonts w:cs="Times New Roman"/>
                <w:color w:val="000000" w:themeColor="text1"/>
                <w:sz w:val="18"/>
                <w:szCs w:val="18"/>
                <w14:textFill>
                  <w14:solidFill>
                    <w14:schemeClr w14:val="tx1"/>
                  </w14:solidFill>
                </w14:textFill>
              </w:rPr>
            </w:pPr>
          </w:p>
        </w:tc>
        <w:tc>
          <w:tcPr>
            <w:tcW w:w="916" w:type="dxa"/>
            <w:tcBorders>
              <w:tl2br w:val="nil"/>
              <w:tr2bl w:val="nil"/>
            </w:tcBorders>
            <w:vAlign w:val="center"/>
          </w:tcPr>
          <w:p>
            <w:pPr>
              <w:widowControl/>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675"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14:textFill>
                  <w14:solidFill>
                    <w14:schemeClr w14:val="tx1"/>
                  </w14:solidFill>
                </w14:textFill>
              </w:rPr>
              <w:t>0.02</w:t>
            </w:r>
            <w:r>
              <w:rPr>
                <w:rFonts w:hint="eastAsia" w:cs="Times New Roman"/>
                <w:color w:val="000000" w:themeColor="text1"/>
                <w:sz w:val="18"/>
                <w:szCs w:val="18"/>
                <w:lang w:val="en-US" w:eastAsia="zh-CN"/>
                <w14:textFill>
                  <w14:solidFill>
                    <w14:schemeClr w14:val="tx1"/>
                  </w14:solidFill>
                </w14:textFill>
              </w:rPr>
              <w:t>5</w:t>
            </w:r>
          </w:p>
        </w:tc>
        <w:tc>
          <w:tcPr>
            <w:tcW w:w="738" w:type="dxa"/>
            <w:tcBorders>
              <w:tl2br w:val="nil"/>
              <w:tr2bl w:val="nil"/>
            </w:tcBorders>
            <w:vAlign w:val="center"/>
          </w:tcPr>
          <w:p>
            <w:pPr>
              <w:jc w:val="center"/>
              <w:rPr>
                <w:rFonts w:hint="eastAsia"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14:textFill>
                  <w14:solidFill>
                    <w14:schemeClr w14:val="tx1"/>
                  </w14:solidFill>
                </w14:textFill>
              </w:rPr>
              <w:t>0.</w:t>
            </w:r>
            <w:r>
              <w:rPr>
                <w:rFonts w:hint="eastAsia" w:cs="Times New Roman"/>
                <w:color w:val="000000" w:themeColor="text1"/>
                <w:sz w:val="18"/>
                <w:szCs w:val="18"/>
                <w:lang w:val="en-US" w:eastAsia="zh-CN"/>
                <w14:textFill>
                  <w14:solidFill>
                    <w14:schemeClr w14:val="tx1"/>
                  </w14:solidFill>
                </w14:textFill>
              </w:rPr>
              <w:t>2</w:t>
            </w:r>
          </w:p>
        </w:tc>
        <w:tc>
          <w:tcPr>
            <w:tcW w:w="778"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81"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w:t>
            </w:r>
          </w:p>
        </w:tc>
        <w:tc>
          <w:tcPr>
            <w:tcW w:w="766" w:type="dxa"/>
            <w:tcBorders>
              <w:tl2br w:val="nil"/>
              <w:tr2bl w:val="nil"/>
            </w:tcBorders>
            <w:vAlign w:val="center"/>
          </w:tcPr>
          <w:p>
            <w:pPr>
              <w:jc w:val="center"/>
              <w:rPr>
                <w:rFonts w:cs="Times New Roman"/>
                <w:color w:val="000000" w:themeColor="text1"/>
                <w:sz w:val="18"/>
                <w:szCs w:val="18"/>
                <w14:textFill>
                  <w14:solidFill>
                    <w14:schemeClr w14:val="tx1"/>
                  </w14:solidFill>
                </w14:textFill>
              </w:rPr>
            </w:pPr>
            <w:r>
              <w:rPr>
                <w:rFonts w:cs="Times New Roman"/>
                <w:color w:val="000000" w:themeColor="text1"/>
                <w:sz w:val="18"/>
                <w:szCs w:val="18"/>
                <w14:textFill>
                  <w14:solidFill>
                    <w14:schemeClr w14:val="tx1"/>
                  </w14:solidFill>
                </w14:textFill>
              </w:rPr>
              <w:t>7920</w:t>
            </w:r>
          </w:p>
        </w:tc>
        <w:tc>
          <w:tcPr>
            <w:tcW w:w="811" w:type="dxa"/>
            <w:vMerge w:val="continue"/>
            <w:tcBorders>
              <w:tl2br w:val="nil"/>
              <w:tr2bl w:val="nil"/>
            </w:tcBorders>
            <w:vAlign w:val="center"/>
          </w:tcPr>
          <w:p>
            <w:pPr>
              <w:jc w:val="center"/>
              <w:rPr>
                <w:rFonts w:cs="Times New Roman"/>
                <w:sz w:val="18"/>
                <w:szCs w:val="18"/>
              </w:rPr>
            </w:pPr>
          </w:p>
        </w:tc>
        <w:tc>
          <w:tcPr>
            <w:tcW w:w="991" w:type="dxa"/>
            <w:vMerge w:val="continue"/>
            <w:tcBorders>
              <w:tl2br w:val="nil"/>
              <w:tr2bl w:val="nil"/>
            </w:tcBorders>
            <w:vAlign w:val="center"/>
          </w:tcPr>
          <w:p>
            <w:pPr>
              <w:jc w:val="center"/>
              <w:rPr>
                <w:rFonts w:cs="Times New Roman"/>
                <w:sz w:val="18"/>
                <w:szCs w:val="18"/>
              </w:rPr>
            </w:pP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hint="eastAsia" w:cs="Times New Roman"/>
                <w:sz w:val="18"/>
                <w:szCs w:val="18"/>
              </w:rPr>
              <w:t>10</w:t>
            </w:r>
          </w:p>
        </w:tc>
        <w:tc>
          <w:tcPr>
            <w:tcW w:w="862" w:type="dxa"/>
            <w:tcBorders>
              <w:tl2br w:val="nil"/>
              <w:tr2bl w:val="nil"/>
            </w:tcBorders>
            <w:vAlign w:val="center"/>
          </w:tcPr>
          <w:p>
            <w:pPr>
              <w:jc w:val="center"/>
              <w:rPr>
                <w:rFonts w:cs="Times New Roman"/>
                <w:sz w:val="18"/>
                <w:szCs w:val="18"/>
              </w:rPr>
            </w:pPr>
            <w:r>
              <w:rPr>
                <w:rFonts w:hint="eastAsia" w:cs="Times New Roman"/>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02" w:type="dxa"/>
            <w:tcBorders>
              <w:tl2br w:val="nil"/>
              <w:tr2bl w:val="nil"/>
            </w:tcBorders>
            <w:vAlign w:val="center"/>
          </w:tcPr>
          <w:p>
            <w:pPr>
              <w:jc w:val="center"/>
              <w:rPr>
                <w:rFonts w:cs="Times New Roman"/>
                <w:sz w:val="18"/>
                <w:szCs w:val="18"/>
              </w:rPr>
            </w:pPr>
            <w:r>
              <w:rPr>
                <w:rFonts w:cs="Times New Roman"/>
                <w:sz w:val="18"/>
                <w:szCs w:val="18"/>
              </w:rPr>
              <w:t>食堂油烟</w:t>
            </w:r>
          </w:p>
        </w:tc>
        <w:tc>
          <w:tcPr>
            <w:tcW w:w="763" w:type="dxa"/>
            <w:tcBorders>
              <w:tl2br w:val="nil"/>
              <w:tr2bl w:val="nil"/>
            </w:tcBorders>
            <w:vAlign w:val="center"/>
          </w:tcPr>
          <w:p>
            <w:pPr>
              <w:jc w:val="center"/>
              <w:rPr>
                <w:rFonts w:cs="Times New Roman"/>
                <w:sz w:val="18"/>
                <w:szCs w:val="18"/>
              </w:rPr>
            </w:pPr>
            <w:r>
              <w:rPr>
                <w:rFonts w:cs="Times New Roman"/>
                <w:sz w:val="18"/>
                <w:szCs w:val="18"/>
              </w:rPr>
              <w:t>油烟</w:t>
            </w:r>
          </w:p>
        </w:tc>
        <w:tc>
          <w:tcPr>
            <w:tcW w:w="880" w:type="dxa"/>
            <w:tcBorders>
              <w:tl2br w:val="nil"/>
              <w:tr2bl w:val="nil"/>
            </w:tcBorders>
            <w:vAlign w:val="center"/>
          </w:tcPr>
          <w:p>
            <w:pPr>
              <w:jc w:val="center"/>
              <w:rPr>
                <w:rFonts w:cs="Times New Roman"/>
                <w:sz w:val="18"/>
                <w:szCs w:val="18"/>
              </w:rPr>
            </w:pPr>
            <w:r>
              <w:rPr>
                <w:rFonts w:cs="Times New Roman"/>
                <w:sz w:val="18"/>
                <w:szCs w:val="18"/>
              </w:rPr>
              <w:t>0.0028</w:t>
            </w:r>
          </w:p>
        </w:tc>
        <w:tc>
          <w:tcPr>
            <w:tcW w:w="630" w:type="dxa"/>
            <w:tcBorders>
              <w:tl2br w:val="nil"/>
              <w:tr2bl w:val="nil"/>
            </w:tcBorders>
            <w:vAlign w:val="center"/>
          </w:tcPr>
          <w:p>
            <w:pPr>
              <w:jc w:val="center"/>
              <w:rPr>
                <w:rFonts w:cs="Times New Roman"/>
                <w:sz w:val="18"/>
                <w:szCs w:val="18"/>
              </w:rPr>
            </w:pPr>
            <w:r>
              <w:rPr>
                <w:rFonts w:cs="Times New Roman"/>
                <w:sz w:val="18"/>
                <w:szCs w:val="18"/>
              </w:rPr>
              <w:t>/</w:t>
            </w:r>
          </w:p>
        </w:tc>
        <w:tc>
          <w:tcPr>
            <w:tcW w:w="1171" w:type="dxa"/>
            <w:tcBorders>
              <w:tl2br w:val="nil"/>
              <w:tr2bl w:val="nil"/>
            </w:tcBorders>
            <w:vAlign w:val="center"/>
          </w:tcPr>
          <w:p>
            <w:pPr>
              <w:jc w:val="center"/>
              <w:rPr>
                <w:rFonts w:cs="Times New Roman"/>
                <w:sz w:val="18"/>
                <w:szCs w:val="18"/>
              </w:rPr>
            </w:pPr>
            <w:r>
              <w:rPr>
                <w:rFonts w:cs="Times New Roman"/>
                <w:sz w:val="18"/>
                <w:szCs w:val="18"/>
              </w:rPr>
              <w:t>油烟净化器</w:t>
            </w:r>
          </w:p>
        </w:tc>
        <w:tc>
          <w:tcPr>
            <w:tcW w:w="645" w:type="dxa"/>
            <w:tcBorders>
              <w:tl2br w:val="nil"/>
              <w:tr2bl w:val="nil"/>
            </w:tcBorders>
            <w:vAlign w:val="center"/>
          </w:tcPr>
          <w:p>
            <w:pPr>
              <w:jc w:val="center"/>
              <w:rPr>
                <w:rFonts w:cs="Times New Roman"/>
                <w:sz w:val="18"/>
                <w:szCs w:val="18"/>
              </w:rPr>
            </w:pPr>
            <w:r>
              <w:rPr>
                <w:rFonts w:cs="Times New Roman"/>
                <w:sz w:val="18"/>
                <w:szCs w:val="18"/>
              </w:rPr>
              <w:t>60</w:t>
            </w:r>
          </w:p>
        </w:tc>
        <w:tc>
          <w:tcPr>
            <w:tcW w:w="841" w:type="dxa"/>
            <w:tcBorders>
              <w:tl2br w:val="nil"/>
              <w:tr2bl w:val="nil"/>
            </w:tcBorders>
            <w:vAlign w:val="center"/>
          </w:tcPr>
          <w:p>
            <w:pPr>
              <w:jc w:val="center"/>
              <w:rPr>
                <w:rFonts w:cs="Times New Roman"/>
                <w:sz w:val="18"/>
                <w:szCs w:val="18"/>
              </w:rPr>
            </w:pPr>
            <w:r>
              <w:rPr>
                <w:rFonts w:cs="Times New Roman"/>
                <w:sz w:val="18"/>
                <w:szCs w:val="18"/>
              </w:rPr>
              <w:t>3000</w:t>
            </w:r>
          </w:p>
        </w:tc>
        <w:tc>
          <w:tcPr>
            <w:tcW w:w="916" w:type="dxa"/>
            <w:tcBorders>
              <w:tl2br w:val="nil"/>
              <w:tr2bl w:val="nil"/>
            </w:tcBorders>
            <w:vAlign w:val="center"/>
          </w:tcPr>
          <w:p>
            <w:pPr>
              <w:widowControl/>
              <w:jc w:val="center"/>
              <w:rPr>
                <w:rFonts w:cs="Times New Roman"/>
                <w:sz w:val="18"/>
                <w:szCs w:val="18"/>
              </w:rPr>
            </w:pPr>
            <w:r>
              <w:rPr>
                <w:rFonts w:cs="Times New Roman"/>
                <w:sz w:val="18"/>
                <w:szCs w:val="18"/>
              </w:rPr>
              <w:t>0.283</w:t>
            </w:r>
          </w:p>
        </w:tc>
        <w:tc>
          <w:tcPr>
            <w:tcW w:w="675" w:type="dxa"/>
            <w:tcBorders>
              <w:tl2br w:val="nil"/>
              <w:tr2bl w:val="nil"/>
            </w:tcBorders>
            <w:vAlign w:val="center"/>
          </w:tcPr>
          <w:p>
            <w:pPr>
              <w:jc w:val="center"/>
              <w:rPr>
                <w:rFonts w:cs="Times New Roman"/>
                <w:sz w:val="18"/>
                <w:szCs w:val="18"/>
              </w:rPr>
            </w:pPr>
            <w:r>
              <w:rPr>
                <w:rFonts w:cs="Times New Roman"/>
                <w:sz w:val="18"/>
                <w:szCs w:val="18"/>
              </w:rPr>
              <w:t>0.0008</w:t>
            </w:r>
          </w:p>
        </w:tc>
        <w:tc>
          <w:tcPr>
            <w:tcW w:w="738" w:type="dxa"/>
            <w:tcBorders>
              <w:tl2br w:val="nil"/>
              <w:tr2bl w:val="nil"/>
            </w:tcBorders>
            <w:vAlign w:val="center"/>
          </w:tcPr>
          <w:p>
            <w:pPr>
              <w:jc w:val="center"/>
              <w:rPr>
                <w:rFonts w:cs="Times New Roman"/>
                <w:sz w:val="18"/>
                <w:szCs w:val="18"/>
              </w:rPr>
            </w:pPr>
            <w:r>
              <w:rPr>
                <w:rFonts w:cs="Times New Roman"/>
                <w:sz w:val="18"/>
                <w:szCs w:val="18"/>
              </w:rPr>
              <w:t>0.0011</w:t>
            </w:r>
          </w:p>
        </w:tc>
        <w:tc>
          <w:tcPr>
            <w:tcW w:w="778"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766" w:type="dxa"/>
            <w:tcBorders>
              <w:tl2br w:val="nil"/>
              <w:tr2bl w:val="nil"/>
            </w:tcBorders>
            <w:vAlign w:val="center"/>
          </w:tcPr>
          <w:p>
            <w:pPr>
              <w:jc w:val="center"/>
              <w:rPr>
                <w:rFonts w:cs="Times New Roman"/>
                <w:sz w:val="18"/>
                <w:szCs w:val="18"/>
              </w:rPr>
            </w:pPr>
            <w:r>
              <w:rPr>
                <w:rFonts w:cs="Times New Roman"/>
                <w:sz w:val="18"/>
                <w:szCs w:val="18"/>
              </w:rPr>
              <w:t>1320</w:t>
            </w:r>
          </w:p>
        </w:tc>
        <w:tc>
          <w:tcPr>
            <w:tcW w:w="811" w:type="dxa"/>
            <w:tcBorders>
              <w:tl2br w:val="nil"/>
              <w:tr2bl w:val="nil"/>
            </w:tcBorders>
            <w:vAlign w:val="center"/>
          </w:tcPr>
          <w:p>
            <w:pPr>
              <w:jc w:val="center"/>
              <w:rPr>
                <w:rFonts w:cs="Times New Roman"/>
                <w:sz w:val="18"/>
                <w:szCs w:val="18"/>
              </w:rPr>
            </w:pPr>
            <w:r>
              <w:rPr>
                <w:rFonts w:cs="Times New Roman"/>
                <w:sz w:val="18"/>
                <w:szCs w:val="18"/>
              </w:rPr>
              <w:t>DA004</w:t>
            </w:r>
          </w:p>
        </w:tc>
        <w:tc>
          <w:tcPr>
            <w:tcW w:w="991" w:type="dxa"/>
            <w:tcBorders>
              <w:tl2br w:val="nil"/>
              <w:tr2bl w:val="nil"/>
            </w:tcBorders>
            <w:vAlign w:val="center"/>
          </w:tcPr>
          <w:p>
            <w:pPr>
              <w:jc w:val="center"/>
              <w:rPr>
                <w:rFonts w:cs="Times New Roman"/>
                <w:sz w:val="18"/>
                <w:szCs w:val="18"/>
              </w:rPr>
            </w:pPr>
            <w:r>
              <w:rPr>
                <w:rFonts w:cs="Times New Roman"/>
                <w:sz w:val="18"/>
                <w:szCs w:val="18"/>
              </w:rPr>
              <w:t>一般排放口</w:t>
            </w:r>
          </w:p>
        </w:tc>
        <w:tc>
          <w:tcPr>
            <w:tcW w:w="615" w:type="dxa"/>
            <w:tcBorders>
              <w:tl2br w:val="nil"/>
              <w:tr2bl w:val="nil"/>
            </w:tcBorders>
            <w:vAlign w:val="center"/>
          </w:tcPr>
          <w:p>
            <w:pPr>
              <w:jc w:val="center"/>
              <w:rPr>
                <w:rFonts w:cs="Times New Roman"/>
                <w:sz w:val="18"/>
                <w:szCs w:val="18"/>
              </w:rPr>
            </w:pPr>
            <w:r>
              <w:rPr>
                <w:rFonts w:cs="Times New Roman"/>
                <w:sz w:val="18"/>
                <w:szCs w:val="18"/>
              </w:rPr>
              <w:t>/</w:t>
            </w:r>
          </w:p>
        </w:tc>
        <w:tc>
          <w:tcPr>
            <w:tcW w:w="781" w:type="dxa"/>
            <w:tcBorders>
              <w:tl2br w:val="nil"/>
              <w:tr2bl w:val="nil"/>
            </w:tcBorders>
            <w:vAlign w:val="center"/>
          </w:tcPr>
          <w:p>
            <w:pPr>
              <w:jc w:val="center"/>
              <w:rPr>
                <w:rFonts w:cs="Times New Roman"/>
                <w:sz w:val="18"/>
                <w:szCs w:val="18"/>
              </w:rPr>
            </w:pPr>
            <w:r>
              <w:rPr>
                <w:rFonts w:cs="Times New Roman"/>
                <w:sz w:val="18"/>
                <w:szCs w:val="18"/>
              </w:rPr>
              <w:t>/</w:t>
            </w:r>
          </w:p>
        </w:tc>
        <w:tc>
          <w:tcPr>
            <w:tcW w:w="862" w:type="dxa"/>
            <w:tcBorders>
              <w:tl2br w:val="nil"/>
              <w:tr2bl w:val="nil"/>
            </w:tcBorders>
            <w:vAlign w:val="center"/>
          </w:tcPr>
          <w:p>
            <w:pPr>
              <w:jc w:val="center"/>
              <w:rPr>
                <w:rFonts w:cs="Times New Roman"/>
                <w:sz w:val="18"/>
                <w:szCs w:val="18"/>
              </w:rPr>
            </w:pPr>
            <w:r>
              <w:rPr>
                <w:rFonts w:cs="Times New Roman"/>
                <w:sz w:val="18"/>
                <w:szCs w:val="18"/>
              </w:rPr>
              <w:t>2.0</w:t>
            </w:r>
          </w:p>
        </w:tc>
      </w:tr>
    </w:tbl>
    <w:p>
      <w:pPr>
        <w:spacing w:line="360" w:lineRule="auto"/>
        <w:ind w:firstLine="480" w:firstLineChars="200"/>
        <w:rPr>
          <w:rFonts w:cs="Times New Roman"/>
          <w:sz w:val="24"/>
          <w:szCs w:val="24"/>
        </w:rPr>
        <w:sectPr>
          <w:pgSz w:w="16838" w:h="11906" w:orient="landscape"/>
          <w:pgMar w:top="1417" w:right="1134" w:bottom="1134" w:left="1134" w:header="851" w:footer="992" w:gutter="0"/>
          <w:cols w:space="720" w:num="1"/>
          <w:docGrid w:type="lines" w:linePitch="312" w:charSpace="0"/>
        </w:sectPr>
      </w:pPr>
    </w:p>
    <w:p>
      <w:pPr>
        <w:pStyle w:val="5"/>
        <w:rPr>
          <w:rFonts w:hint="default" w:ascii="Times New Roman" w:hAnsi="Times New Roman"/>
        </w:rPr>
      </w:pPr>
      <w:r>
        <w:rPr>
          <w:rFonts w:hint="default" w:ascii="Times New Roman" w:hAnsi="Times New Roman"/>
        </w:rPr>
        <w:t>2.2.2 非正常工况废气源强分析</w:t>
      </w:r>
    </w:p>
    <w:p>
      <w:pPr>
        <w:spacing w:line="360" w:lineRule="auto"/>
        <w:ind w:firstLine="480" w:firstLineChars="200"/>
        <w:rPr>
          <w:rFonts w:cs="Times New Roman"/>
          <w:sz w:val="24"/>
          <w:szCs w:val="24"/>
        </w:rPr>
      </w:pPr>
      <w:r>
        <w:rPr>
          <w:rFonts w:cs="Times New Roman"/>
          <w:sz w:val="24"/>
          <w:szCs w:val="24"/>
        </w:rPr>
        <w:t>本项目非正常工况重点考虑废气处理措施达不到应有效率的情况下的污染物排放。当项目废气处理系统发生故障时，会导致废气处理效率降低甚至失效，排放的废气污染物浓度上升，会对周围环境造成影响。生产中一旦出现故障时，应立即进行维修，如果30分钟内不能排除故障，应立即停车，消除故障后再生产，按照最不利情况考虑，废气治理措施失效，处理效率为0的情况，在发生上述事故时，各废气的排放速率、排放浓度等情况见下表。</w:t>
      </w:r>
    </w:p>
    <w:p>
      <w:pPr>
        <w:spacing w:line="360" w:lineRule="auto"/>
        <w:jc w:val="center"/>
        <w:rPr>
          <w:rFonts w:cs="Times New Roman"/>
          <w:b/>
          <w:bCs/>
          <w:sz w:val="24"/>
          <w:szCs w:val="24"/>
        </w:rPr>
      </w:pPr>
      <w:r>
        <w:rPr>
          <w:rFonts w:cs="Times New Roman"/>
          <w:b/>
          <w:bCs/>
          <w:sz w:val="24"/>
          <w:szCs w:val="24"/>
        </w:rPr>
        <w:t xml:space="preserve">表 </w:t>
      </w:r>
      <w:r>
        <w:rPr>
          <w:rFonts w:cs="Times New Roman"/>
          <w:b/>
          <w:sz w:val="24"/>
          <w:szCs w:val="24"/>
        </w:rPr>
        <w:t>2.2-11</w:t>
      </w:r>
      <w:r>
        <w:rPr>
          <w:rFonts w:cs="Times New Roman"/>
          <w:b/>
          <w:bCs/>
          <w:sz w:val="24"/>
          <w:szCs w:val="24"/>
        </w:rPr>
        <w:t xml:space="preserve">  本项目污染物非正常排放量及排放浓度</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36"/>
        <w:gridCol w:w="921"/>
        <w:gridCol w:w="1017"/>
        <w:gridCol w:w="1017"/>
        <w:gridCol w:w="1026"/>
        <w:gridCol w:w="1162"/>
        <w:gridCol w:w="761"/>
        <w:gridCol w:w="989"/>
        <w:gridCol w:w="9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restar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污染源</w:t>
            </w:r>
          </w:p>
        </w:tc>
        <w:tc>
          <w:tcPr>
            <w:tcW w:w="499" w:type="pct"/>
            <w:vMerge w:val="restar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非正常排放原因</w:t>
            </w:r>
          </w:p>
        </w:tc>
        <w:tc>
          <w:tcPr>
            <w:tcW w:w="491" w:type="pct"/>
            <w:vMerge w:val="restar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污染物</w:t>
            </w:r>
          </w:p>
        </w:tc>
        <w:tc>
          <w:tcPr>
            <w:tcW w:w="1628" w:type="pct"/>
            <w:gridSpan w:val="3"/>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非正常排放状况</w:t>
            </w:r>
          </w:p>
        </w:tc>
        <w:tc>
          <w:tcPr>
            <w:tcW w:w="617" w:type="pc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执行标准</w:t>
            </w:r>
          </w:p>
        </w:tc>
        <w:tc>
          <w:tcPr>
            <w:tcW w:w="407" w:type="pct"/>
            <w:vMerge w:val="restar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达标分析</w:t>
            </w:r>
          </w:p>
        </w:tc>
        <w:tc>
          <w:tcPr>
            <w:tcW w:w="526" w:type="pct"/>
            <w:vMerge w:val="restar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单次持续时间</w:t>
            </w:r>
          </w:p>
        </w:tc>
        <w:tc>
          <w:tcPr>
            <w:tcW w:w="481" w:type="pct"/>
            <w:vMerge w:val="restar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发生频次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continue"/>
            <w:tcBorders>
              <w:tl2br w:val="nil"/>
              <w:tr2bl w:val="nil"/>
            </w:tcBorders>
            <w:vAlign w:val="center"/>
          </w:tcPr>
          <w:p>
            <w:pPr>
              <w:jc w:val="center"/>
              <w:rPr>
                <w:rFonts w:cs="Times New Roman"/>
                <w:szCs w:val="21"/>
              </w:rPr>
            </w:pPr>
          </w:p>
        </w:tc>
        <w:tc>
          <w:tcPr>
            <w:tcW w:w="499" w:type="pct"/>
            <w:vMerge w:val="continue"/>
            <w:tcBorders>
              <w:tl2br w:val="nil"/>
              <w:tr2bl w:val="nil"/>
            </w:tcBorders>
            <w:vAlign w:val="center"/>
          </w:tcPr>
          <w:p>
            <w:pPr>
              <w:widowControl/>
              <w:jc w:val="center"/>
              <w:textAlignment w:val="center"/>
              <w:rPr>
                <w:rFonts w:cs="Times New Roman"/>
                <w:szCs w:val="21"/>
              </w:rPr>
            </w:pPr>
          </w:p>
        </w:tc>
        <w:tc>
          <w:tcPr>
            <w:tcW w:w="491" w:type="pct"/>
            <w:vMerge w:val="continue"/>
            <w:tcBorders>
              <w:tl2br w:val="nil"/>
              <w:tr2bl w:val="nil"/>
            </w:tcBorders>
            <w:vAlign w:val="center"/>
          </w:tcPr>
          <w:p>
            <w:pPr>
              <w:jc w:val="center"/>
              <w:rPr>
                <w:rFonts w:cs="Times New Roman"/>
                <w:szCs w:val="21"/>
              </w:rPr>
            </w:pPr>
          </w:p>
        </w:tc>
        <w:tc>
          <w:tcPr>
            <w:tcW w:w="541" w:type="pc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排放浓度(mg/m</w:t>
            </w:r>
            <w:r>
              <w:rPr>
                <w:rStyle w:val="94"/>
                <w:rFonts w:ascii="Times New Roman" w:hAnsi="Times New Roman" w:cs="Times New Roman"/>
                <w:color w:val="auto"/>
                <w:sz w:val="21"/>
                <w:szCs w:val="21"/>
                <w:vertAlign w:val="superscript"/>
                <w:lang w:bidi="ar"/>
              </w:rPr>
              <w:t>3</w:t>
            </w:r>
            <w:r>
              <w:rPr>
                <w:rFonts w:cs="Times New Roman"/>
                <w:b/>
                <w:bCs/>
                <w:kern w:val="0"/>
                <w:szCs w:val="21"/>
                <w:lang w:bidi="ar"/>
              </w:rPr>
              <w:t>)</w:t>
            </w:r>
          </w:p>
        </w:tc>
        <w:tc>
          <w:tcPr>
            <w:tcW w:w="541" w:type="pc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排放速率(kg/h)</w:t>
            </w:r>
          </w:p>
        </w:tc>
        <w:tc>
          <w:tcPr>
            <w:tcW w:w="545" w:type="pct"/>
            <w:tcBorders>
              <w:tl2br w:val="nil"/>
              <w:tr2bl w:val="nil"/>
            </w:tcBorders>
            <w:vAlign w:val="center"/>
          </w:tcPr>
          <w:p>
            <w:pPr>
              <w:widowControl/>
              <w:jc w:val="center"/>
              <w:textAlignment w:val="center"/>
              <w:rPr>
                <w:rFonts w:cs="Times New Roman"/>
                <w:b/>
                <w:bCs/>
                <w:kern w:val="0"/>
                <w:szCs w:val="21"/>
                <w:lang w:bidi="ar"/>
              </w:rPr>
            </w:pPr>
            <w:r>
              <w:rPr>
                <w:rFonts w:cs="Times New Roman"/>
                <w:b/>
                <w:bCs/>
                <w:kern w:val="0"/>
                <w:szCs w:val="21"/>
                <w:lang w:bidi="ar"/>
              </w:rPr>
              <w:t>排放量(t/a)</w:t>
            </w:r>
          </w:p>
        </w:tc>
        <w:tc>
          <w:tcPr>
            <w:tcW w:w="617" w:type="pct"/>
            <w:tcBorders>
              <w:tl2br w:val="nil"/>
              <w:tr2bl w:val="nil"/>
            </w:tcBorders>
            <w:vAlign w:val="center"/>
          </w:tcPr>
          <w:p>
            <w:pPr>
              <w:widowControl/>
              <w:jc w:val="center"/>
              <w:textAlignment w:val="center"/>
              <w:rPr>
                <w:rFonts w:cs="Times New Roman"/>
                <w:szCs w:val="21"/>
              </w:rPr>
            </w:pPr>
            <w:r>
              <w:rPr>
                <w:rFonts w:cs="Times New Roman"/>
                <w:b/>
                <w:bCs/>
                <w:kern w:val="0"/>
                <w:szCs w:val="21"/>
                <w:lang w:bidi="ar"/>
              </w:rPr>
              <w:t>浓度(mg/m</w:t>
            </w:r>
            <w:r>
              <w:rPr>
                <w:rStyle w:val="94"/>
                <w:rFonts w:ascii="Times New Roman" w:hAnsi="Times New Roman" w:cs="Times New Roman"/>
                <w:color w:val="auto"/>
                <w:sz w:val="21"/>
                <w:szCs w:val="21"/>
                <w:vertAlign w:val="superscript"/>
                <w:lang w:bidi="ar"/>
              </w:rPr>
              <w:t>3</w:t>
            </w:r>
            <w:r>
              <w:rPr>
                <w:rFonts w:cs="Times New Roman"/>
                <w:b/>
                <w:bCs/>
                <w:kern w:val="0"/>
                <w:szCs w:val="21"/>
                <w:lang w:bidi="ar"/>
              </w:rPr>
              <w:t>)</w:t>
            </w:r>
          </w:p>
        </w:tc>
        <w:tc>
          <w:tcPr>
            <w:tcW w:w="407" w:type="pct"/>
            <w:vMerge w:val="continue"/>
            <w:tcBorders>
              <w:tl2br w:val="nil"/>
              <w:tr2bl w:val="nil"/>
            </w:tcBorders>
            <w:vAlign w:val="center"/>
          </w:tcPr>
          <w:p>
            <w:pPr>
              <w:jc w:val="center"/>
              <w:rPr>
                <w:rFonts w:cs="Times New Roman"/>
                <w:szCs w:val="21"/>
              </w:rPr>
            </w:pPr>
          </w:p>
        </w:tc>
        <w:tc>
          <w:tcPr>
            <w:tcW w:w="526" w:type="pct"/>
            <w:vMerge w:val="continue"/>
            <w:tcBorders>
              <w:tl2br w:val="nil"/>
              <w:tr2bl w:val="nil"/>
            </w:tcBorders>
            <w:vAlign w:val="center"/>
          </w:tcPr>
          <w:p>
            <w:pPr>
              <w:jc w:val="center"/>
              <w:rPr>
                <w:rFonts w:cs="Times New Roman"/>
                <w:szCs w:val="21"/>
              </w:rPr>
            </w:pPr>
          </w:p>
        </w:tc>
        <w:tc>
          <w:tcPr>
            <w:tcW w:w="481"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restar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DA005</w:t>
            </w:r>
          </w:p>
        </w:tc>
        <w:tc>
          <w:tcPr>
            <w:tcW w:w="499" w:type="pct"/>
            <w:vMerge w:val="restart"/>
            <w:tcBorders>
              <w:tl2br w:val="nil"/>
              <w:tr2bl w:val="nil"/>
            </w:tcBorders>
            <w:vAlign w:val="center"/>
          </w:tcPr>
          <w:p>
            <w:pPr>
              <w:widowControl/>
              <w:jc w:val="center"/>
              <w:textAlignment w:val="center"/>
              <w:rPr>
                <w:rFonts w:cs="Times New Roman"/>
                <w:szCs w:val="21"/>
              </w:rPr>
            </w:pPr>
            <w:r>
              <w:rPr>
                <w:rFonts w:cs="Times New Roman"/>
                <w:kern w:val="0"/>
                <w:szCs w:val="21"/>
                <w:lang w:bidi="ar"/>
              </w:rPr>
              <w:t>废气处理装置故障</w:t>
            </w:r>
          </w:p>
        </w:tc>
        <w:tc>
          <w:tcPr>
            <w:tcW w:w="491" w:type="pct"/>
            <w:tcBorders>
              <w:tl2br w:val="nil"/>
              <w:tr2bl w:val="nil"/>
            </w:tcBorders>
            <w:vAlign w:val="center"/>
          </w:tcPr>
          <w:p>
            <w:pPr>
              <w:widowControl/>
              <w:jc w:val="center"/>
              <w:textAlignment w:val="center"/>
              <w:rPr>
                <w:rFonts w:cs="Times New Roman"/>
                <w:szCs w:val="21"/>
              </w:rPr>
            </w:pPr>
            <w:r>
              <w:rPr>
                <w:rFonts w:cs="Times New Roman"/>
                <w:szCs w:val="21"/>
              </w:rPr>
              <w:t>甲醛</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12.803</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0.320</w:t>
            </w:r>
          </w:p>
        </w:tc>
        <w:tc>
          <w:tcPr>
            <w:tcW w:w="545" w:type="pct"/>
            <w:tcBorders>
              <w:tl2br w:val="nil"/>
              <w:tr2bl w:val="nil"/>
            </w:tcBorders>
            <w:vAlign w:val="center"/>
          </w:tcPr>
          <w:p>
            <w:pPr>
              <w:widowControl/>
              <w:jc w:val="center"/>
              <w:textAlignment w:val="center"/>
              <w:rPr>
                <w:rFonts w:cs="Times New Roman"/>
                <w:szCs w:val="21"/>
              </w:rPr>
            </w:pPr>
            <w:r>
              <w:rPr>
                <w:rFonts w:cs="Times New Roman"/>
                <w:szCs w:val="21"/>
              </w:rPr>
              <w:t>2.535</w:t>
            </w:r>
          </w:p>
        </w:tc>
        <w:tc>
          <w:tcPr>
            <w:tcW w:w="617" w:type="pct"/>
            <w:tcBorders>
              <w:tl2br w:val="nil"/>
              <w:tr2bl w:val="nil"/>
            </w:tcBorders>
            <w:vAlign w:val="center"/>
          </w:tcPr>
          <w:p>
            <w:pPr>
              <w:widowControl/>
              <w:jc w:val="center"/>
              <w:textAlignment w:val="center"/>
              <w:rPr>
                <w:rFonts w:cs="Times New Roman"/>
                <w:szCs w:val="21"/>
              </w:rPr>
            </w:pPr>
            <w:r>
              <w:rPr>
                <w:rFonts w:cs="Times New Roman"/>
                <w:szCs w:val="21"/>
              </w:rPr>
              <w:t>5</w:t>
            </w:r>
          </w:p>
        </w:tc>
        <w:tc>
          <w:tcPr>
            <w:tcW w:w="407" w:type="pct"/>
            <w:tcBorders>
              <w:tl2br w:val="nil"/>
              <w:tr2bl w:val="nil"/>
            </w:tcBorders>
            <w:vAlign w:val="center"/>
          </w:tcPr>
          <w:p>
            <w:pPr>
              <w:widowControl/>
              <w:jc w:val="center"/>
              <w:textAlignment w:val="center"/>
              <w:rPr>
                <w:rFonts w:cs="Times New Roman"/>
                <w:szCs w:val="21"/>
              </w:rPr>
            </w:pPr>
            <w:r>
              <w:rPr>
                <w:rFonts w:cs="Times New Roman"/>
                <w:szCs w:val="21"/>
              </w:rPr>
              <w:t>超标</w:t>
            </w:r>
          </w:p>
        </w:tc>
        <w:tc>
          <w:tcPr>
            <w:tcW w:w="526"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0.5h/次</w:t>
            </w:r>
          </w:p>
        </w:tc>
        <w:tc>
          <w:tcPr>
            <w:tcW w:w="481" w:type="pct"/>
            <w:tcBorders>
              <w:tl2br w:val="nil"/>
              <w:tr2bl w:val="nil"/>
            </w:tcBorders>
            <w:vAlign w:val="center"/>
          </w:tcPr>
          <w:p>
            <w:pPr>
              <w:widowControl/>
              <w:jc w:val="center"/>
              <w:textAlignment w:val="center"/>
              <w:rPr>
                <w:rFonts w:cs="Times New Roman"/>
                <w:szCs w:val="21"/>
              </w:rPr>
            </w:pPr>
            <w:r>
              <w:rPr>
                <w:rFonts w:cs="Times New Roman"/>
                <w:kern w:val="0"/>
                <w:szCs w:val="21"/>
                <w:lang w:bidi="ar"/>
              </w:rPr>
              <w:t>1次/a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continue"/>
            <w:tcBorders>
              <w:tl2br w:val="nil"/>
              <w:tr2bl w:val="nil"/>
            </w:tcBorders>
            <w:vAlign w:val="center"/>
          </w:tcPr>
          <w:p>
            <w:pPr>
              <w:widowControl/>
              <w:jc w:val="center"/>
              <w:textAlignment w:val="center"/>
              <w:rPr>
                <w:rFonts w:cs="Times New Roman"/>
                <w:kern w:val="0"/>
                <w:szCs w:val="21"/>
                <w:lang w:bidi="ar"/>
              </w:rPr>
            </w:pPr>
          </w:p>
        </w:tc>
        <w:tc>
          <w:tcPr>
            <w:tcW w:w="499" w:type="pct"/>
            <w:vMerge w:val="continue"/>
            <w:tcBorders>
              <w:tl2br w:val="nil"/>
              <w:tr2bl w:val="nil"/>
            </w:tcBorders>
            <w:vAlign w:val="center"/>
          </w:tcPr>
          <w:p>
            <w:pPr>
              <w:widowControl/>
              <w:jc w:val="center"/>
              <w:textAlignment w:val="center"/>
              <w:rPr>
                <w:rFonts w:cs="Times New Roman"/>
                <w:kern w:val="0"/>
                <w:szCs w:val="21"/>
                <w:lang w:bidi="ar"/>
              </w:rPr>
            </w:pPr>
          </w:p>
        </w:tc>
        <w:tc>
          <w:tcPr>
            <w:tcW w:w="491"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VOCs</w:t>
            </w:r>
          </w:p>
        </w:tc>
        <w:tc>
          <w:tcPr>
            <w:tcW w:w="54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0.172</w:t>
            </w:r>
          </w:p>
        </w:tc>
        <w:tc>
          <w:tcPr>
            <w:tcW w:w="541"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0.004</w:t>
            </w:r>
          </w:p>
        </w:tc>
        <w:tc>
          <w:tcPr>
            <w:tcW w:w="545"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0.034</w:t>
            </w:r>
          </w:p>
        </w:tc>
        <w:tc>
          <w:tcPr>
            <w:tcW w:w="617"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60</w:t>
            </w:r>
          </w:p>
        </w:tc>
        <w:tc>
          <w:tcPr>
            <w:tcW w:w="407" w:type="pct"/>
            <w:tcBorders>
              <w:tl2br w:val="nil"/>
              <w:tr2bl w:val="nil"/>
            </w:tcBorders>
            <w:vAlign w:val="center"/>
          </w:tcPr>
          <w:p>
            <w:pPr>
              <w:widowControl/>
              <w:jc w:val="center"/>
              <w:textAlignment w:val="center"/>
              <w:rPr>
                <w:rFonts w:cs="Times New Roman"/>
                <w:szCs w:val="21"/>
              </w:rPr>
            </w:pPr>
            <w:r>
              <w:rPr>
                <w:rFonts w:cs="Times New Roman"/>
                <w:szCs w:val="21"/>
              </w:rPr>
              <w:t>达标</w:t>
            </w:r>
          </w:p>
        </w:tc>
        <w:tc>
          <w:tcPr>
            <w:tcW w:w="526"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0.5h/次</w:t>
            </w:r>
          </w:p>
        </w:tc>
        <w:tc>
          <w:tcPr>
            <w:tcW w:w="48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1次/a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continue"/>
            <w:tcBorders>
              <w:tl2br w:val="nil"/>
              <w:tr2bl w:val="nil"/>
            </w:tcBorders>
            <w:vAlign w:val="center"/>
          </w:tcPr>
          <w:p>
            <w:pPr>
              <w:widowControl/>
              <w:jc w:val="center"/>
              <w:textAlignment w:val="center"/>
              <w:rPr>
                <w:rFonts w:cs="Times New Roman"/>
                <w:kern w:val="0"/>
                <w:szCs w:val="21"/>
                <w:lang w:bidi="ar"/>
              </w:rPr>
            </w:pPr>
          </w:p>
        </w:tc>
        <w:tc>
          <w:tcPr>
            <w:tcW w:w="499" w:type="pct"/>
            <w:vMerge w:val="continue"/>
            <w:tcBorders>
              <w:tl2br w:val="nil"/>
              <w:tr2bl w:val="nil"/>
            </w:tcBorders>
            <w:vAlign w:val="center"/>
          </w:tcPr>
          <w:p>
            <w:pPr>
              <w:widowControl/>
              <w:jc w:val="center"/>
              <w:textAlignment w:val="center"/>
              <w:rPr>
                <w:rFonts w:cs="Times New Roman"/>
                <w:kern w:val="0"/>
                <w:szCs w:val="21"/>
                <w:lang w:bidi="ar"/>
              </w:rPr>
            </w:pPr>
          </w:p>
        </w:tc>
        <w:tc>
          <w:tcPr>
            <w:tcW w:w="491"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氨</w:t>
            </w:r>
          </w:p>
        </w:tc>
        <w:tc>
          <w:tcPr>
            <w:tcW w:w="54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0.427</w:t>
            </w:r>
          </w:p>
        </w:tc>
        <w:tc>
          <w:tcPr>
            <w:tcW w:w="541"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0.011</w:t>
            </w:r>
          </w:p>
        </w:tc>
        <w:tc>
          <w:tcPr>
            <w:tcW w:w="545"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0.085</w:t>
            </w:r>
          </w:p>
        </w:tc>
        <w:tc>
          <w:tcPr>
            <w:tcW w:w="617"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8</w:t>
            </w:r>
          </w:p>
        </w:tc>
        <w:tc>
          <w:tcPr>
            <w:tcW w:w="407" w:type="pct"/>
            <w:tcBorders>
              <w:tl2br w:val="nil"/>
              <w:tr2bl w:val="nil"/>
            </w:tcBorders>
            <w:vAlign w:val="center"/>
          </w:tcPr>
          <w:p>
            <w:pPr>
              <w:widowControl/>
              <w:jc w:val="center"/>
              <w:textAlignment w:val="center"/>
              <w:rPr>
                <w:rFonts w:cs="Times New Roman"/>
                <w:szCs w:val="21"/>
              </w:rPr>
            </w:pPr>
            <w:r>
              <w:rPr>
                <w:rFonts w:cs="Times New Roman"/>
                <w:szCs w:val="21"/>
              </w:rPr>
              <w:t>达标</w:t>
            </w:r>
          </w:p>
        </w:tc>
        <w:tc>
          <w:tcPr>
            <w:tcW w:w="526"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0.5h/次</w:t>
            </w:r>
          </w:p>
        </w:tc>
        <w:tc>
          <w:tcPr>
            <w:tcW w:w="481" w:type="pct"/>
            <w:tcBorders>
              <w:tl2br w:val="nil"/>
              <w:tr2bl w:val="nil"/>
            </w:tcBorders>
            <w:vAlign w:val="center"/>
          </w:tcPr>
          <w:p>
            <w:pPr>
              <w:widowControl/>
              <w:jc w:val="center"/>
              <w:textAlignment w:val="center"/>
              <w:rPr>
                <w:rFonts w:cs="Times New Roman"/>
                <w:kern w:val="0"/>
                <w:szCs w:val="21"/>
                <w:lang w:bidi="ar"/>
              </w:rPr>
            </w:pPr>
            <w:r>
              <w:rPr>
                <w:rFonts w:cs="Times New Roman"/>
                <w:kern w:val="0"/>
                <w:szCs w:val="21"/>
                <w:lang w:bidi="ar"/>
              </w:rPr>
              <w:t>1次/a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restart"/>
            <w:tcBorders>
              <w:tl2br w:val="nil"/>
              <w:tr2bl w:val="nil"/>
            </w:tcBorders>
            <w:vAlign w:val="center"/>
          </w:tcPr>
          <w:p>
            <w:pPr>
              <w:widowControl/>
              <w:jc w:val="center"/>
              <w:textAlignment w:val="center"/>
              <w:rPr>
                <w:rFonts w:cs="Times New Roman"/>
                <w:szCs w:val="21"/>
              </w:rPr>
            </w:pPr>
            <w:r>
              <w:rPr>
                <w:rFonts w:cs="Times New Roman"/>
                <w:kern w:val="0"/>
                <w:szCs w:val="21"/>
                <w:lang w:bidi="ar"/>
              </w:rPr>
              <w:t>DA006</w:t>
            </w:r>
          </w:p>
        </w:tc>
        <w:tc>
          <w:tcPr>
            <w:tcW w:w="499" w:type="pct"/>
            <w:vMerge w:val="continue"/>
            <w:tcBorders>
              <w:tl2br w:val="nil"/>
              <w:tr2bl w:val="nil"/>
            </w:tcBorders>
            <w:vAlign w:val="center"/>
          </w:tcPr>
          <w:p>
            <w:pPr>
              <w:widowControl/>
              <w:jc w:val="center"/>
              <w:textAlignment w:val="center"/>
              <w:rPr>
                <w:rFonts w:cs="Times New Roman"/>
                <w:kern w:val="0"/>
                <w:szCs w:val="21"/>
                <w:lang w:bidi="ar"/>
              </w:rPr>
            </w:pPr>
          </w:p>
        </w:tc>
        <w:tc>
          <w:tcPr>
            <w:tcW w:w="491" w:type="pct"/>
            <w:tcBorders>
              <w:tl2br w:val="nil"/>
              <w:tr2bl w:val="nil"/>
            </w:tcBorders>
            <w:vAlign w:val="center"/>
          </w:tcPr>
          <w:p>
            <w:pPr>
              <w:widowControl/>
              <w:jc w:val="center"/>
              <w:textAlignment w:val="center"/>
              <w:rPr>
                <w:rFonts w:cs="Times New Roman"/>
                <w:szCs w:val="21"/>
              </w:rPr>
            </w:pPr>
            <w:r>
              <w:rPr>
                <w:rFonts w:cs="Times New Roman"/>
                <w:szCs w:val="21"/>
              </w:rPr>
              <w:t>甲醛</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14.773</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0.369</w:t>
            </w:r>
          </w:p>
        </w:tc>
        <w:tc>
          <w:tcPr>
            <w:tcW w:w="545" w:type="pct"/>
            <w:tcBorders>
              <w:tl2br w:val="nil"/>
              <w:tr2bl w:val="nil"/>
            </w:tcBorders>
            <w:vAlign w:val="center"/>
          </w:tcPr>
          <w:p>
            <w:pPr>
              <w:widowControl/>
              <w:jc w:val="center"/>
              <w:textAlignment w:val="center"/>
              <w:rPr>
                <w:rFonts w:cs="Times New Roman"/>
                <w:szCs w:val="21"/>
              </w:rPr>
            </w:pPr>
            <w:r>
              <w:rPr>
                <w:rFonts w:cs="Times New Roman"/>
                <w:szCs w:val="21"/>
              </w:rPr>
              <w:t>2.925</w:t>
            </w:r>
          </w:p>
        </w:tc>
        <w:tc>
          <w:tcPr>
            <w:tcW w:w="617" w:type="pct"/>
            <w:tcBorders>
              <w:tl2br w:val="nil"/>
              <w:tr2bl w:val="nil"/>
            </w:tcBorders>
            <w:vAlign w:val="center"/>
          </w:tcPr>
          <w:p>
            <w:pPr>
              <w:widowControl/>
              <w:jc w:val="center"/>
              <w:textAlignment w:val="center"/>
              <w:rPr>
                <w:rFonts w:cs="Times New Roman"/>
                <w:szCs w:val="21"/>
              </w:rPr>
            </w:pPr>
            <w:r>
              <w:rPr>
                <w:rFonts w:cs="Times New Roman"/>
                <w:szCs w:val="21"/>
              </w:rPr>
              <w:t>5</w:t>
            </w:r>
          </w:p>
        </w:tc>
        <w:tc>
          <w:tcPr>
            <w:tcW w:w="407" w:type="pct"/>
            <w:tcBorders>
              <w:tl2br w:val="nil"/>
              <w:tr2bl w:val="nil"/>
            </w:tcBorders>
            <w:vAlign w:val="center"/>
          </w:tcPr>
          <w:p>
            <w:pPr>
              <w:widowControl/>
              <w:jc w:val="center"/>
              <w:textAlignment w:val="center"/>
              <w:rPr>
                <w:rFonts w:cs="Times New Roman"/>
                <w:szCs w:val="21"/>
              </w:rPr>
            </w:pPr>
            <w:r>
              <w:rPr>
                <w:rFonts w:cs="Times New Roman"/>
                <w:szCs w:val="21"/>
              </w:rPr>
              <w:t>超标</w:t>
            </w:r>
          </w:p>
        </w:tc>
        <w:tc>
          <w:tcPr>
            <w:tcW w:w="526" w:type="pct"/>
            <w:tcBorders>
              <w:tl2br w:val="nil"/>
              <w:tr2bl w:val="nil"/>
            </w:tcBorders>
            <w:vAlign w:val="center"/>
          </w:tcPr>
          <w:p>
            <w:pPr>
              <w:widowControl/>
              <w:jc w:val="center"/>
              <w:rPr>
                <w:rFonts w:cs="Times New Roman"/>
                <w:szCs w:val="21"/>
              </w:rPr>
            </w:pPr>
            <w:r>
              <w:rPr>
                <w:rFonts w:cs="Times New Roman"/>
                <w:kern w:val="0"/>
                <w:szCs w:val="21"/>
                <w:lang w:bidi="ar"/>
              </w:rPr>
              <w:t>0.5h/次</w:t>
            </w:r>
          </w:p>
        </w:tc>
        <w:tc>
          <w:tcPr>
            <w:tcW w:w="481" w:type="pct"/>
            <w:tcBorders>
              <w:tl2br w:val="nil"/>
              <w:tr2bl w:val="nil"/>
            </w:tcBorders>
            <w:vAlign w:val="center"/>
          </w:tcPr>
          <w:p>
            <w:pPr>
              <w:widowControl/>
              <w:jc w:val="center"/>
              <w:rPr>
                <w:rFonts w:cs="Times New Roman"/>
                <w:szCs w:val="21"/>
              </w:rPr>
            </w:pPr>
            <w:r>
              <w:rPr>
                <w:rFonts w:cs="Times New Roman"/>
                <w:kern w:val="0"/>
                <w:szCs w:val="21"/>
                <w:lang w:bidi="ar"/>
              </w:rPr>
              <w:t>1次/a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continue"/>
            <w:tcBorders>
              <w:tl2br w:val="nil"/>
              <w:tr2bl w:val="nil"/>
            </w:tcBorders>
            <w:vAlign w:val="center"/>
          </w:tcPr>
          <w:p>
            <w:pPr>
              <w:jc w:val="center"/>
              <w:rPr>
                <w:rFonts w:cs="Times New Roman"/>
                <w:szCs w:val="21"/>
              </w:rPr>
            </w:pPr>
          </w:p>
        </w:tc>
        <w:tc>
          <w:tcPr>
            <w:tcW w:w="499" w:type="pct"/>
            <w:vMerge w:val="continue"/>
            <w:tcBorders>
              <w:tl2br w:val="nil"/>
              <w:tr2bl w:val="nil"/>
            </w:tcBorders>
            <w:vAlign w:val="center"/>
          </w:tcPr>
          <w:p>
            <w:pPr>
              <w:widowControl/>
              <w:jc w:val="center"/>
              <w:textAlignment w:val="center"/>
              <w:rPr>
                <w:rFonts w:cs="Times New Roman"/>
                <w:kern w:val="0"/>
                <w:szCs w:val="21"/>
                <w:lang w:bidi="ar"/>
              </w:rPr>
            </w:pPr>
          </w:p>
        </w:tc>
        <w:tc>
          <w:tcPr>
            <w:tcW w:w="491"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VOCs</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0.199</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0.005</w:t>
            </w:r>
          </w:p>
        </w:tc>
        <w:tc>
          <w:tcPr>
            <w:tcW w:w="545" w:type="pct"/>
            <w:tcBorders>
              <w:tl2br w:val="nil"/>
              <w:tr2bl w:val="nil"/>
            </w:tcBorders>
            <w:vAlign w:val="center"/>
          </w:tcPr>
          <w:p>
            <w:pPr>
              <w:widowControl/>
              <w:jc w:val="center"/>
              <w:textAlignment w:val="center"/>
              <w:rPr>
                <w:rFonts w:cs="Times New Roman"/>
                <w:szCs w:val="21"/>
              </w:rPr>
            </w:pPr>
            <w:r>
              <w:rPr>
                <w:rFonts w:cs="Times New Roman"/>
                <w:szCs w:val="21"/>
              </w:rPr>
              <w:t>0.039</w:t>
            </w:r>
          </w:p>
        </w:tc>
        <w:tc>
          <w:tcPr>
            <w:tcW w:w="617"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60</w:t>
            </w:r>
          </w:p>
        </w:tc>
        <w:tc>
          <w:tcPr>
            <w:tcW w:w="407" w:type="pct"/>
            <w:tcBorders>
              <w:tl2br w:val="nil"/>
              <w:tr2bl w:val="nil"/>
            </w:tcBorders>
            <w:vAlign w:val="center"/>
          </w:tcPr>
          <w:p>
            <w:pPr>
              <w:widowControl/>
              <w:jc w:val="center"/>
              <w:textAlignment w:val="center"/>
              <w:rPr>
                <w:rFonts w:cs="Times New Roman"/>
                <w:szCs w:val="21"/>
              </w:rPr>
            </w:pPr>
            <w:r>
              <w:rPr>
                <w:rFonts w:cs="Times New Roman"/>
                <w:szCs w:val="21"/>
              </w:rPr>
              <w:t>达标</w:t>
            </w:r>
          </w:p>
        </w:tc>
        <w:tc>
          <w:tcPr>
            <w:tcW w:w="526" w:type="pct"/>
            <w:tcBorders>
              <w:tl2br w:val="nil"/>
              <w:tr2bl w:val="nil"/>
            </w:tcBorders>
            <w:vAlign w:val="center"/>
          </w:tcPr>
          <w:p>
            <w:pPr>
              <w:widowControl/>
              <w:jc w:val="center"/>
              <w:rPr>
                <w:rFonts w:cs="Times New Roman"/>
                <w:szCs w:val="21"/>
              </w:rPr>
            </w:pPr>
            <w:r>
              <w:rPr>
                <w:rFonts w:cs="Times New Roman"/>
                <w:kern w:val="0"/>
                <w:szCs w:val="21"/>
                <w:lang w:bidi="ar"/>
              </w:rPr>
              <w:t>0.5h/次</w:t>
            </w:r>
          </w:p>
        </w:tc>
        <w:tc>
          <w:tcPr>
            <w:tcW w:w="481" w:type="pct"/>
            <w:tcBorders>
              <w:tl2br w:val="nil"/>
              <w:tr2bl w:val="nil"/>
            </w:tcBorders>
            <w:vAlign w:val="center"/>
          </w:tcPr>
          <w:p>
            <w:pPr>
              <w:widowControl/>
              <w:jc w:val="center"/>
              <w:rPr>
                <w:rFonts w:cs="Times New Roman"/>
                <w:szCs w:val="21"/>
              </w:rPr>
            </w:pPr>
            <w:r>
              <w:rPr>
                <w:rFonts w:cs="Times New Roman"/>
                <w:kern w:val="0"/>
                <w:szCs w:val="21"/>
                <w:lang w:bidi="ar"/>
              </w:rPr>
              <w:t>1次/a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48" w:type="pct"/>
            <w:vMerge w:val="continue"/>
            <w:tcBorders>
              <w:tl2br w:val="nil"/>
              <w:tr2bl w:val="nil"/>
            </w:tcBorders>
            <w:vAlign w:val="center"/>
          </w:tcPr>
          <w:p>
            <w:pPr>
              <w:jc w:val="center"/>
              <w:rPr>
                <w:rFonts w:cs="Times New Roman"/>
                <w:szCs w:val="21"/>
              </w:rPr>
            </w:pPr>
          </w:p>
        </w:tc>
        <w:tc>
          <w:tcPr>
            <w:tcW w:w="499" w:type="pct"/>
            <w:vMerge w:val="continue"/>
            <w:tcBorders>
              <w:tl2br w:val="nil"/>
              <w:tr2bl w:val="nil"/>
            </w:tcBorders>
            <w:vAlign w:val="center"/>
          </w:tcPr>
          <w:p>
            <w:pPr>
              <w:widowControl/>
              <w:jc w:val="center"/>
              <w:textAlignment w:val="center"/>
              <w:rPr>
                <w:rFonts w:cs="Times New Roman"/>
                <w:kern w:val="0"/>
                <w:szCs w:val="21"/>
                <w:lang w:bidi="ar"/>
              </w:rPr>
            </w:pPr>
          </w:p>
        </w:tc>
        <w:tc>
          <w:tcPr>
            <w:tcW w:w="491"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氨</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0.492</w:t>
            </w:r>
          </w:p>
        </w:tc>
        <w:tc>
          <w:tcPr>
            <w:tcW w:w="541" w:type="pct"/>
            <w:tcBorders>
              <w:tl2br w:val="nil"/>
              <w:tr2bl w:val="nil"/>
            </w:tcBorders>
            <w:vAlign w:val="center"/>
          </w:tcPr>
          <w:p>
            <w:pPr>
              <w:widowControl/>
              <w:jc w:val="center"/>
              <w:textAlignment w:val="center"/>
              <w:rPr>
                <w:rFonts w:cs="Times New Roman"/>
                <w:szCs w:val="21"/>
              </w:rPr>
            </w:pPr>
            <w:r>
              <w:rPr>
                <w:rFonts w:cs="Times New Roman"/>
                <w:szCs w:val="21"/>
              </w:rPr>
              <w:t>0.012</w:t>
            </w:r>
          </w:p>
        </w:tc>
        <w:tc>
          <w:tcPr>
            <w:tcW w:w="545" w:type="pct"/>
            <w:tcBorders>
              <w:tl2br w:val="nil"/>
              <w:tr2bl w:val="nil"/>
            </w:tcBorders>
            <w:vAlign w:val="center"/>
          </w:tcPr>
          <w:p>
            <w:pPr>
              <w:widowControl/>
              <w:jc w:val="center"/>
              <w:textAlignment w:val="center"/>
              <w:rPr>
                <w:rFonts w:cs="Times New Roman"/>
                <w:szCs w:val="21"/>
              </w:rPr>
            </w:pPr>
            <w:r>
              <w:rPr>
                <w:rFonts w:cs="Times New Roman"/>
                <w:szCs w:val="21"/>
              </w:rPr>
              <w:t>0.098</w:t>
            </w:r>
          </w:p>
        </w:tc>
        <w:tc>
          <w:tcPr>
            <w:tcW w:w="617" w:type="pct"/>
            <w:tcBorders>
              <w:tl2br w:val="nil"/>
              <w:tr2bl w:val="nil"/>
            </w:tcBorders>
            <w:vAlign w:val="center"/>
          </w:tcPr>
          <w:p>
            <w:pPr>
              <w:widowControl/>
              <w:jc w:val="center"/>
              <w:textAlignment w:val="center"/>
              <w:rPr>
                <w:rFonts w:cs="Times New Roman"/>
                <w:kern w:val="0"/>
                <w:szCs w:val="21"/>
                <w:lang w:bidi="ar"/>
              </w:rPr>
            </w:pPr>
            <w:r>
              <w:rPr>
                <w:rFonts w:cs="Times New Roman"/>
                <w:szCs w:val="21"/>
              </w:rPr>
              <w:t>8</w:t>
            </w:r>
          </w:p>
        </w:tc>
        <w:tc>
          <w:tcPr>
            <w:tcW w:w="407" w:type="pct"/>
            <w:tcBorders>
              <w:tl2br w:val="nil"/>
              <w:tr2bl w:val="nil"/>
            </w:tcBorders>
            <w:vAlign w:val="center"/>
          </w:tcPr>
          <w:p>
            <w:pPr>
              <w:widowControl/>
              <w:jc w:val="center"/>
              <w:textAlignment w:val="center"/>
              <w:rPr>
                <w:rFonts w:cs="Times New Roman"/>
                <w:szCs w:val="21"/>
              </w:rPr>
            </w:pPr>
            <w:r>
              <w:rPr>
                <w:rFonts w:cs="Times New Roman"/>
                <w:szCs w:val="21"/>
              </w:rPr>
              <w:t>达标</w:t>
            </w:r>
          </w:p>
        </w:tc>
        <w:tc>
          <w:tcPr>
            <w:tcW w:w="526" w:type="pct"/>
            <w:tcBorders>
              <w:tl2br w:val="nil"/>
              <w:tr2bl w:val="nil"/>
            </w:tcBorders>
            <w:vAlign w:val="center"/>
          </w:tcPr>
          <w:p>
            <w:pPr>
              <w:widowControl/>
              <w:jc w:val="center"/>
              <w:rPr>
                <w:rFonts w:cs="Times New Roman"/>
                <w:szCs w:val="21"/>
              </w:rPr>
            </w:pPr>
            <w:r>
              <w:rPr>
                <w:rFonts w:cs="Times New Roman"/>
                <w:kern w:val="0"/>
                <w:szCs w:val="21"/>
                <w:lang w:bidi="ar"/>
              </w:rPr>
              <w:t>0.5h/次</w:t>
            </w:r>
          </w:p>
        </w:tc>
        <w:tc>
          <w:tcPr>
            <w:tcW w:w="481" w:type="pct"/>
            <w:tcBorders>
              <w:tl2br w:val="nil"/>
              <w:tr2bl w:val="nil"/>
            </w:tcBorders>
            <w:vAlign w:val="center"/>
          </w:tcPr>
          <w:p>
            <w:pPr>
              <w:widowControl/>
              <w:jc w:val="center"/>
              <w:rPr>
                <w:rFonts w:cs="Times New Roman"/>
                <w:szCs w:val="21"/>
              </w:rPr>
            </w:pPr>
            <w:r>
              <w:rPr>
                <w:rFonts w:cs="Times New Roman"/>
                <w:kern w:val="0"/>
                <w:szCs w:val="21"/>
                <w:lang w:bidi="ar"/>
              </w:rPr>
              <w:t>1次/a</w:t>
            </w:r>
          </w:p>
        </w:tc>
      </w:tr>
    </w:tbl>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r>
        <w:rPr>
          <w:rFonts w:cs="Times New Roman"/>
          <w:sz w:val="24"/>
          <w:szCs w:val="24"/>
        </w:rPr>
        <w:t xml:space="preserve">防范措施： </w:t>
      </w:r>
    </w:p>
    <w:p>
      <w:pPr>
        <w:spacing w:line="360" w:lineRule="auto"/>
        <w:ind w:firstLine="480" w:firstLineChars="200"/>
        <w:rPr>
          <w:rFonts w:cs="Times New Roman"/>
          <w:sz w:val="24"/>
          <w:szCs w:val="24"/>
        </w:rPr>
      </w:pPr>
      <w:r>
        <w:rPr>
          <w:rFonts w:cs="Times New Roman"/>
          <w:sz w:val="24"/>
          <w:szCs w:val="24"/>
        </w:rPr>
        <w:t xml:space="preserve">①由公司委派专人负责每日巡检废气处理装置，做好巡检记录。 </w:t>
      </w:r>
    </w:p>
    <w:p>
      <w:pPr>
        <w:spacing w:line="360" w:lineRule="auto"/>
        <w:ind w:firstLine="480" w:firstLineChars="200"/>
        <w:rPr>
          <w:rFonts w:cs="Times New Roman"/>
          <w:sz w:val="24"/>
          <w:szCs w:val="24"/>
        </w:rPr>
      </w:pPr>
      <w:r>
        <w:rPr>
          <w:rFonts w:cs="Times New Roman"/>
          <w:sz w:val="24"/>
          <w:szCs w:val="24"/>
        </w:rPr>
        <w:t xml:space="preserve">②当发现废气处理设施故障并导致废气非正常排放时，应立即停止工序，待废气处理装置故障排除后并可正常运行时方可恢复生产。 </w:t>
      </w:r>
    </w:p>
    <w:p>
      <w:pPr>
        <w:spacing w:line="360" w:lineRule="auto"/>
        <w:ind w:firstLine="480" w:firstLineChars="200"/>
        <w:rPr>
          <w:rFonts w:cs="Times New Roman"/>
          <w:sz w:val="24"/>
          <w:szCs w:val="24"/>
        </w:rPr>
      </w:pPr>
      <w:r>
        <w:rPr>
          <w:rFonts w:cs="Times New Roman"/>
          <w:sz w:val="24"/>
          <w:szCs w:val="24"/>
        </w:rPr>
        <w:t xml:space="preserve">③定期对废气处理装置进行维护保养，定期清理布袋除尘器的粉尘，以减少粉尘的非正常排放。 </w:t>
      </w:r>
    </w:p>
    <w:p>
      <w:pPr>
        <w:spacing w:line="360" w:lineRule="auto"/>
        <w:ind w:firstLine="480" w:firstLineChars="200"/>
        <w:rPr>
          <w:rFonts w:cs="Times New Roman"/>
          <w:sz w:val="24"/>
          <w:szCs w:val="24"/>
        </w:rPr>
      </w:pPr>
      <w:r>
        <w:rPr>
          <w:rFonts w:cs="Times New Roman"/>
          <w:sz w:val="24"/>
          <w:szCs w:val="24"/>
        </w:rPr>
        <w:t>④建立废气处理装置运行管理台账，由专人负责记录。</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sectPr>
          <w:pgSz w:w="11906" w:h="16838"/>
          <w:pgMar w:top="1134" w:right="1134" w:bottom="1134" w:left="1417" w:header="851" w:footer="992" w:gutter="0"/>
          <w:cols w:space="720" w:num="1"/>
          <w:docGrid w:type="lines" w:linePitch="312" w:charSpace="0"/>
        </w:sectPr>
      </w:pPr>
    </w:p>
    <w:p>
      <w:pPr>
        <w:pStyle w:val="3"/>
        <w:rPr>
          <w:rFonts w:cs="Times New Roman"/>
        </w:rPr>
      </w:pPr>
      <w:r>
        <w:rPr>
          <w:rFonts w:cs="Times New Roman"/>
        </w:rPr>
        <w:t>3 环境空气质量现状调查与评价</w:t>
      </w:r>
    </w:p>
    <w:p>
      <w:pPr>
        <w:pStyle w:val="4"/>
        <w:rPr>
          <w:rFonts w:cs="Times New Roman"/>
        </w:rPr>
      </w:pPr>
      <w:r>
        <w:rPr>
          <w:rFonts w:cs="Times New Roman"/>
        </w:rPr>
        <w:t>3.1 基本污染物现状评价</w:t>
      </w:r>
    </w:p>
    <w:p>
      <w:pPr>
        <w:spacing w:line="360" w:lineRule="auto"/>
        <w:ind w:firstLine="480" w:firstLineChars="200"/>
        <w:rPr>
          <w:rFonts w:cs="Times New Roman"/>
          <w:sz w:val="24"/>
          <w:szCs w:val="24"/>
        </w:rPr>
      </w:pPr>
      <w:r>
        <w:rPr>
          <w:rFonts w:cs="Times New Roman"/>
          <w:sz w:val="24"/>
          <w:szCs w:val="24"/>
        </w:rPr>
        <w:t>本项目位于达州市宣汉县，为了解区域环境空气质量现状，本次环评引用达州市生态环境局2023年1月18日公布的《达州市2022年环境空气质量状况》中相关数据和结论。</w:t>
      </w:r>
    </w:p>
    <w:p>
      <w:pPr>
        <w:spacing w:line="360" w:lineRule="auto"/>
        <w:ind w:firstLine="480" w:firstLineChars="200"/>
        <w:rPr>
          <w:rFonts w:cs="Times New Roman"/>
          <w:sz w:val="24"/>
          <w:szCs w:val="24"/>
        </w:rPr>
      </w:pPr>
      <w:r>
        <w:rPr>
          <w:rFonts w:cs="Times New Roman"/>
          <w:sz w:val="24"/>
          <w:szCs w:val="24"/>
        </w:rPr>
        <w:t>根据达州市2022年环境空气质量状况：宣汉县二氧化硫年均值为5微克/立方米，二氧化氮年均值为19微克/立方米，可吸入颗粒物年均值为50微克/立方米，细颗粒物年均值为27微克/立方米，臭氧年均值为99微克/立方米，一氧化碳年均值为1.1毫克/立方米，宣汉县城区环境空气质量年均值达到《环境空气质量标准》（GB3095—2012）中二级标准。</w:t>
      </w:r>
    </w:p>
    <w:p>
      <w:pPr>
        <w:spacing w:line="360" w:lineRule="auto"/>
        <w:ind w:firstLine="480" w:firstLineChars="200"/>
        <w:rPr>
          <w:rFonts w:cs="Times New Roman"/>
          <w:sz w:val="24"/>
          <w:szCs w:val="24"/>
        </w:rPr>
      </w:pPr>
      <w:r>
        <w:rPr>
          <w:rFonts w:cs="Times New Roman"/>
          <w:sz w:val="24"/>
          <w:szCs w:val="24"/>
        </w:rPr>
        <w:t>项目位于四川达州普光经济开发区柳池工业园区1号干道2号，根据《环境影响评价技术导则大气环境》（HJ2.2-2018），城市环境空气质量达标情况评价指标为SO</w:t>
      </w:r>
      <w:r>
        <w:rPr>
          <w:rFonts w:cs="Times New Roman"/>
          <w:sz w:val="24"/>
          <w:szCs w:val="24"/>
          <w:vertAlign w:val="subscript"/>
        </w:rPr>
        <w:t>2</w:t>
      </w:r>
      <w:r>
        <w:rPr>
          <w:rFonts w:cs="Times New Roman"/>
          <w:sz w:val="24"/>
          <w:szCs w:val="24"/>
        </w:rPr>
        <w:t>、NO</w:t>
      </w:r>
      <w:r>
        <w:rPr>
          <w:rFonts w:cs="Times New Roman"/>
          <w:sz w:val="24"/>
          <w:szCs w:val="24"/>
          <w:vertAlign w:val="subscript"/>
        </w:rPr>
        <w:t>2</w:t>
      </w:r>
      <w:r>
        <w:rPr>
          <w:rFonts w:cs="Times New Roman"/>
          <w:sz w:val="24"/>
          <w:szCs w:val="24"/>
        </w:rPr>
        <w:t>、PM</w:t>
      </w:r>
      <w:r>
        <w:rPr>
          <w:rFonts w:cs="Times New Roman"/>
          <w:sz w:val="24"/>
          <w:szCs w:val="24"/>
          <w:vertAlign w:val="subscript"/>
        </w:rPr>
        <w:t>10</w:t>
      </w:r>
      <w:r>
        <w:rPr>
          <w:rFonts w:cs="Times New Roman"/>
          <w:sz w:val="24"/>
          <w:szCs w:val="24"/>
        </w:rPr>
        <w:t>、PM</w:t>
      </w:r>
      <w:r>
        <w:rPr>
          <w:rFonts w:cs="Times New Roman"/>
          <w:sz w:val="24"/>
          <w:szCs w:val="24"/>
          <w:vertAlign w:val="subscript"/>
        </w:rPr>
        <w:t>2.5</w:t>
      </w:r>
      <w:r>
        <w:rPr>
          <w:rFonts w:cs="Times New Roman"/>
          <w:sz w:val="24"/>
          <w:szCs w:val="24"/>
        </w:rPr>
        <w:t>、CO和O</w:t>
      </w:r>
      <w:r>
        <w:rPr>
          <w:rFonts w:cs="Times New Roman"/>
          <w:sz w:val="24"/>
          <w:szCs w:val="24"/>
          <w:vertAlign w:val="subscript"/>
        </w:rPr>
        <w:t>3</w:t>
      </w:r>
      <w:r>
        <w:rPr>
          <w:rFonts w:cs="Times New Roman"/>
          <w:sz w:val="24"/>
          <w:szCs w:val="24"/>
        </w:rPr>
        <w:t>，六项污染物全部达标即为城市环境空气质量达标，根据上述描述，六项污染物全部达标，因此，本项目所在区域为达标区，环境空气质量良好。</w:t>
      </w:r>
    </w:p>
    <w:p>
      <w:pPr>
        <w:pStyle w:val="4"/>
        <w:rPr>
          <w:rFonts w:cs="Times New Roman"/>
        </w:rPr>
      </w:pPr>
      <w:r>
        <w:rPr>
          <w:rFonts w:cs="Times New Roman"/>
        </w:rPr>
        <w:t>3.2 其他污染物现状评价</w:t>
      </w:r>
    </w:p>
    <w:p>
      <w:pPr>
        <w:spacing w:line="360" w:lineRule="auto"/>
        <w:ind w:firstLine="480" w:firstLineChars="200"/>
        <w:rPr>
          <w:rFonts w:cs="Times New Roman"/>
          <w:sz w:val="24"/>
          <w:szCs w:val="24"/>
        </w:rPr>
      </w:pPr>
      <w:r>
        <w:rPr>
          <w:rFonts w:cs="Times New Roman"/>
          <w:sz w:val="24"/>
          <w:szCs w:val="24"/>
        </w:rPr>
        <w:t>为了解区域大气环境质量现状，本次评价委托达州恒福环境监测服务有限公司于2023年8月5日~8月11日对区域大气环境质量现状进行监测。</w:t>
      </w:r>
    </w:p>
    <w:p>
      <w:pPr>
        <w:spacing w:line="360" w:lineRule="auto"/>
        <w:ind w:firstLine="482" w:firstLineChars="200"/>
        <w:rPr>
          <w:rFonts w:cs="Times New Roman"/>
          <w:b/>
          <w:bCs/>
          <w:sz w:val="24"/>
          <w:szCs w:val="24"/>
        </w:rPr>
      </w:pPr>
      <w:r>
        <w:rPr>
          <w:rFonts w:cs="Times New Roman"/>
          <w:b/>
          <w:bCs/>
          <w:sz w:val="24"/>
          <w:szCs w:val="24"/>
        </w:rPr>
        <w:t>1）监测项目</w:t>
      </w:r>
    </w:p>
    <w:p>
      <w:pPr>
        <w:spacing w:line="360" w:lineRule="auto"/>
        <w:ind w:firstLine="480" w:firstLineChars="200"/>
        <w:rPr>
          <w:rFonts w:cs="Times New Roman"/>
          <w:sz w:val="24"/>
          <w:szCs w:val="24"/>
        </w:rPr>
      </w:pPr>
      <w:r>
        <w:rPr>
          <w:rFonts w:cs="Times New Roman"/>
          <w:sz w:val="24"/>
          <w:szCs w:val="24"/>
        </w:rPr>
        <w:t>TVOC、颗粒物、甲醛、氨、臭气浓度</w:t>
      </w:r>
    </w:p>
    <w:p>
      <w:pPr>
        <w:spacing w:line="360" w:lineRule="auto"/>
        <w:ind w:firstLine="482" w:firstLineChars="200"/>
        <w:rPr>
          <w:rFonts w:cs="Times New Roman"/>
          <w:b/>
          <w:bCs/>
          <w:sz w:val="24"/>
          <w:szCs w:val="24"/>
        </w:rPr>
      </w:pPr>
      <w:r>
        <w:rPr>
          <w:rFonts w:cs="Times New Roman"/>
          <w:b/>
          <w:bCs/>
          <w:sz w:val="24"/>
          <w:szCs w:val="24"/>
        </w:rPr>
        <w:t>2）监测时间</w:t>
      </w:r>
    </w:p>
    <w:p>
      <w:pPr>
        <w:spacing w:line="360" w:lineRule="auto"/>
        <w:ind w:firstLine="480" w:firstLineChars="200"/>
        <w:rPr>
          <w:rFonts w:cs="Times New Roman"/>
          <w:sz w:val="24"/>
          <w:szCs w:val="24"/>
        </w:rPr>
      </w:pPr>
      <w:r>
        <w:rPr>
          <w:rFonts w:cs="Times New Roman"/>
          <w:sz w:val="24"/>
          <w:szCs w:val="24"/>
        </w:rPr>
        <w:t>2023年8月5日~8月11日，共7天。</w:t>
      </w:r>
    </w:p>
    <w:p>
      <w:pPr>
        <w:spacing w:line="360" w:lineRule="auto"/>
        <w:ind w:firstLine="482" w:firstLineChars="200"/>
        <w:rPr>
          <w:rFonts w:cs="Times New Roman"/>
          <w:b/>
          <w:bCs/>
          <w:sz w:val="24"/>
          <w:szCs w:val="24"/>
        </w:rPr>
      </w:pPr>
      <w:r>
        <w:rPr>
          <w:rFonts w:cs="Times New Roman"/>
          <w:b/>
          <w:bCs/>
          <w:sz w:val="24"/>
          <w:szCs w:val="24"/>
        </w:rPr>
        <w:t>3）监测结果</w:t>
      </w:r>
    </w:p>
    <w:p>
      <w:pPr>
        <w:spacing w:line="360" w:lineRule="auto"/>
        <w:ind w:firstLine="480" w:firstLineChars="200"/>
        <w:rPr>
          <w:rFonts w:cs="Times New Roman"/>
          <w:sz w:val="24"/>
          <w:szCs w:val="24"/>
        </w:rPr>
      </w:pPr>
      <w:r>
        <w:rPr>
          <w:rFonts w:cs="Times New Roman"/>
          <w:sz w:val="24"/>
          <w:szCs w:val="24"/>
        </w:rPr>
        <w:t>本次大气环境质量现状监测数据见表3.2-1~表3.2-2。</w:t>
      </w:r>
    </w:p>
    <w:p>
      <w:pPr>
        <w:spacing w:line="360" w:lineRule="auto"/>
        <w:jc w:val="center"/>
        <w:rPr>
          <w:rFonts w:cs="Times New Roman" w:eastAsiaTheme="minorEastAsia"/>
          <w:b/>
          <w:bCs/>
          <w:sz w:val="24"/>
          <w:szCs w:val="24"/>
        </w:rPr>
      </w:pPr>
      <w:r>
        <w:rPr>
          <w:rFonts w:cs="Times New Roman" w:eastAsiaTheme="minorEastAsia"/>
          <w:b/>
          <w:bCs/>
          <w:sz w:val="24"/>
          <w:szCs w:val="24"/>
        </w:rPr>
        <w:t xml:space="preserve">表3.2-1 监测结果  </w:t>
      </w:r>
      <w:r>
        <w:rPr>
          <w:rFonts w:cs="Times New Roman"/>
          <w:sz w:val="24"/>
          <w:szCs w:val="24"/>
        </w:rPr>
        <w:t>单位：mg/m</w:t>
      </w:r>
      <w:r>
        <w:rPr>
          <w:rFonts w:cs="Times New Roman"/>
          <w:sz w:val="24"/>
          <w:szCs w:val="24"/>
          <w:vertAlign w:val="superscript"/>
        </w:rPr>
        <w:t>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21"/>
        <w:gridCol w:w="1400"/>
        <w:gridCol w:w="1403"/>
        <w:gridCol w:w="1160"/>
        <w:gridCol w:w="1160"/>
        <w:gridCol w:w="1160"/>
        <w:gridCol w:w="1169"/>
        <w:gridCol w:w="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restart"/>
            <w:tcBorders>
              <w:tl2br w:val="nil"/>
              <w:tr2bl w:val="nil"/>
            </w:tcBorders>
            <w:vAlign w:val="center"/>
          </w:tcPr>
          <w:p>
            <w:pPr>
              <w:jc w:val="center"/>
              <w:rPr>
                <w:rFonts w:cs="Times New Roman"/>
                <w:b/>
                <w:bCs/>
                <w:szCs w:val="21"/>
              </w:rPr>
            </w:pPr>
            <w:r>
              <w:rPr>
                <w:rFonts w:cs="Times New Roman"/>
                <w:b/>
                <w:bCs/>
                <w:szCs w:val="21"/>
              </w:rPr>
              <w:t>检</w:t>
            </w:r>
            <w:r>
              <w:rPr>
                <w:rFonts w:cs="Times New Roman"/>
                <w:b/>
                <w:szCs w:val="21"/>
              </w:rPr>
              <w:t>测点编号及位置</w:t>
            </w:r>
          </w:p>
        </w:tc>
        <w:tc>
          <w:tcPr>
            <w:tcW w:w="744" w:type="pct"/>
            <w:vMerge w:val="restart"/>
            <w:tcBorders>
              <w:tl2br w:val="nil"/>
              <w:tr2bl w:val="nil"/>
            </w:tcBorders>
            <w:vAlign w:val="center"/>
          </w:tcPr>
          <w:p>
            <w:pPr>
              <w:jc w:val="center"/>
              <w:rPr>
                <w:rFonts w:cs="Times New Roman"/>
                <w:b/>
                <w:bCs/>
                <w:szCs w:val="21"/>
              </w:rPr>
            </w:pPr>
            <w:r>
              <w:rPr>
                <w:rFonts w:cs="Times New Roman"/>
                <w:b/>
                <w:szCs w:val="21"/>
              </w:rPr>
              <w:t>检测因子</w:t>
            </w:r>
          </w:p>
        </w:tc>
        <w:tc>
          <w:tcPr>
            <w:tcW w:w="745" w:type="pct"/>
            <w:vMerge w:val="restart"/>
            <w:tcBorders>
              <w:tl2br w:val="nil"/>
              <w:tr2bl w:val="nil"/>
            </w:tcBorders>
            <w:vAlign w:val="center"/>
          </w:tcPr>
          <w:p>
            <w:pPr>
              <w:pStyle w:val="77"/>
              <w:spacing w:before="0" w:after="0"/>
              <w:rPr>
                <w:rFonts w:cs="Times New Roman"/>
                <w:b/>
                <w:bCs/>
                <w:sz w:val="21"/>
                <w:szCs w:val="21"/>
              </w:rPr>
            </w:pPr>
            <w:r>
              <w:rPr>
                <w:rFonts w:cs="Times New Roman"/>
                <w:b/>
                <w:szCs w:val="21"/>
              </w:rPr>
              <w:t>检测日期</w:t>
            </w:r>
          </w:p>
        </w:tc>
        <w:tc>
          <w:tcPr>
            <w:tcW w:w="2469" w:type="pct"/>
            <w:gridSpan w:val="4"/>
            <w:tcBorders>
              <w:tl2br w:val="nil"/>
              <w:tr2bl w:val="nil"/>
            </w:tcBorders>
            <w:vAlign w:val="center"/>
          </w:tcPr>
          <w:p>
            <w:pPr>
              <w:pStyle w:val="77"/>
              <w:spacing w:before="0" w:after="0"/>
              <w:rPr>
                <w:rFonts w:cs="Times New Roman"/>
                <w:b/>
                <w:bCs/>
                <w:sz w:val="21"/>
                <w:szCs w:val="21"/>
              </w:rPr>
            </w:pPr>
            <w:r>
              <w:rPr>
                <w:rFonts w:cs="Times New Roman"/>
                <w:b/>
                <w:bCs/>
                <w:sz w:val="21"/>
                <w:szCs w:val="21"/>
              </w:rPr>
              <w:t>检测数据</w:t>
            </w:r>
          </w:p>
        </w:tc>
        <w:tc>
          <w:tcPr>
            <w:tcW w:w="443" w:type="pct"/>
            <w:vMerge w:val="restart"/>
            <w:tcBorders>
              <w:tl2br w:val="nil"/>
              <w:tr2bl w:val="nil"/>
            </w:tcBorders>
            <w:vAlign w:val="center"/>
          </w:tcPr>
          <w:p>
            <w:pPr>
              <w:pStyle w:val="77"/>
              <w:spacing w:before="0" w:after="0"/>
              <w:rPr>
                <w:rFonts w:cs="Times New Roman"/>
                <w:b/>
                <w:kern w:val="0"/>
                <w:sz w:val="21"/>
                <w:szCs w:val="21"/>
              </w:rPr>
            </w:pPr>
            <w:r>
              <w:rPr>
                <w:rFonts w:cs="Times New Roman"/>
                <w:b/>
                <w:kern w:val="0"/>
                <w:sz w:val="21"/>
                <w:szCs w:val="21"/>
              </w:rPr>
              <w:t>检测</w:t>
            </w:r>
          </w:p>
          <w:p>
            <w:pPr>
              <w:pStyle w:val="77"/>
              <w:spacing w:before="0" w:after="0"/>
              <w:rPr>
                <w:rFonts w:cs="Times New Roman"/>
                <w:b/>
                <w:bCs/>
                <w:sz w:val="21"/>
                <w:szCs w:val="21"/>
              </w:rPr>
            </w:pPr>
            <w:r>
              <w:rPr>
                <w:rFonts w:cs="Times New Roman"/>
                <w:b/>
                <w:kern w:val="0"/>
                <w:sz w:val="21"/>
                <w:szCs w:val="21"/>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b/>
                <w:szCs w:val="21"/>
              </w:rPr>
            </w:pPr>
          </w:p>
        </w:tc>
        <w:tc>
          <w:tcPr>
            <w:tcW w:w="744" w:type="pct"/>
            <w:vMerge w:val="continue"/>
            <w:tcBorders>
              <w:tl2br w:val="nil"/>
              <w:tr2bl w:val="nil"/>
            </w:tcBorders>
            <w:vAlign w:val="center"/>
          </w:tcPr>
          <w:p>
            <w:pPr>
              <w:jc w:val="center"/>
              <w:rPr>
                <w:rFonts w:cs="Times New Roman"/>
                <w:b/>
                <w:szCs w:val="21"/>
              </w:rPr>
            </w:pPr>
          </w:p>
        </w:tc>
        <w:tc>
          <w:tcPr>
            <w:tcW w:w="745" w:type="pct"/>
            <w:vMerge w:val="continue"/>
            <w:tcBorders>
              <w:tl2br w:val="nil"/>
              <w:tr2bl w:val="nil"/>
            </w:tcBorders>
            <w:vAlign w:val="center"/>
          </w:tcPr>
          <w:p>
            <w:pPr>
              <w:pStyle w:val="77"/>
              <w:spacing w:before="0" w:after="0"/>
              <w:rPr>
                <w:rFonts w:cs="Times New Roman"/>
                <w:b/>
                <w:sz w:val="21"/>
                <w:szCs w:val="21"/>
              </w:rPr>
            </w:pPr>
          </w:p>
        </w:tc>
        <w:tc>
          <w:tcPr>
            <w:tcW w:w="616" w:type="pct"/>
            <w:tcBorders>
              <w:tl2br w:val="nil"/>
              <w:tr2bl w:val="nil"/>
            </w:tcBorders>
            <w:vAlign w:val="center"/>
          </w:tcPr>
          <w:p>
            <w:pPr>
              <w:jc w:val="center"/>
              <w:rPr>
                <w:rFonts w:cs="Times New Roman"/>
                <w:b/>
                <w:bCs/>
                <w:szCs w:val="21"/>
              </w:rPr>
            </w:pPr>
            <w:r>
              <w:rPr>
                <w:rFonts w:cs="Times New Roman"/>
                <w:b/>
                <w:szCs w:val="21"/>
              </w:rPr>
              <w:t>第一次</w:t>
            </w:r>
          </w:p>
        </w:tc>
        <w:tc>
          <w:tcPr>
            <w:tcW w:w="616" w:type="pct"/>
            <w:tcBorders>
              <w:tl2br w:val="nil"/>
              <w:tr2bl w:val="nil"/>
            </w:tcBorders>
            <w:vAlign w:val="center"/>
          </w:tcPr>
          <w:p>
            <w:pPr>
              <w:jc w:val="center"/>
              <w:rPr>
                <w:rFonts w:cs="Times New Roman"/>
                <w:b/>
                <w:bCs/>
                <w:szCs w:val="21"/>
              </w:rPr>
            </w:pPr>
            <w:r>
              <w:rPr>
                <w:rFonts w:cs="Times New Roman"/>
                <w:b/>
                <w:szCs w:val="21"/>
              </w:rPr>
              <w:t>第二次</w:t>
            </w:r>
          </w:p>
        </w:tc>
        <w:tc>
          <w:tcPr>
            <w:tcW w:w="616" w:type="pct"/>
            <w:tcBorders>
              <w:tl2br w:val="nil"/>
              <w:tr2bl w:val="nil"/>
            </w:tcBorders>
            <w:vAlign w:val="center"/>
          </w:tcPr>
          <w:p>
            <w:pPr>
              <w:jc w:val="center"/>
              <w:rPr>
                <w:rFonts w:cs="Times New Roman"/>
                <w:b/>
                <w:bCs/>
                <w:szCs w:val="21"/>
              </w:rPr>
            </w:pPr>
            <w:r>
              <w:rPr>
                <w:rFonts w:cs="Times New Roman"/>
                <w:b/>
                <w:szCs w:val="21"/>
              </w:rPr>
              <w:t>第三次</w:t>
            </w:r>
          </w:p>
        </w:tc>
        <w:tc>
          <w:tcPr>
            <w:tcW w:w="619" w:type="pct"/>
            <w:tcBorders>
              <w:tl2br w:val="nil"/>
              <w:tr2bl w:val="nil"/>
            </w:tcBorders>
            <w:vAlign w:val="center"/>
          </w:tcPr>
          <w:p>
            <w:pPr>
              <w:jc w:val="center"/>
              <w:rPr>
                <w:rFonts w:cs="Times New Roman"/>
                <w:b/>
                <w:szCs w:val="21"/>
              </w:rPr>
            </w:pPr>
            <w:r>
              <w:rPr>
                <w:rFonts w:cs="Times New Roman"/>
                <w:b/>
                <w:szCs w:val="21"/>
              </w:rPr>
              <w:t>第四次</w:t>
            </w:r>
          </w:p>
        </w:tc>
        <w:tc>
          <w:tcPr>
            <w:tcW w:w="443" w:type="pct"/>
            <w:vMerge w:val="continue"/>
            <w:tcBorders>
              <w:tl2br w:val="nil"/>
              <w:tr2bl w:val="nil"/>
            </w:tcBorders>
            <w:vAlign w:val="center"/>
          </w:tcPr>
          <w:p>
            <w:pPr>
              <w:jc w:val="center"/>
              <w:rPr>
                <w:rFonts w:cs="Times New Roman"/>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restart"/>
            <w:tcBorders>
              <w:tl2br w:val="nil"/>
              <w:tr2bl w:val="nil"/>
            </w:tcBorders>
            <w:vAlign w:val="center"/>
          </w:tcPr>
          <w:p>
            <w:pPr>
              <w:jc w:val="center"/>
              <w:rPr>
                <w:rFonts w:cs="Times New Roman"/>
                <w:szCs w:val="21"/>
              </w:rPr>
            </w:pPr>
            <w:r>
              <w:rPr>
                <w:rFonts w:cs="Times New Roman"/>
                <w:szCs w:val="21"/>
              </w:rPr>
              <w:t>1#，柳池</w:t>
            </w:r>
          </w:p>
          <w:p>
            <w:pPr>
              <w:jc w:val="center"/>
              <w:rPr>
                <w:rFonts w:cs="Times New Roman"/>
                <w:szCs w:val="21"/>
              </w:rPr>
            </w:pPr>
            <w:r>
              <w:rPr>
                <w:rFonts w:cs="Times New Roman"/>
                <w:szCs w:val="21"/>
              </w:rPr>
              <w:t>安置房处</w:t>
            </w:r>
          </w:p>
        </w:tc>
        <w:tc>
          <w:tcPr>
            <w:tcW w:w="744" w:type="pct"/>
            <w:vMerge w:val="restart"/>
            <w:tcBorders>
              <w:tl2br w:val="nil"/>
              <w:tr2bl w:val="nil"/>
            </w:tcBorders>
            <w:vAlign w:val="center"/>
          </w:tcPr>
          <w:p>
            <w:pPr>
              <w:jc w:val="center"/>
              <w:rPr>
                <w:rFonts w:cs="Times New Roman"/>
                <w:szCs w:val="21"/>
              </w:rPr>
            </w:pPr>
            <w:r>
              <w:rPr>
                <w:rFonts w:cs="Times New Roman"/>
                <w:szCs w:val="21"/>
              </w:rPr>
              <w:t>氨</w:t>
            </w:r>
          </w:p>
        </w:tc>
        <w:tc>
          <w:tcPr>
            <w:tcW w:w="745" w:type="pct"/>
            <w:tcBorders>
              <w:tl2br w:val="nil"/>
              <w:tr2bl w:val="nil"/>
            </w:tcBorders>
            <w:vAlign w:val="center"/>
          </w:tcPr>
          <w:p>
            <w:pPr>
              <w:jc w:val="center"/>
              <w:rPr>
                <w:rFonts w:cs="Times New Roman"/>
                <w:szCs w:val="21"/>
              </w:rPr>
            </w:pPr>
            <w:r>
              <w:rPr>
                <w:rFonts w:cs="Times New Roman"/>
                <w:szCs w:val="21"/>
              </w:rPr>
              <w:t>2023.08.05</w:t>
            </w:r>
          </w:p>
        </w:tc>
        <w:tc>
          <w:tcPr>
            <w:tcW w:w="616" w:type="pct"/>
            <w:tcBorders>
              <w:tl2br w:val="nil"/>
              <w:tr2bl w:val="nil"/>
            </w:tcBorders>
            <w:vAlign w:val="center"/>
          </w:tcPr>
          <w:p>
            <w:pPr>
              <w:jc w:val="center"/>
              <w:rPr>
                <w:rFonts w:cs="Times New Roman"/>
                <w:szCs w:val="21"/>
              </w:rPr>
            </w:pPr>
            <w:r>
              <w:rPr>
                <w:rFonts w:cs="Times New Roman"/>
                <w:szCs w:val="21"/>
              </w:rPr>
              <w:t>0.11</w:t>
            </w:r>
          </w:p>
        </w:tc>
        <w:tc>
          <w:tcPr>
            <w:tcW w:w="616" w:type="pct"/>
            <w:tcBorders>
              <w:tl2br w:val="nil"/>
              <w:tr2bl w:val="nil"/>
            </w:tcBorders>
            <w:vAlign w:val="center"/>
          </w:tcPr>
          <w:p>
            <w:pPr>
              <w:jc w:val="center"/>
              <w:rPr>
                <w:rFonts w:cs="Times New Roman"/>
                <w:szCs w:val="21"/>
              </w:rPr>
            </w:pPr>
            <w:r>
              <w:rPr>
                <w:rFonts w:cs="Times New Roman"/>
                <w:szCs w:val="21"/>
              </w:rPr>
              <w:t>0.12</w:t>
            </w:r>
          </w:p>
        </w:tc>
        <w:tc>
          <w:tcPr>
            <w:tcW w:w="616" w:type="pct"/>
            <w:tcBorders>
              <w:tl2br w:val="nil"/>
              <w:tr2bl w:val="nil"/>
            </w:tcBorders>
            <w:vAlign w:val="center"/>
          </w:tcPr>
          <w:p>
            <w:pPr>
              <w:jc w:val="center"/>
              <w:rPr>
                <w:rFonts w:cs="Times New Roman"/>
                <w:szCs w:val="21"/>
              </w:rPr>
            </w:pPr>
            <w:r>
              <w:rPr>
                <w:rFonts w:cs="Times New Roman"/>
                <w:szCs w:val="21"/>
              </w:rPr>
              <w:t>0.13</w:t>
            </w:r>
          </w:p>
        </w:tc>
        <w:tc>
          <w:tcPr>
            <w:tcW w:w="619" w:type="pct"/>
            <w:tcBorders>
              <w:tl2br w:val="nil"/>
              <w:tr2bl w:val="nil"/>
            </w:tcBorders>
            <w:vAlign w:val="center"/>
          </w:tcPr>
          <w:p>
            <w:pPr>
              <w:jc w:val="center"/>
              <w:rPr>
                <w:rFonts w:cs="Times New Roman"/>
                <w:szCs w:val="21"/>
              </w:rPr>
            </w:pPr>
            <w:r>
              <w:rPr>
                <w:rFonts w:cs="Times New Roman"/>
                <w:szCs w:val="21"/>
              </w:rPr>
              <w:t>0.19</w:t>
            </w:r>
          </w:p>
        </w:tc>
        <w:tc>
          <w:tcPr>
            <w:tcW w:w="443" w:type="pct"/>
            <w:vMerge w:val="restart"/>
            <w:tcBorders>
              <w:tl2br w:val="nil"/>
              <w:tr2bl w:val="nil"/>
            </w:tcBorders>
            <w:vAlign w:val="center"/>
          </w:tcPr>
          <w:p>
            <w:pPr>
              <w:jc w:val="center"/>
              <w:rPr>
                <w:rFonts w:cs="Times New Roman"/>
                <w:szCs w:val="21"/>
              </w:rPr>
            </w:pPr>
            <w:r>
              <w:rPr>
                <w:rFonts w:cs="Times New Roman"/>
                <w:szCs w:val="21"/>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2023.08.06</w:t>
            </w:r>
          </w:p>
        </w:tc>
        <w:tc>
          <w:tcPr>
            <w:tcW w:w="616" w:type="pct"/>
            <w:tcBorders>
              <w:tl2br w:val="nil"/>
              <w:tr2bl w:val="nil"/>
            </w:tcBorders>
            <w:vAlign w:val="center"/>
          </w:tcPr>
          <w:p>
            <w:pPr>
              <w:jc w:val="center"/>
              <w:rPr>
                <w:rFonts w:cs="Times New Roman"/>
                <w:szCs w:val="21"/>
              </w:rPr>
            </w:pPr>
            <w:r>
              <w:rPr>
                <w:rFonts w:cs="Times New Roman"/>
                <w:szCs w:val="21"/>
              </w:rPr>
              <w:t>0.16</w:t>
            </w:r>
          </w:p>
        </w:tc>
        <w:tc>
          <w:tcPr>
            <w:tcW w:w="616" w:type="pct"/>
            <w:tcBorders>
              <w:tl2br w:val="nil"/>
              <w:tr2bl w:val="nil"/>
            </w:tcBorders>
            <w:vAlign w:val="center"/>
          </w:tcPr>
          <w:p>
            <w:pPr>
              <w:jc w:val="center"/>
              <w:rPr>
                <w:rFonts w:cs="Times New Roman"/>
                <w:szCs w:val="21"/>
              </w:rPr>
            </w:pPr>
            <w:r>
              <w:rPr>
                <w:rFonts w:cs="Times New Roman"/>
                <w:szCs w:val="21"/>
              </w:rPr>
              <w:t>0.13</w:t>
            </w:r>
          </w:p>
        </w:tc>
        <w:tc>
          <w:tcPr>
            <w:tcW w:w="616" w:type="pct"/>
            <w:tcBorders>
              <w:tl2br w:val="nil"/>
              <w:tr2bl w:val="nil"/>
            </w:tcBorders>
            <w:vAlign w:val="center"/>
          </w:tcPr>
          <w:p>
            <w:pPr>
              <w:jc w:val="center"/>
              <w:rPr>
                <w:rFonts w:cs="Times New Roman"/>
                <w:szCs w:val="21"/>
              </w:rPr>
            </w:pPr>
            <w:r>
              <w:rPr>
                <w:rFonts w:cs="Times New Roman"/>
                <w:szCs w:val="21"/>
              </w:rPr>
              <w:t>0.16</w:t>
            </w:r>
          </w:p>
        </w:tc>
        <w:tc>
          <w:tcPr>
            <w:tcW w:w="619" w:type="pct"/>
            <w:tcBorders>
              <w:tl2br w:val="nil"/>
              <w:tr2bl w:val="nil"/>
            </w:tcBorders>
            <w:vAlign w:val="center"/>
          </w:tcPr>
          <w:p>
            <w:pPr>
              <w:jc w:val="center"/>
              <w:rPr>
                <w:rFonts w:cs="Times New Roman"/>
                <w:szCs w:val="21"/>
              </w:rPr>
            </w:pPr>
            <w:r>
              <w:rPr>
                <w:rFonts w:cs="Times New Roman"/>
                <w:szCs w:val="21"/>
              </w:rPr>
              <w:t>0.11</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2023.08.07</w:t>
            </w:r>
          </w:p>
        </w:tc>
        <w:tc>
          <w:tcPr>
            <w:tcW w:w="616" w:type="pct"/>
            <w:tcBorders>
              <w:tl2br w:val="nil"/>
              <w:tr2bl w:val="nil"/>
            </w:tcBorders>
            <w:vAlign w:val="center"/>
          </w:tcPr>
          <w:p>
            <w:pPr>
              <w:jc w:val="center"/>
              <w:rPr>
                <w:rFonts w:cs="Times New Roman"/>
                <w:szCs w:val="21"/>
              </w:rPr>
            </w:pPr>
            <w:r>
              <w:rPr>
                <w:rFonts w:cs="Times New Roman"/>
                <w:szCs w:val="21"/>
              </w:rPr>
              <w:t>0.11</w:t>
            </w:r>
          </w:p>
        </w:tc>
        <w:tc>
          <w:tcPr>
            <w:tcW w:w="616" w:type="pct"/>
            <w:tcBorders>
              <w:tl2br w:val="nil"/>
              <w:tr2bl w:val="nil"/>
            </w:tcBorders>
            <w:vAlign w:val="center"/>
          </w:tcPr>
          <w:p>
            <w:pPr>
              <w:jc w:val="center"/>
              <w:rPr>
                <w:rFonts w:cs="Times New Roman"/>
                <w:szCs w:val="21"/>
              </w:rPr>
            </w:pPr>
            <w:r>
              <w:rPr>
                <w:rFonts w:cs="Times New Roman"/>
                <w:szCs w:val="21"/>
              </w:rPr>
              <w:t>0.13</w:t>
            </w:r>
          </w:p>
        </w:tc>
        <w:tc>
          <w:tcPr>
            <w:tcW w:w="616" w:type="pct"/>
            <w:tcBorders>
              <w:tl2br w:val="nil"/>
              <w:tr2bl w:val="nil"/>
            </w:tcBorders>
            <w:vAlign w:val="center"/>
          </w:tcPr>
          <w:p>
            <w:pPr>
              <w:jc w:val="center"/>
              <w:rPr>
                <w:rFonts w:cs="Times New Roman"/>
                <w:szCs w:val="21"/>
              </w:rPr>
            </w:pPr>
            <w:r>
              <w:rPr>
                <w:rFonts w:cs="Times New Roman"/>
                <w:szCs w:val="21"/>
              </w:rPr>
              <w:t>0.10</w:t>
            </w:r>
          </w:p>
        </w:tc>
        <w:tc>
          <w:tcPr>
            <w:tcW w:w="619" w:type="pct"/>
            <w:tcBorders>
              <w:tl2br w:val="nil"/>
              <w:tr2bl w:val="nil"/>
            </w:tcBorders>
            <w:vAlign w:val="center"/>
          </w:tcPr>
          <w:p>
            <w:pPr>
              <w:jc w:val="center"/>
              <w:rPr>
                <w:rFonts w:cs="Times New Roman"/>
                <w:szCs w:val="21"/>
              </w:rPr>
            </w:pPr>
            <w:r>
              <w:rPr>
                <w:rFonts w:cs="Times New Roman"/>
                <w:szCs w:val="21"/>
              </w:rPr>
              <w:t>0.12</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2023.08.08</w:t>
            </w:r>
          </w:p>
        </w:tc>
        <w:tc>
          <w:tcPr>
            <w:tcW w:w="616" w:type="pct"/>
            <w:tcBorders>
              <w:tl2br w:val="nil"/>
              <w:tr2bl w:val="nil"/>
            </w:tcBorders>
            <w:vAlign w:val="center"/>
          </w:tcPr>
          <w:p>
            <w:pPr>
              <w:jc w:val="center"/>
              <w:rPr>
                <w:rFonts w:cs="Times New Roman"/>
                <w:szCs w:val="21"/>
              </w:rPr>
            </w:pPr>
            <w:r>
              <w:rPr>
                <w:rFonts w:cs="Times New Roman"/>
                <w:szCs w:val="21"/>
              </w:rPr>
              <w:t>0.15</w:t>
            </w:r>
          </w:p>
        </w:tc>
        <w:tc>
          <w:tcPr>
            <w:tcW w:w="616" w:type="pct"/>
            <w:tcBorders>
              <w:tl2br w:val="nil"/>
              <w:tr2bl w:val="nil"/>
            </w:tcBorders>
            <w:vAlign w:val="center"/>
          </w:tcPr>
          <w:p>
            <w:pPr>
              <w:jc w:val="center"/>
              <w:rPr>
                <w:rFonts w:cs="Times New Roman"/>
                <w:szCs w:val="21"/>
              </w:rPr>
            </w:pPr>
            <w:r>
              <w:rPr>
                <w:rFonts w:cs="Times New Roman"/>
                <w:szCs w:val="21"/>
              </w:rPr>
              <w:t>0.16</w:t>
            </w:r>
          </w:p>
        </w:tc>
        <w:tc>
          <w:tcPr>
            <w:tcW w:w="616" w:type="pct"/>
            <w:tcBorders>
              <w:tl2br w:val="nil"/>
              <w:tr2bl w:val="nil"/>
            </w:tcBorders>
            <w:vAlign w:val="center"/>
          </w:tcPr>
          <w:p>
            <w:pPr>
              <w:jc w:val="center"/>
              <w:rPr>
                <w:rFonts w:cs="Times New Roman"/>
                <w:szCs w:val="21"/>
              </w:rPr>
            </w:pPr>
            <w:r>
              <w:rPr>
                <w:rFonts w:cs="Times New Roman"/>
                <w:szCs w:val="21"/>
              </w:rPr>
              <w:t>0.11</w:t>
            </w:r>
          </w:p>
        </w:tc>
        <w:tc>
          <w:tcPr>
            <w:tcW w:w="619" w:type="pct"/>
            <w:tcBorders>
              <w:tl2br w:val="nil"/>
              <w:tr2bl w:val="nil"/>
            </w:tcBorders>
            <w:vAlign w:val="center"/>
          </w:tcPr>
          <w:p>
            <w:pPr>
              <w:jc w:val="center"/>
              <w:rPr>
                <w:rFonts w:cs="Times New Roman"/>
                <w:szCs w:val="21"/>
              </w:rPr>
            </w:pPr>
            <w:r>
              <w:rPr>
                <w:rFonts w:cs="Times New Roman"/>
                <w:szCs w:val="21"/>
              </w:rPr>
              <w:t>0.13</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2023.08.09</w:t>
            </w:r>
          </w:p>
        </w:tc>
        <w:tc>
          <w:tcPr>
            <w:tcW w:w="616" w:type="pct"/>
            <w:tcBorders>
              <w:tl2br w:val="nil"/>
              <w:tr2bl w:val="nil"/>
            </w:tcBorders>
            <w:vAlign w:val="center"/>
          </w:tcPr>
          <w:p>
            <w:pPr>
              <w:jc w:val="center"/>
              <w:rPr>
                <w:rFonts w:cs="Times New Roman"/>
                <w:szCs w:val="21"/>
              </w:rPr>
            </w:pPr>
            <w:r>
              <w:rPr>
                <w:rFonts w:cs="Times New Roman"/>
                <w:szCs w:val="21"/>
              </w:rPr>
              <w:t>0.16</w:t>
            </w:r>
          </w:p>
        </w:tc>
        <w:tc>
          <w:tcPr>
            <w:tcW w:w="616" w:type="pct"/>
            <w:tcBorders>
              <w:tl2br w:val="nil"/>
              <w:tr2bl w:val="nil"/>
            </w:tcBorders>
            <w:vAlign w:val="center"/>
          </w:tcPr>
          <w:p>
            <w:pPr>
              <w:jc w:val="center"/>
              <w:rPr>
                <w:rFonts w:cs="Times New Roman"/>
                <w:szCs w:val="21"/>
              </w:rPr>
            </w:pPr>
            <w:r>
              <w:rPr>
                <w:rFonts w:cs="Times New Roman"/>
                <w:szCs w:val="21"/>
              </w:rPr>
              <w:t>0.16</w:t>
            </w:r>
          </w:p>
        </w:tc>
        <w:tc>
          <w:tcPr>
            <w:tcW w:w="616" w:type="pct"/>
            <w:tcBorders>
              <w:tl2br w:val="nil"/>
              <w:tr2bl w:val="nil"/>
            </w:tcBorders>
            <w:vAlign w:val="center"/>
          </w:tcPr>
          <w:p>
            <w:pPr>
              <w:jc w:val="center"/>
              <w:rPr>
                <w:rFonts w:cs="Times New Roman"/>
                <w:szCs w:val="21"/>
              </w:rPr>
            </w:pPr>
            <w:r>
              <w:rPr>
                <w:rFonts w:cs="Times New Roman"/>
                <w:szCs w:val="21"/>
              </w:rPr>
              <w:t>0.16</w:t>
            </w:r>
          </w:p>
        </w:tc>
        <w:tc>
          <w:tcPr>
            <w:tcW w:w="619" w:type="pct"/>
            <w:tcBorders>
              <w:tl2br w:val="nil"/>
              <w:tr2bl w:val="nil"/>
            </w:tcBorders>
            <w:vAlign w:val="center"/>
          </w:tcPr>
          <w:p>
            <w:pPr>
              <w:jc w:val="center"/>
              <w:rPr>
                <w:rFonts w:cs="Times New Roman"/>
                <w:szCs w:val="21"/>
              </w:rPr>
            </w:pPr>
            <w:r>
              <w:rPr>
                <w:rFonts w:cs="Times New Roman"/>
                <w:szCs w:val="21"/>
              </w:rPr>
              <w:t>0.10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2023.08.10</w:t>
            </w:r>
          </w:p>
        </w:tc>
        <w:tc>
          <w:tcPr>
            <w:tcW w:w="616" w:type="pct"/>
            <w:tcBorders>
              <w:tl2br w:val="nil"/>
              <w:tr2bl w:val="nil"/>
            </w:tcBorders>
            <w:vAlign w:val="center"/>
          </w:tcPr>
          <w:p>
            <w:pPr>
              <w:jc w:val="center"/>
              <w:rPr>
                <w:rFonts w:cs="Times New Roman"/>
                <w:szCs w:val="21"/>
              </w:rPr>
            </w:pPr>
            <w:r>
              <w:rPr>
                <w:rFonts w:cs="Times New Roman"/>
                <w:szCs w:val="21"/>
              </w:rPr>
              <w:t>0.15</w:t>
            </w:r>
          </w:p>
        </w:tc>
        <w:tc>
          <w:tcPr>
            <w:tcW w:w="616" w:type="pct"/>
            <w:tcBorders>
              <w:tl2br w:val="nil"/>
              <w:tr2bl w:val="nil"/>
            </w:tcBorders>
            <w:vAlign w:val="center"/>
          </w:tcPr>
          <w:p>
            <w:pPr>
              <w:jc w:val="center"/>
              <w:rPr>
                <w:rFonts w:cs="Times New Roman"/>
                <w:szCs w:val="21"/>
              </w:rPr>
            </w:pPr>
            <w:r>
              <w:rPr>
                <w:rFonts w:cs="Times New Roman"/>
                <w:szCs w:val="21"/>
              </w:rPr>
              <w:t>0.11</w:t>
            </w:r>
          </w:p>
        </w:tc>
        <w:tc>
          <w:tcPr>
            <w:tcW w:w="616" w:type="pct"/>
            <w:tcBorders>
              <w:tl2br w:val="nil"/>
              <w:tr2bl w:val="nil"/>
            </w:tcBorders>
            <w:vAlign w:val="center"/>
          </w:tcPr>
          <w:p>
            <w:pPr>
              <w:jc w:val="center"/>
              <w:rPr>
                <w:rFonts w:cs="Times New Roman"/>
                <w:szCs w:val="21"/>
              </w:rPr>
            </w:pPr>
            <w:r>
              <w:rPr>
                <w:rFonts w:cs="Times New Roman"/>
                <w:szCs w:val="21"/>
              </w:rPr>
              <w:t>0.12</w:t>
            </w:r>
          </w:p>
        </w:tc>
        <w:tc>
          <w:tcPr>
            <w:tcW w:w="619" w:type="pct"/>
            <w:tcBorders>
              <w:tl2br w:val="nil"/>
              <w:tr2bl w:val="nil"/>
            </w:tcBorders>
            <w:vAlign w:val="center"/>
          </w:tcPr>
          <w:p>
            <w:pPr>
              <w:jc w:val="center"/>
              <w:rPr>
                <w:rFonts w:cs="Times New Roman"/>
                <w:szCs w:val="21"/>
              </w:rPr>
            </w:pPr>
            <w:r>
              <w:rPr>
                <w:rFonts w:cs="Times New Roman"/>
                <w:szCs w:val="21"/>
              </w:rPr>
              <w:t>0.15</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2023.08.11</w:t>
            </w:r>
          </w:p>
        </w:tc>
        <w:tc>
          <w:tcPr>
            <w:tcW w:w="616" w:type="pct"/>
            <w:tcBorders>
              <w:tl2br w:val="nil"/>
              <w:tr2bl w:val="nil"/>
            </w:tcBorders>
            <w:vAlign w:val="center"/>
          </w:tcPr>
          <w:p>
            <w:pPr>
              <w:jc w:val="center"/>
              <w:rPr>
                <w:rFonts w:cs="Times New Roman"/>
                <w:szCs w:val="21"/>
              </w:rPr>
            </w:pPr>
            <w:r>
              <w:rPr>
                <w:rFonts w:cs="Times New Roman"/>
                <w:szCs w:val="21"/>
              </w:rPr>
              <w:t>0.10</w:t>
            </w:r>
          </w:p>
        </w:tc>
        <w:tc>
          <w:tcPr>
            <w:tcW w:w="616" w:type="pct"/>
            <w:tcBorders>
              <w:tl2br w:val="nil"/>
              <w:tr2bl w:val="nil"/>
            </w:tcBorders>
            <w:vAlign w:val="center"/>
          </w:tcPr>
          <w:p>
            <w:pPr>
              <w:jc w:val="center"/>
              <w:rPr>
                <w:rFonts w:cs="Times New Roman"/>
                <w:szCs w:val="21"/>
              </w:rPr>
            </w:pPr>
            <w:r>
              <w:rPr>
                <w:rFonts w:cs="Times New Roman"/>
                <w:szCs w:val="21"/>
              </w:rPr>
              <w:t>0.14</w:t>
            </w:r>
          </w:p>
        </w:tc>
        <w:tc>
          <w:tcPr>
            <w:tcW w:w="616" w:type="pct"/>
            <w:tcBorders>
              <w:tl2br w:val="nil"/>
              <w:tr2bl w:val="nil"/>
            </w:tcBorders>
            <w:vAlign w:val="center"/>
          </w:tcPr>
          <w:p>
            <w:pPr>
              <w:jc w:val="center"/>
              <w:rPr>
                <w:rFonts w:cs="Times New Roman"/>
                <w:szCs w:val="21"/>
              </w:rPr>
            </w:pPr>
            <w:r>
              <w:rPr>
                <w:rFonts w:cs="Times New Roman"/>
                <w:szCs w:val="21"/>
              </w:rPr>
              <w:t>0.15</w:t>
            </w:r>
          </w:p>
        </w:tc>
        <w:tc>
          <w:tcPr>
            <w:tcW w:w="619" w:type="pct"/>
            <w:tcBorders>
              <w:tl2br w:val="nil"/>
              <w:tr2bl w:val="nil"/>
            </w:tcBorders>
            <w:vAlign w:val="center"/>
          </w:tcPr>
          <w:p>
            <w:pPr>
              <w:jc w:val="center"/>
              <w:rPr>
                <w:rFonts w:cs="Times New Roman"/>
                <w:szCs w:val="21"/>
              </w:rPr>
            </w:pPr>
            <w:r>
              <w:rPr>
                <w:rFonts w:cs="Times New Roman"/>
                <w:szCs w:val="21"/>
              </w:rPr>
              <w:t>0.15</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restart"/>
            <w:tcBorders>
              <w:tl2br w:val="nil"/>
              <w:tr2bl w:val="nil"/>
            </w:tcBorders>
            <w:vAlign w:val="center"/>
          </w:tcPr>
          <w:p>
            <w:pPr>
              <w:jc w:val="center"/>
              <w:rPr>
                <w:rFonts w:cs="Times New Roman"/>
                <w:szCs w:val="21"/>
              </w:rPr>
            </w:pPr>
            <w:r>
              <w:rPr>
                <w:rFonts w:cs="Times New Roman"/>
                <w:szCs w:val="21"/>
              </w:rPr>
              <w:t>甲醛</w:t>
            </w:r>
          </w:p>
        </w:tc>
        <w:tc>
          <w:tcPr>
            <w:tcW w:w="745" w:type="pct"/>
            <w:tcBorders>
              <w:tl2br w:val="nil"/>
              <w:tr2bl w:val="nil"/>
            </w:tcBorders>
            <w:vAlign w:val="center"/>
          </w:tcPr>
          <w:p>
            <w:pPr>
              <w:jc w:val="center"/>
              <w:rPr>
                <w:rFonts w:cs="Times New Roman"/>
                <w:szCs w:val="21"/>
              </w:rPr>
            </w:pPr>
            <w:r>
              <w:rPr>
                <w:rFonts w:cs="Times New Roman"/>
                <w:szCs w:val="21"/>
              </w:rPr>
              <w:t>2023.08.05</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9"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restart"/>
            <w:tcBorders>
              <w:tl2br w:val="nil"/>
              <w:tr2bl w:val="nil"/>
            </w:tcBorders>
            <w:vAlign w:val="center"/>
          </w:tcPr>
          <w:p>
            <w:pPr>
              <w:jc w:val="center"/>
              <w:rPr>
                <w:rFonts w:cs="Times New Roman"/>
                <w:szCs w:val="21"/>
              </w:rPr>
            </w:pPr>
            <w:r>
              <w:rPr>
                <w:rFonts w:cs="Times New Roman"/>
                <w:szCs w:val="21"/>
              </w:rPr>
              <w:t>未检出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2023.08.06</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9"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2023.08.07</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9"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2023.08.08</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9"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2023.08.09</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9"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2023.08.10</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9"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autoSpaceDE w:val="0"/>
              <w:autoSpaceDN w:val="0"/>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2023.08.11</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6" w:type="pct"/>
            <w:tcBorders>
              <w:tl2br w:val="nil"/>
              <w:tr2bl w:val="nil"/>
            </w:tcBorders>
            <w:vAlign w:val="center"/>
          </w:tcPr>
          <w:p>
            <w:pPr>
              <w:jc w:val="center"/>
              <w:rPr>
                <w:rFonts w:cs="Times New Roman"/>
                <w:szCs w:val="21"/>
              </w:rPr>
            </w:pPr>
            <w:r>
              <w:rPr>
                <w:rFonts w:cs="Times New Roman"/>
                <w:szCs w:val="21"/>
              </w:rPr>
              <w:t>未检出</w:t>
            </w:r>
          </w:p>
        </w:tc>
        <w:tc>
          <w:tcPr>
            <w:tcW w:w="619" w:type="pct"/>
            <w:tcBorders>
              <w:tl2br w:val="nil"/>
              <w:tr2bl w:val="nil"/>
            </w:tcBorders>
            <w:vAlign w:val="center"/>
          </w:tcPr>
          <w:p>
            <w:pPr>
              <w:jc w:val="center"/>
              <w:rPr>
                <w:rFonts w:cs="Times New Roman"/>
                <w:szCs w:val="21"/>
              </w:rPr>
            </w:pPr>
            <w:r>
              <w:rPr>
                <w:rFonts w:cs="Times New Roman"/>
                <w:szCs w:val="21"/>
              </w:rPr>
              <w:t>未检出</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restart"/>
            <w:tcBorders>
              <w:tl2br w:val="nil"/>
              <w:tr2bl w:val="nil"/>
            </w:tcBorders>
            <w:vAlign w:val="center"/>
          </w:tcPr>
          <w:p>
            <w:pPr>
              <w:autoSpaceDE w:val="0"/>
              <w:autoSpaceDN w:val="0"/>
              <w:jc w:val="center"/>
              <w:rPr>
                <w:rFonts w:cs="Times New Roman"/>
                <w:szCs w:val="21"/>
              </w:rPr>
            </w:pPr>
            <w:r>
              <w:rPr>
                <w:rFonts w:cs="Times New Roman"/>
                <w:szCs w:val="21"/>
              </w:rPr>
              <w:t>臭气浓度</w:t>
            </w:r>
          </w:p>
          <w:p>
            <w:pPr>
              <w:jc w:val="center"/>
              <w:rPr>
                <w:rFonts w:cs="Times New Roman"/>
                <w:szCs w:val="21"/>
              </w:rPr>
            </w:pPr>
            <w:r>
              <w:rPr>
                <w:rFonts w:cs="Times New Roman"/>
                <w:szCs w:val="21"/>
              </w:rPr>
              <w:t>（无量纲）</w:t>
            </w:r>
          </w:p>
        </w:tc>
        <w:tc>
          <w:tcPr>
            <w:tcW w:w="745" w:type="pct"/>
            <w:tcBorders>
              <w:tl2br w:val="nil"/>
              <w:tr2bl w:val="nil"/>
            </w:tcBorders>
            <w:vAlign w:val="center"/>
          </w:tcPr>
          <w:p>
            <w:pPr>
              <w:jc w:val="center"/>
              <w:rPr>
                <w:rFonts w:cs="Times New Roman"/>
                <w:szCs w:val="21"/>
              </w:rPr>
            </w:pPr>
            <w:r>
              <w:rPr>
                <w:rFonts w:cs="Times New Roman"/>
                <w:szCs w:val="21"/>
              </w:rPr>
              <w:t>2023.08.05</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9" w:type="pct"/>
            <w:tcBorders>
              <w:tl2br w:val="nil"/>
              <w:tr2bl w:val="nil"/>
            </w:tcBorders>
            <w:vAlign w:val="center"/>
          </w:tcPr>
          <w:p>
            <w:pPr>
              <w:jc w:val="center"/>
              <w:rPr>
                <w:rFonts w:cs="Times New Roman"/>
                <w:szCs w:val="21"/>
              </w:rPr>
            </w:pPr>
            <w:r>
              <w:rPr>
                <w:rFonts w:cs="Times New Roman"/>
                <w:szCs w:val="21"/>
              </w:rPr>
              <w:t>&lt;10</w:t>
            </w:r>
          </w:p>
        </w:tc>
        <w:tc>
          <w:tcPr>
            <w:tcW w:w="443" w:type="pct"/>
            <w:vMerge w:val="restart"/>
            <w:tcBorders>
              <w:tl2br w:val="nil"/>
              <w:tr2bl w:val="nil"/>
            </w:tcBorders>
            <w:vAlign w:val="center"/>
          </w:tcPr>
          <w:p>
            <w:pPr>
              <w:jc w:val="center"/>
              <w:rPr>
                <w:rFonts w:cs="Times New Roman"/>
                <w:sz w:val="24"/>
              </w:rPr>
            </w:pPr>
            <w:r>
              <w:rPr>
                <w:rFonts w:cs="Times New Roman"/>
              </w:rPr>
              <w:t>&lt;10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2023.08.06</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9"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2023.08.07</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9"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2023.08.08</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9"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2023.08.09</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9"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9"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96" w:type="pct"/>
            <w:vMerge w:val="continue"/>
            <w:tcBorders>
              <w:tl2br w:val="nil"/>
              <w:tr2bl w:val="nil"/>
            </w:tcBorders>
            <w:vAlign w:val="center"/>
          </w:tcPr>
          <w:p>
            <w:pPr>
              <w:widowControl/>
              <w:jc w:val="center"/>
              <w:rPr>
                <w:rFonts w:cs="Times New Roman"/>
                <w:szCs w:val="21"/>
              </w:rPr>
            </w:pPr>
          </w:p>
        </w:tc>
        <w:tc>
          <w:tcPr>
            <w:tcW w:w="744" w:type="pct"/>
            <w:vMerge w:val="continue"/>
            <w:tcBorders>
              <w:tl2br w:val="nil"/>
              <w:tr2bl w:val="nil"/>
            </w:tcBorders>
            <w:vAlign w:val="center"/>
          </w:tcPr>
          <w:p>
            <w:pPr>
              <w:jc w:val="center"/>
              <w:rPr>
                <w:rFonts w:cs="Times New Roman"/>
                <w:szCs w:val="21"/>
              </w:rPr>
            </w:pPr>
          </w:p>
        </w:tc>
        <w:tc>
          <w:tcPr>
            <w:tcW w:w="745" w:type="pct"/>
            <w:tcBorders>
              <w:tl2br w:val="nil"/>
              <w:tr2bl w:val="nil"/>
            </w:tcBorders>
            <w:vAlign w:val="center"/>
          </w:tcPr>
          <w:p>
            <w:pPr>
              <w:jc w:val="center"/>
              <w:rPr>
                <w:rFonts w:cs="Times New Roman"/>
                <w:szCs w:val="21"/>
              </w:rPr>
            </w:pPr>
            <w:r>
              <w:rPr>
                <w:rFonts w:cs="Times New Roman"/>
                <w:szCs w:val="21"/>
              </w:rPr>
              <w:t>2023.08.11</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6" w:type="pct"/>
            <w:tcBorders>
              <w:tl2br w:val="nil"/>
              <w:tr2bl w:val="nil"/>
            </w:tcBorders>
            <w:vAlign w:val="center"/>
          </w:tcPr>
          <w:p>
            <w:pPr>
              <w:jc w:val="center"/>
              <w:rPr>
                <w:rFonts w:cs="Times New Roman"/>
                <w:szCs w:val="21"/>
              </w:rPr>
            </w:pPr>
            <w:r>
              <w:rPr>
                <w:rFonts w:cs="Times New Roman"/>
                <w:szCs w:val="21"/>
              </w:rPr>
              <w:t>&lt;10</w:t>
            </w:r>
          </w:p>
        </w:tc>
        <w:tc>
          <w:tcPr>
            <w:tcW w:w="619" w:type="pct"/>
            <w:tcBorders>
              <w:tl2br w:val="nil"/>
              <w:tr2bl w:val="nil"/>
            </w:tcBorders>
            <w:vAlign w:val="center"/>
          </w:tcPr>
          <w:p>
            <w:pPr>
              <w:jc w:val="center"/>
              <w:rPr>
                <w:rFonts w:cs="Times New Roman"/>
                <w:szCs w:val="21"/>
              </w:rPr>
            </w:pPr>
            <w:r>
              <w:rPr>
                <w:rFonts w:cs="Times New Roman"/>
                <w:szCs w:val="21"/>
              </w:rPr>
              <w:t>&lt;10</w:t>
            </w:r>
          </w:p>
        </w:tc>
        <w:tc>
          <w:tcPr>
            <w:tcW w:w="443" w:type="pct"/>
            <w:vMerge w:val="continue"/>
            <w:tcBorders>
              <w:tl2br w:val="nil"/>
              <w:tr2bl w:val="nil"/>
            </w:tcBorders>
            <w:vAlign w:val="center"/>
          </w:tcPr>
          <w:p>
            <w:pPr>
              <w:jc w:val="center"/>
              <w:rPr>
                <w:rFonts w:cs="Times New Roman"/>
                <w:szCs w:val="21"/>
              </w:rPr>
            </w:pPr>
          </w:p>
        </w:tc>
      </w:tr>
    </w:tbl>
    <w:p>
      <w:pPr>
        <w:spacing w:line="360" w:lineRule="auto"/>
        <w:jc w:val="center"/>
        <w:rPr>
          <w:rFonts w:cs="Times New Roman" w:eastAsiaTheme="minorEastAsia"/>
          <w:b/>
          <w:bCs/>
          <w:sz w:val="24"/>
          <w:szCs w:val="24"/>
        </w:rPr>
      </w:pPr>
      <w:r>
        <w:rPr>
          <w:rFonts w:cs="Times New Roman" w:eastAsiaTheme="minorEastAsia"/>
          <w:b/>
          <w:bCs/>
          <w:sz w:val="24"/>
          <w:szCs w:val="24"/>
        </w:rPr>
        <w:t xml:space="preserve">表3.2-2 监测结果  </w:t>
      </w:r>
      <w:r>
        <w:rPr>
          <w:rFonts w:cs="Times New Roman"/>
          <w:sz w:val="24"/>
          <w:szCs w:val="24"/>
        </w:rPr>
        <w:t>单位：mg/m</w:t>
      </w:r>
      <w:r>
        <w:rPr>
          <w:rFonts w:cs="Times New Roman"/>
          <w:sz w:val="24"/>
          <w:szCs w:val="24"/>
          <w:vertAlign w:val="superscript"/>
        </w:rPr>
        <w:t>3</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39"/>
        <w:gridCol w:w="2414"/>
        <w:gridCol w:w="2307"/>
        <w:gridCol w:w="23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restart"/>
            <w:tcBorders>
              <w:tl2br w:val="nil"/>
              <w:tr2bl w:val="nil"/>
            </w:tcBorders>
            <w:shd w:val="clear" w:color="auto" w:fill="auto"/>
            <w:vAlign w:val="center"/>
          </w:tcPr>
          <w:p>
            <w:pPr>
              <w:jc w:val="center"/>
              <w:rPr>
                <w:rFonts w:cs="Times New Roman"/>
              </w:rPr>
            </w:pPr>
            <w:r>
              <w:rPr>
                <w:rFonts w:cs="Times New Roman"/>
                <w:b/>
                <w:bCs/>
                <w:szCs w:val="21"/>
              </w:rPr>
              <w:t>检测点编号及位置</w:t>
            </w:r>
          </w:p>
        </w:tc>
        <w:tc>
          <w:tcPr>
            <w:tcW w:w="1261" w:type="pct"/>
            <w:vMerge w:val="restart"/>
            <w:tcBorders>
              <w:tl2br w:val="nil"/>
              <w:tr2bl w:val="nil"/>
            </w:tcBorders>
            <w:shd w:val="clear" w:color="auto" w:fill="auto"/>
            <w:vAlign w:val="center"/>
          </w:tcPr>
          <w:p>
            <w:pPr>
              <w:jc w:val="center"/>
              <w:rPr>
                <w:rFonts w:cs="Times New Roman"/>
                <w:b/>
                <w:bCs/>
              </w:rPr>
            </w:pPr>
            <w:r>
              <w:rPr>
                <w:rFonts w:cs="Times New Roman"/>
                <w:b/>
                <w:bCs/>
              </w:rPr>
              <w:t>检测日期</w:t>
            </w:r>
          </w:p>
        </w:tc>
        <w:tc>
          <w:tcPr>
            <w:tcW w:w="2410" w:type="pct"/>
            <w:gridSpan w:val="2"/>
            <w:tcBorders>
              <w:tl2br w:val="nil"/>
              <w:tr2bl w:val="nil"/>
            </w:tcBorders>
            <w:shd w:val="clear" w:color="auto" w:fill="auto"/>
            <w:vAlign w:val="center"/>
          </w:tcPr>
          <w:p>
            <w:pPr>
              <w:jc w:val="center"/>
              <w:rPr>
                <w:rFonts w:cs="Times New Roman"/>
                <w:b/>
                <w:bCs/>
              </w:rPr>
            </w:pPr>
            <w:r>
              <w:rPr>
                <w:rFonts w:cs="Times New Roman"/>
                <w:b/>
                <w:bCs/>
              </w:rPr>
              <w:t>检测因子及检测结果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vMerge w:val="continue"/>
            <w:tcBorders>
              <w:tl2br w:val="nil"/>
              <w:tr2bl w:val="nil"/>
            </w:tcBorders>
            <w:shd w:val="clear" w:color="auto" w:fill="auto"/>
            <w:vAlign w:val="center"/>
          </w:tcPr>
          <w:p>
            <w:pPr>
              <w:jc w:val="center"/>
              <w:rPr>
                <w:rFonts w:cs="Times New Roman"/>
                <w:b/>
                <w:bCs/>
              </w:rPr>
            </w:pPr>
          </w:p>
        </w:tc>
        <w:tc>
          <w:tcPr>
            <w:tcW w:w="1205" w:type="pct"/>
            <w:tcBorders>
              <w:tl2br w:val="nil"/>
              <w:tr2bl w:val="nil"/>
            </w:tcBorders>
            <w:shd w:val="clear" w:color="auto" w:fill="auto"/>
            <w:vAlign w:val="center"/>
          </w:tcPr>
          <w:p>
            <w:pPr>
              <w:jc w:val="center"/>
              <w:rPr>
                <w:rFonts w:cs="Times New Roman"/>
                <w:b/>
                <w:bCs/>
              </w:rPr>
            </w:pPr>
            <w:r>
              <w:rPr>
                <w:rFonts w:cs="Times New Roman"/>
                <w:b/>
                <w:bCs/>
              </w:rPr>
              <w:t>TSP</w:t>
            </w:r>
          </w:p>
        </w:tc>
        <w:tc>
          <w:tcPr>
            <w:tcW w:w="1205" w:type="pct"/>
            <w:tcBorders>
              <w:tl2br w:val="nil"/>
              <w:tr2bl w:val="nil"/>
            </w:tcBorders>
            <w:shd w:val="clear" w:color="auto" w:fill="auto"/>
            <w:vAlign w:val="center"/>
          </w:tcPr>
          <w:p>
            <w:pPr>
              <w:jc w:val="center"/>
              <w:rPr>
                <w:rFonts w:cs="Times New Roman"/>
                <w:b/>
                <w:bCs/>
              </w:rPr>
            </w:pPr>
            <w:r>
              <w:rPr>
                <w:rFonts w:cs="Times New Roman"/>
                <w:b/>
                <w:bCs/>
              </w:rPr>
              <w:t>TVOC</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restart"/>
            <w:tcBorders>
              <w:tl2br w:val="nil"/>
              <w:tr2bl w:val="nil"/>
            </w:tcBorders>
            <w:shd w:val="clear" w:color="auto" w:fill="auto"/>
            <w:vAlign w:val="center"/>
          </w:tcPr>
          <w:p>
            <w:pPr>
              <w:jc w:val="center"/>
              <w:rPr>
                <w:rFonts w:cs="Times New Roman"/>
                <w:szCs w:val="21"/>
              </w:rPr>
            </w:pPr>
            <w:r>
              <w:rPr>
                <w:rFonts w:cs="Times New Roman"/>
                <w:szCs w:val="21"/>
              </w:rPr>
              <w:t>1#，柳池</w:t>
            </w:r>
          </w:p>
          <w:p>
            <w:pPr>
              <w:jc w:val="center"/>
              <w:rPr>
                <w:rFonts w:cs="Times New Roman"/>
              </w:rPr>
            </w:pPr>
            <w:r>
              <w:rPr>
                <w:rFonts w:cs="Times New Roman"/>
                <w:szCs w:val="21"/>
              </w:rPr>
              <w:t>安置房处</w:t>
            </w: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2023.08.05</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0.169</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2023.08.06</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0.142</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2023.08.07</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0.175</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2023.08.08</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0.184</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2023.08.09</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0.152</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2023.08.10</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0.164</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7" w:type="pct"/>
            <w:vMerge w:val="continue"/>
            <w:tcBorders>
              <w:tl2br w:val="nil"/>
              <w:tr2bl w:val="nil"/>
            </w:tcBorders>
            <w:shd w:val="clear" w:color="auto" w:fill="auto"/>
            <w:vAlign w:val="center"/>
          </w:tcPr>
          <w:p>
            <w:pPr>
              <w:jc w:val="center"/>
              <w:rPr>
                <w:rFonts w:cs="Times New Roman"/>
              </w:rPr>
            </w:pPr>
          </w:p>
        </w:tc>
        <w:tc>
          <w:tcPr>
            <w:tcW w:w="1261" w:type="pct"/>
            <w:tcBorders>
              <w:tl2br w:val="nil"/>
              <w:tr2bl w:val="nil"/>
            </w:tcBorders>
            <w:shd w:val="clear" w:color="auto" w:fill="auto"/>
            <w:vAlign w:val="center"/>
          </w:tcPr>
          <w:p>
            <w:pPr>
              <w:jc w:val="center"/>
              <w:rPr>
                <w:rFonts w:cs="Times New Roman"/>
                <w:szCs w:val="21"/>
              </w:rPr>
            </w:pPr>
            <w:r>
              <w:rPr>
                <w:rFonts w:cs="Times New Roman"/>
                <w:szCs w:val="21"/>
              </w:rPr>
              <w:t>2023.08.11</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0.191</w:t>
            </w:r>
          </w:p>
        </w:tc>
        <w:tc>
          <w:tcPr>
            <w:tcW w:w="1205" w:type="pct"/>
            <w:tcBorders>
              <w:tl2br w:val="nil"/>
              <w:tr2bl w:val="nil"/>
            </w:tcBorders>
            <w:shd w:val="clear" w:color="auto" w:fill="auto"/>
            <w:vAlign w:val="center"/>
          </w:tcPr>
          <w:p>
            <w:pPr>
              <w:jc w:val="center"/>
              <w:rPr>
                <w:rFonts w:cs="Times New Roman"/>
                <w:szCs w:val="21"/>
              </w:rPr>
            </w:pPr>
            <w:r>
              <w:rPr>
                <w:rFonts w:cs="Times New Roman"/>
                <w:szCs w:val="21"/>
              </w:rPr>
              <w:t>0.0077</w:t>
            </w:r>
          </w:p>
        </w:tc>
      </w:tr>
    </w:tbl>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（3）大气环境质量现状评价</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1）评价因子</w:t>
      </w:r>
    </w:p>
    <w:p>
      <w:pPr>
        <w:spacing w:line="360" w:lineRule="auto"/>
        <w:ind w:firstLine="480" w:firstLineChars="200"/>
        <w:rPr>
          <w:rFonts w:cs="Times New Roman" w:eastAsiaTheme="minorEastAsia"/>
          <w:sz w:val="24"/>
          <w:szCs w:val="24"/>
        </w:rPr>
      </w:pPr>
      <w:r>
        <w:rPr>
          <w:rFonts w:cs="Times New Roman"/>
          <w:sz w:val="24"/>
          <w:szCs w:val="24"/>
        </w:rPr>
        <w:t>TVOC、颗粒物、甲醛、氨</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2）评价标准</w:t>
      </w:r>
    </w:p>
    <w:p>
      <w:pPr>
        <w:spacing w:line="360" w:lineRule="auto"/>
        <w:ind w:firstLine="480" w:firstLineChars="200"/>
        <w:rPr>
          <w:rFonts w:cs="Times New Roman" w:eastAsiaTheme="minorEastAsia"/>
          <w:sz w:val="24"/>
          <w:szCs w:val="24"/>
        </w:rPr>
      </w:pPr>
      <w:r>
        <w:rPr>
          <w:rFonts w:cs="Times New Roman"/>
          <w:sz w:val="24"/>
          <w:szCs w:val="24"/>
        </w:rPr>
        <w:t>《环境空气质量标准》（GB3095-2012）二级标准限值</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3）评价方法</w:t>
      </w:r>
    </w:p>
    <w:p>
      <w:pPr>
        <w:spacing w:line="360" w:lineRule="auto"/>
        <w:ind w:firstLine="480" w:firstLineChars="200"/>
        <w:rPr>
          <w:rFonts w:cs="Times New Roman" w:eastAsiaTheme="minorEastAsia"/>
          <w:sz w:val="24"/>
          <w:szCs w:val="24"/>
        </w:rPr>
      </w:pPr>
      <w:r>
        <w:rPr>
          <w:rFonts w:cs="Times New Roman" w:eastAsiaTheme="minorEastAsia"/>
          <w:sz w:val="24"/>
          <w:szCs w:val="24"/>
        </w:rPr>
        <w:t>采用单项质量指数法，公式为：</w:t>
      </w:r>
    </w:p>
    <w:p>
      <w:pPr>
        <w:spacing w:line="360" w:lineRule="auto"/>
        <w:jc w:val="center"/>
        <w:rPr>
          <w:rFonts w:cs="Times New Roman" w:eastAsiaTheme="minorEastAsia"/>
          <w:sz w:val="24"/>
          <w:szCs w:val="24"/>
        </w:rPr>
      </w:pPr>
      <w:r>
        <w:rPr>
          <w:rFonts w:cs="Times New Roman" w:eastAsiaTheme="minorEastAsia"/>
          <w:sz w:val="24"/>
          <w:szCs w:val="24"/>
        </w:rPr>
        <w:t>Pi = Ci / Si</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式中，Pi ——第i个污染物标准指数值；</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Ci ——第i个污染物实测浓度值，mg/m</w:t>
      </w:r>
      <w:r>
        <w:rPr>
          <w:rFonts w:cs="Times New Roman" w:eastAsiaTheme="minorEastAsia"/>
          <w:sz w:val="24"/>
          <w:szCs w:val="24"/>
          <w:vertAlign w:val="superscript"/>
        </w:rPr>
        <w:t>3</w:t>
      </w:r>
      <w:r>
        <w:rPr>
          <w:rFonts w:cs="Times New Roman" w:eastAsiaTheme="minorEastAsia"/>
          <w:sz w:val="24"/>
          <w:szCs w:val="24"/>
        </w:rPr>
        <w:t>；</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Si ——第i个污染物评价标准限值，mg/m</w:t>
      </w:r>
      <w:r>
        <w:rPr>
          <w:rFonts w:cs="Times New Roman" w:eastAsiaTheme="minorEastAsia"/>
          <w:sz w:val="24"/>
          <w:szCs w:val="24"/>
          <w:vertAlign w:val="superscript"/>
        </w:rPr>
        <w:t>3</w:t>
      </w:r>
      <w:r>
        <w:rPr>
          <w:rFonts w:cs="Times New Roman" w:eastAsiaTheme="minorEastAsia"/>
          <w:sz w:val="24"/>
          <w:szCs w:val="24"/>
        </w:rPr>
        <w:t>。</w:t>
      </w:r>
    </w:p>
    <w:p>
      <w:pPr>
        <w:spacing w:line="360" w:lineRule="auto"/>
        <w:ind w:firstLine="480" w:firstLineChars="200"/>
        <w:rPr>
          <w:rFonts w:cs="Times New Roman" w:eastAsiaTheme="minorEastAsia"/>
          <w:sz w:val="24"/>
          <w:szCs w:val="24"/>
        </w:rPr>
      </w:pPr>
      <w:r>
        <w:rPr>
          <w:rFonts w:cs="Times New Roman" w:eastAsiaTheme="minorEastAsia"/>
          <w:sz w:val="24"/>
          <w:szCs w:val="24"/>
        </w:rPr>
        <w:t>当Pi值大于1.0时，表明大气环境已受到该项评价因子所表征的污染物的污染。Pi值越大，受污染程度越重；Pi值越小，受污染程度越轻。</w:t>
      </w:r>
    </w:p>
    <w:p>
      <w:pPr>
        <w:spacing w:line="360" w:lineRule="auto"/>
        <w:ind w:firstLine="482" w:firstLineChars="200"/>
        <w:rPr>
          <w:rFonts w:cs="Times New Roman" w:eastAsiaTheme="minorEastAsia"/>
          <w:b/>
          <w:bCs/>
          <w:sz w:val="24"/>
          <w:szCs w:val="24"/>
        </w:rPr>
      </w:pPr>
      <w:r>
        <w:rPr>
          <w:rFonts w:cs="Times New Roman" w:eastAsiaTheme="minorEastAsia"/>
          <w:b/>
          <w:bCs/>
          <w:sz w:val="24"/>
          <w:szCs w:val="24"/>
        </w:rPr>
        <w:t>4）评价结果</w:t>
      </w:r>
    </w:p>
    <w:p>
      <w:pPr>
        <w:spacing w:line="360" w:lineRule="auto"/>
        <w:ind w:firstLine="480" w:firstLineChars="200"/>
        <w:rPr>
          <w:rFonts w:cs="Times New Roman" w:eastAsiaTheme="minorEastAsia"/>
          <w:sz w:val="24"/>
          <w:szCs w:val="24"/>
        </w:rPr>
      </w:pPr>
      <w:r>
        <w:rPr>
          <w:rFonts w:cs="Times New Roman" w:eastAsiaTheme="minorEastAsia"/>
          <w:sz w:val="24"/>
          <w:szCs w:val="24"/>
        </w:rPr>
        <w:t xml:space="preserve"> 本项目所在区域大气环境质量现状评价结果见表3.2-3。</w:t>
      </w:r>
    </w:p>
    <w:p>
      <w:pPr>
        <w:spacing w:line="360" w:lineRule="auto"/>
        <w:jc w:val="center"/>
        <w:rPr>
          <w:rFonts w:cs="Times New Roman" w:eastAsiaTheme="minorEastAsia"/>
          <w:b/>
          <w:bCs/>
          <w:sz w:val="24"/>
          <w:szCs w:val="24"/>
        </w:rPr>
      </w:pPr>
      <w:r>
        <w:rPr>
          <w:rFonts w:cs="Times New Roman" w:eastAsiaTheme="minorEastAsia"/>
          <w:b/>
          <w:bCs/>
          <w:sz w:val="24"/>
          <w:szCs w:val="24"/>
        </w:rPr>
        <w:t>表3.2-3  大气环境质量现状评价结果</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89"/>
        <w:gridCol w:w="2152"/>
        <w:gridCol w:w="1647"/>
        <w:gridCol w:w="1647"/>
        <w:gridCol w:w="1020"/>
        <w:gridCol w:w="17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tcBorders>
              <w:tl2br w:val="nil"/>
              <w:tr2bl w:val="nil"/>
            </w:tcBorders>
            <w:vAlign w:val="center"/>
          </w:tcPr>
          <w:p>
            <w:pPr>
              <w:pStyle w:val="52"/>
              <w:rPr>
                <w:rFonts w:cs="Times New Roman"/>
                <w:bCs/>
                <w:szCs w:val="21"/>
              </w:rPr>
            </w:pPr>
            <w:r>
              <w:rPr>
                <w:rFonts w:cs="Times New Roman"/>
                <w:bCs/>
                <w:szCs w:val="21"/>
              </w:rPr>
              <w:t>评价因子</w:t>
            </w:r>
          </w:p>
        </w:tc>
        <w:tc>
          <w:tcPr>
            <w:tcW w:w="1124" w:type="pct"/>
            <w:tcBorders>
              <w:tl2br w:val="nil"/>
              <w:tr2bl w:val="nil"/>
            </w:tcBorders>
            <w:vAlign w:val="center"/>
          </w:tcPr>
          <w:p>
            <w:pPr>
              <w:pStyle w:val="52"/>
              <w:rPr>
                <w:rFonts w:cs="Times New Roman"/>
                <w:bCs/>
                <w:szCs w:val="21"/>
              </w:rPr>
            </w:pPr>
            <w:r>
              <w:rPr>
                <w:rFonts w:cs="Times New Roman"/>
                <w:bCs/>
                <w:szCs w:val="21"/>
              </w:rPr>
              <w:t>浓度max（mg/m</w:t>
            </w:r>
            <w:r>
              <w:rPr>
                <w:rFonts w:cs="Times New Roman"/>
                <w:bCs/>
                <w:szCs w:val="21"/>
                <w:vertAlign w:val="superscript"/>
              </w:rPr>
              <w:t>3</w:t>
            </w:r>
            <w:r>
              <w:rPr>
                <w:rFonts w:cs="Times New Roman"/>
                <w:bCs/>
                <w:szCs w:val="21"/>
              </w:rPr>
              <w:t>）</w:t>
            </w:r>
          </w:p>
        </w:tc>
        <w:tc>
          <w:tcPr>
            <w:tcW w:w="860" w:type="pct"/>
            <w:tcBorders>
              <w:tl2br w:val="nil"/>
              <w:tr2bl w:val="nil"/>
            </w:tcBorders>
            <w:vAlign w:val="center"/>
          </w:tcPr>
          <w:p>
            <w:pPr>
              <w:pStyle w:val="50"/>
              <w:rPr>
                <w:b/>
                <w:sz w:val="21"/>
              </w:rPr>
            </w:pPr>
            <w:r>
              <w:rPr>
                <w:b/>
                <w:sz w:val="21"/>
              </w:rPr>
              <w:t>标准值（mg/m</w:t>
            </w:r>
            <w:r>
              <w:rPr>
                <w:b/>
                <w:sz w:val="21"/>
                <w:vertAlign w:val="superscript"/>
              </w:rPr>
              <w:t>3</w:t>
            </w:r>
            <w:r>
              <w:rPr>
                <w:b/>
                <w:sz w:val="21"/>
              </w:rPr>
              <w:t>）</w:t>
            </w:r>
          </w:p>
        </w:tc>
        <w:tc>
          <w:tcPr>
            <w:tcW w:w="860" w:type="pct"/>
            <w:tcBorders>
              <w:tl2br w:val="nil"/>
              <w:tr2bl w:val="nil"/>
            </w:tcBorders>
            <w:vAlign w:val="center"/>
          </w:tcPr>
          <w:p>
            <w:pPr>
              <w:pStyle w:val="52"/>
              <w:rPr>
                <w:rFonts w:cs="Times New Roman"/>
                <w:bCs/>
                <w:szCs w:val="21"/>
              </w:rPr>
            </w:pPr>
            <w:r>
              <w:rPr>
                <w:rFonts w:cs="Times New Roman"/>
                <w:bCs/>
                <w:i/>
                <w:szCs w:val="21"/>
              </w:rPr>
              <w:t>P</w:t>
            </w:r>
            <w:r>
              <w:rPr>
                <w:rFonts w:cs="Times New Roman"/>
                <w:bCs/>
                <w:i/>
                <w:szCs w:val="21"/>
                <w:vertAlign w:val="subscript"/>
              </w:rPr>
              <w:t>max</w:t>
            </w:r>
          </w:p>
        </w:tc>
        <w:tc>
          <w:tcPr>
            <w:tcW w:w="533" w:type="pct"/>
            <w:tcBorders>
              <w:tl2br w:val="nil"/>
              <w:tr2bl w:val="nil"/>
            </w:tcBorders>
            <w:vAlign w:val="center"/>
          </w:tcPr>
          <w:p>
            <w:pPr>
              <w:pStyle w:val="52"/>
              <w:rPr>
                <w:rFonts w:cs="Times New Roman"/>
                <w:bCs/>
                <w:szCs w:val="21"/>
              </w:rPr>
            </w:pPr>
            <w:r>
              <w:rPr>
                <w:rFonts w:cs="Times New Roman"/>
                <w:bCs/>
                <w:szCs w:val="21"/>
              </w:rPr>
              <w:t>超标个数</w:t>
            </w:r>
          </w:p>
        </w:tc>
        <w:tc>
          <w:tcPr>
            <w:tcW w:w="894" w:type="pct"/>
            <w:tcBorders>
              <w:tl2br w:val="nil"/>
              <w:tr2bl w:val="nil"/>
            </w:tcBorders>
            <w:vAlign w:val="center"/>
          </w:tcPr>
          <w:p>
            <w:pPr>
              <w:pStyle w:val="52"/>
              <w:rPr>
                <w:rFonts w:cs="Times New Roman"/>
                <w:bCs/>
                <w:szCs w:val="21"/>
              </w:rPr>
            </w:pPr>
            <w:r>
              <w:rPr>
                <w:rFonts w:cs="Times New Roman"/>
                <w:bCs/>
                <w:szCs w:val="21"/>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tcBorders>
              <w:tl2br w:val="nil"/>
              <w:tr2bl w:val="nil"/>
            </w:tcBorders>
            <w:vAlign w:val="center"/>
          </w:tcPr>
          <w:p>
            <w:pPr>
              <w:jc w:val="center"/>
              <w:rPr>
                <w:rFonts w:cs="Times New Roman"/>
                <w:szCs w:val="21"/>
              </w:rPr>
            </w:pPr>
            <w:r>
              <w:rPr>
                <w:rFonts w:cs="Times New Roman"/>
                <w:szCs w:val="21"/>
              </w:rPr>
              <w:t>TVOC</w:t>
            </w:r>
          </w:p>
        </w:tc>
        <w:tc>
          <w:tcPr>
            <w:tcW w:w="1124" w:type="pct"/>
            <w:tcBorders>
              <w:tl2br w:val="nil"/>
              <w:tr2bl w:val="nil"/>
            </w:tcBorders>
            <w:vAlign w:val="center"/>
          </w:tcPr>
          <w:p>
            <w:pPr>
              <w:jc w:val="center"/>
              <w:rPr>
                <w:rFonts w:cs="Times New Roman"/>
                <w:szCs w:val="21"/>
              </w:rPr>
            </w:pPr>
            <w:r>
              <w:rPr>
                <w:rFonts w:cs="Times New Roman"/>
                <w:szCs w:val="21"/>
              </w:rPr>
              <w:t>0.0097</w:t>
            </w:r>
          </w:p>
        </w:tc>
        <w:tc>
          <w:tcPr>
            <w:tcW w:w="860" w:type="pct"/>
            <w:tcBorders>
              <w:tl2br w:val="nil"/>
              <w:tr2bl w:val="nil"/>
            </w:tcBorders>
          </w:tcPr>
          <w:p>
            <w:pPr>
              <w:pStyle w:val="52"/>
              <w:rPr>
                <w:rFonts w:cs="Times New Roman"/>
                <w:b w:val="0"/>
                <w:szCs w:val="21"/>
              </w:rPr>
            </w:pPr>
            <w:r>
              <w:rPr>
                <w:rFonts w:cs="Times New Roman"/>
                <w:b w:val="0"/>
                <w:szCs w:val="21"/>
              </w:rPr>
              <w:t>0.6</w:t>
            </w:r>
          </w:p>
        </w:tc>
        <w:tc>
          <w:tcPr>
            <w:tcW w:w="860" w:type="pct"/>
            <w:tcBorders>
              <w:tl2br w:val="nil"/>
              <w:tr2bl w:val="nil"/>
            </w:tcBorders>
            <w:vAlign w:val="center"/>
          </w:tcPr>
          <w:p>
            <w:pPr>
              <w:pStyle w:val="52"/>
              <w:rPr>
                <w:rFonts w:cs="Times New Roman"/>
                <w:b w:val="0"/>
                <w:szCs w:val="21"/>
              </w:rPr>
            </w:pPr>
            <w:r>
              <w:rPr>
                <w:rFonts w:cs="Times New Roman"/>
                <w:b w:val="0"/>
                <w:szCs w:val="21"/>
              </w:rPr>
              <w:t>0.016</w:t>
            </w:r>
          </w:p>
        </w:tc>
        <w:tc>
          <w:tcPr>
            <w:tcW w:w="533" w:type="pct"/>
            <w:tcBorders>
              <w:tl2br w:val="nil"/>
              <w:tr2bl w:val="nil"/>
            </w:tcBorders>
            <w:vAlign w:val="center"/>
          </w:tcPr>
          <w:p>
            <w:pPr>
              <w:jc w:val="center"/>
              <w:rPr>
                <w:rFonts w:cs="Times New Roman"/>
                <w:szCs w:val="21"/>
              </w:rPr>
            </w:pPr>
            <w:r>
              <w:rPr>
                <w:rFonts w:cs="Times New Roman"/>
                <w:szCs w:val="21"/>
              </w:rPr>
              <w:t>0</w:t>
            </w:r>
          </w:p>
        </w:tc>
        <w:tc>
          <w:tcPr>
            <w:tcW w:w="89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tcBorders>
              <w:tl2br w:val="nil"/>
              <w:tr2bl w:val="nil"/>
            </w:tcBorders>
            <w:vAlign w:val="center"/>
          </w:tcPr>
          <w:p>
            <w:pPr>
              <w:jc w:val="center"/>
              <w:rPr>
                <w:rFonts w:cs="Times New Roman"/>
                <w:szCs w:val="21"/>
              </w:rPr>
            </w:pPr>
            <w:r>
              <w:rPr>
                <w:rFonts w:cs="Times New Roman"/>
                <w:szCs w:val="21"/>
              </w:rPr>
              <w:t>TSP</w:t>
            </w:r>
          </w:p>
        </w:tc>
        <w:tc>
          <w:tcPr>
            <w:tcW w:w="1124" w:type="pct"/>
            <w:tcBorders>
              <w:tl2br w:val="nil"/>
              <w:tr2bl w:val="nil"/>
            </w:tcBorders>
            <w:vAlign w:val="center"/>
          </w:tcPr>
          <w:p>
            <w:pPr>
              <w:jc w:val="center"/>
              <w:rPr>
                <w:rFonts w:cs="Times New Roman"/>
                <w:szCs w:val="21"/>
              </w:rPr>
            </w:pPr>
            <w:r>
              <w:rPr>
                <w:rFonts w:cs="Times New Roman"/>
                <w:szCs w:val="21"/>
              </w:rPr>
              <w:t>0.191</w:t>
            </w:r>
          </w:p>
        </w:tc>
        <w:tc>
          <w:tcPr>
            <w:tcW w:w="860" w:type="pct"/>
            <w:tcBorders>
              <w:tl2br w:val="nil"/>
              <w:tr2bl w:val="nil"/>
            </w:tcBorders>
          </w:tcPr>
          <w:p>
            <w:pPr>
              <w:pStyle w:val="52"/>
              <w:rPr>
                <w:rFonts w:cs="Times New Roman"/>
                <w:b w:val="0"/>
                <w:szCs w:val="21"/>
              </w:rPr>
            </w:pPr>
            <w:r>
              <w:rPr>
                <w:rFonts w:cs="Times New Roman"/>
                <w:b w:val="0"/>
                <w:szCs w:val="21"/>
              </w:rPr>
              <w:t>0.3</w:t>
            </w:r>
          </w:p>
        </w:tc>
        <w:tc>
          <w:tcPr>
            <w:tcW w:w="860" w:type="pct"/>
            <w:tcBorders>
              <w:tl2br w:val="nil"/>
              <w:tr2bl w:val="nil"/>
            </w:tcBorders>
            <w:vAlign w:val="center"/>
          </w:tcPr>
          <w:p>
            <w:pPr>
              <w:pStyle w:val="52"/>
              <w:rPr>
                <w:rFonts w:cs="Times New Roman"/>
                <w:b w:val="0"/>
                <w:szCs w:val="21"/>
              </w:rPr>
            </w:pPr>
            <w:r>
              <w:rPr>
                <w:rFonts w:cs="Times New Roman"/>
                <w:b w:val="0"/>
                <w:szCs w:val="21"/>
              </w:rPr>
              <w:t>0.637</w:t>
            </w:r>
          </w:p>
        </w:tc>
        <w:tc>
          <w:tcPr>
            <w:tcW w:w="533" w:type="pct"/>
            <w:tcBorders>
              <w:tl2br w:val="nil"/>
              <w:tr2bl w:val="nil"/>
            </w:tcBorders>
            <w:vAlign w:val="center"/>
          </w:tcPr>
          <w:p>
            <w:pPr>
              <w:jc w:val="center"/>
              <w:rPr>
                <w:rFonts w:cs="Times New Roman"/>
                <w:szCs w:val="21"/>
              </w:rPr>
            </w:pPr>
            <w:r>
              <w:rPr>
                <w:rFonts w:cs="Times New Roman"/>
                <w:szCs w:val="21"/>
              </w:rPr>
              <w:t>0</w:t>
            </w:r>
          </w:p>
        </w:tc>
        <w:tc>
          <w:tcPr>
            <w:tcW w:w="894" w:type="pct"/>
            <w:tcBorders>
              <w:tl2br w:val="nil"/>
              <w:tr2bl w:val="nil"/>
            </w:tcBorders>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vAlign w:val="center"/>
          </w:tcPr>
          <w:p>
            <w:pPr>
              <w:pStyle w:val="77"/>
              <w:snapToGrid w:val="0"/>
              <w:spacing w:before="0" w:after="0"/>
              <w:rPr>
                <w:rFonts w:cs="Times New Roman"/>
                <w:sz w:val="21"/>
                <w:szCs w:val="21"/>
              </w:rPr>
            </w:pPr>
            <w:r>
              <w:rPr>
                <w:rFonts w:cs="Times New Roman"/>
                <w:sz w:val="21"/>
                <w:szCs w:val="21"/>
              </w:rPr>
              <w:t>甲醛</w:t>
            </w:r>
          </w:p>
        </w:tc>
        <w:tc>
          <w:tcPr>
            <w:tcW w:w="1124" w:type="pct"/>
          </w:tcPr>
          <w:p>
            <w:pPr>
              <w:jc w:val="center"/>
              <w:rPr>
                <w:rFonts w:cs="Times New Roman"/>
                <w:szCs w:val="21"/>
              </w:rPr>
            </w:pPr>
            <w:r>
              <w:rPr>
                <w:rFonts w:cs="Times New Roman"/>
                <w:szCs w:val="21"/>
              </w:rPr>
              <w:t>未检出</w:t>
            </w:r>
          </w:p>
        </w:tc>
        <w:tc>
          <w:tcPr>
            <w:tcW w:w="860" w:type="pct"/>
          </w:tcPr>
          <w:p>
            <w:pPr>
              <w:pStyle w:val="52"/>
              <w:rPr>
                <w:rFonts w:cs="Times New Roman"/>
                <w:b w:val="0"/>
                <w:szCs w:val="21"/>
              </w:rPr>
            </w:pPr>
            <w:r>
              <w:rPr>
                <w:rFonts w:cs="Times New Roman"/>
                <w:b w:val="0"/>
                <w:szCs w:val="21"/>
              </w:rPr>
              <w:t>0.05</w:t>
            </w:r>
          </w:p>
        </w:tc>
        <w:tc>
          <w:tcPr>
            <w:tcW w:w="860" w:type="pct"/>
          </w:tcPr>
          <w:p>
            <w:pPr>
              <w:pStyle w:val="52"/>
              <w:rPr>
                <w:rFonts w:cs="Times New Roman"/>
                <w:b w:val="0"/>
                <w:szCs w:val="21"/>
              </w:rPr>
            </w:pPr>
            <w:r>
              <w:rPr>
                <w:rFonts w:cs="Times New Roman"/>
                <w:b w:val="0"/>
                <w:szCs w:val="21"/>
              </w:rPr>
              <w:t>/</w:t>
            </w:r>
          </w:p>
        </w:tc>
        <w:tc>
          <w:tcPr>
            <w:tcW w:w="533" w:type="pct"/>
            <w:vAlign w:val="center"/>
          </w:tcPr>
          <w:p>
            <w:pPr>
              <w:jc w:val="center"/>
              <w:rPr>
                <w:rFonts w:cs="Times New Roman"/>
                <w:szCs w:val="21"/>
              </w:rPr>
            </w:pPr>
            <w:r>
              <w:rPr>
                <w:rFonts w:cs="Times New Roman"/>
                <w:szCs w:val="21"/>
              </w:rPr>
              <w:t>0</w:t>
            </w:r>
          </w:p>
        </w:tc>
        <w:tc>
          <w:tcPr>
            <w:tcW w:w="894" w:type="pct"/>
            <w:vAlign w:val="center"/>
          </w:tcPr>
          <w:p>
            <w:pPr>
              <w:jc w:val="center"/>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726" w:type="pct"/>
            <w:vAlign w:val="center"/>
          </w:tcPr>
          <w:p>
            <w:pPr>
              <w:pStyle w:val="77"/>
              <w:snapToGrid w:val="0"/>
              <w:spacing w:before="0" w:after="0"/>
              <w:rPr>
                <w:rFonts w:cs="Times New Roman"/>
                <w:sz w:val="21"/>
                <w:szCs w:val="21"/>
              </w:rPr>
            </w:pPr>
            <w:r>
              <w:rPr>
                <w:rFonts w:cs="Times New Roman"/>
                <w:sz w:val="21"/>
                <w:szCs w:val="21"/>
              </w:rPr>
              <w:t>氨</w:t>
            </w:r>
          </w:p>
        </w:tc>
        <w:tc>
          <w:tcPr>
            <w:tcW w:w="1124" w:type="pct"/>
          </w:tcPr>
          <w:p>
            <w:pPr>
              <w:jc w:val="center"/>
              <w:rPr>
                <w:rFonts w:cs="Times New Roman"/>
                <w:szCs w:val="21"/>
              </w:rPr>
            </w:pPr>
            <w:r>
              <w:rPr>
                <w:rFonts w:cs="Times New Roman"/>
                <w:szCs w:val="21"/>
              </w:rPr>
              <w:t>0.19</w:t>
            </w:r>
          </w:p>
        </w:tc>
        <w:tc>
          <w:tcPr>
            <w:tcW w:w="860" w:type="pct"/>
          </w:tcPr>
          <w:p>
            <w:pPr>
              <w:pStyle w:val="52"/>
              <w:rPr>
                <w:rFonts w:cs="Times New Roman"/>
                <w:b w:val="0"/>
                <w:szCs w:val="21"/>
              </w:rPr>
            </w:pPr>
            <w:r>
              <w:rPr>
                <w:rFonts w:cs="Times New Roman"/>
                <w:b w:val="0"/>
                <w:szCs w:val="21"/>
              </w:rPr>
              <w:t>0.2</w:t>
            </w:r>
          </w:p>
        </w:tc>
        <w:tc>
          <w:tcPr>
            <w:tcW w:w="860" w:type="pct"/>
          </w:tcPr>
          <w:p>
            <w:pPr>
              <w:pStyle w:val="52"/>
              <w:rPr>
                <w:rFonts w:cs="Times New Roman"/>
                <w:b w:val="0"/>
                <w:szCs w:val="21"/>
              </w:rPr>
            </w:pPr>
            <w:r>
              <w:rPr>
                <w:rFonts w:cs="Times New Roman"/>
                <w:b w:val="0"/>
                <w:szCs w:val="21"/>
              </w:rPr>
              <w:t>0.95</w:t>
            </w:r>
          </w:p>
        </w:tc>
        <w:tc>
          <w:tcPr>
            <w:tcW w:w="533" w:type="pct"/>
            <w:vAlign w:val="center"/>
          </w:tcPr>
          <w:p>
            <w:pPr>
              <w:jc w:val="center"/>
              <w:rPr>
                <w:rFonts w:cs="Times New Roman"/>
                <w:szCs w:val="21"/>
              </w:rPr>
            </w:pPr>
            <w:r>
              <w:rPr>
                <w:rFonts w:cs="Times New Roman"/>
                <w:szCs w:val="21"/>
              </w:rPr>
              <w:t>0</w:t>
            </w:r>
          </w:p>
        </w:tc>
        <w:tc>
          <w:tcPr>
            <w:tcW w:w="894" w:type="pct"/>
            <w:vAlign w:val="center"/>
          </w:tcPr>
          <w:p>
            <w:pPr>
              <w:jc w:val="center"/>
              <w:rPr>
                <w:rFonts w:cs="Times New Roman"/>
                <w:szCs w:val="21"/>
              </w:rPr>
            </w:pPr>
            <w:r>
              <w:rPr>
                <w:rFonts w:cs="Times New Roman"/>
                <w:szCs w:val="21"/>
              </w:rPr>
              <w:t>/</w:t>
            </w:r>
          </w:p>
        </w:tc>
      </w:tr>
    </w:tbl>
    <w:p>
      <w:pPr>
        <w:spacing w:line="360" w:lineRule="auto"/>
        <w:ind w:firstLine="480" w:firstLineChars="200"/>
        <w:rPr>
          <w:rFonts w:cs="Times New Roman"/>
          <w:sz w:val="24"/>
          <w:szCs w:val="24"/>
        </w:rPr>
      </w:pPr>
      <w:r>
        <w:rPr>
          <w:rFonts w:cs="Times New Roman"/>
          <w:sz w:val="24"/>
          <w:szCs w:val="24"/>
        </w:rPr>
        <w:t>由上表可知，监测及评价结果分析表明：评价区域环境空气中的TVOC、甲醛、氨浓度值均满足</w:t>
      </w:r>
      <w:r>
        <w:rPr>
          <w:rFonts w:cs="Times New Roman"/>
          <w:sz w:val="24"/>
          <w:szCs w:val="32"/>
          <w:lang w:bidi="ar"/>
        </w:rPr>
        <w:t>《环境影响评价技术导则大气环境》（HJ2.2-2018）附录D中的浓度限值标准要求；</w:t>
      </w:r>
      <w:r>
        <w:rPr>
          <w:rFonts w:cs="Times New Roman"/>
          <w:sz w:val="24"/>
          <w:szCs w:val="24"/>
        </w:rPr>
        <w:t>颗粒物满足《环境空气质量标准》（GB3095-2012）二级标准限值，项目所在区域环境空气质量良好。</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sectPr>
          <w:pgSz w:w="11906" w:h="16838"/>
          <w:pgMar w:top="1134" w:right="1134" w:bottom="1134" w:left="1417" w:header="851" w:footer="992" w:gutter="0"/>
          <w:cols w:space="720" w:num="1"/>
          <w:docGrid w:type="lines" w:linePitch="312" w:charSpace="0"/>
        </w:sectPr>
      </w:pPr>
    </w:p>
    <w:p>
      <w:pPr>
        <w:pStyle w:val="3"/>
        <w:rPr>
          <w:rFonts w:cs="Times New Roman"/>
        </w:rPr>
      </w:pPr>
      <w:bookmarkStart w:id="0" w:name="_Toc14587"/>
      <w:r>
        <w:rPr>
          <w:rFonts w:cs="Times New Roman"/>
        </w:rPr>
        <w:t>4 环境空气影响预测与评价</w:t>
      </w:r>
      <w:bookmarkEnd w:id="0"/>
    </w:p>
    <w:p>
      <w:pPr>
        <w:spacing w:line="360" w:lineRule="auto"/>
        <w:ind w:firstLine="480" w:firstLineChars="200"/>
        <w:rPr>
          <w:rFonts w:cs="Times New Roman"/>
          <w:sz w:val="24"/>
          <w:szCs w:val="24"/>
        </w:rPr>
      </w:pPr>
      <w:r>
        <w:rPr>
          <w:rFonts w:cs="Times New Roman"/>
          <w:sz w:val="24"/>
          <w:szCs w:val="24"/>
        </w:rPr>
        <w:t>结合项目工程分析结果，选择正常排放的主要污染物及排放参数，采用《环境影响评价技术导则大气环境》（HJ2.2-2018）附录A推荐模型中的AERSCREEN模式计算项目污染源的最大环境影响。</w:t>
      </w:r>
    </w:p>
    <w:p>
      <w:pPr>
        <w:pStyle w:val="4"/>
        <w:rPr>
          <w:rFonts w:cs="Times New Roman"/>
        </w:rPr>
      </w:pPr>
      <w:bookmarkStart w:id="1" w:name="_Toc25722"/>
      <w:r>
        <w:rPr>
          <w:rFonts w:cs="Times New Roman"/>
        </w:rPr>
        <w:t>4.1 评价标准</w:t>
      </w:r>
      <w:bookmarkEnd w:id="1"/>
    </w:p>
    <w:p>
      <w:pPr>
        <w:spacing w:line="360" w:lineRule="auto"/>
        <w:ind w:firstLine="480" w:firstLineChars="200"/>
        <w:rPr>
          <w:rFonts w:cs="Times New Roman"/>
          <w:sz w:val="24"/>
          <w:szCs w:val="24"/>
        </w:rPr>
      </w:pPr>
      <w:r>
        <w:rPr>
          <w:rFonts w:cs="Times New Roman"/>
          <w:sz w:val="24"/>
          <w:szCs w:val="24"/>
        </w:rPr>
        <w:t>污染物评价标准和来源见下表。</w:t>
      </w:r>
    </w:p>
    <w:p>
      <w:pPr>
        <w:spacing w:line="360" w:lineRule="auto"/>
        <w:jc w:val="center"/>
        <w:rPr>
          <w:rFonts w:cs="Times New Roman"/>
          <w:b/>
          <w:bCs/>
          <w:sz w:val="24"/>
          <w:szCs w:val="24"/>
          <w:highlight w:val="yellow"/>
        </w:rPr>
      </w:pPr>
      <w:r>
        <w:rPr>
          <w:rFonts w:cs="Times New Roman"/>
          <w:b/>
          <w:bCs/>
          <w:sz w:val="24"/>
          <w:szCs w:val="24"/>
        </w:rPr>
        <w:t>表 4.1-1  污染物评价标准</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76"/>
        <w:gridCol w:w="1270"/>
        <w:gridCol w:w="1138"/>
        <w:gridCol w:w="1720"/>
        <w:gridCol w:w="3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pct"/>
            <w:tcBorders>
              <w:tl2br w:val="nil"/>
              <w:tr2bl w:val="nil"/>
            </w:tcBorders>
            <w:vAlign w:val="center"/>
          </w:tcPr>
          <w:p>
            <w:pPr>
              <w:jc w:val="center"/>
              <w:rPr>
                <w:rFonts w:cs="Times New Roman"/>
                <w:b/>
                <w:bCs/>
                <w:szCs w:val="21"/>
              </w:rPr>
            </w:pPr>
            <w:r>
              <w:rPr>
                <w:rFonts w:cs="Times New Roman"/>
                <w:b/>
                <w:bCs/>
                <w:szCs w:val="21"/>
              </w:rPr>
              <w:t>污染物名称</w:t>
            </w:r>
          </w:p>
        </w:tc>
        <w:tc>
          <w:tcPr>
            <w:tcW w:w="664" w:type="pct"/>
            <w:tcBorders>
              <w:tl2br w:val="nil"/>
              <w:tr2bl w:val="nil"/>
            </w:tcBorders>
            <w:vAlign w:val="center"/>
          </w:tcPr>
          <w:p>
            <w:pPr>
              <w:jc w:val="center"/>
              <w:rPr>
                <w:rFonts w:cs="Times New Roman"/>
                <w:b/>
                <w:bCs/>
                <w:szCs w:val="21"/>
              </w:rPr>
            </w:pPr>
            <w:r>
              <w:rPr>
                <w:rFonts w:cs="Times New Roman"/>
                <w:b/>
                <w:bCs/>
                <w:szCs w:val="21"/>
              </w:rPr>
              <w:t>功能区</w:t>
            </w:r>
          </w:p>
        </w:tc>
        <w:tc>
          <w:tcPr>
            <w:tcW w:w="595" w:type="pct"/>
            <w:tcBorders>
              <w:tl2br w:val="nil"/>
              <w:tr2bl w:val="nil"/>
            </w:tcBorders>
            <w:vAlign w:val="center"/>
          </w:tcPr>
          <w:p>
            <w:pPr>
              <w:jc w:val="center"/>
              <w:rPr>
                <w:rFonts w:cs="Times New Roman"/>
                <w:b/>
                <w:bCs/>
                <w:szCs w:val="21"/>
              </w:rPr>
            </w:pPr>
            <w:r>
              <w:rPr>
                <w:rFonts w:cs="Times New Roman"/>
                <w:b/>
                <w:bCs/>
                <w:szCs w:val="21"/>
              </w:rPr>
              <w:t>取值时间</w:t>
            </w:r>
          </w:p>
        </w:tc>
        <w:tc>
          <w:tcPr>
            <w:tcW w:w="899" w:type="pct"/>
            <w:tcBorders>
              <w:tl2br w:val="nil"/>
              <w:tr2bl w:val="nil"/>
            </w:tcBorders>
            <w:vAlign w:val="center"/>
          </w:tcPr>
          <w:p>
            <w:pPr>
              <w:jc w:val="center"/>
              <w:rPr>
                <w:rFonts w:cs="Times New Roman"/>
                <w:b/>
                <w:bCs/>
                <w:szCs w:val="21"/>
              </w:rPr>
            </w:pPr>
            <w:r>
              <w:rPr>
                <w:rFonts w:cs="Times New Roman"/>
                <w:b/>
                <w:bCs/>
                <w:szCs w:val="21"/>
              </w:rPr>
              <w:t>标准值(mg/m³)</w:t>
            </w:r>
          </w:p>
        </w:tc>
        <w:tc>
          <w:tcPr>
            <w:tcW w:w="2068" w:type="pct"/>
            <w:tcBorders>
              <w:tl2br w:val="nil"/>
              <w:tr2bl w:val="nil"/>
            </w:tcBorders>
            <w:vAlign w:val="center"/>
          </w:tcPr>
          <w:p>
            <w:pPr>
              <w:jc w:val="center"/>
              <w:rPr>
                <w:rFonts w:cs="Times New Roman"/>
                <w:b/>
                <w:bCs/>
                <w:szCs w:val="21"/>
              </w:rPr>
            </w:pPr>
            <w:r>
              <w:rPr>
                <w:rFonts w:cs="Times New Roman"/>
                <w:b/>
                <w:bCs/>
                <w:szCs w:val="21"/>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pct"/>
            <w:tcBorders>
              <w:tl2br w:val="nil"/>
              <w:tr2bl w:val="nil"/>
            </w:tcBorders>
            <w:vAlign w:val="center"/>
          </w:tcPr>
          <w:p>
            <w:pPr>
              <w:jc w:val="center"/>
              <w:rPr>
                <w:rFonts w:cs="Times New Roman"/>
                <w:szCs w:val="21"/>
              </w:rPr>
            </w:pPr>
            <w:r>
              <w:rPr>
                <w:rFonts w:cs="Times New Roman"/>
                <w:szCs w:val="21"/>
              </w:rPr>
              <w:t>TVOC</w:t>
            </w:r>
          </w:p>
        </w:tc>
        <w:tc>
          <w:tcPr>
            <w:tcW w:w="664" w:type="pct"/>
            <w:tcBorders>
              <w:tl2br w:val="nil"/>
              <w:tr2bl w:val="nil"/>
            </w:tcBorders>
            <w:vAlign w:val="center"/>
          </w:tcPr>
          <w:p>
            <w:pPr>
              <w:jc w:val="center"/>
              <w:rPr>
                <w:rFonts w:cs="Times New Roman"/>
                <w:szCs w:val="21"/>
              </w:rPr>
            </w:pPr>
            <w:r>
              <w:rPr>
                <w:rFonts w:cs="Times New Roman"/>
                <w:szCs w:val="21"/>
              </w:rPr>
              <w:t>二类限区</w:t>
            </w:r>
          </w:p>
        </w:tc>
        <w:tc>
          <w:tcPr>
            <w:tcW w:w="595" w:type="pct"/>
            <w:tcBorders>
              <w:tl2br w:val="nil"/>
              <w:tr2bl w:val="nil"/>
            </w:tcBorders>
            <w:vAlign w:val="center"/>
          </w:tcPr>
          <w:p>
            <w:pPr>
              <w:jc w:val="center"/>
              <w:rPr>
                <w:rFonts w:cs="Times New Roman"/>
                <w:szCs w:val="21"/>
              </w:rPr>
            </w:pPr>
            <w:r>
              <w:rPr>
                <w:rFonts w:cs="Times New Roman"/>
                <w:szCs w:val="21"/>
              </w:rPr>
              <w:t>8h均值</w:t>
            </w:r>
          </w:p>
        </w:tc>
        <w:tc>
          <w:tcPr>
            <w:tcW w:w="899" w:type="pct"/>
            <w:tcBorders>
              <w:tl2br w:val="nil"/>
              <w:tr2bl w:val="nil"/>
            </w:tcBorders>
            <w:vAlign w:val="center"/>
          </w:tcPr>
          <w:p>
            <w:pPr>
              <w:jc w:val="center"/>
              <w:rPr>
                <w:rFonts w:cs="Times New Roman"/>
                <w:szCs w:val="21"/>
              </w:rPr>
            </w:pPr>
            <w:r>
              <w:rPr>
                <w:rFonts w:cs="Times New Roman"/>
                <w:szCs w:val="21"/>
              </w:rPr>
              <w:t>0.6</w:t>
            </w:r>
          </w:p>
        </w:tc>
        <w:tc>
          <w:tcPr>
            <w:tcW w:w="2068" w:type="pct"/>
            <w:vMerge w:val="restart"/>
            <w:tcBorders>
              <w:tl2br w:val="nil"/>
              <w:tr2bl w:val="nil"/>
            </w:tcBorders>
            <w:vAlign w:val="center"/>
          </w:tcPr>
          <w:p>
            <w:pPr>
              <w:jc w:val="center"/>
              <w:rPr>
                <w:rFonts w:cs="Times New Roman"/>
                <w:szCs w:val="21"/>
              </w:rPr>
            </w:pPr>
            <w:r>
              <w:rPr>
                <w:rFonts w:cs="Times New Roman"/>
                <w:szCs w:val="21"/>
              </w:rPr>
              <w:t>《环境影响评价技术导则-大气环境》 HJ 2.2-2018 附录D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pct"/>
            <w:tcBorders>
              <w:tl2br w:val="nil"/>
              <w:tr2bl w:val="nil"/>
            </w:tcBorders>
            <w:vAlign w:val="center"/>
          </w:tcPr>
          <w:p>
            <w:pPr>
              <w:jc w:val="center"/>
              <w:rPr>
                <w:rFonts w:cs="Times New Roman"/>
                <w:szCs w:val="21"/>
              </w:rPr>
            </w:pPr>
            <w:r>
              <w:rPr>
                <w:rFonts w:cs="Times New Roman"/>
                <w:szCs w:val="21"/>
              </w:rPr>
              <w:t>氨</w:t>
            </w:r>
          </w:p>
        </w:tc>
        <w:tc>
          <w:tcPr>
            <w:tcW w:w="664" w:type="pct"/>
            <w:tcBorders>
              <w:tl2br w:val="nil"/>
              <w:tr2bl w:val="nil"/>
            </w:tcBorders>
            <w:vAlign w:val="center"/>
          </w:tcPr>
          <w:p>
            <w:pPr>
              <w:jc w:val="center"/>
              <w:rPr>
                <w:rFonts w:cs="Times New Roman"/>
                <w:szCs w:val="21"/>
              </w:rPr>
            </w:pPr>
            <w:r>
              <w:rPr>
                <w:rFonts w:cs="Times New Roman"/>
                <w:szCs w:val="21"/>
              </w:rPr>
              <w:t>二类限区</w:t>
            </w:r>
          </w:p>
        </w:tc>
        <w:tc>
          <w:tcPr>
            <w:tcW w:w="595" w:type="pct"/>
            <w:tcBorders>
              <w:tl2br w:val="nil"/>
              <w:tr2bl w:val="nil"/>
            </w:tcBorders>
            <w:vAlign w:val="center"/>
          </w:tcPr>
          <w:p>
            <w:pPr>
              <w:jc w:val="center"/>
              <w:rPr>
                <w:rFonts w:cs="Times New Roman"/>
                <w:szCs w:val="21"/>
              </w:rPr>
            </w:pPr>
            <w:r>
              <w:rPr>
                <w:rFonts w:cs="Times New Roman"/>
                <w:szCs w:val="21"/>
              </w:rPr>
              <w:t>1h均值</w:t>
            </w:r>
          </w:p>
        </w:tc>
        <w:tc>
          <w:tcPr>
            <w:tcW w:w="899" w:type="pct"/>
            <w:tcBorders>
              <w:tl2br w:val="nil"/>
              <w:tr2bl w:val="nil"/>
            </w:tcBorders>
            <w:vAlign w:val="center"/>
          </w:tcPr>
          <w:p>
            <w:pPr>
              <w:jc w:val="center"/>
              <w:rPr>
                <w:rFonts w:cs="Times New Roman"/>
                <w:szCs w:val="21"/>
              </w:rPr>
            </w:pPr>
            <w:r>
              <w:rPr>
                <w:rFonts w:cs="Times New Roman"/>
                <w:szCs w:val="21"/>
              </w:rPr>
              <w:t>0.2</w:t>
            </w:r>
          </w:p>
        </w:tc>
        <w:tc>
          <w:tcPr>
            <w:tcW w:w="206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pct"/>
            <w:tcBorders>
              <w:tl2br w:val="nil"/>
              <w:tr2bl w:val="nil"/>
            </w:tcBorders>
            <w:vAlign w:val="center"/>
          </w:tcPr>
          <w:p>
            <w:pPr>
              <w:jc w:val="center"/>
              <w:rPr>
                <w:rFonts w:cs="Times New Roman"/>
                <w:szCs w:val="21"/>
              </w:rPr>
            </w:pPr>
            <w:r>
              <w:rPr>
                <w:rFonts w:cs="Times New Roman"/>
                <w:szCs w:val="21"/>
              </w:rPr>
              <w:t>甲醛</w:t>
            </w:r>
          </w:p>
        </w:tc>
        <w:tc>
          <w:tcPr>
            <w:tcW w:w="664" w:type="pct"/>
            <w:tcBorders>
              <w:tl2br w:val="nil"/>
              <w:tr2bl w:val="nil"/>
            </w:tcBorders>
            <w:vAlign w:val="center"/>
          </w:tcPr>
          <w:p>
            <w:pPr>
              <w:jc w:val="center"/>
              <w:rPr>
                <w:rFonts w:cs="Times New Roman"/>
                <w:szCs w:val="21"/>
              </w:rPr>
            </w:pPr>
            <w:r>
              <w:rPr>
                <w:rFonts w:cs="Times New Roman"/>
                <w:szCs w:val="21"/>
              </w:rPr>
              <w:t>二类限区</w:t>
            </w:r>
          </w:p>
        </w:tc>
        <w:tc>
          <w:tcPr>
            <w:tcW w:w="595" w:type="pct"/>
            <w:tcBorders>
              <w:tl2br w:val="nil"/>
              <w:tr2bl w:val="nil"/>
            </w:tcBorders>
            <w:vAlign w:val="center"/>
          </w:tcPr>
          <w:p>
            <w:pPr>
              <w:jc w:val="center"/>
              <w:rPr>
                <w:rFonts w:cs="Times New Roman"/>
                <w:szCs w:val="21"/>
              </w:rPr>
            </w:pPr>
            <w:r>
              <w:rPr>
                <w:rFonts w:cs="Times New Roman"/>
                <w:szCs w:val="21"/>
              </w:rPr>
              <w:t>1h均值</w:t>
            </w:r>
          </w:p>
        </w:tc>
        <w:tc>
          <w:tcPr>
            <w:tcW w:w="899" w:type="pct"/>
            <w:tcBorders>
              <w:tl2br w:val="nil"/>
              <w:tr2bl w:val="nil"/>
            </w:tcBorders>
            <w:vAlign w:val="center"/>
          </w:tcPr>
          <w:p>
            <w:pPr>
              <w:jc w:val="center"/>
              <w:rPr>
                <w:rFonts w:cs="Times New Roman"/>
                <w:szCs w:val="21"/>
              </w:rPr>
            </w:pPr>
            <w:r>
              <w:rPr>
                <w:rFonts w:cs="Times New Roman"/>
                <w:szCs w:val="21"/>
              </w:rPr>
              <w:t>0.05</w:t>
            </w:r>
          </w:p>
        </w:tc>
        <w:tc>
          <w:tcPr>
            <w:tcW w:w="206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pc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664" w:type="pct"/>
            <w:tcBorders>
              <w:tl2br w:val="nil"/>
              <w:tr2bl w:val="nil"/>
            </w:tcBorders>
            <w:vAlign w:val="center"/>
          </w:tcPr>
          <w:p>
            <w:pPr>
              <w:jc w:val="center"/>
              <w:rPr>
                <w:rFonts w:cs="Times New Roman"/>
                <w:szCs w:val="21"/>
              </w:rPr>
            </w:pPr>
            <w:r>
              <w:rPr>
                <w:rFonts w:cs="Times New Roman"/>
                <w:szCs w:val="21"/>
              </w:rPr>
              <w:t>二类限区</w:t>
            </w:r>
          </w:p>
        </w:tc>
        <w:tc>
          <w:tcPr>
            <w:tcW w:w="595" w:type="pct"/>
            <w:tcBorders>
              <w:tl2br w:val="nil"/>
              <w:tr2bl w:val="nil"/>
            </w:tcBorders>
            <w:vAlign w:val="center"/>
          </w:tcPr>
          <w:p>
            <w:pPr>
              <w:jc w:val="center"/>
              <w:rPr>
                <w:rFonts w:cs="Times New Roman"/>
                <w:szCs w:val="21"/>
              </w:rPr>
            </w:pPr>
            <w:r>
              <w:rPr>
                <w:rFonts w:cs="Times New Roman"/>
                <w:szCs w:val="21"/>
              </w:rPr>
              <w:t>1h均值</w:t>
            </w:r>
          </w:p>
        </w:tc>
        <w:tc>
          <w:tcPr>
            <w:tcW w:w="899" w:type="pct"/>
            <w:tcBorders>
              <w:tl2br w:val="nil"/>
              <w:tr2bl w:val="nil"/>
            </w:tcBorders>
            <w:vAlign w:val="center"/>
          </w:tcPr>
          <w:p>
            <w:pPr>
              <w:jc w:val="center"/>
              <w:rPr>
                <w:rFonts w:cs="Times New Roman"/>
                <w:szCs w:val="21"/>
              </w:rPr>
            </w:pPr>
            <w:r>
              <w:rPr>
                <w:rFonts w:cs="Times New Roman"/>
                <w:szCs w:val="21"/>
              </w:rPr>
              <w:t>0.5</w:t>
            </w:r>
          </w:p>
        </w:tc>
        <w:tc>
          <w:tcPr>
            <w:tcW w:w="2068" w:type="pct"/>
            <w:vMerge w:val="restart"/>
            <w:tcBorders>
              <w:tl2br w:val="nil"/>
              <w:tr2bl w:val="nil"/>
            </w:tcBorders>
            <w:vAlign w:val="center"/>
          </w:tcPr>
          <w:p>
            <w:pPr>
              <w:jc w:val="center"/>
              <w:rPr>
                <w:rFonts w:cs="Times New Roman"/>
                <w:szCs w:val="21"/>
              </w:rPr>
            </w:pPr>
            <w:r>
              <w:rPr>
                <w:rFonts w:cs="Times New Roman"/>
                <w:szCs w:val="21"/>
              </w:rPr>
              <w:t>环境空气质量标准(GB 3095-2012)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pct"/>
            <w:tcBorders>
              <w:tl2br w:val="nil"/>
              <w:tr2bl w:val="nil"/>
            </w:tcBorders>
            <w:vAlign w:val="center"/>
          </w:tcPr>
          <w:p>
            <w:pPr>
              <w:jc w:val="center"/>
              <w:rPr>
                <w:rFonts w:cs="Times New Roman"/>
                <w:szCs w:val="21"/>
              </w:rPr>
            </w:pPr>
            <w:r>
              <w:rPr>
                <w:rFonts w:cs="Times New Roman"/>
                <w:szCs w:val="21"/>
              </w:rPr>
              <w:t>NO</w:t>
            </w:r>
            <w:r>
              <w:rPr>
                <w:rFonts w:cs="Times New Roman"/>
                <w:szCs w:val="21"/>
                <w:vertAlign w:val="subscript"/>
              </w:rPr>
              <w:t>2</w:t>
            </w:r>
          </w:p>
        </w:tc>
        <w:tc>
          <w:tcPr>
            <w:tcW w:w="664" w:type="pct"/>
            <w:tcBorders>
              <w:tl2br w:val="nil"/>
              <w:tr2bl w:val="nil"/>
            </w:tcBorders>
            <w:vAlign w:val="center"/>
          </w:tcPr>
          <w:p>
            <w:pPr>
              <w:jc w:val="center"/>
              <w:rPr>
                <w:rFonts w:cs="Times New Roman"/>
                <w:szCs w:val="21"/>
              </w:rPr>
            </w:pPr>
            <w:r>
              <w:rPr>
                <w:rFonts w:cs="Times New Roman"/>
                <w:szCs w:val="21"/>
              </w:rPr>
              <w:t>二类限区</w:t>
            </w:r>
          </w:p>
        </w:tc>
        <w:tc>
          <w:tcPr>
            <w:tcW w:w="595" w:type="pct"/>
            <w:tcBorders>
              <w:tl2br w:val="nil"/>
              <w:tr2bl w:val="nil"/>
            </w:tcBorders>
            <w:vAlign w:val="center"/>
          </w:tcPr>
          <w:p>
            <w:pPr>
              <w:jc w:val="center"/>
              <w:rPr>
                <w:rFonts w:cs="Times New Roman"/>
                <w:szCs w:val="21"/>
              </w:rPr>
            </w:pPr>
            <w:r>
              <w:rPr>
                <w:rFonts w:cs="Times New Roman"/>
                <w:szCs w:val="21"/>
              </w:rPr>
              <w:t>1h均值</w:t>
            </w:r>
          </w:p>
        </w:tc>
        <w:tc>
          <w:tcPr>
            <w:tcW w:w="899" w:type="pct"/>
            <w:tcBorders>
              <w:tl2br w:val="nil"/>
              <w:tr2bl w:val="nil"/>
            </w:tcBorders>
            <w:vAlign w:val="center"/>
          </w:tcPr>
          <w:p>
            <w:pPr>
              <w:jc w:val="center"/>
              <w:rPr>
                <w:rFonts w:cs="Times New Roman"/>
                <w:szCs w:val="21"/>
              </w:rPr>
            </w:pPr>
            <w:r>
              <w:rPr>
                <w:rFonts w:cs="Times New Roman"/>
                <w:szCs w:val="21"/>
              </w:rPr>
              <w:t>0.2</w:t>
            </w:r>
          </w:p>
        </w:tc>
        <w:tc>
          <w:tcPr>
            <w:tcW w:w="2068" w:type="pct"/>
            <w:vMerge w:val="continue"/>
            <w:tcBorders>
              <w:tl2br w:val="nil"/>
              <w:tr2bl w:val="nil"/>
            </w:tcBorders>
            <w:vAlign w:val="center"/>
          </w:tcPr>
          <w:p>
            <w:pPr>
              <w:jc w:val="center"/>
              <w:rPr>
                <w:rFonts w:cs="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72" w:type="pct"/>
            <w:tcBorders>
              <w:tl2br w:val="nil"/>
              <w:tr2bl w:val="nil"/>
            </w:tcBorders>
            <w:vAlign w:val="center"/>
          </w:tcPr>
          <w:p>
            <w:pPr>
              <w:jc w:val="center"/>
              <w:rPr>
                <w:rFonts w:cs="Times New Roman"/>
                <w:szCs w:val="21"/>
              </w:rPr>
            </w:pPr>
            <w:r>
              <w:rPr>
                <w:rFonts w:hint="eastAsia" w:cs="Times New Roman"/>
                <w:szCs w:val="21"/>
              </w:rPr>
              <w:t>颗粒物</w:t>
            </w:r>
          </w:p>
        </w:tc>
        <w:tc>
          <w:tcPr>
            <w:tcW w:w="664" w:type="pct"/>
            <w:tcBorders>
              <w:tl2br w:val="nil"/>
              <w:tr2bl w:val="nil"/>
            </w:tcBorders>
            <w:vAlign w:val="center"/>
          </w:tcPr>
          <w:p>
            <w:pPr>
              <w:jc w:val="center"/>
              <w:rPr>
                <w:rFonts w:cs="Times New Roman"/>
                <w:szCs w:val="21"/>
              </w:rPr>
            </w:pPr>
            <w:r>
              <w:rPr>
                <w:rFonts w:cs="Times New Roman"/>
                <w:szCs w:val="21"/>
              </w:rPr>
              <w:t>二类限区</w:t>
            </w:r>
          </w:p>
        </w:tc>
        <w:tc>
          <w:tcPr>
            <w:tcW w:w="595" w:type="pct"/>
            <w:tcBorders>
              <w:tl2br w:val="nil"/>
              <w:tr2bl w:val="nil"/>
            </w:tcBorders>
            <w:vAlign w:val="center"/>
          </w:tcPr>
          <w:p>
            <w:pPr>
              <w:jc w:val="center"/>
              <w:rPr>
                <w:rFonts w:cs="Times New Roman"/>
                <w:szCs w:val="21"/>
              </w:rPr>
            </w:pPr>
            <w:r>
              <w:rPr>
                <w:rFonts w:cs="Times New Roman"/>
                <w:szCs w:val="21"/>
              </w:rPr>
              <w:t>1h均值</w:t>
            </w:r>
          </w:p>
        </w:tc>
        <w:tc>
          <w:tcPr>
            <w:tcW w:w="899" w:type="pct"/>
            <w:tcBorders>
              <w:tl2br w:val="nil"/>
              <w:tr2bl w:val="nil"/>
            </w:tcBorders>
            <w:vAlign w:val="center"/>
          </w:tcPr>
          <w:p>
            <w:pPr>
              <w:jc w:val="center"/>
              <w:rPr>
                <w:rFonts w:cs="Times New Roman"/>
                <w:szCs w:val="21"/>
              </w:rPr>
            </w:pPr>
            <w:r>
              <w:rPr>
                <w:rFonts w:hint="eastAsia" w:cs="Times New Roman"/>
                <w:szCs w:val="21"/>
              </w:rPr>
              <w:t>1</w:t>
            </w:r>
          </w:p>
        </w:tc>
        <w:tc>
          <w:tcPr>
            <w:tcW w:w="2068" w:type="pct"/>
            <w:tcBorders>
              <w:tl2br w:val="nil"/>
              <w:tr2bl w:val="nil"/>
            </w:tcBorders>
            <w:vAlign w:val="center"/>
          </w:tcPr>
          <w:p>
            <w:pPr>
              <w:jc w:val="center"/>
              <w:rPr>
                <w:rFonts w:cs="Times New Roman"/>
                <w:szCs w:val="21"/>
              </w:rPr>
            </w:pPr>
            <w:r>
              <w:rPr>
                <w:rFonts w:cs="Times New Roman"/>
                <w:szCs w:val="21"/>
              </w:rPr>
              <w:t>《环境空气质量标准》（GB3095-2012）二级</w:t>
            </w:r>
          </w:p>
        </w:tc>
      </w:tr>
    </w:tbl>
    <w:p>
      <w:pPr>
        <w:pStyle w:val="4"/>
        <w:rPr>
          <w:rFonts w:cs="Times New Roman"/>
          <w:szCs w:val="24"/>
        </w:rPr>
      </w:pPr>
      <w:r>
        <w:rPr>
          <w:rFonts w:cs="Times New Roman"/>
          <w:szCs w:val="24"/>
        </w:rPr>
        <w:t>4.2 污染源参数</w:t>
      </w:r>
      <w:r>
        <w:rPr>
          <w:rFonts w:cs="Times New Roman"/>
          <w:szCs w:val="24"/>
        </w:rPr>
        <w:tab/>
      </w:r>
    </w:p>
    <w:p>
      <w:pPr>
        <w:spacing w:line="360" w:lineRule="auto"/>
        <w:ind w:firstLine="480" w:firstLineChars="200"/>
        <w:rPr>
          <w:rFonts w:cs="Times New Roman"/>
          <w:sz w:val="24"/>
          <w:szCs w:val="24"/>
        </w:rPr>
      </w:pPr>
      <w:r>
        <w:rPr>
          <w:rFonts w:cs="Times New Roman"/>
          <w:sz w:val="24"/>
          <w:szCs w:val="24"/>
        </w:rPr>
        <w:t>本项目有组织废气污染源参数和无组织废气污染源参数分别见下表所示。</w:t>
      </w:r>
    </w:p>
    <w:p>
      <w:pPr>
        <w:spacing w:line="360" w:lineRule="auto"/>
        <w:jc w:val="center"/>
        <w:rPr>
          <w:rFonts w:cs="Times New Roman"/>
          <w:b/>
          <w:bCs/>
          <w:sz w:val="24"/>
          <w:szCs w:val="24"/>
        </w:rPr>
      </w:pPr>
      <w:r>
        <w:rPr>
          <w:rFonts w:cs="Times New Roman"/>
          <w:b/>
          <w:bCs/>
          <w:sz w:val="24"/>
          <w:szCs w:val="24"/>
        </w:rPr>
        <w:t>表 4.2-1  主要废气污染源参数一览表（点源）</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11"/>
        <w:gridCol w:w="1005"/>
        <w:gridCol w:w="736"/>
        <w:gridCol w:w="722"/>
        <w:gridCol w:w="750"/>
        <w:gridCol w:w="862"/>
        <w:gridCol w:w="687"/>
        <w:gridCol w:w="687"/>
        <w:gridCol w:w="687"/>
        <w:gridCol w:w="687"/>
        <w:gridCol w:w="6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restart"/>
            <w:tcBorders>
              <w:tl2br w:val="nil"/>
              <w:tr2bl w:val="nil"/>
            </w:tcBorders>
            <w:vAlign w:val="center"/>
          </w:tcPr>
          <w:p>
            <w:pPr>
              <w:jc w:val="center"/>
              <w:rPr>
                <w:rFonts w:cs="Times New Roman"/>
                <w:b/>
                <w:bCs/>
                <w:sz w:val="18"/>
                <w:szCs w:val="18"/>
              </w:rPr>
            </w:pPr>
            <w:r>
              <w:rPr>
                <w:rFonts w:cs="Times New Roman"/>
                <w:b/>
                <w:bCs/>
                <w:sz w:val="18"/>
                <w:szCs w:val="18"/>
              </w:rPr>
              <w:t>污染源名称</w:t>
            </w:r>
          </w:p>
        </w:tc>
        <w:tc>
          <w:tcPr>
            <w:tcW w:w="1158" w:type="pct"/>
            <w:gridSpan w:val="2"/>
            <w:tcBorders>
              <w:tl2br w:val="nil"/>
              <w:tr2bl w:val="nil"/>
            </w:tcBorders>
            <w:vAlign w:val="center"/>
          </w:tcPr>
          <w:p>
            <w:pPr>
              <w:jc w:val="center"/>
              <w:rPr>
                <w:rFonts w:cs="Times New Roman"/>
                <w:b/>
                <w:bCs/>
                <w:sz w:val="18"/>
                <w:szCs w:val="18"/>
              </w:rPr>
            </w:pPr>
            <w:r>
              <w:rPr>
                <w:rFonts w:cs="Times New Roman"/>
                <w:b/>
                <w:bCs/>
                <w:sz w:val="18"/>
                <w:szCs w:val="18"/>
              </w:rPr>
              <w:t>排气筒底部中心坐标(°)</w:t>
            </w:r>
          </w:p>
        </w:tc>
        <w:tc>
          <w:tcPr>
            <w:tcW w:w="1605" w:type="pct"/>
            <w:gridSpan w:val="4"/>
            <w:tcBorders>
              <w:tl2br w:val="nil"/>
              <w:tr2bl w:val="nil"/>
            </w:tcBorders>
            <w:vAlign w:val="center"/>
          </w:tcPr>
          <w:p>
            <w:pPr>
              <w:jc w:val="center"/>
              <w:rPr>
                <w:rFonts w:cs="Times New Roman"/>
                <w:b/>
                <w:bCs/>
                <w:sz w:val="18"/>
                <w:szCs w:val="18"/>
              </w:rPr>
            </w:pPr>
            <w:r>
              <w:rPr>
                <w:rFonts w:cs="Times New Roman"/>
                <w:b/>
                <w:bCs/>
                <w:sz w:val="18"/>
                <w:szCs w:val="18"/>
              </w:rPr>
              <w:t>排气筒参数</w:t>
            </w:r>
          </w:p>
        </w:tc>
        <w:tc>
          <w:tcPr>
            <w:tcW w:w="1798" w:type="pct"/>
            <w:gridSpan w:val="5"/>
            <w:tcBorders>
              <w:tl2br w:val="nil"/>
              <w:tr2bl w:val="nil"/>
            </w:tcBorders>
            <w:vAlign w:val="center"/>
          </w:tcPr>
          <w:p>
            <w:pPr>
              <w:jc w:val="center"/>
              <w:rPr>
                <w:rFonts w:cs="Times New Roman"/>
                <w:b/>
                <w:bCs/>
                <w:sz w:val="18"/>
                <w:szCs w:val="18"/>
              </w:rPr>
            </w:pPr>
            <w:r>
              <w:rPr>
                <w:rFonts w:cs="Times New Roman"/>
                <w:b/>
                <w:bCs/>
                <w:sz w:val="18"/>
                <w:szCs w:val="18"/>
              </w:rPr>
              <w:t>污染物排放速率(kg/h)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vMerge w:val="continue"/>
            <w:tcBorders>
              <w:tl2br w:val="nil"/>
              <w:tr2bl w:val="nil"/>
            </w:tcBorders>
            <w:vAlign w:val="center"/>
          </w:tcPr>
          <w:p>
            <w:pPr>
              <w:jc w:val="center"/>
              <w:rPr>
                <w:rFonts w:cs="Times New Roman"/>
                <w:b/>
                <w:bCs/>
                <w:sz w:val="18"/>
                <w:szCs w:val="18"/>
              </w:rPr>
            </w:pPr>
          </w:p>
        </w:tc>
        <w:tc>
          <w:tcPr>
            <w:tcW w:w="633" w:type="pct"/>
            <w:tcBorders>
              <w:tl2br w:val="nil"/>
              <w:tr2bl w:val="nil"/>
            </w:tcBorders>
            <w:vAlign w:val="center"/>
          </w:tcPr>
          <w:p>
            <w:pPr>
              <w:jc w:val="center"/>
              <w:rPr>
                <w:rFonts w:cs="Times New Roman"/>
                <w:b/>
                <w:bCs/>
                <w:sz w:val="18"/>
                <w:szCs w:val="18"/>
              </w:rPr>
            </w:pPr>
            <w:r>
              <w:rPr>
                <w:rFonts w:cs="Times New Roman"/>
                <w:b/>
                <w:bCs/>
                <w:sz w:val="18"/>
                <w:szCs w:val="18"/>
              </w:rPr>
              <w:t>经度</w:t>
            </w:r>
          </w:p>
        </w:tc>
        <w:tc>
          <w:tcPr>
            <w:tcW w:w="525" w:type="pct"/>
            <w:tcBorders>
              <w:tl2br w:val="nil"/>
              <w:tr2bl w:val="nil"/>
            </w:tcBorders>
            <w:vAlign w:val="center"/>
          </w:tcPr>
          <w:p>
            <w:pPr>
              <w:jc w:val="center"/>
              <w:rPr>
                <w:rFonts w:cs="Times New Roman"/>
                <w:b/>
                <w:bCs/>
                <w:sz w:val="18"/>
                <w:szCs w:val="18"/>
              </w:rPr>
            </w:pPr>
            <w:r>
              <w:rPr>
                <w:rFonts w:cs="Times New Roman"/>
                <w:b/>
                <w:bCs/>
                <w:sz w:val="18"/>
                <w:szCs w:val="18"/>
              </w:rPr>
              <w:t>纬度</w:t>
            </w:r>
          </w:p>
        </w:tc>
        <w:tc>
          <w:tcPr>
            <w:tcW w:w="384" w:type="pct"/>
            <w:tcBorders>
              <w:tl2br w:val="nil"/>
              <w:tr2bl w:val="nil"/>
            </w:tcBorders>
            <w:vAlign w:val="center"/>
          </w:tcPr>
          <w:p>
            <w:pPr>
              <w:jc w:val="center"/>
              <w:rPr>
                <w:rFonts w:cs="Times New Roman"/>
                <w:b/>
                <w:bCs/>
                <w:sz w:val="18"/>
                <w:szCs w:val="18"/>
              </w:rPr>
            </w:pPr>
            <w:r>
              <w:rPr>
                <w:rFonts w:cs="Times New Roman"/>
                <w:b/>
                <w:bCs/>
                <w:sz w:val="18"/>
                <w:szCs w:val="18"/>
              </w:rPr>
              <w:t>高度(m)</w:t>
            </w:r>
          </w:p>
        </w:tc>
        <w:tc>
          <w:tcPr>
            <w:tcW w:w="378" w:type="pct"/>
            <w:tcBorders>
              <w:tl2br w:val="nil"/>
              <w:tr2bl w:val="nil"/>
            </w:tcBorders>
            <w:vAlign w:val="center"/>
          </w:tcPr>
          <w:p>
            <w:pPr>
              <w:jc w:val="center"/>
              <w:rPr>
                <w:rFonts w:cs="Times New Roman"/>
                <w:b/>
                <w:bCs/>
                <w:sz w:val="18"/>
                <w:szCs w:val="18"/>
              </w:rPr>
            </w:pPr>
            <w:r>
              <w:rPr>
                <w:rFonts w:cs="Times New Roman"/>
                <w:b/>
                <w:bCs/>
                <w:sz w:val="18"/>
                <w:szCs w:val="18"/>
              </w:rPr>
              <w:t>内径(m)</w:t>
            </w:r>
          </w:p>
        </w:tc>
        <w:tc>
          <w:tcPr>
            <w:tcW w:w="392" w:type="pct"/>
            <w:tcBorders>
              <w:tl2br w:val="nil"/>
              <w:tr2bl w:val="nil"/>
            </w:tcBorders>
            <w:vAlign w:val="center"/>
          </w:tcPr>
          <w:p>
            <w:pPr>
              <w:jc w:val="center"/>
              <w:rPr>
                <w:rFonts w:cs="Times New Roman"/>
                <w:b/>
                <w:bCs/>
                <w:sz w:val="18"/>
                <w:szCs w:val="18"/>
              </w:rPr>
            </w:pPr>
            <w:r>
              <w:rPr>
                <w:rFonts w:cs="Times New Roman"/>
                <w:b/>
                <w:bCs/>
                <w:sz w:val="18"/>
                <w:szCs w:val="18"/>
              </w:rPr>
              <w:t>温度(℃)</w:t>
            </w:r>
          </w:p>
        </w:tc>
        <w:tc>
          <w:tcPr>
            <w:tcW w:w="450" w:type="pct"/>
            <w:tcBorders>
              <w:tl2br w:val="nil"/>
              <w:tr2bl w:val="nil"/>
            </w:tcBorders>
            <w:vAlign w:val="center"/>
          </w:tcPr>
          <w:p>
            <w:pPr>
              <w:jc w:val="center"/>
              <w:rPr>
                <w:rFonts w:cs="Times New Roman"/>
                <w:b/>
                <w:bCs/>
                <w:sz w:val="18"/>
                <w:szCs w:val="18"/>
              </w:rPr>
            </w:pPr>
            <w:r>
              <w:rPr>
                <w:rFonts w:cs="Times New Roman"/>
                <w:b/>
                <w:bCs/>
                <w:sz w:val="18"/>
                <w:szCs w:val="18"/>
              </w:rPr>
              <w:t>流速(m/s)</w:t>
            </w:r>
          </w:p>
        </w:tc>
        <w:tc>
          <w:tcPr>
            <w:tcW w:w="359" w:type="pct"/>
            <w:tcBorders>
              <w:tl2br w:val="nil"/>
              <w:tr2bl w:val="nil"/>
            </w:tcBorders>
            <w:vAlign w:val="center"/>
          </w:tcPr>
          <w:p>
            <w:pPr>
              <w:jc w:val="center"/>
              <w:rPr>
                <w:rFonts w:cs="Times New Roman"/>
                <w:b/>
                <w:bCs/>
                <w:sz w:val="18"/>
                <w:szCs w:val="18"/>
              </w:rPr>
            </w:pPr>
            <w:r>
              <w:rPr>
                <w:rFonts w:cs="Times New Roman"/>
                <w:b/>
                <w:bCs/>
                <w:sz w:val="18"/>
                <w:szCs w:val="18"/>
              </w:rPr>
              <w:t>TVOC</w:t>
            </w:r>
          </w:p>
        </w:tc>
        <w:tc>
          <w:tcPr>
            <w:tcW w:w="359" w:type="pct"/>
            <w:tcBorders>
              <w:tl2br w:val="nil"/>
              <w:tr2bl w:val="nil"/>
            </w:tcBorders>
            <w:vAlign w:val="center"/>
          </w:tcPr>
          <w:p>
            <w:pPr>
              <w:jc w:val="center"/>
              <w:rPr>
                <w:rFonts w:cs="Times New Roman"/>
                <w:b/>
                <w:bCs/>
                <w:sz w:val="18"/>
                <w:szCs w:val="18"/>
              </w:rPr>
            </w:pPr>
            <w:r>
              <w:rPr>
                <w:rFonts w:cs="Times New Roman"/>
                <w:b/>
                <w:bCs/>
                <w:sz w:val="18"/>
                <w:szCs w:val="18"/>
              </w:rPr>
              <w:t>氨</w:t>
            </w:r>
          </w:p>
        </w:tc>
        <w:tc>
          <w:tcPr>
            <w:tcW w:w="359" w:type="pct"/>
            <w:tcBorders>
              <w:tl2br w:val="nil"/>
              <w:tr2bl w:val="nil"/>
            </w:tcBorders>
            <w:vAlign w:val="center"/>
          </w:tcPr>
          <w:p>
            <w:pPr>
              <w:jc w:val="center"/>
              <w:rPr>
                <w:rFonts w:cs="Times New Roman"/>
                <w:b/>
                <w:bCs/>
                <w:sz w:val="18"/>
                <w:szCs w:val="18"/>
              </w:rPr>
            </w:pPr>
            <w:r>
              <w:rPr>
                <w:rFonts w:cs="Times New Roman"/>
                <w:b/>
                <w:bCs/>
                <w:sz w:val="18"/>
                <w:szCs w:val="18"/>
              </w:rPr>
              <w:t>甲醛</w:t>
            </w:r>
          </w:p>
        </w:tc>
        <w:tc>
          <w:tcPr>
            <w:tcW w:w="359" w:type="pct"/>
            <w:tcBorders>
              <w:tl2br w:val="nil"/>
              <w:tr2bl w:val="nil"/>
            </w:tcBorders>
            <w:vAlign w:val="center"/>
          </w:tcPr>
          <w:p>
            <w:pPr>
              <w:jc w:val="center"/>
              <w:rPr>
                <w:rFonts w:cs="Times New Roman"/>
                <w:b/>
                <w:bCs/>
                <w:sz w:val="18"/>
                <w:szCs w:val="18"/>
              </w:rPr>
            </w:pPr>
            <w:r>
              <w:rPr>
                <w:rFonts w:cs="Times New Roman"/>
                <w:sz w:val="18"/>
                <w:szCs w:val="18"/>
              </w:rPr>
              <w:t>SO</w:t>
            </w:r>
            <w:r>
              <w:rPr>
                <w:rFonts w:cs="Times New Roman"/>
                <w:sz w:val="18"/>
                <w:szCs w:val="18"/>
                <w:vertAlign w:val="subscript"/>
              </w:rPr>
              <w:t>2</w:t>
            </w:r>
          </w:p>
        </w:tc>
        <w:tc>
          <w:tcPr>
            <w:tcW w:w="361" w:type="pct"/>
            <w:tcBorders>
              <w:tl2br w:val="nil"/>
              <w:tr2bl w:val="nil"/>
            </w:tcBorders>
            <w:vAlign w:val="center"/>
          </w:tcPr>
          <w:p>
            <w:pPr>
              <w:jc w:val="center"/>
              <w:rPr>
                <w:rFonts w:cs="Times New Roman"/>
                <w:b/>
                <w:bCs/>
                <w:sz w:val="18"/>
                <w:szCs w:val="18"/>
              </w:rPr>
            </w:pPr>
            <w:r>
              <w:rPr>
                <w:rFonts w:cs="Times New Roman"/>
                <w:sz w:val="18"/>
                <w:szCs w:val="18"/>
              </w:rPr>
              <w:t>NO</w:t>
            </w:r>
            <w:r>
              <w:rPr>
                <w:rFonts w:cs="Times New Roman"/>
                <w:sz w:val="18"/>
                <w:szCs w:val="18"/>
                <w:vertAlign w:val="sub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tcBorders>
              <w:tl2br w:val="nil"/>
              <w:tr2bl w:val="nil"/>
            </w:tcBorders>
            <w:vAlign w:val="center"/>
          </w:tcPr>
          <w:p>
            <w:pPr>
              <w:jc w:val="center"/>
              <w:rPr>
                <w:rFonts w:cs="Times New Roman"/>
                <w:sz w:val="18"/>
                <w:szCs w:val="18"/>
              </w:rPr>
            </w:pPr>
            <w:r>
              <w:rPr>
                <w:rFonts w:cs="Times New Roman"/>
                <w:sz w:val="18"/>
                <w:szCs w:val="18"/>
              </w:rPr>
              <w:t>点源DA005</w:t>
            </w:r>
          </w:p>
        </w:tc>
        <w:tc>
          <w:tcPr>
            <w:tcW w:w="633" w:type="pct"/>
            <w:tcBorders>
              <w:tl2br w:val="nil"/>
              <w:tr2bl w:val="nil"/>
            </w:tcBorders>
            <w:vAlign w:val="center"/>
          </w:tcPr>
          <w:p>
            <w:pPr>
              <w:jc w:val="center"/>
              <w:rPr>
                <w:rFonts w:cs="Times New Roman"/>
                <w:bCs/>
                <w:sz w:val="18"/>
                <w:szCs w:val="18"/>
              </w:rPr>
            </w:pPr>
            <w:r>
              <w:rPr>
                <w:rFonts w:cs="Times New Roman"/>
                <w:bCs/>
                <w:sz w:val="18"/>
                <w:szCs w:val="18"/>
              </w:rPr>
              <w:t>107.690447</w:t>
            </w:r>
          </w:p>
        </w:tc>
        <w:tc>
          <w:tcPr>
            <w:tcW w:w="525" w:type="pct"/>
            <w:tcBorders>
              <w:tl2br w:val="nil"/>
              <w:tr2bl w:val="nil"/>
            </w:tcBorders>
            <w:vAlign w:val="center"/>
          </w:tcPr>
          <w:p>
            <w:pPr>
              <w:jc w:val="center"/>
              <w:rPr>
                <w:rFonts w:cs="Times New Roman"/>
                <w:bCs/>
                <w:sz w:val="18"/>
                <w:szCs w:val="18"/>
              </w:rPr>
            </w:pPr>
            <w:r>
              <w:rPr>
                <w:rFonts w:cs="Times New Roman"/>
                <w:bCs/>
                <w:sz w:val="18"/>
                <w:szCs w:val="18"/>
              </w:rPr>
              <w:t>31.430632</w:t>
            </w:r>
          </w:p>
        </w:tc>
        <w:tc>
          <w:tcPr>
            <w:tcW w:w="384" w:type="pct"/>
            <w:tcBorders>
              <w:tl2br w:val="nil"/>
              <w:tr2bl w:val="nil"/>
            </w:tcBorders>
            <w:vAlign w:val="center"/>
          </w:tcPr>
          <w:p>
            <w:pPr>
              <w:jc w:val="center"/>
              <w:rPr>
                <w:rFonts w:cs="Times New Roman"/>
                <w:sz w:val="18"/>
                <w:szCs w:val="18"/>
              </w:rPr>
            </w:pPr>
            <w:r>
              <w:rPr>
                <w:rFonts w:cs="Times New Roman"/>
                <w:sz w:val="18"/>
                <w:szCs w:val="18"/>
              </w:rPr>
              <w:t>18</w:t>
            </w:r>
          </w:p>
        </w:tc>
        <w:tc>
          <w:tcPr>
            <w:tcW w:w="378" w:type="pct"/>
            <w:tcBorders>
              <w:tl2br w:val="nil"/>
              <w:tr2bl w:val="nil"/>
            </w:tcBorders>
            <w:vAlign w:val="center"/>
          </w:tcPr>
          <w:p>
            <w:pPr>
              <w:jc w:val="center"/>
              <w:rPr>
                <w:rFonts w:cs="Times New Roman"/>
                <w:sz w:val="18"/>
                <w:szCs w:val="18"/>
              </w:rPr>
            </w:pPr>
            <w:r>
              <w:rPr>
                <w:rFonts w:cs="Times New Roman"/>
                <w:sz w:val="18"/>
                <w:szCs w:val="18"/>
              </w:rPr>
              <w:t>0.5</w:t>
            </w:r>
          </w:p>
        </w:tc>
        <w:tc>
          <w:tcPr>
            <w:tcW w:w="392" w:type="pct"/>
            <w:tcBorders>
              <w:tl2br w:val="nil"/>
              <w:tr2bl w:val="nil"/>
            </w:tcBorders>
            <w:vAlign w:val="center"/>
          </w:tcPr>
          <w:p>
            <w:pPr>
              <w:jc w:val="center"/>
              <w:rPr>
                <w:rFonts w:cs="Times New Roman"/>
                <w:sz w:val="18"/>
                <w:szCs w:val="18"/>
              </w:rPr>
            </w:pPr>
            <w:r>
              <w:rPr>
                <w:rFonts w:cs="Times New Roman"/>
                <w:sz w:val="18"/>
                <w:szCs w:val="18"/>
              </w:rPr>
              <w:t>30</w:t>
            </w:r>
          </w:p>
        </w:tc>
        <w:tc>
          <w:tcPr>
            <w:tcW w:w="450" w:type="pct"/>
            <w:tcBorders>
              <w:tl2br w:val="nil"/>
              <w:tr2bl w:val="nil"/>
            </w:tcBorders>
            <w:vAlign w:val="center"/>
          </w:tcPr>
          <w:p>
            <w:pPr>
              <w:jc w:val="center"/>
              <w:rPr>
                <w:rFonts w:cs="Times New Roman"/>
                <w:sz w:val="18"/>
                <w:szCs w:val="18"/>
              </w:rPr>
            </w:pPr>
            <w:r>
              <w:rPr>
                <w:rFonts w:cs="Times New Roman"/>
                <w:sz w:val="18"/>
                <w:szCs w:val="18"/>
              </w:rPr>
              <w:t>35.36</w:t>
            </w:r>
          </w:p>
        </w:tc>
        <w:tc>
          <w:tcPr>
            <w:tcW w:w="359" w:type="pct"/>
            <w:tcBorders>
              <w:tl2br w:val="nil"/>
              <w:tr2bl w:val="nil"/>
            </w:tcBorders>
            <w:vAlign w:val="center"/>
          </w:tcPr>
          <w:p>
            <w:pPr>
              <w:jc w:val="center"/>
              <w:rPr>
                <w:rFonts w:cs="Times New Roman"/>
                <w:sz w:val="18"/>
                <w:szCs w:val="18"/>
              </w:rPr>
            </w:pPr>
            <w:r>
              <w:rPr>
                <w:rFonts w:cs="Times New Roman"/>
                <w:sz w:val="18"/>
                <w:szCs w:val="18"/>
              </w:rPr>
              <w:t>0.001</w:t>
            </w:r>
          </w:p>
        </w:tc>
        <w:tc>
          <w:tcPr>
            <w:tcW w:w="359" w:type="pct"/>
            <w:tcBorders>
              <w:tl2br w:val="nil"/>
              <w:tr2bl w:val="nil"/>
            </w:tcBorders>
            <w:vAlign w:val="center"/>
          </w:tcPr>
          <w:p>
            <w:pPr>
              <w:jc w:val="center"/>
              <w:rPr>
                <w:rFonts w:cs="Times New Roman"/>
                <w:sz w:val="18"/>
                <w:szCs w:val="18"/>
              </w:rPr>
            </w:pPr>
            <w:r>
              <w:rPr>
                <w:rFonts w:cs="Times New Roman"/>
                <w:sz w:val="18"/>
                <w:szCs w:val="18"/>
              </w:rPr>
              <w:t>0.008</w:t>
            </w:r>
          </w:p>
        </w:tc>
        <w:tc>
          <w:tcPr>
            <w:tcW w:w="359" w:type="pct"/>
            <w:tcBorders>
              <w:tl2br w:val="nil"/>
              <w:tr2bl w:val="nil"/>
            </w:tcBorders>
            <w:vAlign w:val="center"/>
          </w:tcPr>
          <w:p>
            <w:pPr>
              <w:jc w:val="center"/>
              <w:rPr>
                <w:rFonts w:cs="Times New Roman"/>
                <w:sz w:val="18"/>
                <w:szCs w:val="18"/>
              </w:rPr>
            </w:pPr>
            <w:r>
              <w:rPr>
                <w:rFonts w:cs="Times New Roman"/>
                <w:sz w:val="18"/>
                <w:szCs w:val="18"/>
              </w:rPr>
              <w:t>0.050</w:t>
            </w:r>
          </w:p>
        </w:tc>
        <w:tc>
          <w:tcPr>
            <w:tcW w:w="359" w:type="pct"/>
            <w:tcBorders>
              <w:tl2br w:val="nil"/>
              <w:tr2bl w:val="nil"/>
            </w:tcBorders>
            <w:vAlign w:val="center"/>
          </w:tcPr>
          <w:p>
            <w:pPr>
              <w:jc w:val="center"/>
              <w:rPr>
                <w:rFonts w:cs="Times New Roman"/>
                <w:sz w:val="18"/>
                <w:szCs w:val="18"/>
              </w:rPr>
            </w:pPr>
            <w:r>
              <w:rPr>
                <w:rFonts w:cs="Times New Roman"/>
                <w:sz w:val="18"/>
                <w:szCs w:val="18"/>
              </w:rPr>
              <w:t>0.006</w:t>
            </w:r>
          </w:p>
        </w:tc>
        <w:tc>
          <w:tcPr>
            <w:tcW w:w="361" w:type="pct"/>
            <w:tcBorders>
              <w:tl2br w:val="nil"/>
              <w:tr2bl w:val="nil"/>
            </w:tcBorders>
            <w:vAlign w:val="center"/>
          </w:tcPr>
          <w:p>
            <w:pPr>
              <w:jc w:val="center"/>
              <w:rPr>
                <w:rFonts w:cs="Times New Roman"/>
                <w:sz w:val="18"/>
                <w:szCs w:val="18"/>
              </w:rPr>
            </w:pPr>
            <w:r>
              <w:rPr>
                <w:rFonts w:cs="Times New Roman"/>
                <w:sz w:val="18"/>
                <w:szCs w:val="18"/>
              </w:rPr>
              <w:t>0.231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6" w:type="pct"/>
            <w:tcBorders>
              <w:tl2br w:val="nil"/>
              <w:tr2bl w:val="nil"/>
            </w:tcBorders>
            <w:vAlign w:val="center"/>
          </w:tcPr>
          <w:p>
            <w:pPr>
              <w:jc w:val="center"/>
              <w:rPr>
                <w:rFonts w:cs="Times New Roman"/>
                <w:sz w:val="18"/>
                <w:szCs w:val="18"/>
              </w:rPr>
            </w:pPr>
            <w:r>
              <w:rPr>
                <w:rFonts w:cs="Times New Roman"/>
                <w:sz w:val="18"/>
                <w:szCs w:val="18"/>
              </w:rPr>
              <w:t>点源DA006</w:t>
            </w:r>
          </w:p>
        </w:tc>
        <w:tc>
          <w:tcPr>
            <w:tcW w:w="633" w:type="pct"/>
            <w:tcBorders>
              <w:tl2br w:val="nil"/>
              <w:tr2bl w:val="nil"/>
            </w:tcBorders>
            <w:vAlign w:val="center"/>
          </w:tcPr>
          <w:p>
            <w:pPr>
              <w:jc w:val="center"/>
              <w:rPr>
                <w:rFonts w:cs="Times New Roman"/>
                <w:bCs/>
                <w:sz w:val="18"/>
                <w:szCs w:val="18"/>
              </w:rPr>
            </w:pPr>
            <w:r>
              <w:rPr>
                <w:rFonts w:cs="Times New Roman"/>
                <w:bCs/>
                <w:sz w:val="18"/>
                <w:szCs w:val="18"/>
              </w:rPr>
              <w:t>107.690498</w:t>
            </w:r>
          </w:p>
        </w:tc>
        <w:tc>
          <w:tcPr>
            <w:tcW w:w="525" w:type="pct"/>
            <w:tcBorders>
              <w:tl2br w:val="nil"/>
              <w:tr2bl w:val="nil"/>
            </w:tcBorders>
            <w:vAlign w:val="center"/>
          </w:tcPr>
          <w:p>
            <w:pPr>
              <w:jc w:val="center"/>
              <w:rPr>
                <w:rFonts w:cs="Times New Roman"/>
                <w:bCs/>
                <w:sz w:val="18"/>
                <w:szCs w:val="18"/>
              </w:rPr>
            </w:pPr>
            <w:r>
              <w:rPr>
                <w:rFonts w:cs="Times New Roman"/>
                <w:bCs/>
                <w:sz w:val="18"/>
                <w:szCs w:val="18"/>
              </w:rPr>
              <w:t>31.430721</w:t>
            </w:r>
          </w:p>
        </w:tc>
        <w:tc>
          <w:tcPr>
            <w:tcW w:w="384" w:type="pct"/>
            <w:tcBorders>
              <w:tl2br w:val="nil"/>
              <w:tr2bl w:val="nil"/>
            </w:tcBorders>
            <w:vAlign w:val="center"/>
          </w:tcPr>
          <w:p>
            <w:pPr>
              <w:jc w:val="center"/>
              <w:rPr>
                <w:rFonts w:cs="Times New Roman"/>
                <w:sz w:val="18"/>
                <w:szCs w:val="18"/>
              </w:rPr>
            </w:pPr>
            <w:r>
              <w:rPr>
                <w:rFonts w:cs="Times New Roman"/>
                <w:sz w:val="18"/>
                <w:szCs w:val="18"/>
              </w:rPr>
              <w:t>18</w:t>
            </w:r>
          </w:p>
        </w:tc>
        <w:tc>
          <w:tcPr>
            <w:tcW w:w="378" w:type="pct"/>
            <w:tcBorders>
              <w:tl2br w:val="nil"/>
              <w:tr2bl w:val="nil"/>
            </w:tcBorders>
            <w:vAlign w:val="center"/>
          </w:tcPr>
          <w:p>
            <w:pPr>
              <w:jc w:val="center"/>
              <w:rPr>
                <w:rFonts w:cs="Times New Roman"/>
                <w:sz w:val="18"/>
                <w:szCs w:val="18"/>
              </w:rPr>
            </w:pPr>
            <w:r>
              <w:rPr>
                <w:rFonts w:cs="Times New Roman"/>
                <w:sz w:val="18"/>
                <w:szCs w:val="18"/>
              </w:rPr>
              <w:t>0.5</w:t>
            </w:r>
          </w:p>
        </w:tc>
        <w:tc>
          <w:tcPr>
            <w:tcW w:w="392" w:type="pct"/>
            <w:tcBorders>
              <w:tl2br w:val="nil"/>
              <w:tr2bl w:val="nil"/>
            </w:tcBorders>
            <w:vAlign w:val="center"/>
          </w:tcPr>
          <w:p>
            <w:pPr>
              <w:jc w:val="center"/>
              <w:rPr>
                <w:rFonts w:cs="Times New Roman"/>
                <w:sz w:val="18"/>
                <w:szCs w:val="18"/>
              </w:rPr>
            </w:pPr>
            <w:r>
              <w:rPr>
                <w:rFonts w:cs="Times New Roman"/>
                <w:sz w:val="18"/>
                <w:szCs w:val="18"/>
              </w:rPr>
              <w:t>30</w:t>
            </w:r>
          </w:p>
        </w:tc>
        <w:tc>
          <w:tcPr>
            <w:tcW w:w="450" w:type="pct"/>
            <w:tcBorders>
              <w:tl2br w:val="nil"/>
              <w:tr2bl w:val="nil"/>
            </w:tcBorders>
            <w:vAlign w:val="center"/>
          </w:tcPr>
          <w:p>
            <w:pPr>
              <w:jc w:val="center"/>
              <w:rPr>
                <w:rFonts w:cs="Times New Roman"/>
                <w:sz w:val="18"/>
                <w:szCs w:val="18"/>
              </w:rPr>
            </w:pPr>
            <w:r>
              <w:rPr>
                <w:rFonts w:cs="Times New Roman"/>
                <w:sz w:val="18"/>
                <w:szCs w:val="18"/>
              </w:rPr>
              <w:t>35.36</w:t>
            </w:r>
          </w:p>
        </w:tc>
        <w:tc>
          <w:tcPr>
            <w:tcW w:w="359" w:type="pct"/>
            <w:tcBorders>
              <w:tl2br w:val="nil"/>
              <w:tr2bl w:val="nil"/>
            </w:tcBorders>
            <w:vAlign w:val="center"/>
          </w:tcPr>
          <w:p>
            <w:pPr>
              <w:jc w:val="center"/>
              <w:rPr>
                <w:rFonts w:cs="Times New Roman"/>
                <w:sz w:val="18"/>
                <w:szCs w:val="18"/>
              </w:rPr>
            </w:pPr>
            <w:r>
              <w:rPr>
                <w:rFonts w:cs="Times New Roman"/>
                <w:sz w:val="18"/>
                <w:szCs w:val="18"/>
              </w:rPr>
              <w:t>0.001</w:t>
            </w:r>
          </w:p>
        </w:tc>
        <w:tc>
          <w:tcPr>
            <w:tcW w:w="359" w:type="pct"/>
            <w:tcBorders>
              <w:tl2br w:val="nil"/>
              <w:tr2bl w:val="nil"/>
            </w:tcBorders>
            <w:vAlign w:val="center"/>
          </w:tcPr>
          <w:p>
            <w:pPr>
              <w:jc w:val="center"/>
              <w:rPr>
                <w:rFonts w:cs="Times New Roman"/>
                <w:sz w:val="18"/>
                <w:szCs w:val="18"/>
              </w:rPr>
            </w:pPr>
            <w:r>
              <w:rPr>
                <w:rFonts w:cs="Times New Roman"/>
                <w:sz w:val="18"/>
                <w:szCs w:val="18"/>
              </w:rPr>
              <w:t>0.010</w:t>
            </w:r>
          </w:p>
        </w:tc>
        <w:tc>
          <w:tcPr>
            <w:tcW w:w="359" w:type="pct"/>
            <w:tcBorders>
              <w:tl2br w:val="nil"/>
              <w:tr2bl w:val="nil"/>
            </w:tcBorders>
            <w:vAlign w:val="center"/>
          </w:tcPr>
          <w:p>
            <w:pPr>
              <w:jc w:val="center"/>
              <w:rPr>
                <w:rFonts w:cs="Times New Roman"/>
                <w:sz w:val="18"/>
                <w:szCs w:val="18"/>
              </w:rPr>
            </w:pPr>
            <w:r>
              <w:rPr>
                <w:rFonts w:cs="Times New Roman"/>
                <w:sz w:val="18"/>
                <w:szCs w:val="18"/>
              </w:rPr>
              <w:t>0.058</w:t>
            </w:r>
          </w:p>
        </w:tc>
        <w:tc>
          <w:tcPr>
            <w:tcW w:w="359" w:type="pct"/>
            <w:tcBorders>
              <w:tl2br w:val="nil"/>
              <w:tr2bl w:val="nil"/>
            </w:tcBorders>
            <w:vAlign w:val="center"/>
          </w:tcPr>
          <w:p>
            <w:pPr>
              <w:jc w:val="center"/>
              <w:rPr>
                <w:rFonts w:cs="Times New Roman"/>
                <w:sz w:val="18"/>
                <w:szCs w:val="18"/>
              </w:rPr>
            </w:pPr>
            <w:r>
              <w:rPr>
                <w:rFonts w:cs="Times New Roman"/>
                <w:sz w:val="18"/>
                <w:szCs w:val="18"/>
              </w:rPr>
              <w:t>0.006</w:t>
            </w:r>
          </w:p>
        </w:tc>
        <w:tc>
          <w:tcPr>
            <w:tcW w:w="361" w:type="pct"/>
            <w:tcBorders>
              <w:tl2br w:val="nil"/>
              <w:tr2bl w:val="nil"/>
            </w:tcBorders>
            <w:vAlign w:val="center"/>
          </w:tcPr>
          <w:p>
            <w:pPr>
              <w:jc w:val="center"/>
              <w:rPr>
                <w:rFonts w:cs="Times New Roman"/>
                <w:sz w:val="18"/>
                <w:szCs w:val="18"/>
              </w:rPr>
            </w:pPr>
            <w:r>
              <w:rPr>
                <w:rFonts w:cs="Times New Roman"/>
                <w:sz w:val="18"/>
                <w:szCs w:val="18"/>
              </w:rPr>
              <w:t>0.231</w:t>
            </w:r>
          </w:p>
        </w:tc>
      </w:tr>
    </w:tbl>
    <w:p>
      <w:pPr>
        <w:spacing w:line="360" w:lineRule="auto"/>
        <w:jc w:val="center"/>
        <w:rPr>
          <w:rFonts w:cs="Times New Roman"/>
          <w:b/>
          <w:bCs/>
          <w:sz w:val="24"/>
          <w:szCs w:val="24"/>
        </w:rPr>
      </w:pPr>
      <w:r>
        <w:rPr>
          <w:rFonts w:cs="Times New Roman"/>
          <w:b/>
          <w:bCs/>
          <w:sz w:val="24"/>
          <w:szCs w:val="24"/>
        </w:rPr>
        <w:t>表 4.2-2  主要废气污染源参数一览表（矩形面源）</w:t>
      </w:r>
    </w:p>
    <w:tbl>
      <w:tblPr>
        <w:tblStyle w:val="26"/>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81"/>
        <w:gridCol w:w="1422"/>
        <w:gridCol w:w="1110"/>
        <w:gridCol w:w="831"/>
        <w:gridCol w:w="967"/>
        <w:gridCol w:w="1041"/>
        <w:gridCol w:w="1136"/>
        <w:gridCol w:w="1136"/>
        <w:gridCol w:w="11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vMerge w:val="restart"/>
            <w:tcBorders>
              <w:tl2br w:val="nil"/>
              <w:tr2bl w:val="nil"/>
            </w:tcBorders>
            <w:vAlign w:val="center"/>
          </w:tcPr>
          <w:p>
            <w:pPr>
              <w:jc w:val="center"/>
              <w:rPr>
                <w:rFonts w:cs="Times New Roman"/>
                <w:szCs w:val="21"/>
              </w:rPr>
            </w:pPr>
            <w:r>
              <w:rPr>
                <w:rFonts w:cs="Times New Roman"/>
                <w:b/>
                <w:bCs/>
                <w:szCs w:val="21"/>
              </w:rPr>
              <w:t>污染源名称</w:t>
            </w:r>
          </w:p>
        </w:tc>
        <w:tc>
          <w:tcPr>
            <w:tcW w:w="1323" w:type="pct"/>
            <w:gridSpan w:val="2"/>
            <w:tcBorders>
              <w:tl2br w:val="nil"/>
              <w:tr2bl w:val="nil"/>
            </w:tcBorders>
            <w:vAlign w:val="center"/>
          </w:tcPr>
          <w:p>
            <w:pPr>
              <w:jc w:val="center"/>
              <w:rPr>
                <w:rFonts w:cs="Times New Roman"/>
                <w:b/>
                <w:bCs/>
                <w:szCs w:val="21"/>
              </w:rPr>
            </w:pPr>
            <w:r>
              <w:rPr>
                <w:rFonts w:cs="Times New Roman"/>
                <w:b/>
                <w:bCs/>
                <w:szCs w:val="21"/>
              </w:rPr>
              <w:t>坐标(°)</w:t>
            </w:r>
          </w:p>
        </w:tc>
        <w:tc>
          <w:tcPr>
            <w:tcW w:w="1483" w:type="pct"/>
            <w:gridSpan w:val="3"/>
            <w:tcBorders>
              <w:tl2br w:val="nil"/>
              <w:tr2bl w:val="nil"/>
            </w:tcBorders>
            <w:vAlign w:val="center"/>
          </w:tcPr>
          <w:p>
            <w:pPr>
              <w:jc w:val="center"/>
              <w:rPr>
                <w:rFonts w:cs="Times New Roman"/>
                <w:b/>
                <w:bCs/>
                <w:szCs w:val="21"/>
              </w:rPr>
            </w:pPr>
            <w:r>
              <w:rPr>
                <w:rFonts w:cs="Times New Roman"/>
                <w:b/>
                <w:bCs/>
                <w:szCs w:val="21"/>
              </w:rPr>
              <w:t>矩形面源</w:t>
            </w:r>
          </w:p>
        </w:tc>
        <w:tc>
          <w:tcPr>
            <w:tcW w:w="1783" w:type="pct"/>
            <w:gridSpan w:val="3"/>
            <w:tcBorders>
              <w:tl2br w:val="nil"/>
              <w:tr2bl w:val="nil"/>
            </w:tcBorders>
            <w:vAlign w:val="center"/>
          </w:tcPr>
          <w:p>
            <w:pPr>
              <w:jc w:val="center"/>
              <w:rPr>
                <w:rFonts w:cs="Times New Roman"/>
                <w:b/>
                <w:bCs/>
                <w:szCs w:val="21"/>
              </w:rPr>
            </w:pPr>
            <w:r>
              <w:rPr>
                <w:rFonts w:cs="Times New Roman"/>
                <w:b/>
                <w:bCs/>
                <w:szCs w:val="21"/>
              </w:rPr>
              <w:t>污染物排放速率(kg/h)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vMerge w:val="continue"/>
            <w:tcBorders>
              <w:tl2br w:val="nil"/>
              <w:tr2bl w:val="nil"/>
            </w:tcBorders>
            <w:vAlign w:val="center"/>
          </w:tcPr>
          <w:p>
            <w:pPr>
              <w:jc w:val="center"/>
              <w:rPr>
                <w:rFonts w:cs="Times New Roman"/>
                <w:szCs w:val="21"/>
              </w:rPr>
            </w:pPr>
          </w:p>
        </w:tc>
        <w:tc>
          <w:tcPr>
            <w:tcW w:w="743" w:type="pct"/>
            <w:tcBorders>
              <w:tl2br w:val="nil"/>
              <w:tr2bl w:val="nil"/>
            </w:tcBorders>
            <w:vAlign w:val="center"/>
          </w:tcPr>
          <w:p>
            <w:pPr>
              <w:jc w:val="center"/>
              <w:rPr>
                <w:rFonts w:cs="Times New Roman"/>
                <w:b/>
                <w:bCs/>
                <w:szCs w:val="21"/>
              </w:rPr>
            </w:pPr>
            <w:r>
              <w:rPr>
                <w:rFonts w:cs="Times New Roman"/>
                <w:b/>
                <w:bCs/>
                <w:szCs w:val="21"/>
              </w:rPr>
              <w:t>经度</w:t>
            </w:r>
          </w:p>
        </w:tc>
        <w:tc>
          <w:tcPr>
            <w:tcW w:w="580" w:type="pct"/>
            <w:tcBorders>
              <w:tl2br w:val="nil"/>
              <w:tr2bl w:val="nil"/>
            </w:tcBorders>
            <w:vAlign w:val="center"/>
          </w:tcPr>
          <w:p>
            <w:pPr>
              <w:jc w:val="center"/>
              <w:rPr>
                <w:rFonts w:cs="Times New Roman"/>
                <w:b/>
                <w:bCs/>
                <w:szCs w:val="21"/>
              </w:rPr>
            </w:pPr>
            <w:r>
              <w:rPr>
                <w:rFonts w:cs="Times New Roman"/>
                <w:b/>
                <w:bCs/>
                <w:szCs w:val="21"/>
              </w:rPr>
              <w:t>纬度</w:t>
            </w:r>
          </w:p>
        </w:tc>
        <w:tc>
          <w:tcPr>
            <w:tcW w:w="434" w:type="pct"/>
            <w:tcBorders>
              <w:tl2br w:val="nil"/>
              <w:tr2bl w:val="nil"/>
            </w:tcBorders>
            <w:vAlign w:val="center"/>
          </w:tcPr>
          <w:p>
            <w:pPr>
              <w:jc w:val="center"/>
              <w:rPr>
                <w:rFonts w:cs="Times New Roman"/>
                <w:b/>
                <w:bCs/>
                <w:szCs w:val="21"/>
              </w:rPr>
            </w:pPr>
            <w:r>
              <w:rPr>
                <w:rFonts w:cs="Times New Roman"/>
                <w:b/>
                <w:bCs/>
                <w:szCs w:val="21"/>
              </w:rPr>
              <w:t>长度(m)</w:t>
            </w:r>
          </w:p>
        </w:tc>
        <w:tc>
          <w:tcPr>
            <w:tcW w:w="505" w:type="pct"/>
            <w:tcBorders>
              <w:tl2br w:val="nil"/>
              <w:tr2bl w:val="nil"/>
            </w:tcBorders>
            <w:vAlign w:val="center"/>
          </w:tcPr>
          <w:p>
            <w:pPr>
              <w:jc w:val="center"/>
              <w:rPr>
                <w:rFonts w:cs="Times New Roman"/>
                <w:b/>
                <w:bCs/>
                <w:szCs w:val="21"/>
              </w:rPr>
            </w:pPr>
            <w:r>
              <w:rPr>
                <w:rFonts w:cs="Times New Roman"/>
                <w:b/>
                <w:bCs/>
                <w:szCs w:val="21"/>
              </w:rPr>
              <w:t>宽度(m)</w:t>
            </w:r>
          </w:p>
        </w:tc>
        <w:tc>
          <w:tcPr>
            <w:tcW w:w="544" w:type="pct"/>
            <w:tcBorders>
              <w:tl2br w:val="nil"/>
              <w:tr2bl w:val="nil"/>
            </w:tcBorders>
            <w:vAlign w:val="center"/>
          </w:tcPr>
          <w:p>
            <w:pPr>
              <w:jc w:val="center"/>
              <w:rPr>
                <w:rFonts w:cs="Times New Roman"/>
                <w:b/>
                <w:bCs/>
                <w:szCs w:val="21"/>
              </w:rPr>
            </w:pPr>
            <w:r>
              <w:rPr>
                <w:rFonts w:cs="Times New Roman"/>
                <w:b/>
                <w:bCs/>
                <w:szCs w:val="21"/>
              </w:rPr>
              <w:t>有效高度(m)</w:t>
            </w:r>
          </w:p>
        </w:tc>
        <w:tc>
          <w:tcPr>
            <w:tcW w:w="594" w:type="pct"/>
            <w:tcBorders>
              <w:tl2br w:val="nil"/>
              <w:tr2bl w:val="nil"/>
            </w:tcBorders>
            <w:vAlign w:val="center"/>
          </w:tcPr>
          <w:p>
            <w:pPr>
              <w:jc w:val="center"/>
              <w:rPr>
                <w:rFonts w:cs="Times New Roman"/>
                <w:b/>
                <w:bCs/>
                <w:szCs w:val="21"/>
              </w:rPr>
            </w:pPr>
            <w:r>
              <w:rPr>
                <w:rFonts w:cs="Times New Roman"/>
                <w:b/>
                <w:bCs/>
                <w:szCs w:val="21"/>
              </w:rPr>
              <w:t>TVOC</w:t>
            </w:r>
          </w:p>
        </w:tc>
        <w:tc>
          <w:tcPr>
            <w:tcW w:w="594" w:type="pct"/>
            <w:tcBorders>
              <w:right w:val="single" w:color="auto" w:sz="4" w:space="0"/>
              <w:tl2br w:val="nil"/>
              <w:tr2bl w:val="nil"/>
            </w:tcBorders>
            <w:vAlign w:val="center"/>
          </w:tcPr>
          <w:p>
            <w:pPr>
              <w:jc w:val="center"/>
              <w:rPr>
                <w:rFonts w:cs="Times New Roman"/>
                <w:b/>
                <w:bCs/>
                <w:szCs w:val="21"/>
              </w:rPr>
            </w:pPr>
            <w:r>
              <w:rPr>
                <w:rFonts w:cs="Times New Roman"/>
                <w:b/>
                <w:bCs/>
                <w:szCs w:val="21"/>
              </w:rPr>
              <w:t>氨</w:t>
            </w:r>
          </w:p>
        </w:tc>
        <w:tc>
          <w:tcPr>
            <w:tcW w:w="594" w:type="pct"/>
            <w:tcBorders>
              <w:left w:val="single" w:color="auto" w:sz="4" w:space="0"/>
              <w:tl2br w:val="nil"/>
              <w:tr2bl w:val="nil"/>
            </w:tcBorders>
            <w:vAlign w:val="center"/>
          </w:tcPr>
          <w:p>
            <w:pPr>
              <w:jc w:val="center"/>
              <w:rPr>
                <w:rFonts w:cs="Times New Roman"/>
                <w:b/>
                <w:bCs/>
                <w:szCs w:val="21"/>
              </w:rPr>
            </w:pPr>
            <w:r>
              <w:rPr>
                <w:rFonts w:cs="Times New Roman"/>
                <w:b/>
                <w:bCs/>
                <w:szCs w:val="21"/>
              </w:rPr>
              <w:t>甲醛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08" w:type="pct"/>
            <w:tcBorders>
              <w:tl2br w:val="nil"/>
              <w:tr2bl w:val="nil"/>
            </w:tcBorders>
            <w:vAlign w:val="center"/>
          </w:tcPr>
          <w:p>
            <w:pPr>
              <w:jc w:val="center"/>
              <w:rPr>
                <w:rFonts w:cs="Times New Roman"/>
                <w:szCs w:val="21"/>
              </w:rPr>
            </w:pPr>
            <w:r>
              <w:rPr>
                <w:rFonts w:cs="Times New Roman"/>
                <w:szCs w:val="21"/>
              </w:rPr>
              <w:t>矩形面源</w:t>
            </w:r>
          </w:p>
        </w:tc>
        <w:tc>
          <w:tcPr>
            <w:tcW w:w="743" w:type="pct"/>
            <w:tcBorders>
              <w:tl2br w:val="nil"/>
              <w:tr2bl w:val="nil"/>
            </w:tcBorders>
            <w:vAlign w:val="center"/>
          </w:tcPr>
          <w:p>
            <w:pPr>
              <w:jc w:val="center"/>
              <w:rPr>
                <w:rFonts w:cs="Times New Roman"/>
                <w:szCs w:val="21"/>
              </w:rPr>
            </w:pPr>
            <w:r>
              <w:rPr>
                <w:rFonts w:cs="Times New Roman"/>
                <w:szCs w:val="21"/>
              </w:rPr>
              <w:t>107.689875</w:t>
            </w:r>
          </w:p>
        </w:tc>
        <w:tc>
          <w:tcPr>
            <w:tcW w:w="580" w:type="pct"/>
            <w:tcBorders>
              <w:tl2br w:val="nil"/>
              <w:tr2bl w:val="nil"/>
            </w:tcBorders>
            <w:vAlign w:val="center"/>
          </w:tcPr>
          <w:p>
            <w:pPr>
              <w:jc w:val="center"/>
              <w:rPr>
                <w:rFonts w:cs="Times New Roman"/>
                <w:szCs w:val="21"/>
              </w:rPr>
            </w:pPr>
            <w:r>
              <w:rPr>
                <w:rFonts w:cs="Times New Roman"/>
                <w:szCs w:val="21"/>
              </w:rPr>
              <w:t>31.430880</w:t>
            </w:r>
          </w:p>
        </w:tc>
        <w:tc>
          <w:tcPr>
            <w:tcW w:w="434" w:type="pct"/>
            <w:tcBorders>
              <w:tl2br w:val="nil"/>
              <w:tr2bl w:val="nil"/>
            </w:tcBorders>
            <w:vAlign w:val="center"/>
          </w:tcPr>
          <w:p>
            <w:pPr>
              <w:jc w:val="center"/>
              <w:rPr>
                <w:rFonts w:cs="Times New Roman"/>
                <w:szCs w:val="21"/>
              </w:rPr>
            </w:pPr>
            <w:r>
              <w:rPr>
                <w:rFonts w:cs="Times New Roman"/>
                <w:szCs w:val="21"/>
              </w:rPr>
              <w:t>145</w:t>
            </w:r>
          </w:p>
        </w:tc>
        <w:tc>
          <w:tcPr>
            <w:tcW w:w="505" w:type="pct"/>
            <w:tcBorders>
              <w:tl2br w:val="nil"/>
              <w:tr2bl w:val="nil"/>
            </w:tcBorders>
            <w:vAlign w:val="center"/>
          </w:tcPr>
          <w:p>
            <w:pPr>
              <w:jc w:val="center"/>
              <w:rPr>
                <w:rFonts w:cs="Times New Roman"/>
                <w:szCs w:val="21"/>
              </w:rPr>
            </w:pPr>
            <w:r>
              <w:rPr>
                <w:rFonts w:cs="Times New Roman"/>
                <w:szCs w:val="21"/>
              </w:rPr>
              <w:t>20</w:t>
            </w:r>
          </w:p>
        </w:tc>
        <w:tc>
          <w:tcPr>
            <w:tcW w:w="544" w:type="pct"/>
            <w:tcBorders>
              <w:tl2br w:val="nil"/>
              <w:tr2bl w:val="nil"/>
            </w:tcBorders>
            <w:vAlign w:val="center"/>
          </w:tcPr>
          <w:p>
            <w:pPr>
              <w:jc w:val="center"/>
              <w:rPr>
                <w:rFonts w:cs="Times New Roman"/>
                <w:szCs w:val="21"/>
              </w:rPr>
            </w:pPr>
            <w:r>
              <w:rPr>
                <w:rFonts w:cs="Times New Roman"/>
                <w:szCs w:val="21"/>
              </w:rPr>
              <w:t>17</w:t>
            </w:r>
          </w:p>
        </w:tc>
        <w:tc>
          <w:tcPr>
            <w:tcW w:w="594" w:type="pct"/>
            <w:tcBorders>
              <w:tl2br w:val="nil"/>
              <w:tr2bl w:val="nil"/>
            </w:tcBorders>
            <w:vAlign w:val="center"/>
          </w:tcPr>
          <w:p>
            <w:pPr>
              <w:jc w:val="center"/>
              <w:rPr>
                <w:rFonts w:cs="Times New Roman"/>
                <w:szCs w:val="21"/>
              </w:rPr>
            </w:pPr>
            <w:r>
              <w:rPr>
                <w:rFonts w:cs="Times New Roman"/>
                <w:szCs w:val="21"/>
              </w:rPr>
              <w:t>0.002</w:t>
            </w:r>
          </w:p>
        </w:tc>
        <w:tc>
          <w:tcPr>
            <w:tcW w:w="594" w:type="pct"/>
            <w:tcBorders>
              <w:right w:val="single" w:color="auto" w:sz="4" w:space="0"/>
              <w:tl2br w:val="nil"/>
              <w:tr2bl w:val="nil"/>
            </w:tcBorders>
            <w:vAlign w:val="center"/>
          </w:tcPr>
          <w:p>
            <w:pPr>
              <w:jc w:val="center"/>
              <w:rPr>
                <w:rFonts w:cs="Times New Roman"/>
                <w:szCs w:val="21"/>
              </w:rPr>
            </w:pPr>
            <w:r>
              <w:rPr>
                <w:rFonts w:cs="Times New Roman"/>
                <w:szCs w:val="21"/>
              </w:rPr>
              <w:t>0.004</w:t>
            </w:r>
          </w:p>
        </w:tc>
        <w:tc>
          <w:tcPr>
            <w:tcW w:w="594" w:type="pct"/>
            <w:tcBorders>
              <w:left w:val="single" w:color="auto" w:sz="4" w:space="0"/>
              <w:tl2br w:val="nil"/>
              <w:tr2bl w:val="nil"/>
            </w:tcBorders>
            <w:vAlign w:val="center"/>
          </w:tcPr>
          <w:p>
            <w:pPr>
              <w:jc w:val="center"/>
              <w:rPr>
                <w:rFonts w:cs="Times New Roman"/>
                <w:szCs w:val="21"/>
              </w:rPr>
            </w:pPr>
            <w:r>
              <w:rPr>
                <w:rFonts w:cs="Times New Roman"/>
                <w:szCs w:val="21"/>
              </w:rPr>
              <w:t>0.013</w:t>
            </w:r>
          </w:p>
        </w:tc>
      </w:tr>
    </w:tbl>
    <w:p>
      <w:pPr>
        <w:pStyle w:val="4"/>
        <w:rPr>
          <w:rFonts w:cs="Times New Roman"/>
        </w:rPr>
      </w:pPr>
      <w:r>
        <w:rPr>
          <w:rFonts w:cs="Times New Roman"/>
        </w:rPr>
        <w:t>4.3 估算模型参数</w:t>
      </w:r>
    </w:p>
    <w:p>
      <w:pPr>
        <w:spacing w:line="360" w:lineRule="auto"/>
        <w:ind w:firstLine="480" w:firstLineChars="200"/>
        <w:rPr>
          <w:rFonts w:cs="Times New Roman"/>
          <w:sz w:val="24"/>
          <w:szCs w:val="24"/>
        </w:rPr>
      </w:pPr>
      <w:r>
        <w:rPr>
          <w:rFonts w:cs="Times New Roman"/>
          <w:sz w:val="24"/>
          <w:szCs w:val="24"/>
        </w:rPr>
        <w:t>本项目区域的估算模型参数见下表所示。</w:t>
      </w:r>
    </w:p>
    <w:p>
      <w:pPr>
        <w:spacing w:line="360" w:lineRule="auto"/>
        <w:jc w:val="center"/>
        <w:rPr>
          <w:rFonts w:cs="Times New Roman"/>
          <w:b/>
          <w:bCs/>
          <w:sz w:val="24"/>
          <w:szCs w:val="24"/>
        </w:rPr>
      </w:pPr>
      <w:r>
        <w:rPr>
          <w:rFonts w:cs="Times New Roman"/>
          <w:b/>
          <w:bCs/>
          <w:sz w:val="24"/>
          <w:szCs w:val="24"/>
        </w:rPr>
        <w:t>表 4.3-1  估算模型参数表</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3"/>
        <w:gridCol w:w="3254"/>
        <w:gridCol w:w="36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1" w:type="pct"/>
            <w:gridSpan w:val="2"/>
            <w:tcBorders>
              <w:tl2br w:val="nil"/>
              <w:tr2bl w:val="nil"/>
            </w:tcBorders>
            <w:vAlign w:val="center"/>
          </w:tcPr>
          <w:p>
            <w:pPr>
              <w:pStyle w:val="108"/>
              <w:rPr>
                <w:rFonts w:cs="Times New Roman"/>
                <w:b/>
                <w:bCs/>
                <w:szCs w:val="21"/>
              </w:rPr>
            </w:pPr>
            <w:r>
              <w:rPr>
                <w:rFonts w:cs="Times New Roman"/>
                <w:b/>
                <w:bCs/>
                <w:szCs w:val="21"/>
              </w:rPr>
              <w:t>参数</w:t>
            </w:r>
          </w:p>
        </w:tc>
        <w:tc>
          <w:tcPr>
            <w:tcW w:w="1908" w:type="pct"/>
            <w:tcBorders>
              <w:tl2br w:val="nil"/>
              <w:tr2bl w:val="nil"/>
            </w:tcBorders>
            <w:vAlign w:val="center"/>
          </w:tcPr>
          <w:p>
            <w:pPr>
              <w:pStyle w:val="108"/>
              <w:rPr>
                <w:rFonts w:cs="Times New Roman"/>
                <w:b/>
                <w:bCs/>
                <w:szCs w:val="21"/>
              </w:rPr>
            </w:pPr>
            <w:r>
              <w:rPr>
                <w:rFonts w:cs="Times New Roman"/>
                <w:b/>
                <w:bCs/>
                <w:szCs w:val="21"/>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1" w:type="pct"/>
            <w:vMerge w:val="restart"/>
            <w:tcBorders>
              <w:tl2br w:val="nil"/>
              <w:tr2bl w:val="nil"/>
            </w:tcBorders>
            <w:vAlign w:val="center"/>
          </w:tcPr>
          <w:p>
            <w:pPr>
              <w:pStyle w:val="108"/>
              <w:rPr>
                <w:rFonts w:cs="Times New Roman"/>
                <w:szCs w:val="21"/>
              </w:rPr>
            </w:pPr>
            <w:r>
              <w:rPr>
                <w:rFonts w:cs="Times New Roman"/>
                <w:szCs w:val="21"/>
              </w:rPr>
              <w:t>城市/农村选项</w:t>
            </w:r>
          </w:p>
        </w:tc>
        <w:tc>
          <w:tcPr>
            <w:tcW w:w="1700" w:type="pct"/>
            <w:tcBorders>
              <w:tl2br w:val="nil"/>
              <w:tr2bl w:val="nil"/>
            </w:tcBorders>
            <w:vAlign w:val="center"/>
          </w:tcPr>
          <w:p>
            <w:pPr>
              <w:pStyle w:val="108"/>
              <w:rPr>
                <w:rFonts w:cs="Times New Roman"/>
                <w:szCs w:val="21"/>
              </w:rPr>
            </w:pPr>
            <w:r>
              <w:rPr>
                <w:rFonts w:cs="Times New Roman"/>
                <w:szCs w:val="21"/>
              </w:rPr>
              <w:t>城市/农村</w:t>
            </w:r>
          </w:p>
        </w:tc>
        <w:tc>
          <w:tcPr>
            <w:tcW w:w="1908" w:type="pct"/>
            <w:tcBorders>
              <w:tl2br w:val="nil"/>
              <w:tr2bl w:val="nil"/>
            </w:tcBorders>
            <w:vAlign w:val="center"/>
          </w:tcPr>
          <w:p>
            <w:pPr>
              <w:pStyle w:val="108"/>
              <w:rPr>
                <w:rFonts w:cs="Times New Roman"/>
                <w:szCs w:val="21"/>
              </w:rPr>
            </w:pPr>
            <w:r>
              <w:rPr>
                <w:rFonts w:cs="Times New Roman"/>
                <w:szCs w:val="21"/>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1" w:type="pct"/>
            <w:vMerge w:val="continue"/>
            <w:tcBorders>
              <w:tl2br w:val="nil"/>
              <w:tr2bl w:val="nil"/>
            </w:tcBorders>
            <w:vAlign w:val="center"/>
          </w:tcPr>
          <w:p>
            <w:pPr>
              <w:pStyle w:val="108"/>
              <w:rPr>
                <w:rFonts w:cs="Times New Roman"/>
                <w:szCs w:val="21"/>
              </w:rPr>
            </w:pPr>
          </w:p>
        </w:tc>
        <w:tc>
          <w:tcPr>
            <w:tcW w:w="1700" w:type="pct"/>
            <w:tcBorders>
              <w:tl2br w:val="nil"/>
              <w:tr2bl w:val="nil"/>
            </w:tcBorders>
            <w:vAlign w:val="center"/>
          </w:tcPr>
          <w:p>
            <w:pPr>
              <w:pStyle w:val="108"/>
              <w:rPr>
                <w:rFonts w:cs="Times New Roman"/>
                <w:szCs w:val="21"/>
              </w:rPr>
            </w:pPr>
            <w:r>
              <w:rPr>
                <w:rFonts w:cs="Times New Roman"/>
                <w:szCs w:val="21"/>
              </w:rPr>
              <w:t>人口数（城市人口数）</w:t>
            </w:r>
          </w:p>
        </w:tc>
        <w:tc>
          <w:tcPr>
            <w:tcW w:w="1908" w:type="pct"/>
            <w:tcBorders>
              <w:tl2br w:val="nil"/>
              <w:tr2bl w:val="nil"/>
            </w:tcBorders>
            <w:vAlign w:val="center"/>
          </w:tcPr>
          <w:p>
            <w:pPr>
              <w:pStyle w:val="108"/>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1" w:type="pct"/>
            <w:gridSpan w:val="2"/>
            <w:tcBorders>
              <w:tl2br w:val="nil"/>
              <w:tr2bl w:val="nil"/>
            </w:tcBorders>
            <w:vAlign w:val="center"/>
          </w:tcPr>
          <w:p>
            <w:pPr>
              <w:pStyle w:val="108"/>
              <w:rPr>
                <w:rFonts w:cs="Times New Roman"/>
                <w:szCs w:val="21"/>
              </w:rPr>
            </w:pPr>
            <w:r>
              <w:rPr>
                <w:rFonts w:cs="Times New Roman"/>
                <w:szCs w:val="21"/>
              </w:rPr>
              <w:t>最高环境温度</w:t>
            </w:r>
          </w:p>
        </w:tc>
        <w:tc>
          <w:tcPr>
            <w:tcW w:w="1908" w:type="pct"/>
            <w:tcBorders>
              <w:tl2br w:val="nil"/>
              <w:tr2bl w:val="nil"/>
            </w:tcBorders>
            <w:vAlign w:val="center"/>
          </w:tcPr>
          <w:p>
            <w:pPr>
              <w:pStyle w:val="108"/>
              <w:rPr>
                <w:rFonts w:cs="Times New Roman"/>
                <w:szCs w:val="21"/>
              </w:rPr>
            </w:pPr>
            <w:r>
              <w:rPr>
                <w:rFonts w:cs="Times New Roman"/>
                <w:szCs w:val="21"/>
              </w:rPr>
              <w:t>42.3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1" w:type="pct"/>
            <w:gridSpan w:val="2"/>
            <w:tcBorders>
              <w:tl2br w:val="nil"/>
              <w:tr2bl w:val="nil"/>
            </w:tcBorders>
            <w:vAlign w:val="center"/>
          </w:tcPr>
          <w:p>
            <w:pPr>
              <w:pStyle w:val="108"/>
              <w:rPr>
                <w:rFonts w:cs="Times New Roman"/>
                <w:szCs w:val="21"/>
              </w:rPr>
            </w:pPr>
            <w:r>
              <w:rPr>
                <w:rFonts w:cs="Times New Roman"/>
                <w:szCs w:val="21"/>
              </w:rPr>
              <w:t>最低环境温度</w:t>
            </w:r>
          </w:p>
        </w:tc>
        <w:tc>
          <w:tcPr>
            <w:tcW w:w="1908" w:type="pct"/>
            <w:tcBorders>
              <w:tl2br w:val="nil"/>
              <w:tr2bl w:val="nil"/>
            </w:tcBorders>
            <w:vAlign w:val="center"/>
          </w:tcPr>
          <w:p>
            <w:pPr>
              <w:pStyle w:val="108"/>
              <w:rPr>
                <w:rFonts w:cs="Times New Roman"/>
                <w:szCs w:val="21"/>
              </w:rPr>
            </w:pPr>
            <w:r>
              <w:rPr>
                <w:rFonts w:cs="Times New Roman"/>
                <w:szCs w:val="21"/>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1" w:type="pct"/>
            <w:gridSpan w:val="2"/>
            <w:tcBorders>
              <w:tl2br w:val="nil"/>
              <w:tr2bl w:val="nil"/>
            </w:tcBorders>
            <w:vAlign w:val="center"/>
          </w:tcPr>
          <w:p>
            <w:pPr>
              <w:pStyle w:val="108"/>
              <w:rPr>
                <w:rFonts w:cs="Times New Roman"/>
                <w:szCs w:val="21"/>
              </w:rPr>
            </w:pPr>
            <w:r>
              <w:rPr>
                <w:rFonts w:cs="Times New Roman"/>
                <w:szCs w:val="21"/>
              </w:rPr>
              <w:t>土地利用类型</w:t>
            </w:r>
          </w:p>
        </w:tc>
        <w:tc>
          <w:tcPr>
            <w:tcW w:w="1908" w:type="pct"/>
            <w:tcBorders>
              <w:tl2br w:val="nil"/>
              <w:tr2bl w:val="nil"/>
            </w:tcBorders>
            <w:vAlign w:val="center"/>
          </w:tcPr>
          <w:p>
            <w:pPr>
              <w:pStyle w:val="108"/>
              <w:rPr>
                <w:rFonts w:cs="Times New Roman"/>
                <w:szCs w:val="21"/>
              </w:rPr>
            </w:pPr>
            <w:r>
              <w:rPr>
                <w:rFonts w:cs="Times New Roman"/>
                <w:szCs w:val="21"/>
              </w:rPr>
              <w:t>阔叶林</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1" w:type="pct"/>
            <w:gridSpan w:val="2"/>
            <w:tcBorders>
              <w:tl2br w:val="nil"/>
              <w:tr2bl w:val="nil"/>
            </w:tcBorders>
            <w:vAlign w:val="center"/>
          </w:tcPr>
          <w:p>
            <w:pPr>
              <w:pStyle w:val="108"/>
              <w:rPr>
                <w:rFonts w:cs="Times New Roman"/>
                <w:szCs w:val="21"/>
              </w:rPr>
            </w:pPr>
            <w:r>
              <w:rPr>
                <w:rFonts w:cs="Times New Roman"/>
                <w:szCs w:val="21"/>
              </w:rPr>
              <w:t>区域湿度条件</w:t>
            </w:r>
          </w:p>
        </w:tc>
        <w:tc>
          <w:tcPr>
            <w:tcW w:w="1908" w:type="pct"/>
            <w:tcBorders>
              <w:tl2br w:val="nil"/>
              <w:tr2bl w:val="nil"/>
            </w:tcBorders>
            <w:vAlign w:val="center"/>
          </w:tcPr>
          <w:p>
            <w:pPr>
              <w:pStyle w:val="108"/>
              <w:rPr>
                <w:rFonts w:cs="Times New Roman"/>
                <w:szCs w:val="21"/>
              </w:rPr>
            </w:pPr>
            <w:r>
              <w:rPr>
                <w:rFonts w:cs="Times New Roman"/>
                <w:szCs w:val="21"/>
              </w:rPr>
              <w:t>潮湿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1" w:type="pct"/>
            <w:vMerge w:val="restart"/>
            <w:tcBorders>
              <w:tl2br w:val="nil"/>
              <w:tr2bl w:val="nil"/>
            </w:tcBorders>
            <w:vAlign w:val="center"/>
          </w:tcPr>
          <w:p>
            <w:pPr>
              <w:pStyle w:val="108"/>
              <w:rPr>
                <w:rFonts w:cs="Times New Roman"/>
                <w:szCs w:val="21"/>
              </w:rPr>
            </w:pPr>
            <w:r>
              <w:rPr>
                <w:rFonts w:cs="Times New Roman"/>
                <w:szCs w:val="21"/>
              </w:rPr>
              <w:t>是否考虑地形</w:t>
            </w:r>
          </w:p>
        </w:tc>
        <w:tc>
          <w:tcPr>
            <w:tcW w:w="1700" w:type="pct"/>
            <w:tcBorders>
              <w:tl2br w:val="nil"/>
              <w:tr2bl w:val="nil"/>
            </w:tcBorders>
            <w:vAlign w:val="center"/>
          </w:tcPr>
          <w:p>
            <w:pPr>
              <w:pStyle w:val="108"/>
              <w:rPr>
                <w:rFonts w:cs="Times New Roman"/>
                <w:szCs w:val="21"/>
              </w:rPr>
            </w:pPr>
            <w:r>
              <w:rPr>
                <w:rFonts w:cs="Times New Roman"/>
                <w:szCs w:val="21"/>
              </w:rPr>
              <w:t>考虑地形</w:t>
            </w:r>
          </w:p>
        </w:tc>
        <w:tc>
          <w:tcPr>
            <w:tcW w:w="1908" w:type="pct"/>
            <w:tcBorders>
              <w:tl2br w:val="nil"/>
              <w:tr2bl w:val="nil"/>
            </w:tcBorders>
            <w:vAlign w:val="center"/>
          </w:tcPr>
          <w:p>
            <w:pPr>
              <w:pStyle w:val="108"/>
              <w:rPr>
                <w:rFonts w:cs="Times New Roman"/>
                <w:szCs w:val="21"/>
              </w:rPr>
            </w:pPr>
            <w:r>
              <w:rPr>
                <w:rFonts w:cs="Times New Roman"/>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1" w:type="pct"/>
            <w:vMerge w:val="continue"/>
            <w:tcBorders>
              <w:tl2br w:val="nil"/>
              <w:tr2bl w:val="nil"/>
            </w:tcBorders>
            <w:vAlign w:val="center"/>
          </w:tcPr>
          <w:p>
            <w:pPr>
              <w:pStyle w:val="108"/>
              <w:rPr>
                <w:rFonts w:cs="Times New Roman"/>
                <w:szCs w:val="21"/>
              </w:rPr>
            </w:pPr>
          </w:p>
        </w:tc>
        <w:tc>
          <w:tcPr>
            <w:tcW w:w="1700" w:type="pct"/>
            <w:tcBorders>
              <w:tl2br w:val="nil"/>
              <w:tr2bl w:val="nil"/>
            </w:tcBorders>
            <w:vAlign w:val="center"/>
          </w:tcPr>
          <w:p>
            <w:pPr>
              <w:pStyle w:val="108"/>
              <w:rPr>
                <w:rFonts w:cs="Times New Roman"/>
                <w:szCs w:val="21"/>
              </w:rPr>
            </w:pPr>
            <w:r>
              <w:rPr>
                <w:rFonts w:cs="Times New Roman"/>
                <w:szCs w:val="21"/>
              </w:rPr>
              <w:t>地形数据分辨率(m)</w:t>
            </w:r>
          </w:p>
        </w:tc>
        <w:tc>
          <w:tcPr>
            <w:tcW w:w="1908" w:type="pct"/>
            <w:tcBorders>
              <w:tl2br w:val="nil"/>
              <w:tr2bl w:val="nil"/>
            </w:tcBorders>
            <w:vAlign w:val="center"/>
          </w:tcPr>
          <w:p>
            <w:pPr>
              <w:pStyle w:val="108"/>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1" w:type="pct"/>
            <w:vMerge w:val="restart"/>
            <w:tcBorders>
              <w:tl2br w:val="nil"/>
              <w:tr2bl w:val="nil"/>
            </w:tcBorders>
            <w:vAlign w:val="center"/>
          </w:tcPr>
          <w:p>
            <w:pPr>
              <w:pStyle w:val="108"/>
              <w:rPr>
                <w:rFonts w:cs="Times New Roman"/>
                <w:szCs w:val="21"/>
              </w:rPr>
            </w:pPr>
            <w:r>
              <w:rPr>
                <w:rFonts w:cs="Times New Roman"/>
                <w:szCs w:val="21"/>
              </w:rPr>
              <w:t>是否考虑岸线熏烟</w:t>
            </w:r>
          </w:p>
        </w:tc>
        <w:tc>
          <w:tcPr>
            <w:tcW w:w="1700" w:type="pct"/>
            <w:tcBorders>
              <w:tl2br w:val="nil"/>
              <w:tr2bl w:val="nil"/>
            </w:tcBorders>
            <w:vAlign w:val="center"/>
          </w:tcPr>
          <w:p>
            <w:pPr>
              <w:pStyle w:val="108"/>
              <w:rPr>
                <w:rFonts w:cs="Times New Roman"/>
                <w:szCs w:val="21"/>
              </w:rPr>
            </w:pPr>
            <w:r>
              <w:rPr>
                <w:rFonts w:cs="Times New Roman"/>
                <w:szCs w:val="21"/>
              </w:rPr>
              <w:t>考虑岸线熏烟</w:t>
            </w:r>
          </w:p>
        </w:tc>
        <w:tc>
          <w:tcPr>
            <w:tcW w:w="1908" w:type="pct"/>
            <w:tcBorders>
              <w:tl2br w:val="nil"/>
              <w:tr2bl w:val="nil"/>
            </w:tcBorders>
            <w:vAlign w:val="center"/>
          </w:tcPr>
          <w:p>
            <w:pPr>
              <w:pStyle w:val="108"/>
              <w:rPr>
                <w:rFonts w:cs="Times New Roman"/>
                <w:szCs w:val="21"/>
              </w:rPr>
            </w:pPr>
            <w:r>
              <w:rPr>
                <w:rFonts w:cs="Times New Roman"/>
                <w:szCs w:val="21"/>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1" w:type="pct"/>
            <w:vMerge w:val="continue"/>
            <w:tcBorders>
              <w:tl2br w:val="nil"/>
              <w:tr2bl w:val="nil"/>
            </w:tcBorders>
            <w:vAlign w:val="center"/>
          </w:tcPr>
          <w:p>
            <w:pPr>
              <w:pStyle w:val="108"/>
              <w:rPr>
                <w:rFonts w:cs="Times New Roman"/>
                <w:szCs w:val="21"/>
              </w:rPr>
            </w:pPr>
          </w:p>
        </w:tc>
        <w:tc>
          <w:tcPr>
            <w:tcW w:w="1700" w:type="pct"/>
            <w:tcBorders>
              <w:tl2br w:val="nil"/>
              <w:tr2bl w:val="nil"/>
            </w:tcBorders>
            <w:vAlign w:val="center"/>
          </w:tcPr>
          <w:p>
            <w:pPr>
              <w:pStyle w:val="108"/>
              <w:rPr>
                <w:rFonts w:cs="Times New Roman"/>
                <w:szCs w:val="21"/>
              </w:rPr>
            </w:pPr>
            <w:r>
              <w:rPr>
                <w:rFonts w:cs="Times New Roman"/>
                <w:szCs w:val="21"/>
              </w:rPr>
              <w:t>岸线距离/m</w:t>
            </w:r>
          </w:p>
        </w:tc>
        <w:tc>
          <w:tcPr>
            <w:tcW w:w="1908" w:type="pct"/>
            <w:tcBorders>
              <w:tl2br w:val="nil"/>
              <w:tr2bl w:val="nil"/>
            </w:tcBorders>
            <w:vAlign w:val="center"/>
          </w:tcPr>
          <w:p>
            <w:pPr>
              <w:pStyle w:val="108"/>
              <w:rPr>
                <w:rFonts w:cs="Times New Roman"/>
                <w:szCs w:val="21"/>
              </w:rPr>
            </w:pPr>
            <w:r>
              <w:rPr>
                <w:rFonts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91" w:type="pct"/>
            <w:vMerge w:val="continue"/>
            <w:tcBorders>
              <w:tl2br w:val="nil"/>
              <w:tr2bl w:val="nil"/>
            </w:tcBorders>
            <w:vAlign w:val="center"/>
          </w:tcPr>
          <w:p>
            <w:pPr>
              <w:pStyle w:val="108"/>
              <w:rPr>
                <w:rFonts w:cs="Times New Roman"/>
                <w:szCs w:val="21"/>
              </w:rPr>
            </w:pPr>
          </w:p>
        </w:tc>
        <w:tc>
          <w:tcPr>
            <w:tcW w:w="1700" w:type="pct"/>
            <w:tcBorders>
              <w:tl2br w:val="nil"/>
              <w:tr2bl w:val="nil"/>
            </w:tcBorders>
            <w:vAlign w:val="center"/>
          </w:tcPr>
          <w:p>
            <w:pPr>
              <w:pStyle w:val="108"/>
              <w:rPr>
                <w:rFonts w:cs="Times New Roman"/>
                <w:szCs w:val="21"/>
              </w:rPr>
            </w:pPr>
            <w:r>
              <w:rPr>
                <w:rFonts w:cs="Times New Roman"/>
                <w:szCs w:val="21"/>
              </w:rPr>
              <w:t>岸线方向/°</w:t>
            </w:r>
          </w:p>
        </w:tc>
        <w:tc>
          <w:tcPr>
            <w:tcW w:w="1908" w:type="pct"/>
            <w:tcBorders>
              <w:tl2br w:val="nil"/>
              <w:tr2bl w:val="nil"/>
            </w:tcBorders>
            <w:vAlign w:val="center"/>
          </w:tcPr>
          <w:p>
            <w:pPr>
              <w:pStyle w:val="108"/>
              <w:rPr>
                <w:rFonts w:cs="Times New Roman"/>
                <w:szCs w:val="21"/>
              </w:rPr>
            </w:pPr>
            <w:r>
              <w:rPr>
                <w:rFonts w:cs="Times New Roman"/>
                <w:szCs w:val="21"/>
              </w:rPr>
              <w:t>/</w:t>
            </w:r>
          </w:p>
        </w:tc>
      </w:tr>
    </w:tbl>
    <w:p>
      <w:pPr>
        <w:pStyle w:val="4"/>
        <w:rPr>
          <w:rFonts w:cs="Times New Roman"/>
          <w:szCs w:val="24"/>
        </w:rPr>
      </w:pPr>
      <w:r>
        <w:rPr>
          <w:rFonts w:cs="Times New Roman"/>
          <w:szCs w:val="24"/>
        </w:rPr>
        <w:t>4.4 估算预测结果</w:t>
      </w:r>
      <w:r>
        <w:rPr>
          <w:rFonts w:cs="Times New Roman"/>
          <w:szCs w:val="24"/>
        </w:rPr>
        <w:tab/>
      </w:r>
    </w:p>
    <w:p>
      <w:pPr>
        <w:spacing w:line="360" w:lineRule="auto"/>
        <w:ind w:firstLine="480" w:firstLineChars="200"/>
        <w:rPr>
          <w:rFonts w:cs="Times New Roman"/>
          <w:sz w:val="24"/>
          <w:szCs w:val="24"/>
        </w:rPr>
      </w:pPr>
      <w:r>
        <w:rPr>
          <w:rFonts w:cs="Times New Roman"/>
          <w:sz w:val="24"/>
          <w:szCs w:val="24"/>
        </w:rPr>
        <w:t>本项目各污染源估算预测结果见下表所示。</w:t>
      </w:r>
    </w:p>
    <w:p>
      <w:pPr>
        <w:spacing w:line="360" w:lineRule="auto"/>
        <w:jc w:val="center"/>
        <w:rPr>
          <w:rFonts w:cs="Times New Roman"/>
          <w:b/>
          <w:bCs/>
          <w:sz w:val="24"/>
          <w:szCs w:val="24"/>
        </w:rPr>
      </w:pPr>
      <w:r>
        <w:rPr>
          <w:rFonts w:cs="Times New Roman"/>
          <w:b/>
          <w:bCs/>
          <w:sz w:val="24"/>
          <w:szCs w:val="24"/>
        </w:rPr>
        <w:t>表 4.4-1  矩形面源预测结果</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22"/>
        <w:gridCol w:w="1387"/>
        <w:gridCol w:w="1251"/>
        <w:gridCol w:w="1423"/>
        <w:gridCol w:w="1251"/>
        <w:gridCol w:w="1410"/>
        <w:gridCol w:w="14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vMerge w:val="restart"/>
            <w:tcBorders>
              <w:tl2br w:val="nil"/>
              <w:tr2bl w:val="nil"/>
            </w:tcBorders>
            <w:vAlign w:val="center"/>
          </w:tcPr>
          <w:p>
            <w:pPr>
              <w:jc w:val="center"/>
              <w:rPr>
                <w:rFonts w:cs="Times New Roman"/>
                <w:b/>
                <w:bCs/>
              </w:rPr>
            </w:pPr>
            <w:r>
              <w:rPr>
                <w:rFonts w:cs="Times New Roman"/>
                <w:b/>
                <w:bCs/>
                <w:sz w:val="23"/>
                <w:szCs w:val="23"/>
              </w:rPr>
              <w:t>下风向距离</w:t>
            </w:r>
          </w:p>
        </w:tc>
        <w:tc>
          <w:tcPr>
            <w:tcW w:w="4255" w:type="pct"/>
            <w:gridSpan w:val="6"/>
            <w:tcBorders>
              <w:tl2br w:val="nil"/>
              <w:tr2bl w:val="nil"/>
            </w:tcBorders>
            <w:vAlign w:val="center"/>
          </w:tcPr>
          <w:p>
            <w:pPr>
              <w:jc w:val="center"/>
              <w:rPr>
                <w:rFonts w:cs="Times New Roman"/>
                <w:b/>
                <w:bCs/>
              </w:rPr>
            </w:pPr>
            <w:r>
              <w:rPr>
                <w:rFonts w:cs="Times New Roman"/>
                <w:b/>
                <w:bCs/>
                <w:sz w:val="23"/>
                <w:szCs w:val="23"/>
              </w:rPr>
              <w:t>矩形面源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vMerge w:val="continue"/>
            <w:tcBorders>
              <w:tl2br w:val="nil"/>
              <w:tr2bl w:val="nil"/>
            </w:tcBorders>
            <w:vAlign w:val="center"/>
          </w:tcPr>
          <w:p>
            <w:pPr>
              <w:jc w:val="center"/>
              <w:rPr>
                <w:rFonts w:cs="Times New Roman"/>
                <w:b/>
                <w:bCs/>
              </w:rPr>
            </w:pPr>
          </w:p>
        </w:tc>
        <w:tc>
          <w:tcPr>
            <w:tcW w:w="725" w:type="pct"/>
            <w:tcBorders>
              <w:tl2br w:val="nil"/>
              <w:tr2bl w:val="nil"/>
            </w:tcBorders>
            <w:vAlign w:val="center"/>
          </w:tcPr>
          <w:p>
            <w:pPr>
              <w:jc w:val="center"/>
              <w:rPr>
                <w:rFonts w:cs="Times New Roman"/>
                <w:b/>
                <w:bCs/>
              </w:rPr>
            </w:pPr>
            <w:r>
              <w:rPr>
                <w:rFonts w:cs="Times New Roman"/>
                <w:b/>
                <w:bCs/>
                <w:sz w:val="23"/>
                <w:szCs w:val="23"/>
              </w:rPr>
              <w:t>甲醛浓度(</w:t>
            </w:r>
            <w:r>
              <w:rPr>
                <w:rFonts w:cs="Times New Roman"/>
                <w:b/>
                <w:bCs/>
                <w:szCs w:val="21"/>
              </w:rPr>
              <w:t>m</w:t>
            </w:r>
            <w:r>
              <w:rPr>
                <w:rFonts w:cs="Times New Roman"/>
                <w:b/>
                <w:bCs/>
                <w:sz w:val="23"/>
                <w:szCs w:val="23"/>
              </w:rPr>
              <w:t>g/m³)</w:t>
            </w:r>
          </w:p>
        </w:tc>
        <w:tc>
          <w:tcPr>
            <w:tcW w:w="654" w:type="pct"/>
            <w:tcBorders>
              <w:tl2br w:val="nil"/>
              <w:tr2bl w:val="nil"/>
            </w:tcBorders>
            <w:vAlign w:val="center"/>
          </w:tcPr>
          <w:p>
            <w:pPr>
              <w:jc w:val="center"/>
              <w:rPr>
                <w:rFonts w:cs="Times New Roman"/>
                <w:b/>
                <w:bCs/>
              </w:rPr>
            </w:pPr>
            <w:r>
              <w:rPr>
                <w:rFonts w:cs="Times New Roman"/>
                <w:b/>
                <w:bCs/>
                <w:sz w:val="23"/>
                <w:szCs w:val="23"/>
              </w:rPr>
              <w:t>甲醛占标率(%)</w:t>
            </w:r>
          </w:p>
        </w:tc>
        <w:tc>
          <w:tcPr>
            <w:tcW w:w="744" w:type="pct"/>
            <w:tcBorders>
              <w:tl2br w:val="nil"/>
              <w:tr2bl w:val="nil"/>
            </w:tcBorders>
            <w:vAlign w:val="center"/>
          </w:tcPr>
          <w:p>
            <w:pPr>
              <w:jc w:val="center"/>
              <w:rPr>
                <w:rFonts w:cs="Times New Roman"/>
                <w:b/>
                <w:bCs/>
              </w:rPr>
            </w:pPr>
            <w:r>
              <w:rPr>
                <w:rFonts w:cs="Times New Roman"/>
                <w:b/>
                <w:bCs/>
                <w:sz w:val="23"/>
                <w:szCs w:val="23"/>
              </w:rPr>
              <w:t>氨浓度(</w:t>
            </w:r>
            <w:r>
              <w:rPr>
                <w:rFonts w:cs="Times New Roman"/>
                <w:b/>
                <w:bCs/>
                <w:szCs w:val="21"/>
              </w:rPr>
              <w:t>m</w:t>
            </w:r>
            <w:r>
              <w:rPr>
                <w:rFonts w:cs="Times New Roman"/>
                <w:b/>
                <w:bCs/>
                <w:sz w:val="23"/>
                <w:szCs w:val="23"/>
              </w:rPr>
              <w:t>g/m³)</w:t>
            </w:r>
          </w:p>
        </w:tc>
        <w:tc>
          <w:tcPr>
            <w:tcW w:w="654" w:type="pct"/>
            <w:tcBorders>
              <w:tl2br w:val="nil"/>
              <w:tr2bl w:val="nil"/>
            </w:tcBorders>
            <w:vAlign w:val="center"/>
          </w:tcPr>
          <w:p>
            <w:pPr>
              <w:jc w:val="center"/>
              <w:rPr>
                <w:rFonts w:cs="Times New Roman"/>
                <w:b/>
                <w:bCs/>
              </w:rPr>
            </w:pPr>
            <w:r>
              <w:rPr>
                <w:rFonts w:cs="Times New Roman"/>
                <w:b/>
                <w:bCs/>
                <w:sz w:val="23"/>
                <w:szCs w:val="23"/>
              </w:rPr>
              <w:t>氨占标率(%)</w:t>
            </w:r>
          </w:p>
        </w:tc>
        <w:tc>
          <w:tcPr>
            <w:tcW w:w="737" w:type="pct"/>
            <w:tcBorders>
              <w:tl2br w:val="nil"/>
              <w:tr2bl w:val="nil"/>
            </w:tcBorders>
            <w:vAlign w:val="center"/>
          </w:tcPr>
          <w:p>
            <w:pPr>
              <w:jc w:val="center"/>
              <w:rPr>
                <w:rFonts w:cs="Times New Roman"/>
                <w:b/>
                <w:bCs/>
              </w:rPr>
            </w:pPr>
            <w:r>
              <w:rPr>
                <w:rFonts w:cs="Times New Roman"/>
                <w:b/>
                <w:bCs/>
                <w:szCs w:val="21"/>
              </w:rPr>
              <w:t>TVOC</w:t>
            </w:r>
            <w:r>
              <w:rPr>
                <w:rFonts w:cs="Times New Roman"/>
                <w:b/>
                <w:bCs/>
                <w:sz w:val="23"/>
                <w:szCs w:val="23"/>
              </w:rPr>
              <w:t>浓度(</w:t>
            </w:r>
            <w:r>
              <w:rPr>
                <w:rFonts w:cs="Times New Roman"/>
                <w:b/>
                <w:bCs/>
                <w:szCs w:val="21"/>
              </w:rPr>
              <w:t>m</w:t>
            </w:r>
            <w:r>
              <w:rPr>
                <w:rFonts w:cs="Times New Roman"/>
                <w:b/>
                <w:bCs/>
                <w:sz w:val="23"/>
                <w:szCs w:val="23"/>
              </w:rPr>
              <w:t>g/m³)</w:t>
            </w:r>
          </w:p>
        </w:tc>
        <w:tc>
          <w:tcPr>
            <w:tcW w:w="741" w:type="pct"/>
            <w:tcBorders>
              <w:tl2br w:val="nil"/>
              <w:tr2bl w:val="nil"/>
            </w:tcBorders>
            <w:vAlign w:val="center"/>
          </w:tcPr>
          <w:p>
            <w:pPr>
              <w:jc w:val="center"/>
              <w:rPr>
                <w:rFonts w:cs="Times New Roman"/>
                <w:b/>
                <w:bCs/>
              </w:rPr>
            </w:pPr>
            <w:r>
              <w:rPr>
                <w:rFonts w:cs="Times New Roman"/>
                <w:b/>
                <w:bCs/>
                <w:szCs w:val="21"/>
              </w:rPr>
              <w:t>TVOC</w:t>
            </w:r>
            <w:r>
              <w:rPr>
                <w:rFonts w:cs="Times New Roman"/>
                <w:b/>
                <w:bCs/>
                <w:sz w:val="23"/>
                <w:szCs w:val="23"/>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sz w:val="23"/>
                <w:szCs w:val="23"/>
              </w:rPr>
            </w:pPr>
            <w:r>
              <w:rPr>
                <w:rFonts w:cs="Times New Roman"/>
                <w:sz w:val="23"/>
                <w:szCs w:val="23"/>
              </w:rPr>
              <w:t>10.0</w:t>
            </w:r>
          </w:p>
        </w:tc>
        <w:tc>
          <w:tcPr>
            <w:tcW w:w="725" w:type="pct"/>
            <w:tcBorders>
              <w:tl2br w:val="nil"/>
              <w:tr2bl w:val="nil"/>
            </w:tcBorders>
            <w:vAlign w:val="center"/>
          </w:tcPr>
          <w:p>
            <w:pPr>
              <w:jc w:val="center"/>
              <w:rPr>
                <w:rFonts w:cs="Times New Roman"/>
              </w:rPr>
            </w:pPr>
            <w:r>
              <w:rPr>
                <w:rFonts w:cs="Times New Roman"/>
              </w:rPr>
              <w:t>2.71E-03</w:t>
            </w:r>
          </w:p>
        </w:tc>
        <w:tc>
          <w:tcPr>
            <w:tcW w:w="654" w:type="pct"/>
            <w:tcBorders>
              <w:tl2br w:val="nil"/>
              <w:tr2bl w:val="nil"/>
            </w:tcBorders>
            <w:vAlign w:val="center"/>
          </w:tcPr>
          <w:p>
            <w:pPr>
              <w:jc w:val="center"/>
              <w:rPr>
                <w:rFonts w:cs="Times New Roman"/>
              </w:rPr>
            </w:pPr>
            <w:r>
              <w:rPr>
                <w:rFonts w:cs="Times New Roman"/>
              </w:rPr>
              <w:t>5.42</w:t>
            </w:r>
          </w:p>
        </w:tc>
        <w:tc>
          <w:tcPr>
            <w:tcW w:w="744" w:type="pct"/>
            <w:tcBorders>
              <w:tl2br w:val="nil"/>
              <w:tr2bl w:val="nil"/>
            </w:tcBorders>
            <w:vAlign w:val="center"/>
          </w:tcPr>
          <w:p>
            <w:pPr>
              <w:jc w:val="center"/>
              <w:rPr>
                <w:rFonts w:cs="Times New Roman"/>
              </w:rPr>
            </w:pPr>
            <w:r>
              <w:rPr>
                <w:rFonts w:cs="Times New Roman"/>
              </w:rPr>
              <w:t>8.34E-04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4.18E-04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50.0</w:t>
            </w:r>
          </w:p>
        </w:tc>
        <w:tc>
          <w:tcPr>
            <w:tcW w:w="725" w:type="pct"/>
            <w:tcBorders>
              <w:tl2br w:val="nil"/>
              <w:tr2bl w:val="nil"/>
            </w:tcBorders>
            <w:vAlign w:val="center"/>
          </w:tcPr>
          <w:p>
            <w:pPr>
              <w:jc w:val="center"/>
              <w:rPr>
                <w:rFonts w:cs="Times New Roman"/>
              </w:rPr>
            </w:pPr>
            <w:r>
              <w:rPr>
                <w:rFonts w:cs="Times New Roman"/>
              </w:rPr>
              <w:t>3.26E-03</w:t>
            </w:r>
          </w:p>
        </w:tc>
        <w:tc>
          <w:tcPr>
            <w:tcW w:w="654" w:type="pct"/>
            <w:tcBorders>
              <w:tl2br w:val="nil"/>
              <w:tr2bl w:val="nil"/>
            </w:tcBorders>
            <w:vAlign w:val="center"/>
          </w:tcPr>
          <w:p>
            <w:pPr>
              <w:jc w:val="center"/>
              <w:rPr>
                <w:rFonts w:cs="Times New Roman"/>
              </w:rPr>
            </w:pPr>
            <w:r>
              <w:rPr>
                <w:rFonts w:cs="Times New Roman"/>
              </w:rPr>
              <w:t>6.53</w:t>
            </w:r>
          </w:p>
        </w:tc>
        <w:tc>
          <w:tcPr>
            <w:tcW w:w="744" w:type="pct"/>
            <w:tcBorders>
              <w:tl2br w:val="nil"/>
              <w:tr2bl w:val="nil"/>
            </w:tcBorders>
            <w:vAlign w:val="center"/>
          </w:tcPr>
          <w:p>
            <w:pPr>
              <w:jc w:val="center"/>
              <w:rPr>
                <w:rFonts w:cs="Times New Roman"/>
              </w:rPr>
            </w:pPr>
            <w:r>
              <w:rPr>
                <w:rFonts w:cs="Times New Roman"/>
              </w:rPr>
              <w:t>1.00E-03</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5.03E-04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b/>
                <w:bCs/>
                <w:sz w:val="23"/>
                <w:szCs w:val="23"/>
              </w:rPr>
            </w:pPr>
            <w:r>
              <w:rPr>
                <w:rFonts w:cs="Times New Roman"/>
                <w:b/>
                <w:bCs/>
                <w:sz w:val="23"/>
                <w:szCs w:val="23"/>
              </w:rPr>
              <w:t>73.0</w:t>
            </w:r>
          </w:p>
        </w:tc>
        <w:tc>
          <w:tcPr>
            <w:tcW w:w="725" w:type="pct"/>
            <w:tcBorders>
              <w:tl2br w:val="nil"/>
              <w:tr2bl w:val="nil"/>
            </w:tcBorders>
            <w:vAlign w:val="center"/>
          </w:tcPr>
          <w:p>
            <w:pPr>
              <w:jc w:val="center"/>
              <w:rPr>
                <w:rFonts w:cs="Times New Roman"/>
                <w:b/>
                <w:bCs/>
              </w:rPr>
            </w:pPr>
            <w:r>
              <w:rPr>
                <w:rFonts w:cs="Times New Roman"/>
                <w:b/>
                <w:bCs/>
              </w:rPr>
              <w:t>3.53E-03</w:t>
            </w:r>
          </w:p>
        </w:tc>
        <w:tc>
          <w:tcPr>
            <w:tcW w:w="654" w:type="pct"/>
            <w:tcBorders>
              <w:tl2br w:val="nil"/>
              <w:tr2bl w:val="nil"/>
            </w:tcBorders>
            <w:vAlign w:val="center"/>
          </w:tcPr>
          <w:p>
            <w:pPr>
              <w:jc w:val="center"/>
              <w:rPr>
                <w:rFonts w:cs="Times New Roman"/>
                <w:b/>
                <w:bCs/>
              </w:rPr>
            </w:pPr>
            <w:r>
              <w:rPr>
                <w:rFonts w:cs="Times New Roman"/>
                <w:b/>
                <w:bCs/>
              </w:rPr>
              <w:t>7.07</w:t>
            </w:r>
          </w:p>
        </w:tc>
        <w:tc>
          <w:tcPr>
            <w:tcW w:w="744" w:type="pct"/>
            <w:tcBorders>
              <w:tl2br w:val="nil"/>
              <w:tr2bl w:val="nil"/>
            </w:tcBorders>
            <w:vAlign w:val="center"/>
          </w:tcPr>
          <w:p>
            <w:pPr>
              <w:jc w:val="center"/>
              <w:rPr>
                <w:rFonts w:cs="Times New Roman"/>
                <w:b/>
                <w:bCs/>
              </w:rPr>
            </w:pPr>
            <w:r>
              <w:rPr>
                <w:rFonts w:cs="Times New Roman"/>
                <w:b/>
                <w:bCs/>
              </w:rPr>
              <w:t>1.09E-03</w:t>
            </w:r>
          </w:p>
        </w:tc>
        <w:tc>
          <w:tcPr>
            <w:tcW w:w="654" w:type="pct"/>
            <w:tcBorders>
              <w:tl2br w:val="nil"/>
              <w:tr2bl w:val="nil"/>
            </w:tcBorders>
            <w:vAlign w:val="center"/>
          </w:tcPr>
          <w:p>
            <w:pPr>
              <w:jc w:val="center"/>
              <w:rPr>
                <w:rFonts w:cs="Times New Roman"/>
                <w:b/>
                <w:bCs/>
              </w:rPr>
            </w:pPr>
            <w:r>
              <w:rPr>
                <w:rFonts w:cs="Times New Roman"/>
                <w:b/>
                <w:bCs/>
              </w:rPr>
              <w:t>0.00</w:t>
            </w:r>
          </w:p>
        </w:tc>
        <w:tc>
          <w:tcPr>
            <w:tcW w:w="737" w:type="pct"/>
            <w:tcBorders>
              <w:tl2br w:val="nil"/>
              <w:tr2bl w:val="nil"/>
            </w:tcBorders>
            <w:vAlign w:val="center"/>
          </w:tcPr>
          <w:p>
            <w:pPr>
              <w:jc w:val="center"/>
              <w:rPr>
                <w:rFonts w:cs="Times New Roman"/>
                <w:b/>
                <w:bCs/>
              </w:rPr>
            </w:pPr>
            <w:r>
              <w:rPr>
                <w:rFonts w:cs="Times New Roman"/>
                <w:b/>
                <w:bCs/>
              </w:rPr>
              <w:t>5.44E-04</w:t>
            </w:r>
          </w:p>
        </w:tc>
        <w:tc>
          <w:tcPr>
            <w:tcW w:w="741" w:type="pct"/>
            <w:tcBorders>
              <w:tl2br w:val="nil"/>
              <w:tr2bl w:val="nil"/>
            </w:tcBorders>
            <w:vAlign w:val="center"/>
          </w:tcPr>
          <w:p>
            <w:pPr>
              <w:jc w:val="center"/>
              <w:rPr>
                <w:rFonts w:cs="Times New Roman"/>
                <w:b/>
                <w:bCs/>
              </w:rPr>
            </w:pPr>
            <w:r>
              <w:rPr>
                <w:rFonts w:cs="Times New Roman"/>
                <w:b/>
                <w:bCs/>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100.0</w:t>
            </w:r>
          </w:p>
        </w:tc>
        <w:tc>
          <w:tcPr>
            <w:tcW w:w="725" w:type="pct"/>
            <w:tcBorders>
              <w:tl2br w:val="nil"/>
              <w:tr2bl w:val="nil"/>
            </w:tcBorders>
            <w:vAlign w:val="center"/>
          </w:tcPr>
          <w:p>
            <w:pPr>
              <w:jc w:val="center"/>
              <w:rPr>
                <w:rFonts w:cs="Times New Roman"/>
              </w:rPr>
            </w:pPr>
            <w:r>
              <w:rPr>
                <w:rFonts w:cs="Times New Roman"/>
              </w:rPr>
              <w:t>2.92E-03</w:t>
            </w:r>
          </w:p>
        </w:tc>
        <w:tc>
          <w:tcPr>
            <w:tcW w:w="654" w:type="pct"/>
            <w:tcBorders>
              <w:tl2br w:val="nil"/>
              <w:tr2bl w:val="nil"/>
            </w:tcBorders>
            <w:vAlign w:val="center"/>
          </w:tcPr>
          <w:p>
            <w:pPr>
              <w:jc w:val="center"/>
              <w:rPr>
                <w:rFonts w:cs="Times New Roman"/>
              </w:rPr>
            </w:pPr>
            <w:r>
              <w:rPr>
                <w:rFonts w:cs="Times New Roman"/>
              </w:rPr>
              <w:t>5.84</w:t>
            </w:r>
          </w:p>
        </w:tc>
        <w:tc>
          <w:tcPr>
            <w:tcW w:w="744" w:type="pct"/>
            <w:tcBorders>
              <w:tl2br w:val="nil"/>
              <w:tr2bl w:val="nil"/>
            </w:tcBorders>
            <w:vAlign w:val="center"/>
          </w:tcPr>
          <w:p>
            <w:pPr>
              <w:jc w:val="center"/>
              <w:rPr>
                <w:rFonts w:cs="Times New Roman"/>
              </w:rPr>
            </w:pPr>
            <w:r>
              <w:rPr>
                <w:rFonts w:cs="Times New Roman"/>
              </w:rPr>
              <w:t>8.99E-04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4.50E-04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200.0</w:t>
            </w:r>
          </w:p>
        </w:tc>
        <w:tc>
          <w:tcPr>
            <w:tcW w:w="725" w:type="pct"/>
            <w:tcBorders>
              <w:tl2br w:val="nil"/>
              <w:tr2bl w:val="nil"/>
            </w:tcBorders>
            <w:vAlign w:val="center"/>
          </w:tcPr>
          <w:p>
            <w:pPr>
              <w:jc w:val="center"/>
              <w:rPr>
                <w:rFonts w:cs="Times New Roman"/>
              </w:rPr>
            </w:pPr>
            <w:r>
              <w:rPr>
                <w:rFonts w:cs="Times New Roman"/>
              </w:rPr>
              <w:t>1.78E-03</w:t>
            </w:r>
          </w:p>
        </w:tc>
        <w:tc>
          <w:tcPr>
            <w:tcW w:w="654" w:type="pct"/>
            <w:tcBorders>
              <w:tl2br w:val="nil"/>
              <w:tr2bl w:val="nil"/>
            </w:tcBorders>
            <w:vAlign w:val="center"/>
          </w:tcPr>
          <w:p>
            <w:pPr>
              <w:jc w:val="center"/>
              <w:rPr>
                <w:rFonts w:cs="Times New Roman"/>
              </w:rPr>
            </w:pPr>
            <w:r>
              <w:rPr>
                <w:rFonts w:cs="Times New Roman"/>
              </w:rPr>
              <w:t>3.57</w:t>
            </w:r>
          </w:p>
        </w:tc>
        <w:tc>
          <w:tcPr>
            <w:tcW w:w="744" w:type="pct"/>
            <w:tcBorders>
              <w:tl2br w:val="nil"/>
              <w:tr2bl w:val="nil"/>
            </w:tcBorders>
            <w:vAlign w:val="center"/>
          </w:tcPr>
          <w:p>
            <w:pPr>
              <w:jc w:val="center"/>
              <w:rPr>
                <w:rFonts w:cs="Times New Roman"/>
              </w:rPr>
            </w:pPr>
            <w:r>
              <w:rPr>
                <w:rFonts w:cs="Times New Roman"/>
              </w:rPr>
              <w:t>5.48E-04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2.75E-04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300.0</w:t>
            </w:r>
          </w:p>
        </w:tc>
        <w:tc>
          <w:tcPr>
            <w:tcW w:w="725" w:type="pct"/>
            <w:tcBorders>
              <w:tl2br w:val="nil"/>
              <w:tr2bl w:val="nil"/>
            </w:tcBorders>
            <w:vAlign w:val="center"/>
          </w:tcPr>
          <w:p>
            <w:pPr>
              <w:jc w:val="center"/>
              <w:rPr>
                <w:rFonts w:cs="Times New Roman"/>
              </w:rPr>
            </w:pPr>
            <w:r>
              <w:rPr>
                <w:rFonts w:cs="Times New Roman"/>
              </w:rPr>
              <w:t>1.39E-03</w:t>
            </w:r>
          </w:p>
        </w:tc>
        <w:tc>
          <w:tcPr>
            <w:tcW w:w="654" w:type="pct"/>
            <w:tcBorders>
              <w:tl2br w:val="nil"/>
              <w:tr2bl w:val="nil"/>
            </w:tcBorders>
            <w:vAlign w:val="center"/>
          </w:tcPr>
          <w:p>
            <w:pPr>
              <w:jc w:val="center"/>
              <w:rPr>
                <w:rFonts w:cs="Times New Roman"/>
              </w:rPr>
            </w:pPr>
            <w:r>
              <w:rPr>
                <w:rFonts w:cs="Times New Roman"/>
              </w:rPr>
              <w:t>2.78</w:t>
            </w:r>
          </w:p>
        </w:tc>
        <w:tc>
          <w:tcPr>
            <w:tcW w:w="744" w:type="pct"/>
            <w:tcBorders>
              <w:tl2br w:val="nil"/>
              <w:tr2bl w:val="nil"/>
            </w:tcBorders>
            <w:vAlign w:val="center"/>
          </w:tcPr>
          <w:p>
            <w:pPr>
              <w:jc w:val="center"/>
              <w:rPr>
                <w:rFonts w:cs="Times New Roman"/>
              </w:rPr>
            </w:pPr>
            <w:r>
              <w:rPr>
                <w:rFonts w:cs="Times New Roman"/>
              </w:rPr>
              <w:t>4.28E-04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2.14E-04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400.0</w:t>
            </w:r>
          </w:p>
        </w:tc>
        <w:tc>
          <w:tcPr>
            <w:tcW w:w="725" w:type="pct"/>
            <w:tcBorders>
              <w:tl2br w:val="nil"/>
              <w:tr2bl w:val="nil"/>
            </w:tcBorders>
            <w:vAlign w:val="center"/>
          </w:tcPr>
          <w:p>
            <w:pPr>
              <w:jc w:val="center"/>
              <w:rPr>
                <w:rFonts w:cs="Times New Roman"/>
              </w:rPr>
            </w:pPr>
            <w:r>
              <w:rPr>
                <w:rFonts w:cs="Times New Roman"/>
              </w:rPr>
              <w:t>1.13E-03</w:t>
            </w:r>
          </w:p>
        </w:tc>
        <w:tc>
          <w:tcPr>
            <w:tcW w:w="654" w:type="pct"/>
            <w:tcBorders>
              <w:tl2br w:val="nil"/>
              <w:tr2bl w:val="nil"/>
            </w:tcBorders>
            <w:vAlign w:val="center"/>
          </w:tcPr>
          <w:p>
            <w:pPr>
              <w:jc w:val="center"/>
              <w:rPr>
                <w:rFonts w:cs="Times New Roman"/>
              </w:rPr>
            </w:pPr>
            <w:r>
              <w:rPr>
                <w:rFonts w:cs="Times New Roman"/>
              </w:rPr>
              <w:t>2.26</w:t>
            </w:r>
          </w:p>
        </w:tc>
        <w:tc>
          <w:tcPr>
            <w:tcW w:w="744" w:type="pct"/>
            <w:tcBorders>
              <w:tl2br w:val="nil"/>
              <w:tr2bl w:val="nil"/>
            </w:tcBorders>
            <w:vAlign w:val="center"/>
          </w:tcPr>
          <w:p>
            <w:pPr>
              <w:jc w:val="center"/>
              <w:rPr>
                <w:rFonts w:cs="Times New Roman"/>
              </w:rPr>
            </w:pPr>
            <w:r>
              <w:rPr>
                <w:rFonts w:cs="Times New Roman"/>
              </w:rPr>
              <w:t>3.47E-04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1.74E-04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500.0</w:t>
            </w:r>
          </w:p>
        </w:tc>
        <w:tc>
          <w:tcPr>
            <w:tcW w:w="725" w:type="pct"/>
            <w:tcBorders>
              <w:tl2br w:val="nil"/>
              <w:tr2bl w:val="nil"/>
            </w:tcBorders>
            <w:vAlign w:val="center"/>
          </w:tcPr>
          <w:p>
            <w:pPr>
              <w:jc w:val="center"/>
              <w:rPr>
                <w:rFonts w:cs="Times New Roman"/>
              </w:rPr>
            </w:pPr>
            <w:r>
              <w:rPr>
                <w:rFonts w:cs="Times New Roman"/>
              </w:rPr>
              <w:t>1.00E-03</w:t>
            </w:r>
          </w:p>
        </w:tc>
        <w:tc>
          <w:tcPr>
            <w:tcW w:w="654" w:type="pct"/>
            <w:tcBorders>
              <w:tl2br w:val="nil"/>
              <w:tr2bl w:val="nil"/>
            </w:tcBorders>
            <w:vAlign w:val="center"/>
          </w:tcPr>
          <w:p>
            <w:pPr>
              <w:jc w:val="center"/>
              <w:rPr>
                <w:rFonts w:cs="Times New Roman"/>
              </w:rPr>
            </w:pPr>
            <w:r>
              <w:rPr>
                <w:rFonts w:cs="Times New Roman"/>
              </w:rPr>
              <w:t>2.01</w:t>
            </w:r>
          </w:p>
        </w:tc>
        <w:tc>
          <w:tcPr>
            <w:tcW w:w="744" w:type="pct"/>
            <w:tcBorders>
              <w:tl2br w:val="nil"/>
              <w:tr2bl w:val="nil"/>
            </w:tcBorders>
            <w:vAlign w:val="center"/>
          </w:tcPr>
          <w:p>
            <w:pPr>
              <w:jc w:val="center"/>
              <w:rPr>
                <w:rFonts w:cs="Times New Roman"/>
              </w:rPr>
            </w:pPr>
            <w:r>
              <w:rPr>
                <w:rFonts w:cs="Times New Roman"/>
              </w:rPr>
              <w:t>3.09E-04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1.55E-04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600.0</w:t>
            </w:r>
          </w:p>
        </w:tc>
        <w:tc>
          <w:tcPr>
            <w:tcW w:w="725" w:type="pct"/>
            <w:tcBorders>
              <w:tl2br w:val="nil"/>
              <w:tr2bl w:val="nil"/>
            </w:tcBorders>
            <w:vAlign w:val="center"/>
          </w:tcPr>
          <w:p>
            <w:pPr>
              <w:jc w:val="center"/>
              <w:rPr>
                <w:rFonts w:cs="Times New Roman"/>
              </w:rPr>
            </w:pPr>
            <w:r>
              <w:rPr>
                <w:rFonts w:cs="Times New Roman"/>
              </w:rPr>
              <w:t>8.98E-04</w:t>
            </w:r>
          </w:p>
        </w:tc>
        <w:tc>
          <w:tcPr>
            <w:tcW w:w="654" w:type="pct"/>
            <w:tcBorders>
              <w:tl2br w:val="nil"/>
              <w:tr2bl w:val="nil"/>
            </w:tcBorders>
            <w:vAlign w:val="center"/>
          </w:tcPr>
          <w:p>
            <w:pPr>
              <w:jc w:val="center"/>
              <w:rPr>
                <w:rFonts w:cs="Times New Roman"/>
              </w:rPr>
            </w:pPr>
            <w:r>
              <w:rPr>
                <w:rFonts w:cs="Times New Roman"/>
              </w:rPr>
              <w:t>1.80</w:t>
            </w:r>
          </w:p>
        </w:tc>
        <w:tc>
          <w:tcPr>
            <w:tcW w:w="744" w:type="pct"/>
            <w:tcBorders>
              <w:tl2br w:val="nil"/>
              <w:tr2bl w:val="nil"/>
            </w:tcBorders>
            <w:vAlign w:val="center"/>
          </w:tcPr>
          <w:p>
            <w:pPr>
              <w:jc w:val="center"/>
              <w:rPr>
                <w:rFonts w:cs="Times New Roman"/>
              </w:rPr>
            </w:pPr>
            <w:r>
              <w:rPr>
                <w:rFonts w:cs="Times New Roman"/>
              </w:rPr>
              <w:t>2.76E-04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1.38E-04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700.0</w:t>
            </w:r>
          </w:p>
        </w:tc>
        <w:tc>
          <w:tcPr>
            <w:tcW w:w="725" w:type="pct"/>
            <w:tcBorders>
              <w:tl2br w:val="nil"/>
              <w:tr2bl w:val="nil"/>
            </w:tcBorders>
            <w:vAlign w:val="center"/>
          </w:tcPr>
          <w:p>
            <w:pPr>
              <w:jc w:val="center"/>
              <w:rPr>
                <w:rFonts w:cs="Times New Roman"/>
              </w:rPr>
            </w:pPr>
            <w:r>
              <w:rPr>
                <w:rFonts w:cs="Times New Roman"/>
              </w:rPr>
              <w:t>8.08E-04</w:t>
            </w:r>
          </w:p>
        </w:tc>
        <w:tc>
          <w:tcPr>
            <w:tcW w:w="654" w:type="pct"/>
            <w:tcBorders>
              <w:tl2br w:val="nil"/>
              <w:tr2bl w:val="nil"/>
            </w:tcBorders>
            <w:vAlign w:val="center"/>
          </w:tcPr>
          <w:p>
            <w:pPr>
              <w:jc w:val="center"/>
              <w:rPr>
                <w:rFonts w:cs="Times New Roman"/>
              </w:rPr>
            </w:pPr>
            <w:r>
              <w:rPr>
                <w:rFonts w:cs="Times New Roman"/>
              </w:rPr>
              <w:t>1.62</w:t>
            </w:r>
          </w:p>
        </w:tc>
        <w:tc>
          <w:tcPr>
            <w:tcW w:w="744" w:type="pct"/>
            <w:tcBorders>
              <w:tl2br w:val="nil"/>
              <w:tr2bl w:val="nil"/>
            </w:tcBorders>
            <w:vAlign w:val="center"/>
          </w:tcPr>
          <w:p>
            <w:pPr>
              <w:jc w:val="center"/>
              <w:rPr>
                <w:rFonts w:cs="Times New Roman"/>
              </w:rPr>
            </w:pPr>
            <w:r>
              <w:rPr>
                <w:rFonts w:cs="Times New Roman"/>
              </w:rPr>
              <w:t>2.48E-04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1.24E-04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800.0</w:t>
            </w:r>
          </w:p>
        </w:tc>
        <w:tc>
          <w:tcPr>
            <w:tcW w:w="725" w:type="pct"/>
            <w:tcBorders>
              <w:tl2br w:val="nil"/>
              <w:tr2bl w:val="nil"/>
            </w:tcBorders>
            <w:vAlign w:val="center"/>
          </w:tcPr>
          <w:p>
            <w:pPr>
              <w:jc w:val="center"/>
              <w:rPr>
                <w:rFonts w:cs="Times New Roman"/>
              </w:rPr>
            </w:pPr>
            <w:r>
              <w:rPr>
                <w:rFonts w:cs="Times New Roman"/>
              </w:rPr>
              <w:t>7.50E-04</w:t>
            </w:r>
          </w:p>
        </w:tc>
        <w:tc>
          <w:tcPr>
            <w:tcW w:w="654" w:type="pct"/>
            <w:tcBorders>
              <w:tl2br w:val="nil"/>
              <w:tr2bl w:val="nil"/>
            </w:tcBorders>
            <w:vAlign w:val="center"/>
          </w:tcPr>
          <w:p>
            <w:pPr>
              <w:jc w:val="center"/>
              <w:rPr>
                <w:rFonts w:cs="Times New Roman"/>
              </w:rPr>
            </w:pPr>
            <w:r>
              <w:rPr>
                <w:rFonts w:cs="Times New Roman"/>
              </w:rPr>
              <w:t>1.50</w:t>
            </w:r>
          </w:p>
        </w:tc>
        <w:tc>
          <w:tcPr>
            <w:tcW w:w="744" w:type="pct"/>
            <w:tcBorders>
              <w:tl2br w:val="nil"/>
              <w:tr2bl w:val="nil"/>
            </w:tcBorders>
            <w:vAlign w:val="center"/>
          </w:tcPr>
          <w:p>
            <w:pPr>
              <w:jc w:val="center"/>
              <w:rPr>
                <w:rFonts w:cs="Times New Roman"/>
              </w:rPr>
            </w:pPr>
            <w:r>
              <w:rPr>
                <w:rFonts w:cs="Times New Roman"/>
              </w:rPr>
              <w:t>2.30E-04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1.15E-04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900.0</w:t>
            </w:r>
          </w:p>
        </w:tc>
        <w:tc>
          <w:tcPr>
            <w:tcW w:w="725" w:type="pct"/>
            <w:tcBorders>
              <w:tl2br w:val="nil"/>
              <w:tr2bl w:val="nil"/>
            </w:tcBorders>
            <w:vAlign w:val="center"/>
          </w:tcPr>
          <w:p>
            <w:pPr>
              <w:jc w:val="center"/>
              <w:rPr>
                <w:rFonts w:cs="Times New Roman"/>
              </w:rPr>
            </w:pPr>
            <w:r>
              <w:rPr>
                <w:rFonts w:cs="Times New Roman"/>
              </w:rPr>
              <w:t>7.00E-04</w:t>
            </w:r>
          </w:p>
        </w:tc>
        <w:tc>
          <w:tcPr>
            <w:tcW w:w="654" w:type="pct"/>
            <w:tcBorders>
              <w:tl2br w:val="nil"/>
              <w:tr2bl w:val="nil"/>
            </w:tcBorders>
            <w:vAlign w:val="center"/>
          </w:tcPr>
          <w:p>
            <w:pPr>
              <w:jc w:val="center"/>
              <w:rPr>
                <w:rFonts w:cs="Times New Roman"/>
              </w:rPr>
            </w:pPr>
            <w:r>
              <w:rPr>
                <w:rFonts w:cs="Times New Roman"/>
              </w:rPr>
              <w:t>1.40</w:t>
            </w:r>
          </w:p>
        </w:tc>
        <w:tc>
          <w:tcPr>
            <w:tcW w:w="744" w:type="pct"/>
            <w:tcBorders>
              <w:tl2br w:val="nil"/>
              <w:tr2bl w:val="nil"/>
            </w:tcBorders>
            <w:vAlign w:val="center"/>
          </w:tcPr>
          <w:p>
            <w:pPr>
              <w:jc w:val="center"/>
              <w:rPr>
                <w:rFonts w:cs="Times New Roman"/>
              </w:rPr>
            </w:pPr>
            <w:r>
              <w:rPr>
                <w:rFonts w:cs="Times New Roman"/>
              </w:rPr>
              <w:t>2.15E-04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1.08E-04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1000.0</w:t>
            </w:r>
          </w:p>
        </w:tc>
        <w:tc>
          <w:tcPr>
            <w:tcW w:w="725" w:type="pct"/>
            <w:tcBorders>
              <w:tl2br w:val="nil"/>
              <w:tr2bl w:val="nil"/>
            </w:tcBorders>
            <w:vAlign w:val="center"/>
          </w:tcPr>
          <w:p>
            <w:pPr>
              <w:jc w:val="center"/>
              <w:rPr>
                <w:rFonts w:cs="Times New Roman"/>
              </w:rPr>
            </w:pPr>
            <w:r>
              <w:rPr>
                <w:rFonts w:cs="Times New Roman"/>
              </w:rPr>
              <w:t>6.59E-04</w:t>
            </w:r>
          </w:p>
        </w:tc>
        <w:tc>
          <w:tcPr>
            <w:tcW w:w="654" w:type="pct"/>
            <w:tcBorders>
              <w:tl2br w:val="nil"/>
              <w:tr2bl w:val="nil"/>
            </w:tcBorders>
            <w:vAlign w:val="center"/>
          </w:tcPr>
          <w:p>
            <w:pPr>
              <w:jc w:val="center"/>
              <w:rPr>
                <w:rFonts w:cs="Times New Roman"/>
              </w:rPr>
            </w:pPr>
            <w:r>
              <w:rPr>
                <w:rFonts w:cs="Times New Roman"/>
              </w:rPr>
              <w:t>1.32</w:t>
            </w:r>
          </w:p>
        </w:tc>
        <w:tc>
          <w:tcPr>
            <w:tcW w:w="744" w:type="pct"/>
            <w:tcBorders>
              <w:tl2br w:val="nil"/>
              <w:tr2bl w:val="nil"/>
            </w:tcBorders>
            <w:vAlign w:val="center"/>
          </w:tcPr>
          <w:p>
            <w:pPr>
              <w:jc w:val="center"/>
              <w:rPr>
                <w:rFonts w:cs="Times New Roman"/>
              </w:rPr>
            </w:pPr>
            <w:r>
              <w:rPr>
                <w:rFonts w:cs="Times New Roman"/>
              </w:rPr>
              <w:t>2.03E-04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1.01E-04</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1200.0</w:t>
            </w:r>
          </w:p>
        </w:tc>
        <w:tc>
          <w:tcPr>
            <w:tcW w:w="725" w:type="pct"/>
            <w:tcBorders>
              <w:tl2br w:val="nil"/>
              <w:tr2bl w:val="nil"/>
            </w:tcBorders>
            <w:vAlign w:val="center"/>
          </w:tcPr>
          <w:p>
            <w:pPr>
              <w:jc w:val="center"/>
              <w:rPr>
                <w:rFonts w:cs="Times New Roman"/>
              </w:rPr>
            </w:pPr>
            <w:r>
              <w:rPr>
                <w:rFonts w:cs="Times New Roman"/>
              </w:rPr>
              <w:t>5.94E-04</w:t>
            </w:r>
          </w:p>
        </w:tc>
        <w:tc>
          <w:tcPr>
            <w:tcW w:w="654" w:type="pct"/>
            <w:tcBorders>
              <w:tl2br w:val="nil"/>
              <w:tr2bl w:val="nil"/>
            </w:tcBorders>
            <w:vAlign w:val="center"/>
          </w:tcPr>
          <w:p>
            <w:pPr>
              <w:jc w:val="center"/>
              <w:rPr>
                <w:rFonts w:cs="Times New Roman"/>
              </w:rPr>
            </w:pPr>
            <w:r>
              <w:rPr>
                <w:rFonts w:cs="Times New Roman"/>
              </w:rPr>
              <w:t>1.19</w:t>
            </w:r>
          </w:p>
        </w:tc>
        <w:tc>
          <w:tcPr>
            <w:tcW w:w="744" w:type="pct"/>
            <w:tcBorders>
              <w:tl2br w:val="nil"/>
              <w:tr2bl w:val="nil"/>
            </w:tcBorders>
            <w:vAlign w:val="center"/>
          </w:tcPr>
          <w:p>
            <w:pPr>
              <w:jc w:val="center"/>
              <w:rPr>
                <w:rFonts w:cs="Times New Roman"/>
              </w:rPr>
            </w:pPr>
            <w:r>
              <w:rPr>
                <w:rFonts w:cs="Times New Roman"/>
              </w:rPr>
              <w:t>1.82E-04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9.14E-05</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1400.0</w:t>
            </w:r>
          </w:p>
        </w:tc>
        <w:tc>
          <w:tcPr>
            <w:tcW w:w="725" w:type="pct"/>
            <w:tcBorders>
              <w:tl2br w:val="nil"/>
              <w:tr2bl w:val="nil"/>
            </w:tcBorders>
            <w:vAlign w:val="center"/>
          </w:tcPr>
          <w:p>
            <w:pPr>
              <w:jc w:val="center"/>
              <w:rPr>
                <w:rFonts w:cs="Times New Roman"/>
              </w:rPr>
            </w:pPr>
            <w:r>
              <w:rPr>
                <w:rFonts w:cs="Times New Roman"/>
              </w:rPr>
              <w:t>5.39E-04</w:t>
            </w:r>
          </w:p>
        </w:tc>
        <w:tc>
          <w:tcPr>
            <w:tcW w:w="654" w:type="pct"/>
            <w:tcBorders>
              <w:tl2br w:val="nil"/>
              <w:tr2bl w:val="nil"/>
            </w:tcBorders>
            <w:vAlign w:val="center"/>
          </w:tcPr>
          <w:p>
            <w:pPr>
              <w:jc w:val="center"/>
              <w:rPr>
                <w:rFonts w:cs="Times New Roman"/>
              </w:rPr>
            </w:pPr>
            <w:r>
              <w:rPr>
                <w:rFonts w:cs="Times New Roman"/>
              </w:rPr>
              <w:t>1.08</w:t>
            </w:r>
          </w:p>
        </w:tc>
        <w:tc>
          <w:tcPr>
            <w:tcW w:w="744" w:type="pct"/>
            <w:tcBorders>
              <w:tl2br w:val="nil"/>
              <w:tr2bl w:val="nil"/>
            </w:tcBorders>
            <w:vAlign w:val="center"/>
          </w:tcPr>
          <w:p>
            <w:pPr>
              <w:jc w:val="center"/>
              <w:rPr>
                <w:rFonts w:cs="Times New Roman"/>
              </w:rPr>
            </w:pPr>
            <w:r>
              <w:rPr>
                <w:rFonts w:cs="Times New Roman"/>
              </w:rPr>
              <w:t>1.66E-04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8.30E-05</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1600.0</w:t>
            </w:r>
          </w:p>
        </w:tc>
        <w:tc>
          <w:tcPr>
            <w:tcW w:w="725" w:type="pct"/>
            <w:tcBorders>
              <w:tl2br w:val="nil"/>
              <w:tr2bl w:val="nil"/>
            </w:tcBorders>
            <w:vAlign w:val="center"/>
          </w:tcPr>
          <w:p>
            <w:pPr>
              <w:jc w:val="center"/>
              <w:rPr>
                <w:rFonts w:cs="Times New Roman"/>
              </w:rPr>
            </w:pPr>
            <w:r>
              <w:rPr>
                <w:rFonts w:cs="Times New Roman"/>
              </w:rPr>
              <w:t>4.92E-04</w:t>
            </w:r>
          </w:p>
        </w:tc>
        <w:tc>
          <w:tcPr>
            <w:tcW w:w="654" w:type="pct"/>
            <w:tcBorders>
              <w:tl2br w:val="nil"/>
              <w:tr2bl w:val="nil"/>
            </w:tcBorders>
            <w:vAlign w:val="center"/>
          </w:tcPr>
          <w:p>
            <w:pPr>
              <w:jc w:val="center"/>
              <w:rPr>
                <w:rFonts w:cs="Times New Roman"/>
              </w:rPr>
            </w:pPr>
            <w:r>
              <w:rPr>
                <w:rFonts w:cs="Times New Roman"/>
              </w:rPr>
              <w:t>0.98</w:t>
            </w:r>
          </w:p>
        </w:tc>
        <w:tc>
          <w:tcPr>
            <w:tcW w:w="744" w:type="pct"/>
            <w:tcBorders>
              <w:tl2br w:val="nil"/>
              <w:tr2bl w:val="nil"/>
            </w:tcBorders>
            <w:vAlign w:val="center"/>
          </w:tcPr>
          <w:p>
            <w:pPr>
              <w:jc w:val="center"/>
              <w:rPr>
                <w:rFonts w:cs="Times New Roman"/>
              </w:rPr>
            </w:pPr>
            <w:r>
              <w:rPr>
                <w:rFonts w:cs="Times New Roman"/>
              </w:rPr>
              <w:t>1.51E-04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7.58E-05</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1800.0</w:t>
            </w:r>
          </w:p>
        </w:tc>
        <w:tc>
          <w:tcPr>
            <w:tcW w:w="725" w:type="pct"/>
            <w:tcBorders>
              <w:tl2br w:val="nil"/>
              <w:tr2bl w:val="nil"/>
            </w:tcBorders>
            <w:vAlign w:val="center"/>
          </w:tcPr>
          <w:p>
            <w:pPr>
              <w:jc w:val="center"/>
              <w:rPr>
                <w:rFonts w:cs="Times New Roman"/>
              </w:rPr>
            </w:pPr>
            <w:r>
              <w:rPr>
                <w:rFonts w:cs="Times New Roman"/>
              </w:rPr>
              <w:t>4.55E-04</w:t>
            </w:r>
          </w:p>
        </w:tc>
        <w:tc>
          <w:tcPr>
            <w:tcW w:w="654" w:type="pct"/>
            <w:tcBorders>
              <w:tl2br w:val="nil"/>
              <w:tr2bl w:val="nil"/>
            </w:tcBorders>
            <w:vAlign w:val="center"/>
          </w:tcPr>
          <w:p>
            <w:pPr>
              <w:jc w:val="center"/>
              <w:rPr>
                <w:rFonts w:cs="Times New Roman"/>
              </w:rPr>
            </w:pPr>
            <w:r>
              <w:rPr>
                <w:rFonts w:cs="Times New Roman"/>
              </w:rPr>
              <w:t>0.91</w:t>
            </w:r>
          </w:p>
        </w:tc>
        <w:tc>
          <w:tcPr>
            <w:tcW w:w="744" w:type="pct"/>
            <w:tcBorders>
              <w:tl2br w:val="nil"/>
              <w:tr2bl w:val="nil"/>
            </w:tcBorders>
            <w:vAlign w:val="center"/>
          </w:tcPr>
          <w:p>
            <w:pPr>
              <w:jc w:val="center"/>
              <w:rPr>
                <w:rFonts w:cs="Times New Roman"/>
              </w:rPr>
            </w:pPr>
            <w:r>
              <w:rPr>
                <w:rFonts w:cs="Times New Roman"/>
              </w:rPr>
              <w:t>1.40E-04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7.00E-05</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2000.0</w:t>
            </w:r>
          </w:p>
        </w:tc>
        <w:tc>
          <w:tcPr>
            <w:tcW w:w="725" w:type="pct"/>
            <w:tcBorders>
              <w:tl2br w:val="nil"/>
              <w:tr2bl w:val="nil"/>
            </w:tcBorders>
            <w:vAlign w:val="center"/>
          </w:tcPr>
          <w:p>
            <w:pPr>
              <w:jc w:val="center"/>
              <w:rPr>
                <w:rFonts w:cs="Times New Roman"/>
              </w:rPr>
            </w:pPr>
            <w:r>
              <w:rPr>
                <w:rFonts w:cs="Times New Roman"/>
              </w:rPr>
              <w:t>4.24E-04</w:t>
            </w:r>
          </w:p>
        </w:tc>
        <w:tc>
          <w:tcPr>
            <w:tcW w:w="654" w:type="pct"/>
            <w:tcBorders>
              <w:tl2br w:val="nil"/>
              <w:tr2bl w:val="nil"/>
            </w:tcBorders>
            <w:vAlign w:val="center"/>
          </w:tcPr>
          <w:p>
            <w:pPr>
              <w:jc w:val="center"/>
              <w:rPr>
                <w:rFonts w:cs="Times New Roman"/>
              </w:rPr>
            </w:pPr>
            <w:r>
              <w:rPr>
                <w:rFonts w:cs="Times New Roman"/>
              </w:rPr>
              <w:t>0.85</w:t>
            </w:r>
          </w:p>
        </w:tc>
        <w:tc>
          <w:tcPr>
            <w:tcW w:w="744" w:type="pct"/>
            <w:tcBorders>
              <w:tl2br w:val="nil"/>
              <w:tr2bl w:val="nil"/>
            </w:tcBorders>
            <w:vAlign w:val="center"/>
          </w:tcPr>
          <w:p>
            <w:pPr>
              <w:jc w:val="center"/>
              <w:rPr>
                <w:rFonts w:cs="Times New Roman"/>
              </w:rPr>
            </w:pPr>
            <w:r>
              <w:rPr>
                <w:rFonts w:cs="Times New Roman"/>
              </w:rPr>
              <w:t>1.30E-04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6.52E-05</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2500.0</w:t>
            </w:r>
          </w:p>
        </w:tc>
        <w:tc>
          <w:tcPr>
            <w:tcW w:w="725" w:type="pct"/>
            <w:tcBorders>
              <w:tl2br w:val="nil"/>
              <w:tr2bl w:val="nil"/>
            </w:tcBorders>
            <w:vAlign w:val="center"/>
          </w:tcPr>
          <w:p>
            <w:pPr>
              <w:jc w:val="center"/>
              <w:rPr>
                <w:rFonts w:cs="Times New Roman"/>
              </w:rPr>
            </w:pPr>
            <w:r>
              <w:rPr>
                <w:rFonts w:cs="Times New Roman"/>
              </w:rPr>
              <w:t>3.65E-04</w:t>
            </w:r>
          </w:p>
        </w:tc>
        <w:tc>
          <w:tcPr>
            <w:tcW w:w="654" w:type="pct"/>
            <w:tcBorders>
              <w:tl2br w:val="nil"/>
              <w:tr2bl w:val="nil"/>
            </w:tcBorders>
            <w:vAlign w:val="center"/>
          </w:tcPr>
          <w:p>
            <w:pPr>
              <w:jc w:val="center"/>
              <w:rPr>
                <w:rFonts w:cs="Times New Roman"/>
              </w:rPr>
            </w:pPr>
            <w:r>
              <w:rPr>
                <w:rFonts w:cs="Times New Roman"/>
              </w:rPr>
              <w:t>0.73</w:t>
            </w:r>
          </w:p>
        </w:tc>
        <w:tc>
          <w:tcPr>
            <w:tcW w:w="744" w:type="pct"/>
            <w:tcBorders>
              <w:tl2br w:val="nil"/>
              <w:tr2bl w:val="nil"/>
            </w:tcBorders>
            <w:vAlign w:val="center"/>
          </w:tcPr>
          <w:p>
            <w:pPr>
              <w:jc w:val="center"/>
              <w:rPr>
                <w:rFonts w:cs="Times New Roman"/>
              </w:rPr>
            </w:pPr>
            <w:r>
              <w:rPr>
                <w:rFonts w:cs="Times New Roman"/>
              </w:rPr>
              <w:t>1.12E-04</w:t>
            </w:r>
          </w:p>
        </w:tc>
        <w:tc>
          <w:tcPr>
            <w:tcW w:w="654" w:type="pct"/>
            <w:tcBorders>
              <w:tl2br w:val="nil"/>
              <w:tr2bl w:val="nil"/>
            </w:tcBorders>
            <w:vAlign w:val="center"/>
          </w:tcPr>
          <w:p>
            <w:pPr>
              <w:jc w:val="center"/>
              <w:rPr>
                <w:rFonts w:cs="Times New Roman"/>
              </w:rPr>
            </w:pPr>
            <w:r>
              <w:rPr>
                <w:rFonts w:cs="Times New Roman"/>
              </w:rPr>
              <w:t>0.00</w:t>
            </w:r>
          </w:p>
        </w:tc>
        <w:tc>
          <w:tcPr>
            <w:tcW w:w="737" w:type="pct"/>
            <w:tcBorders>
              <w:tl2br w:val="nil"/>
              <w:tr2bl w:val="nil"/>
            </w:tcBorders>
            <w:vAlign w:val="center"/>
          </w:tcPr>
          <w:p>
            <w:pPr>
              <w:jc w:val="center"/>
              <w:rPr>
                <w:rFonts w:cs="Times New Roman"/>
              </w:rPr>
            </w:pPr>
            <w:r>
              <w:rPr>
                <w:rFonts w:cs="Times New Roman"/>
              </w:rPr>
              <w:t>5.62E-05</w:t>
            </w:r>
          </w:p>
        </w:tc>
        <w:tc>
          <w:tcPr>
            <w:tcW w:w="741" w:type="pct"/>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下风向最大浓度</w:t>
            </w:r>
          </w:p>
        </w:tc>
        <w:tc>
          <w:tcPr>
            <w:tcW w:w="1387" w:type="dxa"/>
            <w:tcBorders>
              <w:tl2br w:val="nil"/>
              <w:tr2bl w:val="nil"/>
            </w:tcBorders>
            <w:vAlign w:val="center"/>
          </w:tcPr>
          <w:p>
            <w:pPr>
              <w:jc w:val="center"/>
              <w:rPr>
                <w:rFonts w:cs="Times New Roman"/>
              </w:rPr>
            </w:pPr>
            <w:r>
              <w:rPr>
                <w:rFonts w:cs="Times New Roman"/>
              </w:rPr>
              <w:t>3.53E-03</w:t>
            </w:r>
          </w:p>
        </w:tc>
        <w:tc>
          <w:tcPr>
            <w:tcW w:w="1251" w:type="dxa"/>
            <w:tcBorders>
              <w:tl2br w:val="nil"/>
              <w:tr2bl w:val="nil"/>
            </w:tcBorders>
            <w:vAlign w:val="center"/>
          </w:tcPr>
          <w:p>
            <w:pPr>
              <w:jc w:val="center"/>
              <w:rPr>
                <w:rFonts w:cs="Times New Roman"/>
              </w:rPr>
            </w:pPr>
            <w:r>
              <w:rPr>
                <w:rFonts w:cs="Times New Roman"/>
              </w:rPr>
              <w:t>7.07</w:t>
            </w:r>
          </w:p>
        </w:tc>
        <w:tc>
          <w:tcPr>
            <w:tcW w:w="1423" w:type="dxa"/>
            <w:tcBorders>
              <w:tl2br w:val="nil"/>
              <w:tr2bl w:val="nil"/>
            </w:tcBorders>
            <w:vAlign w:val="center"/>
          </w:tcPr>
          <w:p>
            <w:pPr>
              <w:jc w:val="center"/>
              <w:rPr>
                <w:rFonts w:cs="Times New Roman"/>
              </w:rPr>
            </w:pPr>
            <w:r>
              <w:rPr>
                <w:rFonts w:cs="Times New Roman"/>
              </w:rPr>
              <w:t>1.09E-03</w:t>
            </w:r>
          </w:p>
        </w:tc>
        <w:tc>
          <w:tcPr>
            <w:tcW w:w="1251" w:type="dxa"/>
            <w:tcBorders>
              <w:tl2br w:val="nil"/>
              <w:tr2bl w:val="nil"/>
            </w:tcBorders>
            <w:vAlign w:val="center"/>
          </w:tcPr>
          <w:p>
            <w:pPr>
              <w:jc w:val="center"/>
              <w:rPr>
                <w:rFonts w:cs="Times New Roman"/>
              </w:rPr>
            </w:pPr>
            <w:r>
              <w:rPr>
                <w:rFonts w:cs="Times New Roman"/>
              </w:rPr>
              <w:t>0.00</w:t>
            </w:r>
          </w:p>
        </w:tc>
        <w:tc>
          <w:tcPr>
            <w:tcW w:w="1410" w:type="dxa"/>
            <w:tcBorders>
              <w:tl2br w:val="nil"/>
              <w:tr2bl w:val="nil"/>
            </w:tcBorders>
            <w:vAlign w:val="center"/>
          </w:tcPr>
          <w:p>
            <w:pPr>
              <w:jc w:val="center"/>
              <w:rPr>
                <w:rFonts w:cs="Times New Roman"/>
              </w:rPr>
            </w:pPr>
            <w:r>
              <w:rPr>
                <w:rFonts w:cs="Times New Roman"/>
              </w:rPr>
              <w:t>5.44E-04</w:t>
            </w:r>
          </w:p>
        </w:tc>
        <w:tc>
          <w:tcPr>
            <w:tcW w:w="1417" w:type="dxa"/>
            <w:tcBorders>
              <w:tl2br w:val="nil"/>
              <w:tr2bl w:val="nil"/>
            </w:tcBorders>
            <w:vAlign w:val="center"/>
          </w:tcPr>
          <w:p>
            <w:pPr>
              <w:jc w:val="center"/>
              <w:rPr>
                <w:rFonts w:cs="Times New Roman"/>
              </w:rPr>
            </w:pPr>
            <w:r>
              <w:rPr>
                <w:rFonts w:cs="Times New Roman"/>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下风向最大浓度出现距离</w:t>
            </w:r>
          </w:p>
        </w:tc>
        <w:tc>
          <w:tcPr>
            <w:tcW w:w="725" w:type="pct"/>
            <w:tcBorders>
              <w:tl2br w:val="nil"/>
              <w:tr2bl w:val="nil"/>
            </w:tcBorders>
            <w:vAlign w:val="center"/>
          </w:tcPr>
          <w:p>
            <w:pPr>
              <w:jc w:val="center"/>
              <w:rPr>
                <w:rFonts w:cs="Times New Roman"/>
              </w:rPr>
            </w:pPr>
            <w:r>
              <w:rPr>
                <w:rFonts w:cs="Times New Roman"/>
              </w:rPr>
              <w:t>73</w:t>
            </w:r>
          </w:p>
        </w:tc>
        <w:tc>
          <w:tcPr>
            <w:tcW w:w="654" w:type="pct"/>
            <w:tcBorders>
              <w:tl2br w:val="nil"/>
              <w:tr2bl w:val="nil"/>
            </w:tcBorders>
            <w:vAlign w:val="center"/>
          </w:tcPr>
          <w:p>
            <w:pPr>
              <w:jc w:val="center"/>
              <w:rPr>
                <w:rFonts w:cs="Times New Roman"/>
              </w:rPr>
            </w:pPr>
            <w:r>
              <w:rPr>
                <w:rFonts w:cs="Times New Roman"/>
              </w:rPr>
              <w:t>73</w:t>
            </w:r>
          </w:p>
        </w:tc>
        <w:tc>
          <w:tcPr>
            <w:tcW w:w="744" w:type="pct"/>
            <w:tcBorders>
              <w:tl2br w:val="nil"/>
              <w:tr2bl w:val="nil"/>
            </w:tcBorders>
            <w:vAlign w:val="center"/>
          </w:tcPr>
          <w:p>
            <w:pPr>
              <w:jc w:val="center"/>
              <w:rPr>
                <w:rFonts w:cs="Times New Roman"/>
              </w:rPr>
            </w:pPr>
            <w:r>
              <w:rPr>
                <w:rFonts w:cs="Times New Roman"/>
              </w:rPr>
              <w:t>73</w:t>
            </w:r>
          </w:p>
        </w:tc>
        <w:tc>
          <w:tcPr>
            <w:tcW w:w="654" w:type="pct"/>
            <w:tcBorders>
              <w:tl2br w:val="nil"/>
              <w:tr2bl w:val="nil"/>
            </w:tcBorders>
            <w:vAlign w:val="center"/>
          </w:tcPr>
          <w:p>
            <w:pPr>
              <w:jc w:val="center"/>
              <w:rPr>
                <w:rFonts w:cs="Times New Roman"/>
              </w:rPr>
            </w:pPr>
            <w:r>
              <w:rPr>
                <w:rFonts w:cs="Times New Roman"/>
              </w:rPr>
              <w:t>73</w:t>
            </w:r>
          </w:p>
        </w:tc>
        <w:tc>
          <w:tcPr>
            <w:tcW w:w="737" w:type="pct"/>
            <w:tcBorders>
              <w:tl2br w:val="nil"/>
              <w:tr2bl w:val="nil"/>
            </w:tcBorders>
            <w:vAlign w:val="center"/>
          </w:tcPr>
          <w:p>
            <w:pPr>
              <w:jc w:val="center"/>
              <w:rPr>
                <w:rFonts w:cs="Times New Roman"/>
              </w:rPr>
            </w:pPr>
            <w:r>
              <w:rPr>
                <w:rFonts w:cs="Times New Roman"/>
              </w:rPr>
              <w:t>73</w:t>
            </w:r>
          </w:p>
        </w:tc>
        <w:tc>
          <w:tcPr>
            <w:tcW w:w="741" w:type="pct"/>
            <w:tcBorders>
              <w:tl2br w:val="nil"/>
              <w:tr2bl w:val="nil"/>
            </w:tcBorders>
            <w:vAlign w:val="center"/>
          </w:tcPr>
          <w:p>
            <w:pPr>
              <w:jc w:val="center"/>
              <w:rPr>
                <w:rFonts w:cs="Times New Roman"/>
              </w:rPr>
            </w:pPr>
            <w:r>
              <w:rPr>
                <w:rFonts w:cs="Times New Roman"/>
              </w:rPr>
              <w:t>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44" w:type="pct"/>
            <w:tcBorders>
              <w:tl2br w:val="nil"/>
              <w:tr2bl w:val="nil"/>
            </w:tcBorders>
            <w:vAlign w:val="center"/>
          </w:tcPr>
          <w:p>
            <w:pPr>
              <w:jc w:val="center"/>
              <w:rPr>
                <w:rFonts w:cs="Times New Roman"/>
              </w:rPr>
            </w:pPr>
            <w:r>
              <w:rPr>
                <w:rFonts w:cs="Times New Roman"/>
                <w:sz w:val="23"/>
                <w:szCs w:val="23"/>
              </w:rPr>
              <w:t>D10%最远距离</w:t>
            </w:r>
          </w:p>
        </w:tc>
        <w:tc>
          <w:tcPr>
            <w:tcW w:w="725" w:type="pct"/>
            <w:tcBorders>
              <w:tl2br w:val="nil"/>
              <w:tr2bl w:val="nil"/>
            </w:tcBorders>
            <w:vAlign w:val="center"/>
          </w:tcPr>
          <w:p>
            <w:pPr>
              <w:jc w:val="center"/>
              <w:rPr>
                <w:rFonts w:cs="Times New Roman"/>
              </w:rPr>
            </w:pPr>
            <w:r>
              <w:rPr>
                <w:rFonts w:cs="Times New Roman"/>
                <w:sz w:val="23"/>
                <w:szCs w:val="23"/>
              </w:rPr>
              <w:t>/</w:t>
            </w:r>
          </w:p>
        </w:tc>
        <w:tc>
          <w:tcPr>
            <w:tcW w:w="654" w:type="pct"/>
            <w:tcBorders>
              <w:tl2br w:val="nil"/>
              <w:tr2bl w:val="nil"/>
            </w:tcBorders>
            <w:vAlign w:val="center"/>
          </w:tcPr>
          <w:p>
            <w:pPr>
              <w:jc w:val="center"/>
              <w:rPr>
                <w:rFonts w:cs="Times New Roman"/>
              </w:rPr>
            </w:pPr>
            <w:r>
              <w:rPr>
                <w:rFonts w:cs="Times New Roman"/>
                <w:sz w:val="23"/>
                <w:szCs w:val="23"/>
              </w:rPr>
              <w:t>/</w:t>
            </w:r>
          </w:p>
        </w:tc>
        <w:tc>
          <w:tcPr>
            <w:tcW w:w="744" w:type="pct"/>
            <w:tcBorders>
              <w:tl2br w:val="nil"/>
              <w:tr2bl w:val="nil"/>
            </w:tcBorders>
            <w:vAlign w:val="center"/>
          </w:tcPr>
          <w:p>
            <w:pPr>
              <w:jc w:val="center"/>
              <w:rPr>
                <w:rFonts w:cs="Times New Roman"/>
              </w:rPr>
            </w:pPr>
            <w:r>
              <w:rPr>
                <w:rFonts w:cs="Times New Roman"/>
                <w:sz w:val="23"/>
                <w:szCs w:val="23"/>
              </w:rPr>
              <w:t>/</w:t>
            </w:r>
          </w:p>
        </w:tc>
        <w:tc>
          <w:tcPr>
            <w:tcW w:w="654" w:type="pct"/>
            <w:tcBorders>
              <w:tl2br w:val="nil"/>
              <w:tr2bl w:val="nil"/>
            </w:tcBorders>
            <w:vAlign w:val="center"/>
          </w:tcPr>
          <w:p>
            <w:pPr>
              <w:jc w:val="center"/>
              <w:rPr>
                <w:rFonts w:cs="Times New Roman"/>
              </w:rPr>
            </w:pPr>
            <w:r>
              <w:rPr>
                <w:rFonts w:cs="Times New Roman"/>
                <w:sz w:val="23"/>
                <w:szCs w:val="23"/>
              </w:rPr>
              <w:t>/</w:t>
            </w:r>
          </w:p>
        </w:tc>
        <w:tc>
          <w:tcPr>
            <w:tcW w:w="737" w:type="pct"/>
            <w:tcBorders>
              <w:tl2br w:val="nil"/>
              <w:tr2bl w:val="nil"/>
            </w:tcBorders>
            <w:vAlign w:val="center"/>
          </w:tcPr>
          <w:p>
            <w:pPr>
              <w:jc w:val="center"/>
              <w:rPr>
                <w:rFonts w:cs="Times New Roman"/>
              </w:rPr>
            </w:pPr>
            <w:r>
              <w:rPr>
                <w:rFonts w:cs="Times New Roman"/>
                <w:sz w:val="23"/>
                <w:szCs w:val="23"/>
              </w:rPr>
              <w:t>/</w:t>
            </w:r>
          </w:p>
        </w:tc>
        <w:tc>
          <w:tcPr>
            <w:tcW w:w="741" w:type="pct"/>
            <w:tcBorders>
              <w:tl2br w:val="nil"/>
              <w:tr2bl w:val="nil"/>
            </w:tcBorders>
            <w:vAlign w:val="center"/>
          </w:tcPr>
          <w:p>
            <w:pPr>
              <w:jc w:val="center"/>
              <w:rPr>
                <w:rFonts w:cs="Times New Roman"/>
              </w:rPr>
            </w:pPr>
            <w:r>
              <w:rPr>
                <w:rFonts w:cs="Times New Roman"/>
                <w:sz w:val="23"/>
                <w:szCs w:val="23"/>
              </w:rPr>
              <w:t>/</w:t>
            </w:r>
          </w:p>
        </w:tc>
      </w:tr>
    </w:tbl>
    <w:p>
      <w:pPr>
        <w:spacing w:line="360" w:lineRule="auto"/>
        <w:jc w:val="center"/>
        <w:rPr>
          <w:rFonts w:cs="Times New Roman"/>
          <w:b/>
          <w:bCs/>
          <w:sz w:val="24"/>
          <w:szCs w:val="24"/>
        </w:rPr>
      </w:pPr>
    </w:p>
    <w:p>
      <w:pPr>
        <w:spacing w:line="360" w:lineRule="auto"/>
        <w:jc w:val="center"/>
        <w:rPr>
          <w:rFonts w:cs="Times New Roman"/>
          <w:b/>
          <w:bCs/>
          <w:sz w:val="24"/>
          <w:szCs w:val="24"/>
        </w:rPr>
      </w:pPr>
      <w:r>
        <w:rPr>
          <w:rFonts w:cs="Times New Roman"/>
          <w:b/>
          <w:bCs/>
          <w:sz w:val="24"/>
          <w:szCs w:val="24"/>
        </w:rPr>
        <w:t>表4.4-2  点源预测结果</w:t>
      </w:r>
    </w:p>
    <w:tbl>
      <w:tblPr>
        <w:tblStyle w:val="26"/>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25"/>
        <w:gridCol w:w="978"/>
        <w:gridCol w:w="679"/>
        <w:gridCol w:w="978"/>
        <w:gridCol w:w="683"/>
        <w:gridCol w:w="978"/>
        <w:gridCol w:w="797"/>
        <w:gridCol w:w="916"/>
        <w:gridCol w:w="890"/>
        <w:gridCol w:w="918"/>
        <w:gridCol w:w="8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vMerge w:val="restart"/>
            <w:tcBorders>
              <w:tl2br w:val="nil"/>
              <w:tr2bl w:val="nil"/>
            </w:tcBorders>
            <w:vAlign w:val="center"/>
          </w:tcPr>
          <w:p>
            <w:pPr>
              <w:jc w:val="center"/>
              <w:rPr>
                <w:rFonts w:cs="Times New Roman"/>
                <w:b/>
                <w:bCs/>
              </w:rPr>
            </w:pPr>
            <w:r>
              <w:rPr>
                <w:rFonts w:cs="Times New Roman"/>
                <w:b/>
                <w:bCs/>
                <w:sz w:val="23"/>
                <w:szCs w:val="23"/>
              </w:rPr>
              <w:t>下风向距离</w:t>
            </w:r>
          </w:p>
        </w:tc>
        <w:tc>
          <w:tcPr>
            <w:tcW w:w="4563" w:type="pct"/>
            <w:gridSpan w:val="10"/>
            <w:tcBorders>
              <w:tl2br w:val="nil"/>
              <w:tr2bl w:val="nil"/>
            </w:tcBorders>
            <w:vAlign w:val="center"/>
          </w:tcPr>
          <w:p>
            <w:pPr>
              <w:jc w:val="center"/>
              <w:rPr>
                <w:rFonts w:cs="Times New Roman"/>
                <w:b/>
                <w:bCs/>
                <w:sz w:val="23"/>
                <w:szCs w:val="23"/>
              </w:rPr>
            </w:pPr>
            <w:r>
              <w:rPr>
                <w:rFonts w:cs="Times New Roman"/>
                <w:b/>
                <w:bCs/>
                <w:sz w:val="23"/>
                <w:szCs w:val="23"/>
              </w:rPr>
              <w:t>DA005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vMerge w:val="continue"/>
            <w:tcBorders>
              <w:tl2br w:val="nil"/>
              <w:tr2bl w:val="nil"/>
            </w:tcBorders>
            <w:vAlign w:val="center"/>
          </w:tcPr>
          <w:p>
            <w:pPr>
              <w:jc w:val="center"/>
              <w:rPr>
                <w:rFonts w:cs="Times New Roman"/>
                <w:b/>
                <w:bCs/>
              </w:rPr>
            </w:pPr>
          </w:p>
        </w:tc>
        <w:tc>
          <w:tcPr>
            <w:tcW w:w="517" w:type="pct"/>
            <w:tcBorders>
              <w:tl2br w:val="nil"/>
              <w:tr2bl w:val="nil"/>
            </w:tcBorders>
            <w:vAlign w:val="center"/>
          </w:tcPr>
          <w:p>
            <w:pPr>
              <w:jc w:val="center"/>
              <w:rPr>
                <w:rFonts w:cs="Times New Roman"/>
                <w:b/>
                <w:bCs/>
              </w:rPr>
            </w:pPr>
            <w:r>
              <w:rPr>
                <w:rFonts w:cs="Times New Roman"/>
                <w:b/>
                <w:bCs/>
                <w:sz w:val="23"/>
                <w:szCs w:val="23"/>
              </w:rPr>
              <w:t>甲醛浓度(</w:t>
            </w:r>
            <w:r>
              <w:rPr>
                <w:rFonts w:cs="Times New Roman"/>
                <w:b/>
                <w:bCs/>
                <w:szCs w:val="21"/>
              </w:rPr>
              <w:t>m</w:t>
            </w:r>
            <w:r>
              <w:rPr>
                <w:rFonts w:cs="Times New Roman"/>
                <w:b/>
                <w:bCs/>
                <w:sz w:val="23"/>
                <w:szCs w:val="23"/>
              </w:rPr>
              <w:t>g/m³)</w:t>
            </w:r>
          </w:p>
        </w:tc>
        <w:tc>
          <w:tcPr>
            <w:tcW w:w="359" w:type="pct"/>
            <w:tcBorders>
              <w:tl2br w:val="nil"/>
              <w:tr2bl w:val="nil"/>
            </w:tcBorders>
            <w:vAlign w:val="center"/>
          </w:tcPr>
          <w:p>
            <w:pPr>
              <w:jc w:val="center"/>
              <w:rPr>
                <w:rFonts w:cs="Times New Roman"/>
                <w:b/>
                <w:bCs/>
              </w:rPr>
            </w:pPr>
            <w:r>
              <w:rPr>
                <w:rFonts w:cs="Times New Roman"/>
                <w:b/>
                <w:bCs/>
                <w:sz w:val="23"/>
                <w:szCs w:val="23"/>
              </w:rPr>
              <w:t>甲醛占标率(%)</w:t>
            </w:r>
          </w:p>
        </w:tc>
        <w:tc>
          <w:tcPr>
            <w:tcW w:w="517" w:type="pct"/>
            <w:tcBorders>
              <w:tl2br w:val="nil"/>
              <w:tr2bl w:val="nil"/>
            </w:tcBorders>
            <w:vAlign w:val="center"/>
          </w:tcPr>
          <w:p>
            <w:pPr>
              <w:jc w:val="center"/>
              <w:rPr>
                <w:rFonts w:cs="Times New Roman"/>
                <w:b/>
                <w:bCs/>
              </w:rPr>
            </w:pPr>
            <w:r>
              <w:rPr>
                <w:rFonts w:cs="Times New Roman"/>
                <w:b/>
                <w:bCs/>
                <w:sz w:val="23"/>
                <w:szCs w:val="23"/>
              </w:rPr>
              <w:t>氨浓度(</w:t>
            </w:r>
            <w:r>
              <w:rPr>
                <w:rFonts w:cs="Times New Roman"/>
                <w:b/>
                <w:bCs/>
                <w:szCs w:val="21"/>
              </w:rPr>
              <w:t>m</w:t>
            </w:r>
            <w:r>
              <w:rPr>
                <w:rFonts w:cs="Times New Roman"/>
                <w:b/>
                <w:bCs/>
                <w:sz w:val="23"/>
                <w:szCs w:val="23"/>
              </w:rPr>
              <w:t>g/m³)</w:t>
            </w:r>
          </w:p>
        </w:tc>
        <w:tc>
          <w:tcPr>
            <w:tcW w:w="361" w:type="pct"/>
            <w:tcBorders>
              <w:tl2br w:val="nil"/>
              <w:tr2bl w:val="nil"/>
            </w:tcBorders>
            <w:vAlign w:val="center"/>
          </w:tcPr>
          <w:p>
            <w:pPr>
              <w:jc w:val="center"/>
              <w:rPr>
                <w:rFonts w:cs="Times New Roman"/>
                <w:b/>
                <w:bCs/>
              </w:rPr>
            </w:pPr>
            <w:r>
              <w:rPr>
                <w:rFonts w:cs="Times New Roman"/>
                <w:b/>
                <w:bCs/>
                <w:sz w:val="23"/>
                <w:szCs w:val="23"/>
              </w:rPr>
              <w:t>氨占标率(%)</w:t>
            </w:r>
          </w:p>
        </w:tc>
        <w:tc>
          <w:tcPr>
            <w:tcW w:w="517" w:type="pct"/>
            <w:tcBorders>
              <w:right w:val="single" w:color="auto" w:sz="4" w:space="0"/>
              <w:tl2br w:val="nil"/>
              <w:tr2bl w:val="nil"/>
            </w:tcBorders>
            <w:vAlign w:val="center"/>
          </w:tcPr>
          <w:p>
            <w:pPr>
              <w:jc w:val="center"/>
              <w:rPr>
                <w:rFonts w:cs="Times New Roman"/>
                <w:b/>
                <w:bCs/>
              </w:rPr>
            </w:pPr>
            <w:r>
              <w:rPr>
                <w:rFonts w:cs="Times New Roman"/>
                <w:b/>
                <w:bCs/>
                <w:szCs w:val="21"/>
              </w:rPr>
              <w:t>TVOC</w:t>
            </w:r>
            <w:r>
              <w:rPr>
                <w:rFonts w:cs="Times New Roman"/>
                <w:b/>
                <w:bCs/>
                <w:sz w:val="23"/>
                <w:szCs w:val="23"/>
              </w:rPr>
              <w:t>浓度(</w:t>
            </w:r>
            <w:r>
              <w:rPr>
                <w:rFonts w:cs="Times New Roman"/>
                <w:b/>
                <w:bCs/>
                <w:szCs w:val="21"/>
              </w:rPr>
              <w:t>m</w:t>
            </w:r>
            <w:r>
              <w:rPr>
                <w:rFonts w:cs="Times New Roman"/>
                <w:b/>
                <w:bCs/>
                <w:sz w:val="23"/>
                <w:szCs w:val="23"/>
              </w:rPr>
              <w:t>g/m³)</w:t>
            </w:r>
          </w:p>
        </w:tc>
        <w:tc>
          <w:tcPr>
            <w:tcW w:w="421" w:type="pct"/>
            <w:tcBorders>
              <w:left w:val="single" w:color="auto" w:sz="4" w:space="0"/>
              <w:tl2br w:val="nil"/>
              <w:tr2bl w:val="nil"/>
            </w:tcBorders>
            <w:vAlign w:val="center"/>
          </w:tcPr>
          <w:p>
            <w:pPr>
              <w:jc w:val="center"/>
              <w:rPr>
                <w:rFonts w:cs="Times New Roman"/>
                <w:b/>
                <w:bCs/>
              </w:rPr>
            </w:pPr>
            <w:r>
              <w:rPr>
                <w:rFonts w:cs="Times New Roman"/>
                <w:b/>
                <w:bCs/>
                <w:szCs w:val="21"/>
              </w:rPr>
              <w:t>TVOC</w:t>
            </w:r>
            <w:r>
              <w:rPr>
                <w:rFonts w:cs="Times New Roman"/>
                <w:b/>
                <w:bCs/>
                <w:sz w:val="23"/>
                <w:szCs w:val="23"/>
              </w:rPr>
              <w:t>占标率(%)</w:t>
            </w:r>
          </w:p>
        </w:tc>
        <w:tc>
          <w:tcPr>
            <w:tcW w:w="484" w:type="pct"/>
            <w:tcBorders>
              <w:left w:val="single" w:color="auto" w:sz="4" w:space="0"/>
              <w:tl2br w:val="nil"/>
              <w:tr2bl w:val="nil"/>
            </w:tcBorders>
            <w:vAlign w:val="center"/>
          </w:tcPr>
          <w:p>
            <w:pPr>
              <w:jc w:val="center"/>
              <w:rPr>
                <w:rFonts w:cs="Times New Roman"/>
                <w:b/>
                <w:bCs/>
              </w:rPr>
            </w:pPr>
            <w:r>
              <w:rPr>
                <w:rFonts w:cs="Times New Roman"/>
                <w:b/>
                <w:bCs/>
                <w:szCs w:val="21"/>
              </w:rPr>
              <w:t>SO</w:t>
            </w:r>
            <w:r>
              <w:rPr>
                <w:rFonts w:cs="Times New Roman"/>
                <w:b/>
                <w:bCs/>
                <w:szCs w:val="21"/>
                <w:vertAlign w:val="subscript"/>
              </w:rPr>
              <w:t>2</w:t>
            </w:r>
            <w:r>
              <w:rPr>
                <w:rFonts w:cs="Times New Roman"/>
                <w:b/>
                <w:bCs/>
                <w:sz w:val="23"/>
                <w:szCs w:val="23"/>
              </w:rPr>
              <w:t>浓度(</w:t>
            </w:r>
            <w:r>
              <w:rPr>
                <w:rFonts w:cs="Times New Roman"/>
                <w:b/>
                <w:bCs/>
                <w:szCs w:val="21"/>
              </w:rPr>
              <w:t>m</w:t>
            </w:r>
            <w:r>
              <w:rPr>
                <w:rFonts w:cs="Times New Roman"/>
                <w:b/>
                <w:bCs/>
                <w:sz w:val="23"/>
                <w:szCs w:val="23"/>
              </w:rPr>
              <w:t>g/m³)</w:t>
            </w:r>
          </w:p>
        </w:tc>
        <w:tc>
          <w:tcPr>
            <w:tcW w:w="470" w:type="pct"/>
            <w:tcBorders>
              <w:left w:val="single" w:color="auto" w:sz="4" w:space="0"/>
              <w:tl2br w:val="nil"/>
              <w:tr2bl w:val="nil"/>
            </w:tcBorders>
            <w:vAlign w:val="center"/>
          </w:tcPr>
          <w:p>
            <w:pPr>
              <w:jc w:val="center"/>
              <w:rPr>
                <w:rFonts w:cs="Times New Roman"/>
                <w:b/>
                <w:bCs/>
              </w:rPr>
            </w:pPr>
            <w:r>
              <w:rPr>
                <w:rFonts w:cs="Times New Roman"/>
                <w:b/>
                <w:bCs/>
                <w:szCs w:val="21"/>
              </w:rPr>
              <w:t>SO</w:t>
            </w:r>
            <w:r>
              <w:rPr>
                <w:rFonts w:cs="Times New Roman"/>
                <w:b/>
                <w:bCs/>
                <w:szCs w:val="21"/>
                <w:vertAlign w:val="subscript"/>
              </w:rPr>
              <w:t>2</w:t>
            </w:r>
            <w:r>
              <w:rPr>
                <w:rFonts w:cs="Times New Roman"/>
                <w:b/>
                <w:bCs/>
                <w:sz w:val="23"/>
                <w:szCs w:val="23"/>
              </w:rPr>
              <w:t>占标率(%)</w:t>
            </w:r>
          </w:p>
        </w:tc>
        <w:tc>
          <w:tcPr>
            <w:tcW w:w="485" w:type="pct"/>
            <w:tcBorders>
              <w:left w:val="single" w:color="auto" w:sz="4" w:space="0"/>
              <w:tl2br w:val="nil"/>
              <w:tr2bl w:val="nil"/>
            </w:tcBorders>
            <w:vAlign w:val="center"/>
          </w:tcPr>
          <w:p>
            <w:pPr>
              <w:jc w:val="center"/>
              <w:rPr>
                <w:rFonts w:cs="Times New Roman"/>
                <w:b/>
                <w:bCs/>
              </w:rPr>
            </w:pPr>
            <w:r>
              <w:rPr>
                <w:rFonts w:cs="Times New Roman"/>
                <w:b/>
                <w:bCs/>
                <w:szCs w:val="21"/>
              </w:rPr>
              <w:t>NO</w:t>
            </w:r>
            <w:r>
              <w:rPr>
                <w:rFonts w:cs="Times New Roman"/>
                <w:b/>
                <w:bCs/>
                <w:szCs w:val="21"/>
                <w:vertAlign w:val="subscript"/>
              </w:rPr>
              <w:t>2</w:t>
            </w:r>
            <w:r>
              <w:rPr>
                <w:rFonts w:cs="Times New Roman"/>
                <w:b/>
                <w:bCs/>
                <w:sz w:val="23"/>
                <w:szCs w:val="23"/>
              </w:rPr>
              <w:t>浓度(</w:t>
            </w:r>
            <w:r>
              <w:rPr>
                <w:rFonts w:cs="Times New Roman"/>
                <w:b/>
                <w:bCs/>
                <w:szCs w:val="21"/>
              </w:rPr>
              <w:t>m</w:t>
            </w:r>
            <w:r>
              <w:rPr>
                <w:rFonts w:cs="Times New Roman"/>
                <w:b/>
                <w:bCs/>
                <w:sz w:val="23"/>
                <w:szCs w:val="23"/>
              </w:rPr>
              <w:t>g/m³)</w:t>
            </w:r>
          </w:p>
        </w:tc>
        <w:tc>
          <w:tcPr>
            <w:tcW w:w="426" w:type="pct"/>
            <w:tcBorders>
              <w:left w:val="single" w:color="auto" w:sz="4" w:space="0"/>
              <w:tl2br w:val="nil"/>
              <w:tr2bl w:val="nil"/>
            </w:tcBorders>
            <w:vAlign w:val="center"/>
          </w:tcPr>
          <w:p>
            <w:pPr>
              <w:jc w:val="center"/>
              <w:rPr>
                <w:rFonts w:cs="Times New Roman"/>
                <w:b/>
                <w:bCs/>
              </w:rPr>
            </w:pPr>
            <w:r>
              <w:rPr>
                <w:rFonts w:cs="Times New Roman"/>
                <w:b/>
                <w:bCs/>
                <w:szCs w:val="21"/>
              </w:rPr>
              <w:t>NO</w:t>
            </w:r>
            <w:r>
              <w:rPr>
                <w:rFonts w:cs="Times New Roman"/>
                <w:b/>
                <w:bCs/>
                <w:szCs w:val="21"/>
                <w:vertAlign w:val="subscript"/>
              </w:rPr>
              <w:t>2</w:t>
            </w:r>
            <w:r>
              <w:rPr>
                <w:rFonts w:cs="Times New Roman"/>
                <w:b/>
                <w:bCs/>
                <w:sz w:val="23"/>
                <w:szCs w:val="23"/>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sz w:val="23"/>
                <w:szCs w:val="23"/>
              </w:rPr>
            </w:pPr>
            <w:r>
              <w:rPr>
                <w:rFonts w:cs="Times New Roman"/>
                <w:sz w:val="23"/>
                <w:szCs w:val="23"/>
              </w:rPr>
              <w:t>10.0</w:t>
            </w:r>
          </w:p>
        </w:tc>
        <w:tc>
          <w:tcPr>
            <w:tcW w:w="517" w:type="pct"/>
            <w:tcBorders>
              <w:tl2br w:val="nil"/>
              <w:tr2bl w:val="nil"/>
            </w:tcBorders>
            <w:vAlign w:val="center"/>
          </w:tcPr>
          <w:p>
            <w:pPr>
              <w:jc w:val="center"/>
              <w:rPr>
                <w:rFonts w:cs="Times New Roman"/>
              </w:rPr>
            </w:pPr>
            <w:r>
              <w:rPr>
                <w:rFonts w:cs="Times New Roman"/>
              </w:rPr>
              <w:t>2.02E-05</w:t>
            </w:r>
          </w:p>
        </w:tc>
        <w:tc>
          <w:tcPr>
            <w:tcW w:w="359" w:type="pct"/>
            <w:tcBorders>
              <w:tl2br w:val="nil"/>
              <w:tr2bl w:val="nil"/>
            </w:tcBorders>
            <w:vAlign w:val="center"/>
          </w:tcPr>
          <w:p>
            <w:pPr>
              <w:jc w:val="center"/>
              <w:rPr>
                <w:rFonts w:cs="Times New Roman"/>
              </w:rPr>
            </w:pPr>
            <w:r>
              <w:rPr>
                <w:rFonts w:cs="Times New Roman"/>
              </w:rPr>
              <w:t>0.04</w:t>
            </w:r>
          </w:p>
        </w:tc>
        <w:tc>
          <w:tcPr>
            <w:tcW w:w="517" w:type="pct"/>
            <w:tcBorders>
              <w:tl2br w:val="nil"/>
              <w:tr2bl w:val="nil"/>
            </w:tcBorders>
            <w:vAlign w:val="center"/>
          </w:tcPr>
          <w:p>
            <w:pPr>
              <w:jc w:val="center"/>
              <w:rPr>
                <w:rFonts w:cs="Times New Roman"/>
              </w:rPr>
            </w:pPr>
            <w:r>
              <w:rPr>
                <w:rFonts w:cs="Times New Roman"/>
              </w:rPr>
              <w:t>3.21E-06</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4.02E-07</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2.41E-06</w:t>
            </w:r>
          </w:p>
        </w:tc>
        <w:tc>
          <w:tcPr>
            <w:tcW w:w="470" w:type="pct"/>
            <w:tcBorders>
              <w:tl2br w:val="nil"/>
              <w:tr2bl w:val="nil"/>
            </w:tcBorders>
            <w:vAlign w:val="center"/>
          </w:tcPr>
          <w:p>
            <w:pPr>
              <w:jc w:val="center"/>
              <w:rPr>
                <w:rFonts w:cs="Times New Roman"/>
              </w:rPr>
            </w:pPr>
            <w:r>
              <w:rPr>
                <w:rFonts w:cs="Times New Roman"/>
              </w:rPr>
              <w:t>0</w:t>
            </w:r>
          </w:p>
        </w:tc>
        <w:tc>
          <w:tcPr>
            <w:tcW w:w="485" w:type="pct"/>
            <w:tcBorders>
              <w:tl2br w:val="nil"/>
              <w:tr2bl w:val="nil"/>
            </w:tcBorders>
            <w:vAlign w:val="center"/>
          </w:tcPr>
          <w:p>
            <w:pPr>
              <w:jc w:val="center"/>
              <w:rPr>
                <w:rFonts w:cs="Times New Roman"/>
              </w:rPr>
            </w:pPr>
            <w:r>
              <w:rPr>
                <w:rFonts w:cs="Times New Roman"/>
              </w:rPr>
              <w:t>9.27E-05</w:t>
            </w:r>
          </w:p>
        </w:tc>
        <w:tc>
          <w:tcPr>
            <w:tcW w:w="426" w:type="pct"/>
            <w:tcBorders>
              <w:tl2br w:val="nil"/>
              <w:tr2bl w:val="nil"/>
            </w:tcBorders>
            <w:vAlign w:val="center"/>
          </w:tcPr>
          <w:p>
            <w:pPr>
              <w:jc w:val="center"/>
              <w:rPr>
                <w:rFonts w:cs="Times New Roman"/>
              </w:rPr>
            </w:pPr>
            <w:r>
              <w:rPr>
                <w:rFonts w:cs="Times New Roma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50.0</w:t>
            </w:r>
          </w:p>
        </w:tc>
        <w:tc>
          <w:tcPr>
            <w:tcW w:w="517" w:type="pct"/>
            <w:tcBorders>
              <w:tl2br w:val="nil"/>
              <w:tr2bl w:val="nil"/>
            </w:tcBorders>
            <w:vAlign w:val="center"/>
          </w:tcPr>
          <w:p>
            <w:pPr>
              <w:jc w:val="center"/>
              <w:rPr>
                <w:rFonts w:cs="Times New Roman"/>
              </w:rPr>
            </w:pPr>
            <w:r>
              <w:rPr>
                <w:rFonts w:cs="Times New Roman"/>
              </w:rPr>
              <w:t>8.89E-04</w:t>
            </w:r>
          </w:p>
        </w:tc>
        <w:tc>
          <w:tcPr>
            <w:tcW w:w="359" w:type="pct"/>
            <w:tcBorders>
              <w:tl2br w:val="nil"/>
              <w:tr2bl w:val="nil"/>
            </w:tcBorders>
            <w:vAlign w:val="center"/>
          </w:tcPr>
          <w:p>
            <w:pPr>
              <w:jc w:val="center"/>
              <w:rPr>
                <w:rFonts w:cs="Times New Roman"/>
              </w:rPr>
            </w:pPr>
            <w:r>
              <w:rPr>
                <w:rFonts w:cs="Times New Roman"/>
              </w:rPr>
              <w:t>1.78</w:t>
            </w:r>
          </w:p>
        </w:tc>
        <w:tc>
          <w:tcPr>
            <w:tcW w:w="517" w:type="pct"/>
            <w:tcBorders>
              <w:tl2br w:val="nil"/>
              <w:tr2bl w:val="nil"/>
            </w:tcBorders>
            <w:vAlign w:val="center"/>
          </w:tcPr>
          <w:p>
            <w:pPr>
              <w:jc w:val="center"/>
              <w:rPr>
                <w:rFonts w:cs="Times New Roman"/>
              </w:rPr>
            </w:pPr>
            <w:r>
              <w:rPr>
                <w:rFonts w:cs="Times New Roman"/>
              </w:rPr>
              <w:t>1.41E-04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1.76E-05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1.06E-04</w:t>
            </w:r>
          </w:p>
        </w:tc>
        <w:tc>
          <w:tcPr>
            <w:tcW w:w="470" w:type="pct"/>
            <w:tcBorders>
              <w:tl2br w:val="nil"/>
              <w:tr2bl w:val="nil"/>
            </w:tcBorders>
            <w:vAlign w:val="center"/>
          </w:tcPr>
          <w:p>
            <w:pPr>
              <w:jc w:val="center"/>
              <w:rPr>
                <w:rFonts w:cs="Times New Roman"/>
              </w:rPr>
            </w:pPr>
            <w:r>
              <w:rPr>
                <w:rFonts w:cs="Times New Roman"/>
              </w:rPr>
              <w:t>0.02</w:t>
            </w:r>
          </w:p>
        </w:tc>
        <w:tc>
          <w:tcPr>
            <w:tcW w:w="485" w:type="pct"/>
            <w:tcBorders>
              <w:tl2br w:val="nil"/>
              <w:tr2bl w:val="nil"/>
            </w:tcBorders>
            <w:vAlign w:val="center"/>
          </w:tcPr>
          <w:p>
            <w:pPr>
              <w:jc w:val="center"/>
              <w:rPr>
                <w:rFonts w:cs="Times New Roman"/>
              </w:rPr>
            </w:pPr>
            <w:r>
              <w:rPr>
                <w:rFonts w:cs="Times New Roman"/>
              </w:rPr>
              <w:t>4.07E-03</w:t>
            </w:r>
          </w:p>
        </w:tc>
        <w:tc>
          <w:tcPr>
            <w:tcW w:w="426" w:type="pct"/>
            <w:tcBorders>
              <w:tl2br w:val="nil"/>
              <w:tr2bl w:val="nil"/>
            </w:tcBorders>
            <w:vAlign w:val="center"/>
          </w:tcPr>
          <w:p>
            <w:pPr>
              <w:jc w:val="center"/>
              <w:rPr>
                <w:rFonts w:cs="Times New Roman"/>
              </w:rPr>
            </w:pPr>
            <w:r>
              <w:rPr>
                <w:rFonts w:cs="Times New Roman"/>
              </w:rPr>
              <w:t>2.04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100.0</w:t>
            </w:r>
          </w:p>
        </w:tc>
        <w:tc>
          <w:tcPr>
            <w:tcW w:w="517" w:type="pct"/>
            <w:tcBorders>
              <w:tl2br w:val="nil"/>
              <w:tr2bl w:val="nil"/>
            </w:tcBorders>
            <w:vAlign w:val="center"/>
          </w:tcPr>
          <w:p>
            <w:pPr>
              <w:jc w:val="center"/>
              <w:rPr>
                <w:rFonts w:cs="Times New Roman"/>
              </w:rPr>
            </w:pPr>
            <w:r>
              <w:rPr>
                <w:rFonts w:cs="Times New Roman"/>
              </w:rPr>
              <w:t>3.89E-03</w:t>
            </w:r>
          </w:p>
        </w:tc>
        <w:tc>
          <w:tcPr>
            <w:tcW w:w="359" w:type="pct"/>
            <w:tcBorders>
              <w:tl2br w:val="nil"/>
              <w:tr2bl w:val="nil"/>
            </w:tcBorders>
            <w:vAlign w:val="center"/>
          </w:tcPr>
          <w:p>
            <w:pPr>
              <w:jc w:val="center"/>
              <w:rPr>
                <w:rFonts w:cs="Times New Roman"/>
              </w:rPr>
            </w:pPr>
            <w:r>
              <w:rPr>
                <w:rFonts w:cs="Times New Roman"/>
              </w:rPr>
              <w:t>7.78</w:t>
            </w:r>
          </w:p>
        </w:tc>
        <w:tc>
          <w:tcPr>
            <w:tcW w:w="517" w:type="pct"/>
            <w:tcBorders>
              <w:tl2br w:val="nil"/>
              <w:tr2bl w:val="nil"/>
            </w:tcBorders>
            <w:vAlign w:val="center"/>
          </w:tcPr>
          <w:p>
            <w:pPr>
              <w:jc w:val="center"/>
              <w:rPr>
                <w:rFonts w:cs="Times New Roman"/>
              </w:rPr>
            </w:pPr>
            <w:r>
              <w:rPr>
                <w:rFonts w:cs="Times New Roman"/>
              </w:rPr>
              <w:t>6.17E-04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7.73E-05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4.63E-04</w:t>
            </w:r>
          </w:p>
        </w:tc>
        <w:tc>
          <w:tcPr>
            <w:tcW w:w="470" w:type="pct"/>
            <w:tcBorders>
              <w:tl2br w:val="nil"/>
              <w:tr2bl w:val="nil"/>
            </w:tcBorders>
            <w:vAlign w:val="center"/>
          </w:tcPr>
          <w:p>
            <w:pPr>
              <w:jc w:val="center"/>
              <w:rPr>
                <w:rFonts w:cs="Times New Roman"/>
              </w:rPr>
            </w:pPr>
            <w:r>
              <w:rPr>
                <w:rFonts w:cs="Times New Roman"/>
              </w:rPr>
              <w:t>0.09</w:t>
            </w:r>
          </w:p>
        </w:tc>
        <w:tc>
          <w:tcPr>
            <w:tcW w:w="485" w:type="pct"/>
            <w:tcBorders>
              <w:tl2br w:val="nil"/>
              <w:tr2bl w:val="nil"/>
            </w:tcBorders>
            <w:vAlign w:val="center"/>
          </w:tcPr>
          <w:p>
            <w:pPr>
              <w:jc w:val="center"/>
              <w:rPr>
                <w:rFonts w:cs="Times New Roman"/>
              </w:rPr>
            </w:pPr>
            <w:r>
              <w:rPr>
                <w:rFonts w:cs="Times New Roman"/>
              </w:rPr>
              <w:t>1.78E-02</w:t>
            </w:r>
          </w:p>
        </w:tc>
        <w:tc>
          <w:tcPr>
            <w:tcW w:w="426" w:type="pct"/>
            <w:tcBorders>
              <w:tl2br w:val="nil"/>
              <w:tr2bl w:val="nil"/>
            </w:tcBorders>
            <w:vAlign w:val="center"/>
          </w:tcPr>
          <w:p>
            <w:pPr>
              <w:jc w:val="center"/>
              <w:rPr>
                <w:rFonts w:cs="Times New Roman"/>
              </w:rPr>
            </w:pPr>
            <w:r>
              <w:rPr>
                <w:rFonts w:cs="Times New Roman"/>
              </w:rPr>
              <w:t>8.92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b/>
                <w:bCs/>
                <w:sz w:val="23"/>
                <w:szCs w:val="23"/>
              </w:rPr>
            </w:pPr>
            <w:r>
              <w:rPr>
                <w:rFonts w:cs="Times New Roman"/>
                <w:b/>
                <w:bCs/>
                <w:sz w:val="23"/>
                <w:szCs w:val="23"/>
              </w:rPr>
              <w:t>150.0</w:t>
            </w:r>
          </w:p>
        </w:tc>
        <w:tc>
          <w:tcPr>
            <w:tcW w:w="517" w:type="pct"/>
            <w:tcBorders>
              <w:tl2br w:val="nil"/>
              <w:tr2bl w:val="nil"/>
            </w:tcBorders>
            <w:vAlign w:val="center"/>
          </w:tcPr>
          <w:p>
            <w:pPr>
              <w:jc w:val="center"/>
              <w:rPr>
                <w:rFonts w:cs="Times New Roman"/>
                <w:b/>
                <w:bCs/>
              </w:rPr>
            </w:pPr>
            <w:r>
              <w:rPr>
                <w:rFonts w:cs="Times New Roman"/>
                <w:b/>
                <w:bCs/>
              </w:rPr>
              <w:t>3.94E-03</w:t>
            </w:r>
          </w:p>
        </w:tc>
        <w:tc>
          <w:tcPr>
            <w:tcW w:w="359" w:type="pct"/>
            <w:tcBorders>
              <w:tl2br w:val="nil"/>
              <w:tr2bl w:val="nil"/>
            </w:tcBorders>
            <w:vAlign w:val="center"/>
          </w:tcPr>
          <w:p>
            <w:pPr>
              <w:jc w:val="center"/>
              <w:rPr>
                <w:rFonts w:cs="Times New Roman"/>
                <w:b/>
                <w:bCs/>
              </w:rPr>
            </w:pPr>
            <w:r>
              <w:rPr>
                <w:rFonts w:cs="Times New Roman"/>
                <w:b/>
                <w:bCs/>
              </w:rPr>
              <w:t>7.87</w:t>
            </w:r>
          </w:p>
        </w:tc>
        <w:tc>
          <w:tcPr>
            <w:tcW w:w="517" w:type="pct"/>
            <w:tcBorders>
              <w:tl2br w:val="nil"/>
              <w:tr2bl w:val="nil"/>
            </w:tcBorders>
            <w:vAlign w:val="center"/>
          </w:tcPr>
          <w:p>
            <w:pPr>
              <w:jc w:val="center"/>
              <w:rPr>
                <w:rFonts w:cs="Times New Roman"/>
                <w:b/>
                <w:bCs/>
              </w:rPr>
            </w:pPr>
            <w:r>
              <w:rPr>
                <w:rFonts w:cs="Times New Roman"/>
                <w:b/>
                <w:bCs/>
              </w:rPr>
              <w:t>6.24E-04</w:t>
            </w:r>
          </w:p>
        </w:tc>
        <w:tc>
          <w:tcPr>
            <w:tcW w:w="361" w:type="pct"/>
            <w:tcBorders>
              <w:tl2br w:val="nil"/>
              <w:tr2bl w:val="nil"/>
            </w:tcBorders>
            <w:vAlign w:val="center"/>
          </w:tcPr>
          <w:p>
            <w:pPr>
              <w:jc w:val="center"/>
              <w:rPr>
                <w:rFonts w:cs="Times New Roman"/>
                <w:b/>
                <w:bCs/>
              </w:rPr>
            </w:pPr>
            <w:r>
              <w:rPr>
                <w:rFonts w:cs="Times New Roman"/>
                <w:b/>
                <w:bCs/>
              </w:rPr>
              <w:t>0.00</w:t>
            </w:r>
          </w:p>
        </w:tc>
        <w:tc>
          <w:tcPr>
            <w:tcW w:w="517" w:type="pct"/>
            <w:tcBorders>
              <w:tl2br w:val="nil"/>
              <w:tr2bl w:val="nil"/>
            </w:tcBorders>
            <w:vAlign w:val="center"/>
          </w:tcPr>
          <w:p>
            <w:pPr>
              <w:jc w:val="center"/>
              <w:rPr>
                <w:rFonts w:cs="Times New Roman"/>
                <w:b/>
                <w:bCs/>
              </w:rPr>
            </w:pPr>
            <w:r>
              <w:rPr>
                <w:rFonts w:cs="Times New Roman"/>
                <w:b/>
                <w:bCs/>
              </w:rPr>
              <w:t>7.82E-05</w:t>
            </w:r>
          </w:p>
        </w:tc>
        <w:tc>
          <w:tcPr>
            <w:tcW w:w="421" w:type="pct"/>
            <w:tcBorders>
              <w:tl2br w:val="nil"/>
              <w:tr2bl w:val="nil"/>
            </w:tcBorders>
            <w:vAlign w:val="center"/>
          </w:tcPr>
          <w:p>
            <w:pPr>
              <w:jc w:val="center"/>
              <w:rPr>
                <w:rFonts w:cs="Times New Roman"/>
                <w:b/>
                <w:bCs/>
              </w:rPr>
            </w:pPr>
            <w:r>
              <w:rPr>
                <w:rFonts w:cs="Times New Roman"/>
                <w:b/>
                <w:bCs/>
              </w:rPr>
              <w:t>0.00</w:t>
            </w:r>
          </w:p>
        </w:tc>
        <w:tc>
          <w:tcPr>
            <w:tcW w:w="484" w:type="pct"/>
            <w:tcBorders>
              <w:tl2br w:val="nil"/>
              <w:tr2bl w:val="nil"/>
            </w:tcBorders>
            <w:vAlign w:val="center"/>
          </w:tcPr>
          <w:p>
            <w:pPr>
              <w:jc w:val="center"/>
              <w:rPr>
                <w:rFonts w:cs="Times New Roman"/>
                <w:b/>
                <w:bCs/>
              </w:rPr>
            </w:pPr>
            <w:r>
              <w:rPr>
                <w:rFonts w:cs="Times New Roman"/>
                <w:b/>
                <w:bCs/>
              </w:rPr>
              <w:t>4.69E-04</w:t>
            </w:r>
          </w:p>
        </w:tc>
        <w:tc>
          <w:tcPr>
            <w:tcW w:w="470" w:type="pct"/>
            <w:tcBorders>
              <w:tl2br w:val="nil"/>
              <w:tr2bl w:val="nil"/>
            </w:tcBorders>
            <w:vAlign w:val="center"/>
          </w:tcPr>
          <w:p>
            <w:pPr>
              <w:jc w:val="center"/>
              <w:rPr>
                <w:rFonts w:cs="Times New Roman"/>
                <w:b/>
                <w:bCs/>
              </w:rPr>
            </w:pPr>
            <w:r>
              <w:rPr>
                <w:rFonts w:cs="Times New Roman"/>
                <w:b/>
                <w:bCs/>
              </w:rPr>
              <w:t>0.09</w:t>
            </w:r>
          </w:p>
        </w:tc>
        <w:tc>
          <w:tcPr>
            <w:tcW w:w="485" w:type="pct"/>
            <w:tcBorders>
              <w:tl2br w:val="nil"/>
              <w:tr2bl w:val="nil"/>
            </w:tcBorders>
            <w:vAlign w:val="center"/>
          </w:tcPr>
          <w:p>
            <w:pPr>
              <w:jc w:val="center"/>
              <w:rPr>
                <w:rFonts w:cs="Times New Roman"/>
                <w:b/>
                <w:bCs/>
              </w:rPr>
            </w:pPr>
            <w:r>
              <w:rPr>
                <w:rFonts w:cs="Times New Roman"/>
                <w:b/>
                <w:bCs/>
              </w:rPr>
              <w:t>1.80E-02</w:t>
            </w:r>
          </w:p>
        </w:tc>
        <w:tc>
          <w:tcPr>
            <w:tcW w:w="426" w:type="pct"/>
            <w:tcBorders>
              <w:tl2br w:val="nil"/>
              <w:tr2bl w:val="nil"/>
            </w:tcBorders>
            <w:vAlign w:val="center"/>
          </w:tcPr>
          <w:p>
            <w:pPr>
              <w:jc w:val="center"/>
              <w:rPr>
                <w:rFonts w:cs="Times New Roman"/>
                <w:b/>
                <w:bCs/>
              </w:rPr>
            </w:pPr>
            <w:r>
              <w:rPr>
                <w:rFonts w:cs="Times New Roman"/>
                <w:b/>
                <w:bCs/>
              </w:rPr>
              <w:t>9.02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200.0</w:t>
            </w:r>
          </w:p>
        </w:tc>
        <w:tc>
          <w:tcPr>
            <w:tcW w:w="517" w:type="pct"/>
            <w:tcBorders>
              <w:tl2br w:val="nil"/>
              <w:tr2bl w:val="nil"/>
            </w:tcBorders>
            <w:vAlign w:val="center"/>
          </w:tcPr>
          <w:p>
            <w:pPr>
              <w:jc w:val="center"/>
              <w:rPr>
                <w:rFonts w:cs="Times New Roman"/>
              </w:rPr>
            </w:pPr>
            <w:r>
              <w:rPr>
                <w:rFonts w:cs="Times New Roman"/>
              </w:rPr>
              <w:t>3.60E-03</w:t>
            </w:r>
          </w:p>
        </w:tc>
        <w:tc>
          <w:tcPr>
            <w:tcW w:w="359" w:type="pct"/>
            <w:tcBorders>
              <w:tl2br w:val="nil"/>
              <w:tr2bl w:val="nil"/>
            </w:tcBorders>
            <w:vAlign w:val="center"/>
          </w:tcPr>
          <w:p>
            <w:pPr>
              <w:jc w:val="center"/>
              <w:rPr>
                <w:rFonts w:cs="Times New Roman"/>
              </w:rPr>
            </w:pPr>
            <w:r>
              <w:rPr>
                <w:rFonts w:cs="Times New Roman"/>
              </w:rPr>
              <w:t>7.20</w:t>
            </w:r>
          </w:p>
        </w:tc>
        <w:tc>
          <w:tcPr>
            <w:tcW w:w="517" w:type="pct"/>
            <w:tcBorders>
              <w:tl2br w:val="nil"/>
              <w:tr2bl w:val="nil"/>
            </w:tcBorders>
            <w:vAlign w:val="center"/>
          </w:tcPr>
          <w:p>
            <w:pPr>
              <w:jc w:val="center"/>
              <w:rPr>
                <w:rFonts w:cs="Times New Roman"/>
              </w:rPr>
            </w:pPr>
            <w:r>
              <w:rPr>
                <w:rFonts w:cs="Times New Roman"/>
              </w:rPr>
              <w:t>5.71E-04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7.15E-05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4.29E-04</w:t>
            </w:r>
          </w:p>
        </w:tc>
        <w:tc>
          <w:tcPr>
            <w:tcW w:w="470" w:type="pct"/>
            <w:tcBorders>
              <w:tl2br w:val="nil"/>
              <w:tr2bl w:val="nil"/>
            </w:tcBorders>
            <w:vAlign w:val="center"/>
          </w:tcPr>
          <w:p>
            <w:pPr>
              <w:jc w:val="center"/>
              <w:rPr>
                <w:rFonts w:cs="Times New Roman"/>
              </w:rPr>
            </w:pPr>
            <w:r>
              <w:rPr>
                <w:rFonts w:cs="Times New Roman"/>
              </w:rPr>
              <w:t>0.09</w:t>
            </w:r>
          </w:p>
        </w:tc>
        <w:tc>
          <w:tcPr>
            <w:tcW w:w="485" w:type="pct"/>
            <w:tcBorders>
              <w:tl2br w:val="nil"/>
              <w:tr2bl w:val="nil"/>
            </w:tcBorders>
            <w:vAlign w:val="center"/>
          </w:tcPr>
          <w:p>
            <w:pPr>
              <w:jc w:val="center"/>
              <w:rPr>
                <w:rFonts w:cs="Times New Roman"/>
              </w:rPr>
            </w:pPr>
            <w:r>
              <w:rPr>
                <w:rFonts w:cs="Times New Roman"/>
              </w:rPr>
              <w:t>1.65E-02</w:t>
            </w:r>
          </w:p>
        </w:tc>
        <w:tc>
          <w:tcPr>
            <w:tcW w:w="426" w:type="pct"/>
            <w:tcBorders>
              <w:tl2br w:val="nil"/>
              <w:tr2bl w:val="nil"/>
            </w:tcBorders>
            <w:vAlign w:val="center"/>
          </w:tcPr>
          <w:p>
            <w:pPr>
              <w:jc w:val="center"/>
              <w:rPr>
                <w:rFonts w:cs="Times New Roman"/>
              </w:rPr>
            </w:pPr>
            <w:r>
              <w:rPr>
                <w:rFonts w:cs="Times New Roman"/>
              </w:rPr>
              <w:t>8.25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300.0</w:t>
            </w:r>
          </w:p>
        </w:tc>
        <w:tc>
          <w:tcPr>
            <w:tcW w:w="517" w:type="pct"/>
            <w:tcBorders>
              <w:tl2br w:val="nil"/>
              <w:tr2bl w:val="nil"/>
            </w:tcBorders>
            <w:vAlign w:val="center"/>
          </w:tcPr>
          <w:p>
            <w:pPr>
              <w:jc w:val="center"/>
              <w:rPr>
                <w:rFonts w:cs="Times New Roman"/>
              </w:rPr>
            </w:pPr>
            <w:r>
              <w:rPr>
                <w:rFonts w:cs="Times New Roman"/>
              </w:rPr>
              <w:t>2.55E-03</w:t>
            </w:r>
          </w:p>
        </w:tc>
        <w:tc>
          <w:tcPr>
            <w:tcW w:w="359" w:type="pct"/>
            <w:tcBorders>
              <w:tl2br w:val="nil"/>
              <w:tr2bl w:val="nil"/>
            </w:tcBorders>
            <w:vAlign w:val="center"/>
          </w:tcPr>
          <w:p>
            <w:pPr>
              <w:jc w:val="center"/>
              <w:rPr>
                <w:rFonts w:cs="Times New Roman"/>
              </w:rPr>
            </w:pPr>
            <w:r>
              <w:rPr>
                <w:rFonts w:cs="Times New Roman"/>
              </w:rPr>
              <w:t>5.11</w:t>
            </w:r>
          </w:p>
        </w:tc>
        <w:tc>
          <w:tcPr>
            <w:tcW w:w="517" w:type="pct"/>
            <w:tcBorders>
              <w:tl2br w:val="nil"/>
              <w:tr2bl w:val="nil"/>
            </w:tcBorders>
            <w:vAlign w:val="center"/>
          </w:tcPr>
          <w:p>
            <w:pPr>
              <w:jc w:val="center"/>
              <w:rPr>
                <w:rFonts w:cs="Times New Roman"/>
              </w:rPr>
            </w:pPr>
            <w:r>
              <w:rPr>
                <w:rFonts w:cs="Times New Roman"/>
              </w:rPr>
              <w:t>4.05E-04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5.07E-05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3.04E-04</w:t>
            </w:r>
          </w:p>
        </w:tc>
        <w:tc>
          <w:tcPr>
            <w:tcW w:w="470" w:type="pct"/>
            <w:tcBorders>
              <w:tl2br w:val="nil"/>
              <w:tr2bl w:val="nil"/>
            </w:tcBorders>
            <w:vAlign w:val="center"/>
          </w:tcPr>
          <w:p>
            <w:pPr>
              <w:jc w:val="center"/>
              <w:rPr>
                <w:rFonts w:cs="Times New Roman"/>
              </w:rPr>
            </w:pPr>
            <w:r>
              <w:rPr>
                <w:rFonts w:cs="Times New Roman"/>
              </w:rPr>
              <w:t>0.06</w:t>
            </w:r>
          </w:p>
        </w:tc>
        <w:tc>
          <w:tcPr>
            <w:tcW w:w="485" w:type="pct"/>
            <w:tcBorders>
              <w:tl2br w:val="nil"/>
              <w:tr2bl w:val="nil"/>
            </w:tcBorders>
            <w:vAlign w:val="center"/>
          </w:tcPr>
          <w:p>
            <w:pPr>
              <w:jc w:val="center"/>
              <w:rPr>
                <w:rFonts w:cs="Times New Roman"/>
              </w:rPr>
            </w:pPr>
            <w:r>
              <w:rPr>
                <w:rFonts w:cs="Times New Roman"/>
              </w:rPr>
              <w:t>1.17E-02</w:t>
            </w:r>
          </w:p>
        </w:tc>
        <w:tc>
          <w:tcPr>
            <w:tcW w:w="426" w:type="pct"/>
            <w:tcBorders>
              <w:tl2br w:val="nil"/>
              <w:tr2bl w:val="nil"/>
            </w:tcBorders>
            <w:vAlign w:val="center"/>
          </w:tcPr>
          <w:p>
            <w:pPr>
              <w:jc w:val="center"/>
              <w:rPr>
                <w:rFonts w:cs="Times New Roman"/>
              </w:rPr>
            </w:pPr>
            <w:r>
              <w:rPr>
                <w:rFonts w:cs="Times New Roman"/>
              </w:rPr>
              <w:t>5.86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282" w:hRule="atLeast"/>
          <w:jc w:val="center"/>
        </w:trPr>
        <w:tc>
          <w:tcPr>
            <w:tcW w:w="436" w:type="pct"/>
            <w:tcBorders>
              <w:tl2br w:val="nil"/>
              <w:tr2bl w:val="nil"/>
            </w:tcBorders>
            <w:vAlign w:val="center"/>
          </w:tcPr>
          <w:p>
            <w:pPr>
              <w:jc w:val="center"/>
              <w:rPr>
                <w:rFonts w:cs="Times New Roman"/>
              </w:rPr>
            </w:pPr>
            <w:r>
              <w:rPr>
                <w:rFonts w:cs="Times New Roman"/>
                <w:sz w:val="23"/>
                <w:szCs w:val="23"/>
              </w:rPr>
              <w:t>400.0</w:t>
            </w:r>
          </w:p>
        </w:tc>
        <w:tc>
          <w:tcPr>
            <w:tcW w:w="517" w:type="pct"/>
            <w:tcBorders>
              <w:tl2br w:val="nil"/>
              <w:tr2bl w:val="nil"/>
            </w:tcBorders>
            <w:vAlign w:val="center"/>
          </w:tcPr>
          <w:p>
            <w:pPr>
              <w:jc w:val="center"/>
              <w:rPr>
                <w:rFonts w:cs="Times New Roman"/>
              </w:rPr>
            </w:pPr>
            <w:r>
              <w:rPr>
                <w:rFonts w:cs="Times New Roman"/>
              </w:rPr>
              <w:t>2.17E-03</w:t>
            </w:r>
          </w:p>
        </w:tc>
        <w:tc>
          <w:tcPr>
            <w:tcW w:w="359" w:type="pct"/>
            <w:tcBorders>
              <w:tl2br w:val="nil"/>
              <w:tr2bl w:val="nil"/>
            </w:tcBorders>
            <w:vAlign w:val="center"/>
          </w:tcPr>
          <w:p>
            <w:pPr>
              <w:jc w:val="center"/>
              <w:rPr>
                <w:rFonts w:cs="Times New Roman"/>
              </w:rPr>
            </w:pPr>
            <w:r>
              <w:rPr>
                <w:rFonts w:cs="Times New Roman"/>
              </w:rPr>
              <w:t>4.34</w:t>
            </w:r>
          </w:p>
        </w:tc>
        <w:tc>
          <w:tcPr>
            <w:tcW w:w="517" w:type="pct"/>
            <w:tcBorders>
              <w:tl2br w:val="nil"/>
              <w:tr2bl w:val="nil"/>
            </w:tcBorders>
            <w:vAlign w:val="center"/>
          </w:tcPr>
          <w:p>
            <w:pPr>
              <w:jc w:val="center"/>
              <w:rPr>
                <w:rFonts w:cs="Times New Roman"/>
              </w:rPr>
            </w:pPr>
            <w:r>
              <w:rPr>
                <w:rFonts w:cs="Times New Roman"/>
              </w:rPr>
              <w:t>3.44E-04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4.31E-05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2.58E-04</w:t>
            </w:r>
          </w:p>
        </w:tc>
        <w:tc>
          <w:tcPr>
            <w:tcW w:w="470" w:type="pct"/>
            <w:tcBorders>
              <w:tl2br w:val="nil"/>
              <w:tr2bl w:val="nil"/>
            </w:tcBorders>
            <w:vAlign w:val="center"/>
          </w:tcPr>
          <w:p>
            <w:pPr>
              <w:jc w:val="center"/>
              <w:rPr>
                <w:rFonts w:cs="Times New Roman"/>
              </w:rPr>
            </w:pPr>
            <w:r>
              <w:rPr>
                <w:rFonts w:cs="Times New Roman"/>
              </w:rPr>
              <w:t>0.05</w:t>
            </w:r>
          </w:p>
        </w:tc>
        <w:tc>
          <w:tcPr>
            <w:tcW w:w="485" w:type="pct"/>
            <w:tcBorders>
              <w:tl2br w:val="nil"/>
              <w:tr2bl w:val="nil"/>
            </w:tcBorders>
            <w:vAlign w:val="center"/>
          </w:tcPr>
          <w:p>
            <w:pPr>
              <w:jc w:val="center"/>
              <w:rPr>
                <w:rFonts w:cs="Times New Roman"/>
              </w:rPr>
            </w:pPr>
            <w:r>
              <w:rPr>
                <w:rFonts w:cs="Times New Roman"/>
              </w:rPr>
              <w:t>9.94E-03</w:t>
            </w:r>
          </w:p>
        </w:tc>
        <w:tc>
          <w:tcPr>
            <w:tcW w:w="426" w:type="pct"/>
            <w:tcBorders>
              <w:tl2br w:val="nil"/>
              <w:tr2bl w:val="nil"/>
            </w:tcBorders>
            <w:vAlign w:val="center"/>
          </w:tcPr>
          <w:p>
            <w:pPr>
              <w:jc w:val="center"/>
              <w:rPr>
                <w:rFonts w:cs="Times New Roman"/>
              </w:rPr>
            </w:pPr>
            <w:r>
              <w:rPr>
                <w:rFonts w:cs="Times New Roman"/>
              </w:rPr>
              <w:t>4.97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500.0</w:t>
            </w:r>
          </w:p>
        </w:tc>
        <w:tc>
          <w:tcPr>
            <w:tcW w:w="517" w:type="pct"/>
            <w:tcBorders>
              <w:tl2br w:val="nil"/>
              <w:tr2bl w:val="nil"/>
            </w:tcBorders>
            <w:vAlign w:val="center"/>
          </w:tcPr>
          <w:p>
            <w:pPr>
              <w:jc w:val="center"/>
              <w:rPr>
                <w:rFonts w:cs="Times New Roman"/>
              </w:rPr>
            </w:pPr>
            <w:r>
              <w:rPr>
                <w:rFonts w:cs="Times New Roman"/>
              </w:rPr>
              <w:t>2.02E-03</w:t>
            </w:r>
          </w:p>
        </w:tc>
        <w:tc>
          <w:tcPr>
            <w:tcW w:w="359" w:type="pct"/>
            <w:tcBorders>
              <w:tl2br w:val="nil"/>
              <w:tr2bl w:val="nil"/>
            </w:tcBorders>
            <w:vAlign w:val="center"/>
          </w:tcPr>
          <w:p>
            <w:pPr>
              <w:jc w:val="center"/>
              <w:rPr>
                <w:rFonts w:cs="Times New Roman"/>
              </w:rPr>
            </w:pPr>
            <w:r>
              <w:rPr>
                <w:rFonts w:cs="Times New Roman"/>
              </w:rPr>
              <w:t>4.03</w:t>
            </w:r>
          </w:p>
        </w:tc>
        <w:tc>
          <w:tcPr>
            <w:tcW w:w="517" w:type="pct"/>
            <w:tcBorders>
              <w:tl2br w:val="nil"/>
              <w:tr2bl w:val="nil"/>
            </w:tcBorders>
            <w:vAlign w:val="center"/>
          </w:tcPr>
          <w:p>
            <w:pPr>
              <w:jc w:val="center"/>
              <w:rPr>
                <w:rFonts w:cs="Times New Roman"/>
              </w:rPr>
            </w:pPr>
            <w:r>
              <w:rPr>
                <w:rFonts w:cs="Times New Roman"/>
              </w:rPr>
              <w:t>3.20E-04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4.00E-05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2.40E-04</w:t>
            </w:r>
          </w:p>
        </w:tc>
        <w:tc>
          <w:tcPr>
            <w:tcW w:w="470" w:type="pct"/>
            <w:tcBorders>
              <w:tl2br w:val="nil"/>
              <w:tr2bl w:val="nil"/>
            </w:tcBorders>
            <w:vAlign w:val="center"/>
          </w:tcPr>
          <w:p>
            <w:pPr>
              <w:jc w:val="center"/>
              <w:rPr>
                <w:rFonts w:cs="Times New Roman"/>
              </w:rPr>
            </w:pPr>
            <w:r>
              <w:rPr>
                <w:rFonts w:cs="Times New Roman"/>
              </w:rPr>
              <w:t>0.05</w:t>
            </w:r>
          </w:p>
        </w:tc>
        <w:tc>
          <w:tcPr>
            <w:tcW w:w="485" w:type="pct"/>
            <w:tcBorders>
              <w:tl2br w:val="nil"/>
              <w:tr2bl w:val="nil"/>
            </w:tcBorders>
            <w:vAlign w:val="center"/>
          </w:tcPr>
          <w:p>
            <w:pPr>
              <w:jc w:val="center"/>
              <w:rPr>
                <w:rFonts w:cs="Times New Roman"/>
              </w:rPr>
            </w:pPr>
            <w:r>
              <w:rPr>
                <w:rFonts w:cs="Times New Roman"/>
              </w:rPr>
              <w:t>9.24E-03</w:t>
            </w:r>
          </w:p>
        </w:tc>
        <w:tc>
          <w:tcPr>
            <w:tcW w:w="426" w:type="pct"/>
            <w:tcBorders>
              <w:tl2br w:val="nil"/>
              <w:tr2bl w:val="nil"/>
            </w:tcBorders>
            <w:vAlign w:val="center"/>
          </w:tcPr>
          <w:p>
            <w:pPr>
              <w:jc w:val="center"/>
              <w:rPr>
                <w:rFonts w:cs="Times New Roman"/>
              </w:rPr>
            </w:pPr>
            <w:r>
              <w:rPr>
                <w:rFonts w:cs="Times New Roman"/>
              </w:rPr>
              <w:t>4.62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600.0</w:t>
            </w:r>
          </w:p>
        </w:tc>
        <w:tc>
          <w:tcPr>
            <w:tcW w:w="517" w:type="pct"/>
            <w:tcBorders>
              <w:tl2br w:val="nil"/>
              <w:tr2bl w:val="nil"/>
            </w:tcBorders>
            <w:vAlign w:val="center"/>
          </w:tcPr>
          <w:p>
            <w:pPr>
              <w:jc w:val="center"/>
              <w:rPr>
                <w:rFonts w:cs="Times New Roman"/>
              </w:rPr>
            </w:pPr>
            <w:r>
              <w:rPr>
                <w:rFonts w:cs="Times New Roman"/>
              </w:rPr>
              <w:t>1.80E-03</w:t>
            </w:r>
          </w:p>
        </w:tc>
        <w:tc>
          <w:tcPr>
            <w:tcW w:w="359" w:type="pct"/>
            <w:tcBorders>
              <w:tl2br w:val="nil"/>
              <w:tr2bl w:val="nil"/>
            </w:tcBorders>
            <w:vAlign w:val="center"/>
          </w:tcPr>
          <w:p>
            <w:pPr>
              <w:jc w:val="center"/>
              <w:rPr>
                <w:rFonts w:cs="Times New Roman"/>
              </w:rPr>
            </w:pPr>
            <w:r>
              <w:rPr>
                <w:rFonts w:cs="Times New Roman"/>
              </w:rPr>
              <w:t>3.59</w:t>
            </w:r>
          </w:p>
        </w:tc>
        <w:tc>
          <w:tcPr>
            <w:tcW w:w="517" w:type="pct"/>
            <w:tcBorders>
              <w:tl2br w:val="nil"/>
              <w:tr2bl w:val="nil"/>
            </w:tcBorders>
            <w:vAlign w:val="center"/>
          </w:tcPr>
          <w:p>
            <w:pPr>
              <w:jc w:val="center"/>
              <w:rPr>
                <w:rFonts w:cs="Times New Roman"/>
              </w:rPr>
            </w:pPr>
            <w:r>
              <w:rPr>
                <w:rFonts w:cs="Times New Roman"/>
              </w:rPr>
              <w:t>2.85E-04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3.57E-05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2.14E-04</w:t>
            </w:r>
          </w:p>
        </w:tc>
        <w:tc>
          <w:tcPr>
            <w:tcW w:w="470" w:type="pct"/>
            <w:tcBorders>
              <w:tl2br w:val="nil"/>
              <w:tr2bl w:val="nil"/>
            </w:tcBorders>
            <w:vAlign w:val="center"/>
          </w:tcPr>
          <w:p>
            <w:pPr>
              <w:jc w:val="center"/>
              <w:rPr>
                <w:rFonts w:cs="Times New Roman"/>
              </w:rPr>
            </w:pPr>
            <w:r>
              <w:rPr>
                <w:rFonts w:cs="Times New Roman"/>
              </w:rPr>
              <w:t>0.04</w:t>
            </w:r>
          </w:p>
        </w:tc>
        <w:tc>
          <w:tcPr>
            <w:tcW w:w="485" w:type="pct"/>
            <w:tcBorders>
              <w:tl2br w:val="nil"/>
              <w:tr2bl w:val="nil"/>
            </w:tcBorders>
            <w:vAlign w:val="center"/>
          </w:tcPr>
          <w:p>
            <w:pPr>
              <w:jc w:val="center"/>
              <w:rPr>
                <w:rFonts w:cs="Times New Roman"/>
              </w:rPr>
            </w:pPr>
            <w:r>
              <w:rPr>
                <w:rFonts w:cs="Times New Roman"/>
              </w:rPr>
              <w:t>8.23E-03</w:t>
            </w:r>
          </w:p>
        </w:tc>
        <w:tc>
          <w:tcPr>
            <w:tcW w:w="426" w:type="pct"/>
            <w:tcBorders>
              <w:tl2br w:val="nil"/>
              <w:tr2bl w:val="nil"/>
            </w:tcBorders>
            <w:vAlign w:val="center"/>
          </w:tcPr>
          <w:p>
            <w:pPr>
              <w:jc w:val="center"/>
              <w:rPr>
                <w:rFonts w:cs="Times New Roman"/>
              </w:rPr>
            </w:pPr>
            <w:r>
              <w:rPr>
                <w:rFonts w:cs="Times New Roman"/>
              </w:rPr>
              <w:t>4.12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700.0</w:t>
            </w:r>
          </w:p>
        </w:tc>
        <w:tc>
          <w:tcPr>
            <w:tcW w:w="517" w:type="pct"/>
            <w:tcBorders>
              <w:tl2br w:val="nil"/>
              <w:tr2bl w:val="nil"/>
            </w:tcBorders>
            <w:vAlign w:val="center"/>
          </w:tcPr>
          <w:p>
            <w:pPr>
              <w:jc w:val="center"/>
              <w:rPr>
                <w:rFonts w:cs="Times New Roman"/>
              </w:rPr>
            </w:pPr>
            <w:r>
              <w:rPr>
                <w:rFonts w:cs="Times New Roman"/>
              </w:rPr>
              <w:t>1.64E-03</w:t>
            </w:r>
          </w:p>
        </w:tc>
        <w:tc>
          <w:tcPr>
            <w:tcW w:w="359" w:type="pct"/>
            <w:tcBorders>
              <w:tl2br w:val="nil"/>
              <w:tr2bl w:val="nil"/>
            </w:tcBorders>
            <w:vAlign w:val="center"/>
          </w:tcPr>
          <w:p>
            <w:pPr>
              <w:jc w:val="center"/>
              <w:rPr>
                <w:rFonts w:cs="Times New Roman"/>
              </w:rPr>
            </w:pPr>
            <w:r>
              <w:rPr>
                <w:rFonts w:cs="Times New Roman"/>
              </w:rPr>
              <w:t>3.28</w:t>
            </w:r>
          </w:p>
        </w:tc>
        <w:tc>
          <w:tcPr>
            <w:tcW w:w="517" w:type="pct"/>
            <w:tcBorders>
              <w:tl2br w:val="nil"/>
              <w:tr2bl w:val="nil"/>
            </w:tcBorders>
            <w:vAlign w:val="center"/>
          </w:tcPr>
          <w:p>
            <w:pPr>
              <w:jc w:val="center"/>
              <w:rPr>
                <w:rFonts w:cs="Times New Roman"/>
              </w:rPr>
            </w:pPr>
            <w:r>
              <w:rPr>
                <w:rFonts w:cs="Times New Roman"/>
              </w:rPr>
              <w:t>2.60E-04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3.25E-05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1.95E-04</w:t>
            </w:r>
          </w:p>
        </w:tc>
        <w:tc>
          <w:tcPr>
            <w:tcW w:w="470" w:type="pct"/>
            <w:tcBorders>
              <w:tl2br w:val="nil"/>
              <w:tr2bl w:val="nil"/>
            </w:tcBorders>
            <w:vAlign w:val="center"/>
          </w:tcPr>
          <w:p>
            <w:pPr>
              <w:jc w:val="center"/>
              <w:rPr>
                <w:rFonts w:cs="Times New Roman"/>
              </w:rPr>
            </w:pPr>
            <w:r>
              <w:rPr>
                <w:rFonts w:cs="Times New Roman"/>
              </w:rPr>
              <w:t>0.04</w:t>
            </w:r>
          </w:p>
        </w:tc>
        <w:tc>
          <w:tcPr>
            <w:tcW w:w="485" w:type="pct"/>
            <w:tcBorders>
              <w:tl2br w:val="nil"/>
              <w:tr2bl w:val="nil"/>
            </w:tcBorders>
            <w:vAlign w:val="center"/>
          </w:tcPr>
          <w:p>
            <w:pPr>
              <w:jc w:val="center"/>
              <w:rPr>
                <w:rFonts w:cs="Times New Roman"/>
              </w:rPr>
            </w:pPr>
            <w:r>
              <w:rPr>
                <w:rFonts w:cs="Times New Roman"/>
              </w:rPr>
              <w:t>7.51E-03</w:t>
            </w:r>
          </w:p>
        </w:tc>
        <w:tc>
          <w:tcPr>
            <w:tcW w:w="426" w:type="pct"/>
            <w:tcBorders>
              <w:tl2br w:val="nil"/>
              <w:tr2bl w:val="nil"/>
            </w:tcBorders>
            <w:vAlign w:val="center"/>
          </w:tcPr>
          <w:p>
            <w:pPr>
              <w:jc w:val="center"/>
              <w:rPr>
                <w:rFonts w:cs="Times New Roman"/>
              </w:rPr>
            </w:pPr>
            <w:r>
              <w:rPr>
                <w:rFonts w:cs="Times New Roman"/>
              </w:rPr>
              <w:t>3.76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800.0</w:t>
            </w:r>
          </w:p>
        </w:tc>
        <w:tc>
          <w:tcPr>
            <w:tcW w:w="517" w:type="pct"/>
            <w:tcBorders>
              <w:tl2br w:val="nil"/>
              <w:tr2bl w:val="nil"/>
            </w:tcBorders>
            <w:vAlign w:val="center"/>
          </w:tcPr>
          <w:p>
            <w:pPr>
              <w:jc w:val="center"/>
              <w:rPr>
                <w:rFonts w:cs="Times New Roman"/>
              </w:rPr>
            </w:pPr>
            <w:r>
              <w:rPr>
                <w:rFonts w:cs="Times New Roman"/>
              </w:rPr>
              <w:t>1.51E-03</w:t>
            </w:r>
          </w:p>
        </w:tc>
        <w:tc>
          <w:tcPr>
            <w:tcW w:w="359" w:type="pct"/>
            <w:tcBorders>
              <w:tl2br w:val="nil"/>
              <w:tr2bl w:val="nil"/>
            </w:tcBorders>
            <w:vAlign w:val="center"/>
          </w:tcPr>
          <w:p>
            <w:pPr>
              <w:jc w:val="center"/>
              <w:rPr>
                <w:rFonts w:cs="Times New Roman"/>
              </w:rPr>
            </w:pPr>
            <w:r>
              <w:rPr>
                <w:rFonts w:cs="Times New Roman"/>
              </w:rPr>
              <w:t>3.02</w:t>
            </w:r>
          </w:p>
        </w:tc>
        <w:tc>
          <w:tcPr>
            <w:tcW w:w="517" w:type="pct"/>
            <w:tcBorders>
              <w:tl2br w:val="nil"/>
              <w:tr2bl w:val="nil"/>
            </w:tcBorders>
            <w:vAlign w:val="center"/>
          </w:tcPr>
          <w:p>
            <w:pPr>
              <w:jc w:val="center"/>
              <w:rPr>
                <w:rFonts w:cs="Times New Roman"/>
              </w:rPr>
            </w:pPr>
            <w:r>
              <w:rPr>
                <w:rFonts w:cs="Times New Roman"/>
              </w:rPr>
              <w:t>2.39E-04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3.00E-05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1.80E-04</w:t>
            </w:r>
          </w:p>
        </w:tc>
        <w:tc>
          <w:tcPr>
            <w:tcW w:w="470" w:type="pct"/>
            <w:tcBorders>
              <w:tl2br w:val="nil"/>
              <w:tr2bl w:val="nil"/>
            </w:tcBorders>
            <w:vAlign w:val="center"/>
          </w:tcPr>
          <w:p>
            <w:pPr>
              <w:jc w:val="center"/>
              <w:rPr>
                <w:rFonts w:cs="Times New Roman"/>
              </w:rPr>
            </w:pPr>
            <w:r>
              <w:rPr>
                <w:rFonts w:cs="Times New Roman"/>
              </w:rPr>
              <w:t>0.04</w:t>
            </w:r>
          </w:p>
        </w:tc>
        <w:tc>
          <w:tcPr>
            <w:tcW w:w="485" w:type="pct"/>
            <w:tcBorders>
              <w:tl2br w:val="nil"/>
              <w:tr2bl w:val="nil"/>
            </w:tcBorders>
            <w:vAlign w:val="center"/>
          </w:tcPr>
          <w:p>
            <w:pPr>
              <w:jc w:val="center"/>
              <w:rPr>
                <w:rFonts w:cs="Times New Roman"/>
              </w:rPr>
            </w:pPr>
            <w:r>
              <w:rPr>
                <w:rFonts w:cs="Times New Roman"/>
              </w:rPr>
              <w:t>6.91E-03</w:t>
            </w:r>
          </w:p>
        </w:tc>
        <w:tc>
          <w:tcPr>
            <w:tcW w:w="426" w:type="pct"/>
            <w:tcBorders>
              <w:tl2br w:val="nil"/>
              <w:tr2bl w:val="nil"/>
            </w:tcBorders>
            <w:vAlign w:val="center"/>
          </w:tcPr>
          <w:p>
            <w:pPr>
              <w:jc w:val="center"/>
              <w:rPr>
                <w:rFonts w:cs="Times New Roman"/>
              </w:rPr>
            </w:pPr>
            <w:r>
              <w:rPr>
                <w:rFonts w:cs="Times New Roman"/>
              </w:rPr>
              <w:t>3.46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900.0</w:t>
            </w:r>
          </w:p>
        </w:tc>
        <w:tc>
          <w:tcPr>
            <w:tcW w:w="517" w:type="pct"/>
            <w:tcBorders>
              <w:tl2br w:val="nil"/>
              <w:tr2bl w:val="nil"/>
            </w:tcBorders>
            <w:vAlign w:val="center"/>
          </w:tcPr>
          <w:p>
            <w:pPr>
              <w:jc w:val="center"/>
              <w:rPr>
                <w:rFonts w:cs="Times New Roman"/>
              </w:rPr>
            </w:pPr>
            <w:r>
              <w:rPr>
                <w:rFonts w:cs="Times New Roman"/>
              </w:rPr>
              <w:t>1.41E-03</w:t>
            </w:r>
          </w:p>
        </w:tc>
        <w:tc>
          <w:tcPr>
            <w:tcW w:w="359" w:type="pct"/>
            <w:tcBorders>
              <w:tl2br w:val="nil"/>
              <w:tr2bl w:val="nil"/>
            </w:tcBorders>
            <w:vAlign w:val="center"/>
          </w:tcPr>
          <w:p>
            <w:pPr>
              <w:jc w:val="center"/>
              <w:rPr>
                <w:rFonts w:cs="Times New Roman"/>
              </w:rPr>
            </w:pPr>
            <w:r>
              <w:rPr>
                <w:rFonts w:cs="Times New Roman"/>
              </w:rPr>
              <w:t>2.82</w:t>
            </w:r>
          </w:p>
        </w:tc>
        <w:tc>
          <w:tcPr>
            <w:tcW w:w="517" w:type="pct"/>
            <w:tcBorders>
              <w:tl2br w:val="nil"/>
              <w:tr2bl w:val="nil"/>
            </w:tcBorders>
            <w:vAlign w:val="center"/>
          </w:tcPr>
          <w:p>
            <w:pPr>
              <w:jc w:val="center"/>
              <w:rPr>
                <w:rFonts w:cs="Times New Roman"/>
              </w:rPr>
            </w:pPr>
            <w:r>
              <w:rPr>
                <w:rFonts w:cs="Times New Roman"/>
              </w:rPr>
              <w:t>2.24E-04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2.80E-05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1.68E-04</w:t>
            </w:r>
          </w:p>
        </w:tc>
        <w:tc>
          <w:tcPr>
            <w:tcW w:w="470" w:type="pct"/>
            <w:tcBorders>
              <w:tl2br w:val="nil"/>
              <w:tr2bl w:val="nil"/>
            </w:tcBorders>
            <w:vAlign w:val="center"/>
          </w:tcPr>
          <w:p>
            <w:pPr>
              <w:jc w:val="center"/>
              <w:rPr>
                <w:rFonts w:cs="Times New Roman"/>
              </w:rPr>
            </w:pPr>
            <w:r>
              <w:rPr>
                <w:rFonts w:cs="Times New Roman"/>
              </w:rPr>
              <w:t>0.03</w:t>
            </w:r>
          </w:p>
        </w:tc>
        <w:tc>
          <w:tcPr>
            <w:tcW w:w="485" w:type="pct"/>
            <w:tcBorders>
              <w:tl2br w:val="nil"/>
              <w:tr2bl w:val="nil"/>
            </w:tcBorders>
            <w:vAlign w:val="center"/>
          </w:tcPr>
          <w:p>
            <w:pPr>
              <w:jc w:val="center"/>
              <w:rPr>
                <w:rFonts w:cs="Times New Roman"/>
              </w:rPr>
            </w:pPr>
            <w:r>
              <w:rPr>
                <w:rFonts w:cs="Times New Roman"/>
              </w:rPr>
              <w:t>6.46E-03</w:t>
            </w:r>
          </w:p>
        </w:tc>
        <w:tc>
          <w:tcPr>
            <w:tcW w:w="426" w:type="pct"/>
            <w:tcBorders>
              <w:tl2br w:val="nil"/>
              <w:tr2bl w:val="nil"/>
            </w:tcBorders>
            <w:vAlign w:val="center"/>
          </w:tcPr>
          <w:p>
            <w:pPr>
              <w:jc w:val="center"/>
              <w:rPr>
                <w:rFonts w:cs="Times New Roman"/>
              </w:rPr>
            </w:pPr>
            <w:r>
              <w:rPr>
                <w:rFonts w:cs="Times New Roman"/>
              </w:rPr>
              <w:t>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1000.0</w:t>
            </w:r>
          </w:p>
        </w:tc>
        <w:tc>
          <w:tcPr>
            <w:tcW w:w="517" w:type="pct"/>
            <w:tcBorders>
              <w:tl2br w:val="nil"/>
              <w:tr2bl w:val="nil"/>
            </w:tcBorders>
            <w:vAlign w:val="center"/>
          </w:tcPr>
          <w:p>
            <w:pPr>
              <w:jc w:val="center"/>
              <w:rPr>
                <w:rFonts w:cs="Times New Roman"/>
              </w:rPr>
            </w:pPr>
            <w:r>
              <w:rPr>
                <w:rFonts w:cs="Times New Roman"/>
              </w:rPr>
              <w:t>1.32E-03</w:t>
            </w:r>
          </w:p>
        </w:tc>
        <w:tc>
          <w:tcPr>
            <w:tcW w:w="359" w:type="pct"/>
            <w:tcBorders>
              <w:tl2br w:val="nil"/>
              <w:tr2bl w:val="nil"/>
            </w:tcBorders>
            <w:vAlign w:val="center"/>
          </w:tcPr>
          <w:p>
            <w:pPr>
              <w:jc w:val="center"/>
              <w:rPr>
                <w:rFonts w:cs="Times New Roman"/>
              </w:rPr>
            </w:pPr>
            <w:r>
              <w:rPr>
                <w:rFonts w:cs="Times New Roman"/>
              </w:rPr>
              <w:t>2.64</w:t>
            </w:r>
          </w:p>
        </w:tc>
        <w:tc>
          <w:tcPr>
            <w:tcW w:w="517" w:type="pct"/>
            <w:tcBorders>
              <w:tl2br w:val="nil"/>
              <w:tr2bl w:val="nil"/>
            </w:tcBorders>
            <w:vAlign w:val="center"/>
          </w:tcPr>
          <w:p>
            <w:pPr>
              <w:jc w:val="center"/>
              <w:rPr>
                <w:rFonts w:cs="Times New Roman"/>
              </w:rPr>
            </w:pPr>
            <w:r>
              <w:rPr>
                <w:rFonts w:cs="Times New Roman"/>
              </w:rPr>
              <w:t>2.10E-04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2.63E-05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1.57E-04</w:t>
            </w:r>
          </w:p>
        </w:tc>
        <w:tc>
          <w:tcPr>
            <w:tcW w:w="470" w:type="pct"/>
            <w:tcBorders>
              <w:tl2br w:val="nil"/>
              <w:tr2bl w:val="nil"/>
            </w:tcBorders>
            <w:vAlign w:val="center"/>
          </w:tcPr>
          <w:p>
            <w:pPr>
              <w:jc w:val="center"/>
              <w:rPr>
                <w:rFonts w:cs="Times New Roman"/>
              </w:rPr>
            </w:pPr>
            <w:r>
              <w:rPr>
                <w:rFonts w:cs="Times New Roman"/>
              </w:rPr>
              <w:t>0.03</w:t>
            </w:r>
          </w:p>
        </w:tc>
        <w:tc>
          <w:tcPr>
            <w:tcW w:w="485" w:type="pct"/>
            <w:tcBorders>
              <w:tl2br w:val="nil"/>
              <w:tr2bl w:val="nil"/>
            </w:tcBorders>
            <w:vAlign w:val="center"/>
          </w:tcPr>
          <w:p>
            <w:pPr>
              <w:jc w:val="center"/>
              <w:rPr>
                <w:rFonts w:cs="Times New Roman"/>
              </w:rPr>
            </w:pPr>
            <w:r>
              <w:rPr>
                <w:rFonts w:cs="Times New Roman"/>
              </w:rPr>
              <w:t>6.06E-03</w:t>
            </w:r>
          </w:p>
        </w:tc>
        <w:tc>
          <w:tcPr>
            <w:tcW w:w="426" w:type="pct"/>
            <w:tcBorders>
              <w:tl2br w:val="nil"/>
              <w:tr2bl w:val="nil"/>
            </w:tcBorders>
            <w:vAlign w:val="center"/>
          </w:tcPr>
          <w:p>
            <w:pPr>
              <w:jc w:val="center"/>
              <w:rPr>
                <w:rFonts w:cs="Times New Roman"/>
              </w:rPr>
            </w:pPr>
            <w:r>
              <w:rPr>
                <w:rFonts w:cs="Times New Roman"/>
              </w:rPr>
              <w:t>3.03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1200.0</w:t>
            </w:r>
          </w:p>
        </w:tc>
        <w:tc>
          <w:tcPr>
            <w:tcW w:w="517" w:type="pct"/>
            <w:tcBorders>
              <w:tl2br w:val="nil"/>
              <w:tr2bl w:val="nil"/>
            </w:tcBorders>
            <w:vAlign w:val="center"/>
          </w:tcPr>
          <w:p>
            <w:pPr>
              <w:jc w:val="center"/>
              <w:rPr>
                <w:rFonts w:cs="Times New Roman"/>
              </w:rPr>
            </w:pPr>
            <w:r>
              <w:rPr>
                <w:rFonts w:cs="Times New Roman"/>
              </w:rPr>
              <w:t>1.16E-03</w:t>
            </w:r>
          </w:p>
        </w:tc>
        <w:tc>
          <w:tcPr>
            <w:tcW w:w="359" w:type="pct"/>
            <w:tcBorders>
              <w:tl2br w:val="nil"/>
              <w:tr2bl w:val="nil"/>
            </w:tcBorders>
            <w:vAlign w:val="center"/>
          </w:tcPr>
          <w:p>
            <w:pPr>
              <w:jc w:val="center"/>
              <w:rPr>
                <w:rFonts w:cs="Times New Roman"/>
              </w:rPr>
            </w:pPr>
            <w:r>
              <w:rPr>
                <w:rFonts w:cs="Times New Roman"/>
              </w:rPr>
              <w:t>2.32</w:t>
            </w:r>
          </w:p>
        </w:tc>
        <w:tc>
          <w:tcPr>
            <w:tcW w:w="517" w:type="pct"/>
            <w:tcBorders>
              <w:tl2br w:val="nil"/>
              <w:tr2bl w:val="nil"/>
            </w:tcBorders>
            <w:vAlign w:val="center"/>
          </w:tcPr>
          <w:p>
            <w:pPr>
              <w:jc w:val="center"/>
              <w:rPr>
                <w:rFonts w:cs="Times New Roman"/>
              </w:rPr>
            </w:pPr>
            <w:r>
              <w:rPr>
                <w:rFonts w:cs="Times New Roman"/>
              </w:rPr>
              <w:t>1.84E-04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2.30E-05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1.38E-04</w:t>
            </w:r>
          </w:p>
        </w:tc>
        <w:tc>
          <w:tcPr>
            <w:tcW w:w="470" w:type="pct"/>
            <w:tcBorders>
              <w:tl2br w:val="nil"/>
              <w:tr2bl w:val="nil"/>
            </w:tcBorders>
            <w:vAlign w:val="center"/>
          </w:tcPr>
          <w:p>
            <w:pPr>
              <w:jc w:val="center"/>
              <w:rPr>
                <w:rFonts w:cs="Times New Roman"/>
              </w:rPr>
            </w:pPr>
            <w:r>
              <w:rPr>
                <w:rFonts w:cs="Times New Roman"/>
              </w:rPr>
              <w:t>0.03</w:t>
            </w:r>
          </w:p>
        </w:tc>
        <w:tc>
          <w:tcPr>
            <w:tcW w:w="485" w:type="pct"/>
            <w:tcBorders>
              <w:tl2br w:val="nil"/>
              <w:tr2bl w:val="nil"/>
            </w:tcBorders>
            <w:vAlign w:val="center"/>
          </w:tcPr>
          <w:p>
            <w:pPr>
              <w:jc w:val="center"/>
              <w:rPr>
                <w:rFonts w:cs="Times New Roman"/>
              </w:rPr>
            </w:pPr>
            <w:r>
              <w:rPr>
                <w:rFonts w:cs="Times New Roman"/>
              </w:rPr>
              <w:t>5.31E-03</w:t>
            </w:r>
          </w:p>
        </w:tc>
        <w:tc>
          <w:tcPr>
            <w:tcW w:w="426" w:type="pct"/>
            <w:tcBorders>
              <w:tl2br w:val="nil"/>
              <w:tr2bl w:val="nil"/>
            </w:tcBorders>
            <w:vAlign w:val="center"/>
          </w:tcPr>
          <w:p>
            <w:pPr>
              <w:jc w:val="center"/>
              <w:rPr>
                <w:rFonts w:cs="Times New Roman"/>
              </w:rPr>
            </w:pPr>
            <w:r>
              <w:rPr>
                <w:rFonts w:cs="Times New Roman"/>
              </w:rPr>
              <w:t>2.66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1400.0</w:t>
            </w:r>
          </w:p>
        </w:tc>
        <w:tc>
          <w:tcPr>
            <w:tcW w:w="517" w:type="pct"/>
            <w:tcBorders>
              <w:tl2br w:val="nil"/>
              <w:tr2bl w:val="nil"/>
            </w:tcBorders>
            <w:vAlign w:val="center"/>
          </w:tcPr>
          <w:p>
            <w:pPr>
              <w:jc w:val="center"/>
              <w:rPr>
                <w:rFonts w:cs="Times New Roman"/>
              </w:rPr>
            </w:pPr>
            <w:r>
              <w:rPr>
                <w:rFonts w:cs="Times New Roman"/>
              </w:rPr>
              <w:t>1.08E-03</w:t>
            </w:r>
          </w:p>
        </w:tc>
        <w:tc>
          <w:tcPr>
            <w:tcW w:w="359" w:type="pct"/>
            <w:tcBorders>
              <w:tl2br w:val="nil"/>
              <w:tr2bl w:val="nil"/>
            </w:tcBorders>
            <w:vAlign w:val="center"/>
          </w:tcPr>
          <w:p>
            <w:pPr>
              <w:jc w:val="center"/>
              <w:rPr>
                <w:rFonts w:cs="Times New Roman"/>
              </w:rPr>
            </w:pPr>
            <w:r>
              <w:rPr>
                <w:rFonts w:cs="Times New Roman"/>
              </w:rPr>
              <w:t>2.16</w:t>
            </w:r>
          </w:p>
        </w:tc>
        <w:tc>
          <w:tcPr>
            <w:tcW w:w="517" w:type="pct"/>
            <w:tcBorders>
              <w:tl2br w:val="nil"/>
              <w:tr2bl w:val="nil"/>
            </w:tcBorders>
            <w:vAlign w:val="center"/>
          </w:tcPr>
          <w:p>
            <w:pPr>
              <w:jc w:val="center"/>
              <w:rPr>
                <w:rFonts w:cs="Times New Roman"/>
              </w:rPr>
            </w:pPr>
            <w:r>
              <w:rPr>
                <w:rFonts w:cs="Times New Roman"/>
              </w:rPr>
              <w:t>1.71E-04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2.14E-05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1.28E-04</w:t>
            </w:r>
          </w:p>
        </w:tc>
        <w:tc>
          <w:tcPr>
            <w:tcW w:w="470" w:type="pct"/>
            <w:tcBorders>
              <w:tl2br w:val="nil"/>
              <w:tr2bl w:val="nil"/>
            </w:tcBorders>
            <w:vAlign w:val="center"/>
          </w:tcPr>
          <w:p>
            <w:pPr>
              <w:jc w:val="center"/>
              <w:rPr>
                <w:rFonts w:cs="Times New Roman"/>
              </w:rPr>
            </w:pPr>
            <w:r>
              <w:rPr>
                <w:rFonts w:cs="Times New Roman"/>
              </w:rPr>
              <w:t>0.03</w:t>
            </w:r>
          </w:p>
        </w:tc>
        <w:tc>
          <w:tcPr>
            <w:tcW w:w="485" w:type="pct"/>
            <w:tcBorders>
              <w:tl2br w:val="nil"/>
              <w:tr2bl w:val="nil"/>
            </w:tcBorders>
            <w:vAlign w:val="center"/>
          </w:tcPr>
          <w:p>
            <w:pPr>
              <w:jc w:val="center"/>
              <w:rPr>
                <w:rFonts w:cs="Times New Roman"/>
              </w:rPr>
            </w:pPr>
            <w:r>
              <w:rPr>
                <w:rFonts w:cs="Times New Roman"/>
              </w:rPr>
              <w:t>4.94E-03</w:t>
            </w:r>
          </w:p>
        </w:tc>
        <w:tc>
          <w:tcPr>
            <w:tcW w:w="426" w:type="pct"/>
            <w:tcBorders>
              <w:tl2br w:val="nil"/>
              <w:tr2bl w:val="nil"/>
            </w:tcBorders>
            <w:vAlign w:val="center"/>
          </w:tcPr>
          <w:p>
            <w:pPr>
              <w:jc w:val="center"/>
              <w:rPr>
                <w:rFonts w:cs="Times New Roman"/>
              </w:rPr>
            </w:pPr>
            <w:r>
              <w:rPr>
                <w:rFonts w:cs="Times New Roman"/>
              </w:rPr>
              <w:t>2.47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1600.0</w:t>
            </w:r>
          </w:p>
        </w:tc>
        <w:tc>
          <w:tcPr>
            <w:tcW w:w="517" w:type="pct"/>
            <w:tcBorders>
              <w:tl2br w:val="nil"/>
              <w:tr2bl w:val="nil"/>
            </w:tcBorders>
            <w:vAlign w:val="center"/>
          </w:tcPr>
          <w:p>
            <w:pPr>
              <w:jc w:val="center"/>
              <w:rPr>
                <w:rFonts w:cs="Times New Roman"/>
              </w:rPr>
            </w:pPr>
            <w:r>
              <w:rPr>
                <w:rFonts w:cs="Times New Roman"/>
              </w:rPr>
              <w:t>9.99E-04</w:t>
            </w:r>
          </w:p>
        </w:tc>
        <w:tc>
          <w:tcPr>
            <w:tcW w:w="359" w:type="pct"/>
            <w:tcBorders>
              <w:tl2br w:val="nil"/>
              <w:tr2bl w:val="nil"/>
            </w:tcBorders>
            <w:vAlign w:val="center"/>
          </w:tcPr>
          <w:p>
            <w:pPr>
              <w:jc w:val="center"/>
              <w:rPr>
                <w:rFonts w:cs="Times New Roman"/>
              </w:rPr>
            </w:pPr>
            <w:r>
              <w:rPr>
                <w:rFonts w:cs="Times New Roman"/>
              </w:rPr>
              <w:t>2.00</w:t>
            </w:r>
          </w:p>
        </w:tc>
        <w:tc>
          <w:tcPr>
            <w:tcW w:w="517" w:type="pct"/>
            <w:tcBorders>
              <w:tl2br w:val="nil"/>
              <w:tr2bl w:val="nil"/>
            </w:tcBorders>
            <w:vAlign w:val="center"/>
          </w:tcPr>
          <w:p>
            <w:pPr>
              <w:jc w:val="center"/>
              <w:rPr>
                <w:rFonts w:cs="Times New Roman"/>
              </w:rPr>
            </w:pPr>
            <w:r>
              <w:rPr>
                <w:rFonts w:cs="Times New Roman"/>
              </w:rPr>
              <w:t>1.58E-04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1.98E-05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1.19E-04</w:t>
            </w:r>
          </w:p>
        </w:tc>
        <w:tc>
          <w:tcPr>
            <w:tcW w:w="470" w:type="pct"/>
            <w:tcBorders>
              <w:tl2br w:val="nil"/>
              <w:tr2bl w:val="nil"/>
            </w:tcBorders>
            <w:vAlign w:val="center"/>
          </w:tcPr>
          <w:p>
            <w:pPr>
              <w:jc w:val="center"/>
              <w:rPr>
                <w:rFonts w:cs="Times New Roman"/>
              </w:rPr>
            </w:pPr>
            <w:r>
              <w:rPr>
                <w:rFonts w:cs="Times New Roman"/>
              </w:rPr>
              <w:t>0.02</w:t>
            </w:r>
          </w:p>
        </w:tc>
        <w:tc>
          <w:tcPr>
            <w:tcW w:w="485" w:type="pct"/>
            <w:tcBorders>
              <w:tl2br w:val="nil"/>
              <w:tr2bl w:val="nil"/>
            </w:tcBorders>
            <w:vAlign w:val="center"/>
          </w:tcPr>
          <w:p>
            <w:pPr>
              <w:jc w:val="center"/>
              <w:rPr>
                <w:rFonts w:cs="Times New Roman"/>
              </w:rPr>
            </w:pPr>
            <w:r>
              <w:rPr>
                <w:rFonts w:cs="Times New Roman"/>
              </w:rPr>
              <w:t>4.58E-03</w:t>
            </w:r>
          </w:p>
        </w:tc>
        <w:tc>
          <w:tcPr>
            <w:tcW w:w="426" w:type="pct"/>
            <w:tcBorders>
              <w:tl2br w:val="nil"/>
              <w:tr2bl w:val="nil"/>
            </w:tcBorders>
            <w:vAlign w:val="center"/>
          </w:tcPr>
          <w:p>
            <w:pPr>
              <w:jc w:val="center"/>
              <w:rPr>
                <w:rFonts w:cs="Times New Roman"/>
              </w:rPr>
            </w:pPr>
            <w:r>
              <w:rPr>
                <w:rFonts w:cs="Times New Roman"/>
              </w:rPr>
              <w:t>2.29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1800.0</w:t>
            </w:r>
          </w:p>
        </w:tc>
        <w:tc>
          <w:tcPr>
            <w:tcW w:w="517" w:type="pct"/>
            <w:tcBorders>
              <w:tl2br w:val="nil"/>
              <w:tr2bl w:val="nil"/>
            </w:tcBorders>
            <w:vAlign w:val="center"/>
          </w:tcPr>
          <w:p>
            <w:pPr>
              <w:jc w:val="center"/>
              <w:rPr>
                <w:rFonts w:cs="Times New Roman"/>
              </w:rPr>
            </w:pPr>
            <w:r>
              <w:rPr>
                <w:rFonts w:cs="Times New Roman"/>
              </w:rPr>
              <w:t>9.21E-04</w:t>
            </w:r>
          </w:p>
        </w:tc>
        <w:tc>
          <w:tcPr>
            <w:tcW w:w="359" w:type="pct"/>
            <w:tcBorders>
              <w:tl2br w:val="nil"/>
              <w:tr2bl w:val="nil"/>
            </w:tcBorders>
            <w:vAlign w:val="center"/>
          </w:tcPr>
          <w:p>
            <w:pPr>
              <w:jc w:val="center"/>
              <w:rPr>
                <w:rFonts w:cs="Times New Roman"/>
              </w:rPr>
            </w:pPr>
            <w:r>
              <w:rPr>
                <w:rFonts w:cs="Times New Roman"/>
              </w:rPr>
              <w:t>1.84</w:t>
            </w:r>
          </w:p>
        </w:tc>
        <w:tc>
          <w:tcPr>
            <w:tcW w:w="517" w:type="pct"/>
            <w:tcBorders>
              <w:tl2br w:val="nil"/>
              <w:tr2bl w:val="nil"/>
            </w:tcBorders>
            <w:vAlign w:val="center"/>
          </w:tcPr>
          <w:p>
            <w:pPr>
              <w:jc w:val="center"/>
              <w:rPr>
                <w:rFonts w:cs="Times New Roman"/>
              </w:rPr>
            </w:pPr>
            <w:r>
              <w:rPr>
                <w:rFonts w:cs="Times New Roman"/>
              </w:rPr>
              <w:t>1.46E-04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1.83E-05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1.10E-04</w:t>
            </w:r>
          </w:p>
        </w:tc>
        <w:tc>
          <w:tcPr>
            <w:tcW w:w="470" w:type="pct"/>
            <w:tcBorders>
              <w:tl2br w:val="nil"/>
              <w:tr2bl w:val="nil"/>
            </w:tcBorders>
            <w:vAlign w:val="center"/>
          </w:tcPr>
          <w:p>
            <w:pPr>
              <w:jc w:val="center"/>
              <w:rPr>
                <w:rFonts w:cs="Times New Roman"/>
              </w:rPr>
            </w:pPr>
            <w:r>
              <w:rPr>
                <w:rFonts w:cs="Times New Roman"/>
              </w:rPr>
              <w:t>0.02</w:t>
            </w:r>
          </w:p>
        </w:tc>
        <w:tc>
          <w:tcPr>
            <w:tcW w:w="485" w:type="pct"/>
            <w:tcBorders>
              <w:tl2br w:val="nil"/>
              <w:tr2bl w:val="nil"/>
            </w:tcBorders>
            <w:vAlign w:val="center"/>
          </w:tcPr>
          <w:p>
            <w:pPr>
              <w:jc w:val="center"/>
              <w:rPr>
                <w:rFonts w:cs="Times New Roman"/>
              </w:rPr>
            </w:pPr>
            <w:r>
              <w:rPr>
                <w:rFonts w:cs="Times New Roman"/>
              </w:rPr>
              <w:t>4.22E-03</w:t>
            </w:r>
          </w:p>
        </w:tc>
        <w:tc>
          <w:tcPr>
            <w:tcW w:w="426" w:type="pct"/>
            <w:tcBorders>
              <w:tl2br w:val="nil"/>
              <w:tr2bl w:val="nil"/>
            </w:tcBorders>
            <w:vAlign w:val="center"/>
          </w:tcPr>
          <w:p>
            <w:pPr>
              <w:jc w:val="center"/>
              <w:rPr>
                <w:rFonts w:cs="Times New Roman"/>
              </w:rPr>
            </w:pPr>
            <w:r>
              <w:rPr>
                <w:rFonts w:cs="Times New Roman"/>
              </w:rPr>
              <w:t>2.11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2000.0</w:t>
            </w:r>
          </w:p>
        </w:tc>
        <w:tc>
          <w:tcPr>
            <w:tcW w:w="517" w:type="pct"/>
            <w:tcBorders>
              <w:tl2br w:val="nil"/>
              <w:tr2bl w:val="nil"/>
            </w:tcBorders>
            <w:vAlign w:val="center"/>
          </w:tcPr>
          <w:p>
            <w:pPr>
              <w:jc w:val="center"/>
              <w:rPr>
                <w:rFonts w:cs="Times New Roman"/>
              </w:rPr>
            </w:pPr>
            <w:r>
              <w:rPr>
                <w:rFonts w:cs="Times New Roman"/>
              </w:rPr>
              <w:t>8.52E-04</w:t>
            </w:r>
          </w:p>
        </w:tc>
        <w:tc>
          <w:tcPr>
            <w:tcW w:w="359" w:type="pct"/>
            <w:tcBorders>
              <w:tl2br w:val="nil"/>
              <w:tr2bl w:val="nil"/>
            </w:tcBorders>
            <w:vAlign w:val="center"/>
          </w:tcPr>
          <w:p>
            <w:pPr>
              <w:jc w:val="center"/>
              <w:rPr>
                <w:rFonts w:cs="Times New Roman"/>
              </w:rPr>
            </w:pPr>
            <w:r>
              <w:rPr>
                <w:rFonts w:cs="Times New Roman"/>
              </w:rPr>
              <w:t>1.70</w:t>
            </w:r>
          </w:p>
        </w:tc>
        <w:tc>
          <w:tcPr>
            <w:tcW w:w="517" w:type="pct"/>
            <w:tcBorders>
              <w:tl2br w:val="nil"/>
              <w:tr2bl w:val="nil"/>
            </w:tcBorders>
            <w:vAlign w:val="center"/>
          </w:tcPr>
          <w:p>
            <w:pPr>
              <w:jc w:val="center"/>
              <w:rPr>
                <w:rFonts w:cs="Times New Roman"/>
              </w:rPr>
            </w:pPr>
            <w:r>
              <w:rPr>
                <w:rFonts w:cs="Times New Roman"/>
              </w:rPr>
              <w:t>1.35E-04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1.69E-05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1.01E-04</w:t>
            </w:r>
          </w:p>
        </w:tc>
        <w:tc>
          <w:tcPr>
            <w:tcW w:w="470" w:type="pct"/>
            <w:tcBorders>
              <w:tl2br w:val="nil"/>
              <w:tr2bl w:val="nil"/>
            </w:tcBorders>
            <w:vAlign w:val="center"/>
          </w:tcPr>
          <w:p>
            <w:pPr>
              <w:jc w:val="center"/>
              <w:rPr>
                <w:rFonts w:cs="Times New Roman"/>
              </w:rPr>
            </w:pPr>
            <w:r>
              <w:rPr>
                <w:rFonts w:cs="Times New Roman"/>
              </w:rPr>
              <w:t>0.02</w:t>
            </w:r>
          </w:p>
        </w:tc>
        <w:tc>
          <w:tcPr>
            <w:tcW w:w="485" w:type="pct"/>
            <w:tcBorders>
              <w:tl2br w:val="nil"/>
              <w:tr2bl w:val="nil"/>
            </w:tcBorders>
            <w:vAlign w:val="center"/>
          </w:tcPr>
          <w:p>
            <w:pPr>
              <w:jc w:val="center"/>
              <w:rPr>
                <w:rFonts w:cs="Times New Roman"/>
              </w:rPr>
            </w:pPr>
            <w:r>
              <w:rPr>
                <w:rFonts w:cs="Times New Roman"/>
              </w:rPr>
              <w:t>3.90E-03</w:t>
            </w:r>
          </w:p>
        </w:tc>
        <w:tc>
          <w:tcPr>
            <w:tcW w:w="426" w:type="pct"/>
            <w:tcBorders>
              <w:tl2br w:val="nil"/>
              <w:tr2bl w:val="nil"/>
            </w:tcBorders>
            <w:vAlign w:val="center"/>
          </w:tcPr>
          <w:p>
            <w:pPr>
              <w:jc w:val="center"/>
              <w:rPr>
                <w:rFonts w:cs="Times New Roman"/>
              </w:rPr>
            </w:pPr>
            <w:r>
              <w:rPr>
                <w:rFonts w:cs="Times New Roman"/>
              </w:rPr>
              <w:t>1.95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2500.0</w:t>
            </w:r>
          </w:p>
        </w:tc>
        <w:tc>
          <w:tcPr>
            <w:tcW w:w="517" w:type="pct"/>
            <w:tcBorders>
              <w:tl2br w:val="nil"/>
              <w:tr2bl w:val="nil"/>
            </w:tcBorders>
            <w:vAlign w:val="center"/>
          </w:tcPr>
          <w:p>
            <w:pPr>
              <w:jc w:val="center"/>
              <w:rPr>
                <w:rFonts w:cs="Times New Roman"/>
              </w:rPr>
            </w:pPr>
            <w:r>
              <w:rPr>
                <w:rFonts w:cs="Times New Roman"/>
              </w:rPr>
              <w:t>7.24E-04</w:t>
            </w:r>
          </w:p>
        </w:tc>
        <w:tc>
          <w:tcPr>
            <w:tcW w:w="359" w:type="pct"/>
            <w:tcBorders>
              <w:tl2br w:val="nil"/>
              <w:tr2bl w:val="nil"/>
            </w:tcBorders>
            <w:vAlign w:val="center"/>
          </w:tcPr>
          <w:p>
            <w:pPr>
              <w:jc w:val="center"/>
              <w:rPr>
                <w:rFonts w:cs="Times New Roman"/>
              </w:rPr>
            </w:pPr>
            <w:r>
              <w:rPr>
                <w:rFonts w:cs="Times New Roman"/>
              </w:rPr>
              <w:t>1.45</w:t>
            </w:r>
          </w:p>
        </w:tc>
        <w:tc>
          <w:tcPr>
            <w:tcW w:w="517" w:type="pct"/>
            <w:tcBorders>
              <w:tl2br w:val="nil"/>
              <w:tr2bl w:val="nil"/>
            </w:tcBorders>
            <w:vAlign w:val="center"/>
          </w:tcPr>
          <w:p>
            <w:pPr>
              <w:jc w:val="center"/>
              <w:rPr>
                <w:rFonts w:cs="Times New Roman"/>
              </w:rPr>
            </w:pPr>
            <w:r>
              <w:rPr>
                <w:rFonts w:cs="Times New Roman"/>
              </w:rPr>
              <w:t>1.15E-04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1.44E-05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8.62E-05</w:t>
            </w:r>
          </w:p>
        </w:tc>
        <w:tc>
          <w:tcPr>
            <w:tcW w:w="470" w:type="pct"/>
            <w:tcBorders>
              <w:tl2br w:val="nil"/>
              <w:tr2bl w:val="nil"/>
            </w:tcBorders>
            <w:vAlign w:val="center"/>
          </w:tcPr>
          <w:p>
            <w:pPr>
              <w:jc w:val="center"/>
              <w:rPr>
                <w:rFonts w:cs="Times New Roman"/>
              </w:rPr>
            </w:pPr>
            <w:r>
              <w:rPr>
                <w:rFonts w:cs="Times New Roman"/>
              </w:rPr>
              <w:t>0.02</w:t>
            </w:r>
          </w:p>
        </w:tc>
        <w:tc>
          <w:tcPr>
            <w:tcW w:w="485" w:type="pct"/>
            <w:tcBorders>
              <w:tl2br w:val="nil"/>
              <w:tr2bl w:val="nil"/>
            </w:tcBorders>
            <w:vAlign w:val="center"/>
          </w:tcPr>
          <w:p>
            <w:pPr>
              <w:jc w:val="center"/>
              <w:rPr>
                <w:rFonts w:cs="Times New Roman"/>
              </w:rPr>
            </w:pPr>
            <w:r>
              <w:rPr>
                <w:rFonts w:cs="Times New Roman"/>
              </w:rPr>
              <w:t>3.32E-03</w:t>
            </w:r>
          </w:p>
        </w:tc>
        <w:tc>
          <w:tcPr>
            <w:tcW w:w="426" w:type="pct"/>
            <w:tcBorders>
              <w:tl2br w:val="nil"/>
              <w:tr2bl w:val="nil"/>
            </w:tcBorders>
            <w:vAlign w:val="center"/>
          </w:tcPr>
          <w:p>
            <w:pPr>
              <w:jc w:val="center"/>
              <w:rPr>
                <w:rFonts w:cs="Times New Roman"/>
              </w:rPr>
            </w:pPr>
            <w:r>
              <w:rPr>
                <w:rFonts w:cs="Times New Roman"/>
              </w:rPr>
              <w:t>1.66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下风向最大浓度</w:t>
            </w:r>
          </w:p>
        </w:tc>
        <w:tc>
          <w:tcPr>
            <w:tcW w:w="517" w:type="pct"/>
            <w:tcBorders>
              <w:tl2br w:val="nil"/>
              <w:tr2bl w:val="nil"/>
            </w:tcBorders>
            <w:vAlign w:val="center"/>
          </w:tcPr>
          <w:p>
            <w:pPr>
              <w:jc w:val="center"/>
              <w:rPr>
                <w:rFonts w:cs="Times New Roman"/>
              </w:rPr>
            </w:pPr>
            <w:r>
              <w:rPr>
                <w:rFonts w:cs="Times New Roman"/>
              </w:rPr>
              <w:t>3.94E-03</w:t>
            </w:r>
          </w:p>
        </w:tc>
        <w:tc>
          <w:tcPr>
            <w:tcW w:w="359" w:type="pct"/>
            <w:tcBorders>
              <w:tl2br w:val="nil"/>
              <w:tr2bl w:val="nil"/>
            </w:tcBorders>
            <w:vAlign w:val="center"/>
          </w:tcPr>
          <w:p>
            <w:pPr>
              <w:jc w:val="center"/>
              <w:rPr>
                <w:rFonts w:cs="Times New Roman"/>
              </w:rPr>
            </w:pPr>
            <w:r>
              <w:rPr>
                <w:rFonts w:cs="Times New Roman"/>
              </w:rPr>
              <w:t>7.87</w:t>
            </w:r>
          </w:p>
        </w:tc>
        <w:tc>
          <w:tcPr>
            <w:tcW w:w="517" w:type="pct"/>
            <w:tcBorders>
              <w:tl2br w:val="nil"/>
              <w:tr2bl w:val="nil"/>
            </w:tcBorders>
            <w:vAlign w:val="center"/>
          </w:tcPr>
          <w:p>
            <w:pPr>
              <w:jc w:val="center"/>
              <w:rPr>
                <w:rFonts w:cs="Times New Roman"/>
              </w:rPr>
            </w:pPr>
            <w:r>
              <w:rPr>
                <w:rFonts w:cs="Times New Roman"/>
              </w:rPr>
              <w:t>6.24E-04</w:t>
            </w:r>
          </w:p>
        </w:tc>
        <w:tc>
          <w:tcPr>
            <w:tcW w:w="361" w:type="pct"/>
            <w:tcBorders>
              <w:tl2br w:val="nil"/>
              <w:tr2bl w:val="nil"/>
            </w:tcBorders>
            <w:vAlign w:val="center"/>
          </w:tcPr>
          <w:p>
            <w:pPr>
              <w:jc w:val="center"/>
              <w:rPr>
                <w:rFonts w:cs="Times New Roman"/>
              </w:rPr>
            </w:pPr>
            <w:r>
              <w:rPr>
                <w:rFonts w:cs="Times New Roman"/>
              </w:rPr>
              <w:t>0.00</w:t>
            </w:r>
          </w:p>
        </w:tc>
        <w:tc>
          <w:tcPr>
            <w:tcW w:w="517" w:type="pct"/>
            <w:tcBorders>
              <w:tl2br w:val="nil"/>
              <w:tr2bl w:val="nil"/>
            </w:tcBorders>
            <w:vAlign w:val="center"/>
          </w:tcPr>
          <w:p>
            <w:pPr>
              <w:jc w:val="center"/>
              <w:rPr>
                <w:rFonts w:cs="Times New Roman"/>
              </w:rPr>
            </w:pPr>
            <w:r>
              <w:rPr>
                <w:rFonts w:cs="Times New Roman"/>
              </w:rPr>
              <w:t>7.82E-05</w:t>
            </w:r>
          </w:p>
        </w:tc>
        <w:tc>
          <w:tcPr>
            <w:tcW w:w="421" w:type="pct"/>
            <w:tcBorders>
              <w:tl2br w:val="nil"/>
              <w:tr2bl w:val="nil"/>
            </w:tcBorders>
            <w:vAlign w:val="center"/>
          </w:tcPr>
          <w:p>
            <w:pPr>
              <w:jc w:val="center"/>
              <w:rPr>
                <w:rFonts w:cs="Times New Roman"/>
              </w:rPr>
            </w:pPr>
            <w:r>
              <w:rPr>
                <w:rFonts w:cs="Times New Roman"/>
              </w:rPr>
              <w:t>0.00</w:t>
            </w:r>
          </w:p>
        </w:tc>
        <w:tc>
          <w:tcPr>
            <w:tcW w:w="484" w:type="pct"/>
            <w:tcBorders>
              <w:tl2br w:val="nil"/>
              <w:tr2bl w:val="nil"/>
            </w:tcBorders>
            <w:vAlign w:val="center"/>
          </w:tcPr>
          <w:p>
            <w:pPr>
              <w:jc w:val="center"/>
              <w:rPr>
                <w:rFonts w:cs="Times New Roman"/>
              </w:rPr>
            </w:pPr>
            <w:r>
              <w:rPr>
                <w:rFonts w:cs="Times New Roman"/>
              </w:rPr>
              <w:t>4.69E-04</w:t>
            </w:r>
          </w:p>
        </w:tc>
        <w:tc>
          <w:tcPr>
            <w:tcW w:w="470" w:type="pct"/>
            <w:tcBorders>
              <w:tl2br w:val="nil"/>
              <w:tr2bl w:val="nil"/>
            </w:tcBorders>
            <w:vAlign w:val="center"/>
          </w:tcPr>
          <w:p>
            <w:pPr>
              <w:jc w:val="center"/>
              <w:rPr>
                <w:rFonts w:cs="Times New Roman"/>
              </w:rPr>
            </w:pPr>
            <w:r>
              <w:rPr>
                <w:rFonts w:cs="Times New Roman"/>
              </w:rPr>
              <w:t>0.09</w:t>
            </w:r>
          </w:p>
        </w:tc>
        <w:tc>
          <w:tcPr>
            <w:tcW w:w="485" w:type="pct"/>
            <w:tcBorders>
              <w:tl2br w:val="nil"/>
              <w:tr2bl w:val="nil"/>
            </w:tcBorders>
            <w:vAlign w:val="center"/>
          </w:tcPr>
          <w:p>
            <w:pPr>
              <w:jc w:val="center"/>
              <w:rPr>
                <w:rFonts w:cs="Times New Roman"/>
              </w:rPr>
            </w:pPr>
            <w:r>
              <w:rPr>
                <w:rFonts w:cs="Times New Roman"/>
              </w:rPr>
              <w:t>1.80E-02</w:t>
            </w:r>
          </w:p>
        </w:tc>
        <w:tc>
          <w:tcPr>
            <w:tcW w:w="426" w:type="pct"/>
            <w:tcBorders>
              <w:tl2br w:val="nil"/>
              <w:tr2bl w:val="nil"/>
            </w:tcBorders>
            <w:vAlign w:val="center"/>
          </w:tcPr>
          <w:p>
            <w:pPr>
              <w:jc w:val="center"/>
              <w:rPr>
                <w:rFonts w:cs="Times New Roman"/>
              </w:rPr>
            </w:pPr>
            <w:r>
              <w:rPr>
                <w:rFonts w:cs="Times New Roman"/>
              </w:rPr>
              <w:t>9.02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下风向最大浓度出现距离</w:t>
            </w:r>
          </w:p>
        </w:tc>
        <w:tc>
          <w:tcPr>
            <w:tcW w:w="517" w:type="pct"/>
            <w:tcBorders>
              <w:tl2br w:val="nil"/>
              <w:tr2bl w:val="nil"/>
            </w:tcBorders>
            <w:vAlign w:val="center"/>
          </w:tcPr>
          <w:p>
            <w:pPr>
              <w:jc w:val="center"/>
              <w:rPr>
                <w:rFonts w:cs="Times New Roman"/>
              </w:rPr>
            </w:pPr>
            <w:r>
              <w:rPr>
                <w:rFonts w:cs="Times New Roman"/>
              </w:rPr>
              <w:t>150</w:t>
            </w:r>
          </w:p>
        </w:tc>
        <w:tc>
          <w:tcPr>
            <w:tcW w:w="359" w:type="pct"/>
            <w:tcBorders>
              <w:tl2br w:val="nil"/>
              <w:tr2bl w:val="nil"/>
            </w:tcBorders>
            <w:vAlign w:val="center"/>
          </w:tcPr>
          <w:p>
            <w:pPr>
              <w:jc w:val="center"/>
              <w:rPr>
                <w:rFonts w:cs="Times New Roman"/>
              </w:rPr>
            </w:pPr>
            <w:r>
              <w:rPr>
                <w:rFonts w:cs="Times New Roman"/>
              </w:rPr>
              <w:t>150</w:t>
            </w:r>
          </w:p>
        </w:tc>
        <w:tc>
          <w:tcPr>
            <w:tcW w:w="517" w:type="pct"/>
            <w:tcBorders>
              <w:tl2br w:val="nil"/>
              <w:tr2bl w:val="nil"/>
            </w:tcBorders>
            <w:vAlign w:val="center"/>
          </w:tcPr>
          <w:p>
            <w:pPr>
              <w:jc w:val="center"/>
              <w:rPr>
                <w:rFonts w:cs="Times New Roman"/>
              </w:rPr>
            </w:pPr>
            <w:r>
              <w:rPr>
                <w:rFonts w:cs="Times New Roman"/>
              </w:rPr>
              <w:t>150</w:t>
            </w:r>
          </w:p>
        </w:tc>
        <w:tc>
          <w:tcPr>
            <w:tcW w:w="361" w:type="pct"/>
            <w:tcBorders>
              <w:tl2br w:val="nil"/>
              <w:tr2bl w:val="nil"/>
            </w:tcBorders>
            <w:vAlign w:val="center"/>
          </w:tcPr>
          <w:p>
            <w:pPr>
              <w:jc w:val="center"/>
              <w:rPr>
                <w:rFonts w:cs="Times New Roman"/>
              </w:rPr>
            </w:pPr>
            <w:r>
              <w:rPr>
                <w:rFonts w:cs="Times New Roman"/>
              </w:rPr>
              <w:t>150</w:t>
            </w:r>
          </w:p>
        </w:tc>
        <w:tc>
          <w:tcPr>
            <w:tcW w:w="517" w:type="pct"/>
            <w:tcBorders>
              <w:tl2br w:val="nil"/>
              <w:tr2bl w:val="nil"/>
            </w:tcBorders>
            <w:vAlign w:val="center"/>
          </w:tcPr>
          <w:p>
            <w:pPr>
              <w:jc w:val="center"/>
              <w:rPr>
                <w:rFonts w:cs="Times New Roman"/>
              </w:rPr>
            </w:pPr>
            <w:r>
              <w:rPr>
                <w:rFonts w:cs="Times New Roman"/>
              </w:rPr>
              <w:t>150</w:t>
            </w:r>
          </w:p>
        </w:tc>
        <w:tc>
          <w:tcPr>
            <w:tcW w:w="421" w:type="pct"/>
            <w:tcBorders>
              <w:tl2br w:val="nil"/>
              <w:tr2bl w:val="nil"/>
            </w:tcBorders>
            <w:vAlign w:val="center"/>
          </w:tcPr>
          <w:p>
            <w:pPr>
              <w:jc w:val="center"/>
              <w:rPr>
                <w:rFonts w:cs="Times New Roman"/>
              </w:rPr>
            </w:pPr>
            <w:r>
              <w:rPr>
                <w:rFonts w:cs="Times New Roman"/>
              </w:rPr>
              <w:t>150</w:t>
            </w:r>
          </w:p>
        </w:tc>
        <w:tc>
          <w:tcPr>
            <w:tcW w:w="484" w:type="pct"/>
            <w:tcBorders>
              <w:tl2br w:val="nil"/>
              <w:tr2bl w:val="nil"/>
            </w:tcBorders>
            <w:vAlign w:val="center"/>
          </w:tcPr>
          <w:p>
            <w:pPr>
              <w:jc w:val="center"/>
              <w:rPr>
                <w:rFonts w:cs="Times New Roman"/>
              </w:rPr>
            </w:pPr>
            <w:r>
              <w:rPr>
                <w:rFonts w:cs="Times New Roman"/>
              </w:rPr>
              <w:t>150</w:t>
            </w:r>
          </w:p>
        </w:tc>
        <w:tc>
          <w:tcPr>
            <w:tcW w:w="470" w:type="pct"/>
            <w:tcBorders>
              <w:tl2br w:val="nil"/>
              <w:tr2bl w:val="nil"/>
            </w:tcBorders>
            <w:vAlign w:val="center"/>
          </w:tcPr>
          <w:p>
            <w:pPr>
              <w:jc w:val="center"/>
              <w:rPr>
                <w:rFonts w:cs="Times New Roman"/>
              </w:rPr>
            </w:pPr>
            <w:r>
              <w:rPr>
                <w:rFonts w:cs="Times New Roman"/>
              </w:rPr>
              <w:t>150</w:t>
            </w:r>
          </w:p>
        </w:tc>
        <w:tc>
          <w:tcPr>
            <w:tcW w:w="485" w:type="pct"/>
            <w:tcBorders>
              <w:tl2br w:val="nil"/>
              <w:tr2bl w:val="nil"/>
            </w:tcBorders>
            <w:vAlign w:val="center"/>
          </w:tcPr>
          <w:p>
            <w:pPr>
              <w:jc w:val="center"/>
              <w:rPr>
                <w:rFonts w:cs="Times New Roman"/>
              </w:rPr>
            </w:pPr>
            <w:r>
              <w:rPr>
                <w:rFonts w:cs="Times New Roman"/>
              </w:rPr>
              <w:t>150</w:t>
            </w:r>
          </w:p>
        </w:tc>
        <w:tc>
          <w:tcPr>
            <w:tcW w:w="426" w:type="pct"/>
            <w:tcBorders>
              <w:tl2br w:val="nil"/>
              <w:tr2bl w:val="nil"/>
            </w:tcBorders>
            <w:vAlign w:val="center"/>
          </w:tcPr>
          <w:p>
            <w:pPr>
              <w:jc w:val="center"/>
              <w:rPr>
                <w:rFonts w:cs="Times New Roman"/>
              </w:rPr>
            </w:pPr>
            <w:r>
              <w:rPr>
                <w:rFonts w:cs="Times New Roman"/>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6" w:type="pct"/>
            <w:tcBorders>
              <w:tl2br w:val="nil"/>
              <w:tr2bl w:val="nil"/>
            </w:tcBorders>
            <w:vAlign w:val="center"/>
          </w:tcPr>
          <w:p>
            <w:pPr>
              <w:jc w:val="center"/>
              <w:rPr>
                <w:rFonts w:cs="Times New Roman"/>
              </w:rPr>
            </w:pPr>
            <w:r>
              <w:rPr>
                <w:rFonts w:cs="Times New Roman"/>
                <w:sz w:val="23"/>
                <w:szCs w:val="23"/>
              </w:rPr>
              <w:t>D10%最远距离</w:t>
            </w:r>
          </w:p>
        </w:tc>
        <w:tc>
          <w:tcPr>
            <w:tcW w:w="517" w:type="pct"/>
            <w:tcBorders>
              <w:tl2br w:val="nil"/>
              <w:tr2bl w:val="nil"/>
            </w:tcBorders>
            <w:vAlign w:val="center"/>
          </w:tcPr>
          <w:p>
            <w:pPr>
              <w:jc w:val="center"/>
              <w:rPr>
                <w:rFonts w:cs="Times New Roman"/>
              </w:rPr>
            </w:pPr>
            <w:r>
              <w:rPr>
                <w:rFonts w:cs="Times New Roman"/>
                <w:sz w:val="23"/>
                <w:szCs w:val="23"/>
              </w:rPr>
              <w:t>/</w:t>
            </w:r>
          </w:p>
        </w:tc>
        <w:tc>
          <w:tcPr>
            <w:tcW w:w="359" w:type="pct"/>
            <w:tcBorders>
              <w:tl2br w:val="nil"/>
              <w:tr2bl w:val="nil"/>
            </w:tcBorders>
            <w:vAlign w:val="center"/>
          </w:tcPr>
          <w:p>
            <w:pPr>
              <w:jc w:val="center"/>
              <w:rPr>
                <w:rFonts w:cs="Times New Roman"/>
              </w:rPr>
            </w:pPr>
            <w:r>
              <w:rPr>
                <w:rFonts w:cs="Times New Roman"/>
                <w:sz w:val="23"/>
                <w:szCs w:val="23"/>
              </w:rPr>
              <w:t>/</w:t>
            </w:r>
          </w:p>
        </w:tc>
        <w:tc>
          <w:tcPr>
            <w:tcW w:w="517" w:type="pct"/>
            <w:tcBorders>
              <w:tl2br w:val="nil"/>
              <w:tr2bl w:val="nil"/>
            </w:tcBorders>
            <w:vAlign w:val="center"/>
          </w:tcPr>
          <w:p>
            <w:pPr>
              <w:jc w:val="center"/>
              <w:rPr>
                <w:rFonts w:cs="Times New Roman"/>
              </w:rPr>
            </w:pPr>
            <w:r>
              <w:rPr>
                <w:rFonts w:cs="Times New Roman"/>
                <w:sz w:val="23"/>
                <w:szCs w:val="23"/>
              </w:rPr>
              <w:t>/</w:t>
            </w:r>
          </w:p>
        </w:tc>
        <w:tc>
          <w:tcPr>
            <w:tcW w:w="361" w:type="pct"/>
            <w:tcBorders>
              <w:tl2br w:val="nil"/>
              <w:tr2bl w:val="nil"/>
            </w:tcBorders>
            <w:vAlign w:val="center"/>
          </w:tcPr>
          <w:p>
            <w:pPr>
              <w:jc w:val="center"/>
              <w:rPr>
                <w:rFonts w:cs="Times New Roman"/>
              </w:rPr>
            </w:pPr>
            <w:r>
              <w:rPr>
                <w:rFonts w:cs="Times New Roman"/>
                <w:sz w:val="23"/>
                <w:szCs w:val="23"/>
              </w:rPr>
              <w:t>/</w:t>
            </w:r>
          </w:p>
        </w:tc>
        <w:tc>
          <w:tcPr>
            <w:tcW w:w="517" w:type="pct"/>
            <w:tcBorders>
              <w:tl2br w:val="nil"/>
              <w:tr2bl w:val="nil"/>
            </w:tcBorders>
            <w:vAlign w:val="center"/>
          </w:tcPr>
          <w:p>
            <w:pPr>
              <w:jc w:val="center"/>
              <w:rPr>
                <w:rFonts w:cs="Times New Roman"/>
              </w:rPr>
            </w:pPr>
            <w:r>
              <w:rPr>
                <w:rFonts w:cs="Times New Roman"/>
                <w:sz w:val="23"/>
                <w:szCs w:val="23"/>
              </w:rPr>
              <w:t>/</w:t>
            </w:r>
          </w:p>
        </w:tc>
        <w:tc>
          <w:tcPr>
            <w:tcW w:w="421" w:type="pct"/>
            <w:tcBorders>
              <w:tl2br w:val="nil"/>
              <w:tr2bl w:val="nil"/>
            </w:tcBorders>
            <w:vAlign w:val="center"/>
          </w:tcPr>
          <w:p>
            <w:pPr>
              <w:jc w:val="center"/>
              <w:rPr>
                <w:rFonts w:cs="Times New Roman"/>
              </w:rPr>
            </w:pPr>
            <w:r>
              <w:rPr>
                <w:rFonts w:cs="Times New Roman"/>
                <w:sz w:val="23"/>
                <w:szCs w:val="23"/>
              </w:rPr>
              <w:t>/</w:t>
            </w:r>
          </w:p>
        </w:tc>
        <w:tc>
          <w:tcPr>
            <w:tcW w:w="484" w:type="pct"/>
            <w:tcBorders>
              <w:tl2br w:val="nil"/>
              <w:tr2bl w:val="nil"/>
            </w:tcBorders>
            <w:vAlign w:val="center"/>
          </w:tcPr>
          <w:p>
            <w:pPr>
              <w:jc w:val="center"/>
              <w:rPr>
                <w:rFonts w:cs="Times New Roman"/>
                <w:sz w:val="23"/>
                <w:szCs w:val="23"/>
              </w:rPr>
            </w:pPr>
          </w:p>
        </w:tc>
        <w:tc>
          <w:tcPr>
            <w:tcW w:w="470" w:type="pct"/>
            <w:tcBorders>
              <w:tl2br w:val="nil"/>
              <w:tr2bl w:val="nil"/>
            </w:tcBorders>
            <w:vAlign w:val="center"/>
          </w:tcPr>
          <w:p>
            <w:pPr>
              <w:jc w:val="center"/>
              <w:rPr>
                <w:rFonts w:cs="Times New Roman"/>
                <w:sz w:val="23"/>
                <w:szCs w:val="23"/>
              </w:rPr>
            </w:pPr>
          </w:p>
        </w:tc>
        <w:tc>
          <w:tcPr>
            <w:tcW w:w="485" w:type="pct"/>
            <w:tcBorders>
              <w:tl2br w:val="nil"/>
              <w:tr2bl w:val="nil"/>
            </w:tcBorders>
            <w:vAlign w:val="center"/>
          </w:tcPr>
          <w:p>
            <w:pPr>
              <w:jc w:val="center"/>
              <w:rPr>
                <w:rFonts w:cs="Times New Roman"/>
                <w:sz w:val="23"/>
                <w:szCs w:val="23"/>
              </w:rPr>
            </w:pPr>
          </w:p>
        </w:tc>
        <w:tc>
          <w:tcPr>
            <w:tcW w:w="426" w:type="pct"/>
            <w:tcBorders>
              <w:tl2br w:val="nil"/>
              <w:tr2bl w:val="nil"/>
            </w:tcBorders>
            <w:vAlign w:val="center"/>
          </w:tcPr>
          <w:p>
            <w:pPr>
              <w:jc w:val="center"/>
              <w:rPr>
                <w:rFonts w:cs="Times New Roman"/>
                <w:sz w:val="23"/>
                <w:szCs w:val="23"/>
              </w:rPr>
            </w:pPr>
          </w:p>
        </w:tc>
      </w:tr>
    </w:tbl>
    <w:p>
      <w:pPr>
        <w:spacing w:line="360" w:lineRule="auto"/>
        <w:jc w:val="center"/>
        <w:rPr>
          <w:rFonts w:cs="Times New Roman"/>
          <w:b/>
          <w:bCs/>
          <w:sz w:val="24"/>
          <w:szCs w:val="24"/>
        </w:rPr>
      </w:pPr>
      <w:r>
        <w:rPr>
          <w:rFonts w:cs="Times New Roman"/>
          <w:b/>
          <w:bCs/>
          <w:sz w:val="24"/>
          <w:szCs w:val="24"/>
        </w:rPr>
        <w:t>表4.4-3  点源预测结果</w:t>
      </w:r>
    </w:p>
    <w:tbl>
      <w:tblPr>
        <w:tblStyle w:val="26"/>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826"/>
        <w:gridCol w:w="978"/>
        <w:gridCol w:w="653"/>
        <w:gridCol w:w="982"/>
        <w:gridCol w:w="677"/>
        <w:gridCol w:w="982"/>
        <w:gridCol w:w="799"/>
        <w:gridCol w:w="920"/>
        <w:gridCol w:w="888"/>
        <w:gridCol w:w="920"/>
        <w:gridCol w:w="8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vMerge w:val="restart"/>
            <w:tcBorders>
              <w:tl2br w:val="nil"/>
              <w:tr2bl w:val="nil"/>
            </w:tcBorders>
            <w:vAlign w:val="center"/>
          </w:tcPr>
          <w:p>
            <w:pPr>
              <w:jc w:val="center"/>
              <w:rPr>
                <w:rFonts w:cs="Times New Roman"/>
                <w:b/>
                <w:bCs/>
              </w:rPr>
            </w:pPr>
            <w:r>
              <w:rPr>
                <w:rFonts w:cs="Times New Roman"/>
                <w:b/>
                <w:bCs/>
                <w:sz w:val="23"/>
                <w:szCs w:val="23"/>
              </w:rPr>
              <w:t>下风向距离</w:t>
            </w:r>
          </w:p>
        </w:tc>
        <w:tc>
          <w:tcPr>
            <w:tcW w:w="4562" w:type="pct"/>
            <w:gridSpan w:val="10"/>
            <w:tcBorders>
              <w:bottom w:val="single" w:color="auto" w:sz="4" w:space="0"/>
              <w:tl2br w:val="nil"/>
              <w:tr2bl w:val="nil"/>
            </w:tcBorders>
            <w:vAlign w:val="center"/>
          </w:tcPr>
          <w:p>
            <w:pPr>
              <w:jc w:val="center"/>
              <w:rPr>
                <w:rFonts w:cs="Times New Roman"/>
                <w:b/>
                <w:bCs/>
                <w:sz w:val="23"/>
                <w:szCs w:val="23"/>
              </w:rPr>
            </w:pPr>
            <w:r>
              <w:rPr>
                <w:rFonts w:cs="Times New Roman"/>
                <w:b/>
                <w:bCs/>
                <w:sz w:val="23"/>
                <w:szCs w:val="23"/>
              </w:rPr>
              <w:t>DA006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vMerge w:val="continue"/>
            <w:tcBorders>
              <w:tl2br w:val="nil"/>
              <w:tr2bl w:val="nil"/>
            </w:tcBorders>
            <w:vAlign w:val="center"/>
          </w:tcPr>
          <w:p>
            <w:pPr>
              <w:jc w:val="center"/>
              <w:rPr>
                <w:rFonts w:cs="Times New Roman"/>
                <w:b/>
                <w:bCs/>
              </w:rPr>
            </w:pPr>
          </w:p>
        </w:tc>
        <w:tc>
          <w:tcPr>
            <w:tcW w:w="517" w:type="pct"/>
            <w:tcBorders>
              <w:top w:val="single" w:color="auto" w:sz="4" w:space="0"/>
              <w:tl2br w:val="nil"/>
              <w:tr2bl w:val="nil"/>
            </w:tcBorders>
            <w:vAlign w:val="center"/>
          </w:tcPr>
          <w:p>
            <w:pPr>
              <w:jc w:val="center"/>
              <w:rPr>
                <w:rFonts w:cs="Times New Roman"/>
                <w:b/>
                <w:bCs/>
              </w:rPr>
            </w:pPr>
            <w:r>
              <w:rPr>
                <w:rFonts w:cs="Times New Roman"/>
                <w:b/>
                <w:bCs/>
                <w:sz w:val="23"/>
                <w:szCs w:val="23"/>
              </w:rPr>
              <w:t>甲醛浓度(</w:t>
            </w:r>
            <w:r>
              <w:rPr>
                <w:rFonts w:cs="Times New Roman"/>
                <w:b/>
                <w:bCs/>
                <w:szCs w:val="21"/>
              </w:rPr>
              <w:t>m</w:t>
            </w:r>
            <w:r>
              <w:rPr>
                <w:rFonts w:cs="Times New Roman"/>
                <w:b/>
                <w:bCs/>
                <w:sz w:val="23"/>
                <w:szCs w:val="23"/>
              </w:rPr>
              <w:t>g/m³)</w:t>
            </w:r>
          </w:p>
        </w:tc>
        <w:tc>
          <w:tcPr>
            <w:tcW w:w="345" w:type="pct"/>
            <w:tcBorders>
              <w:top w:val="single" w:color="auto" w:sz="4" w:space="0"/>
              <w:tl2br w:val="nil"/>
              <w:tr2bl w:val="nil"/>
            </w:tcBorders>
            <w:vAlign w:val="center"/>
          </w:tcPr>
          <w:p>
            <w:pPr>
              <w:jc w:val="center"/>
              <w:rPr>
                <w:rFonts w:cs="Times New Roman"/>
                <w:b/>
                <w:bCs/>
              </w:rPr>
            </w:pPr>
            <w:r>
              <w:rPr>
                <w:rFonts w:cs="Times New Roman"/>
                <w:b/>
                <w:bCs/>
                <w:sz w:val="23"/>
                <w:szCs w:val="23"/>
              </w:rPr>
              <w:t>甲醛占标率(%)</w:t>
            </w:r>
          </w:p>
        </w:tc>
        <w:tc>
          <w:tcPr>
            <w:tcW w:w="519" w:type="pct"/>
            <w:tcBorders>
              <w:top w:val="single" w:color="auto" w:sz="4" w:space="0"/>
              <w:tl2br w:val="nil"/>
              <w:tr2bl w:val="nil"/>
            </w:tcBorders>
            <w:vAlign w:val="center"/>
          </w:tcPr>
          <w:p>
            <w:pPr>
              <w:jc w:val="center"/>
              <w:rPr>
                <w:rFonts w:cs="Times New Roman"/>
                <w:b/>
                <w:bCs/>
              </w:rPr>
            </w:pPr>
            <w:r>
              <w:rPr>
                <w:rFonts w:cs="Times New Roman"/>
                <w:b/>
                <w:bCs/>
                <w:sz w:val="23"/>
                <w:szCs w:val="23"/>
              </w:rPr>
              <w:t>氨浓度(</w:t>
            </w:r>
            <w:r>
              <w:rPr>
                <w:rFonts w:cs="Times New Roman"/>
                <w:b/>
                <w:bCs/>
                <w:szCs w:val="21"/>
              </w:rPr>
              <w:t>m</w:t>
            </w:r>
            <w:r>
              <w:rPr>
                <w:rFonts w:cs="Times New Roman"/>
                <w:b/>
                <w:bCs/>
                <w:sz w:val="23"/>
                <w:szCs w:val="23"/>
              </w:rPr>
              <w:t>g/m³)</w:t>
            </w:r>
          </w:p>
        </w:tc>
        <w:tc>
          <w:tcPr>
            <w:tcW w:w="358" w:type="pct"/>
            <w:tcBorders>
              <w:top w:val="single" w:color="auto" w:sz="4" w:space="0"/>
              <w:tl2br w:val="nil"/>
              <w:tr2bl w:val="nil"/>
            </w:tcBorders>
            <w:vAlign w:val="center"/>
          </w:tcPr>
          <w:p>
            <w:pPr>
              <w:jc w:val="center"/>
              <w:rPr>
                <w:rFonts w:cs="Times New Roman"/>
                <w:b/>
                <w:bCs/>
              </w:rPr>
            </w:pPr>
            <w:r>
              <w:rPr>
                <w:rFonts w:cs="Times New Roman"/>
                <w:b/>
                <w:bCs/>
                <w:sz w:val="23"/>
                <w:szCs w:val="23"/>
              </w:rPr>
              <w:t>氨占标率(%)</w:t>
            </w:r>
          </w:p>
        </w:tc>
        <w:tc>
          <w:tcPr>
            <w:tcW w:w="519" w:type="pct"/>
            <w:tcBorders>
              <w:top w:val="single" w:color="auto" w:sz="4" w:space="0"/>
              <w:right w:val="single" w:color="auto" w:sz="4" w:space="0"/>
              <w:tl2br w:val="nil"/>
              <w:tr2bl w:val="nil"/>
            </w:tcBorders>
            <w:vAlign w:val="center"/>
          </w:tcPr>
          <w:p>
            <w:pPr>
              <w:jc w:val="center"/>
              <w:rPr>
                <w:rFonts w:cs="Times New Roman"/>
                <w:b/>
                <w:bCs/>
              </w:rPr>
            </w:pPr>
            <w:r>
              <w:rPr>
                <w:rFonts w:cs="Times New Roman"/>
                <w:b/>
                <w:bCs/>
                <w:szCs w:val="21"/>
              </w:rPr>
              <w:t>TVOC</w:t>
            </w:r>
            <w:r>
              <w:rPr>
                <w:rFonts w:cs="Times New Roman"/>
                <w:b/>
                <w:bCs/>
                <w:sz w:val="23"/>
                <w:szCs w:val="23"/>
              </w:rPr>
              <w:t>浓度(</w:t>
            </w:r>
            <w:r>
              <w:rPr>
                <w:rFonts w:cs="Times New Roman"/>
                <w:b/>
                <w:bCs/>
                <w:szCs w:val="21"/>
              </w:rPr>
              <w:t>m</w:t>
            </w:r>
            <w:r>
              <w:rPr>
                <w:rFonts w:cs="Times New Roman"/>
                <w:b/>
                <w:bCs/>
                <w:sz w:val="23"/>
                <w:szCs w:val="23"/>
              </w:rPr>
              <w:t>g/m³)</w:t>
            </w:r>
          </w:p>
        </w:tc>
        <w:tc>
          <w:tcPr>
            <w:tcW w:w="422" w:type="pct"/>
            <w:tcBorders>
              <w:top w:val="single" w:color="auto" w:sz="4" w:space="0"/>
              <w:left w:val="single" w:color="auto" w:sz="4" w:space="0"/>
              <w:tl2br w:val="nil"/>
              <w:tr2bl w:val="nil"/>
            </w:tcBorders>
            <w:vAlign w:val="center"/>
          </w:tcPr>
          <w:p>
            <w:pPr>
              <w:jc w:val="center"/>
              <w:rPr>
                <w:rFonts w:cs="Times New Roman"/>
                <w:b/>
                <w:bCs/>
              </w:rPr>
            </w:pPr>
            <w:r>
              <w:rPr>
                <w:rFonts w:cs="Times New Roman"/>
                <w:b/>
                <w:bCs/>
                <w:szCs w:val="21"/>
              </w:rPr>
              <w:t>TVOC</w:t>
            </w:r>
            <w:r>
              <w:rPr>
                <w:rFonts w:cs="Times New Roman"/>
                <w:b/>
                <w:bCs/>
                <w:sz w:val="23"/>
                <w:szCs w:val="23"/>
              </w:rPr>
              <w:t>占标率(%)</w:t>
            </w:r>
          </w:p>
        </w:tc>
        <w:tc>
          <w:tcPr>
            <w:tcW w:w="486" w:type="pct"/>
            <w:tcBorders>
              <w:top w:val="single" w:color="auto" w:sz="4" w:space="0"/>
              <w:left w:val="single" w:color="auto" w:sz="4" w:space="0"/>
              <w:tl2br w:val="nil"/>
              <w:tr2bl w:val="nil"/>
            </w:tcBorders>
            <w:vAlign w:val="center"/>
          </w:tcPr>
          <w:p>
            <w:pPr>
              <w:jc w:val="center"/>
              <w:rPr>
                <w:rFonts w:cs="Times New Roman"/>
                <w:b/>
                <w:bCs/>
              </w:rPr>
            </w:pPr>
            <w:r>
              <w:rPr>
                <w:rFonts w:cs="Times New Roman"/>
                <w:b/>
                <w:bCs/>
                <w:szCs w:val="21"/>
              </w:rPr>
              <w:t>SO</w:t>
            </w:r>
            <w:r>
              <w:rPr>
                <w:rFonts w:cs="Times New Roman"/>
                <w:b/>
                <w:bCs/>
                <w:szCs w:val="21"/>
                <w:vertAlign w:val="subscript"/>
              </w:rPr>
              <w:t>2</w:t>
            </w:r>
            <w:r>
              <w:rPr>
                <w:rFonts w:cs="Times New Roman"/>
                <w:b/>
                <w:bCs/>
                <w:sz w:val="23"/>
                <w:szCs w:val="23"/>
              </w:rPr>
              <w:t>浓度(</w:t>
            </w:r>
            <w:r>
              <w:rPr>
                <w:rFonts w:cs="Times New Roman"/>
                <w:b/>
                <w:bCs/>
                <w:szCs w:val="21"/>
              </w:rPr>
              <w:t>m</w:t>
            </w:r>
            <w:r>
              <w:rPr>
                <w:rFonts w:cs="Times New Roman"/>
                <w:b/>
                <w:bCs/>
                <w:sz w:val="23"/>
                <w:szCs w:val="23"/>
              </w:rPr>
              <w:t>g/m³)</w:t>
            </w:r>
          </w:p>
        </w:tc>
        <w:tc>
          <w:tcPr>
            <w:tcW w:w="469" w:type="pct"/>
            <w:tcBorders>
              <w:top w:val="single" w:color="auto" w:sz="4" w:space="0"/>
              <w:left w:val="single" w:color="auto" w:sz="4" w:space="0"/>
              <w:tl2br w:val="nil"/>
              <w:tr2bl w:val="nil"/>
            </w:tcBorders>
            <w:vAlign w:val="center"/>
          </w:tcPr>
          <w:p>
            <w:pPr>
              <w:jc w:val="center"/>
              <w:rPr>
                <w:rFonts w:cs="Times New Roman"/>
                <w:b/>
                <w:bCs/>
              </w:rPr>
            </w:pPr>
            <w:r>
              <w:rPr>
                <w:rFonts w:cs="Times New Roman"/>
                <w:b/>
                <w:bCs/>
                <w:szCs w:val="21"/>
              </w:rPr>
              <w:t>SO</w:t>
            </w:r>
            <w:r>
              <w:rPr>
                <w:rFonts w:cs="Times New Roman"/>
                <w:b/>
                <w:bCs/>
                <w:szCs w:val="21"/>
                <w:vertAlign w:val="subscript"/>
              </w:rPr>
              <w:t>2</w:t>
            </w:r>
            <w:r>
              <w:rPr>
                <w:rFonts w:cs="Times New Roman"/>
                <w:b/>
                <w:bCs/>
                <w:sz w:val="23"/>
                <w:szCs w:val="23"/>
              </w:rPr>
              <w:t>占标率(%)</w:t>
            </w:r>
          </w:p>
        </w:tc>
        <w:tc>
          <w:tcPr>
            <w:tcW w:w="486" w:type="pct"/>
            <w:tcBorders>
              <w:top w:val="single" w:color="auto" w:sz="4" w:space="0"/>
              <w:left w:val="single" w:color="auto" w:sz="4" w:space="0"/>
              <w:tl2br w:val="nil"/>
              <w:tr2bl w:val="nil"/>
            </w:tcBorders>
            <w:vAlign w:val="center"/>
          </w:tcPr>
          <w:p>
            <w:pPr>
              <w:jc w:val="center"/>
              <w:rPr>
                <w:rFonts w:cs="Times New Roman"/>
                <w:b/>
                <w:bCs/>
              </w:rPr>
            </w:pPr>
            <w:r>
              <w:rPr>
                <w:rFonts w:cs="Times New Roman"/>
                <w:b/>
                <w:bCs/>
                <w:szCs w:val="21"/>
              </w:rPr>
              <w:t>NO</w:t>
            </w:r>
            <w:r>
              <w:rPr>
                <w:rFonts w:cs="Times New Roman"/>
                <w:b/>
                <w:bCs/>
                <w:szCs w:val="21"/>
                <w:vertAlign w:val="subscript"/>
              </w:rPr>
              <w:t>2</w:t>
            </w:r>
            <w:r>
              <w:rPr>
                <w:rFonts w:cs="Times New Roman"/>
                <w:b/>
                <w:bCs/>
                <w:sz w:val="23"/>
                <w:szCs w:val="23"/>
              </w:rPr>
              <w:t>浓度(</w:t>
            </w:r>
            <w:r>
              <w:rPr>
                <w:rFonts w:cs="Times New Roman"/>
                <w:b/>
                <w:bCs/>
                <w:szCs w:val="21"/>
              </w:rPr>
              <w:t>m</w:t>
            </w:r>
            <w:r>
              <w:rPr>
                <w:rFonts w:cs="Times New Roman"/>
                <w:b/>
                <w:bCs/>
                <w:sz w:val="23"/>
                <w:szCs w:val="23"/>
              </w:rPr>
              <w:t>g/m³)</w:t>
            </w:r>
          </w:p>
        </w:tc>
        <w:tc>
          <w:tcPr>
            <w:tcW w:w="437" w:type="pct"/>
            <w:tcBorders>
              <w:top w:val="single" w:color="auto" w:sz="4" w:space="0"/>
              <w:left w:val="single" w:color="auto" w:sz="4" w:space="0"/>
              <w:tl2br w:val="nil"/>
              <w:tr2bl w:val="nil"/>
            </w:tcBorders>
            <w:vAlign w:val="center"/>
          </w:tcPr>
          <w:p>
            <w:pPr>
              <w:jc w:val="center"/>
              <w:rPr>
                <w:rFonts w:cs="Times New Roman"/>
                <w:b/>
                <w:bCs/>
              </w:rPr>
            </w:pPr>
            <w:r>
              <w:rPr>
                <w:rFonts w:cs="Times New Roman"/>
                <w:b/>
                <w:bCs/>
                <w:szCs w:val="21"/>
              </w:rPr>
              <w:t>NO</w:t>
            </w:r>
            <w:r>
              <w:rPr>
                <w:rFonts w:cs="Times New Roman"/>
                <w:b/>
                <w:bCs/>
                <w:szCs w:val="21"/>
                <w:vertAlign w:val="subscript"/>
              </w:rPr>
              <w:t>2</w:t>
            </w:r>
            <w:r>
              <w:rPr>
                <w:rFonts w:cs="Times New Roman"/>
                <w:b/>
                <w:bCs/>
                <w:sz w:val="23"/>
                <w:szCs w:val="23"/>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sz w:val="23"/>
                <w:szCs w:val="23"/>
              </w:rPr>
            </w:pPr>
            <w:r>
              <w:rPr>
                <w:rFonts w:cs="Times New Roman"/>
                <w:sz w:val="23"/>
                <w:szCs w:val="23"/>
              </w:rPr>
              <w:t>10.0</w:t>
            </w:r>
          </w:p>
        </w:tc>
        <w:tc>
          <w:tcPr>
            <w:tcW w:w="517" w:type="pct"/>
            <w:tcBorders>
              <w:tl2br w:val="nil"/>
              <w:tr2bl w:val="nil"/>
            </w:tcBorders>
            <w:vAlign w:val="center"/>
          </w:tcPr>
          <w:p>
            <w:pPr>
              <w:jc w:val="center"/>
              <w:rPr>
                <w:rFonts w:cs="Times New Roman"/>
              </w:rPr>
            </w:pPr>
            <w:r>
              <w:rPr>
                <w:rFonts w:cs="Times New Roman"/>
              </w:rPr>
              <w:t>2.31E-05</w:t>
            </w:r>
          </w:p>
        </w:tc>
        <w:tc>
          <w:tcPr>
            <w:tcW w:w="345" w:type="pct"/>
            <w:tcBorders>
              <w:tl2br w:val="nil"/>
              <w:tr2bl w:val="nil"/>
            </w:tcBorders>
            <w:vAlign w:val="center"/>
          </w:tcPr>
          <w:p>
            <w:pPr>
              <w:jc w:val="center"/>
              <w:rPr>
                <w:rFonts w:cs="Times New Roman"/>
              </w:rPr>
            </w:pPr>
            <w:r>
              <w:rPr>
                <w:rFonts w:cs="Times New Roman"/>
              </w:rPr>
              <w:t>0.05</w:t>
            </w:r>
          </w:p>
        </w:tc>
        <w:tc>
          <w:tcPr>
            <w:tcW w:w="519" w:type="pct"/>
            <w:tcBorders>
              <w:tl2br w:val="nil"/>
              <w:tr2bl w:val="nil"/>
            </w:tcBorders>
            <w:vAlign w:val="center"/>
          </w:tcPr>
          <w:p>
            <w:pPr>
              <w:jc w:val="center"/>
              <w:rPr>
                <w:rFonts w:cs="Times New Roman"/>
              </w:rPr>
            </w:pPr>
            <w:r>
              <w:rPr>
                <w:rFonts w:cs="Times New Roman"/>
              </w:rPr>
              <w:t>4.02E-06</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4.02E-07</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2.41E-06</w:t>
            </w:r>
          </w:p>
        </w:tc>
        <w:tc>
          <w:tcPr>
            <w:tcW w:w="469" w:type="pct"/>
            <w:tcBorders>
              <w:tl2br w:val="nil"/>
              <w:tr2bl w:val="nil"/>
            </w:tcBorders>
            <w:vAlign w:val="center"/>
          </w:tcPr>
          <w:p>
            <w:pPr>
              <w:jc w:val="center"/>
              <w:rPr>
                <w:rFonts w:cs="Times New Roman"/>
              </w:rPr>
            </w:pPr>
            <w:r>
              <w:rPr>
                <w:rFonts w:cs="Times New Roman"/>
              </w:rPr>
              <w:t>0</w:t>
            </w:r>
          </w:p>
        </w:tc>
        <w:tc>
          <w:tcPr>
            <w:tcW w:w="486" w:type="pct"/>
            <w:tcBorders>
              <w:tl2br w:val="nil"/>
              <w:tr2bl w:val="nil"/>
            </w:tcBorders>
            <w:vAlign w:val="center"/>
          </w:tcPr>
          <w:p>
            <w:pPr>
              <w:jc w:val="center"/>
              <w:rPr>
                <w:rFonts w:cs="Times New Roman"/>
              </w:rPr>
            </w:pPr>
            <w:r>
              <w:rPr>
                <w:rFonts w:cs="Times New Roman"/>
              </w:rPr>
              <w:t>9.27E-05</w:t>
            </w:r>
          </w:p>
        </w:tc>
        <w:tc>
          <w:tcPr>
            <w:tcW w:w="437" w:type="pct"/>
            <w:tcBorders>
              <w:tl2br w:val="nil"/>
              <w:tr2bl w:val="nil"/>
            </w:tcBorders>
            <w:vAlign w:val="center"/>
          </w:tcPr>
          <w:p>
            <w:pPr>
              <w:jc w:val="center"/>
              <w:rPr>
                <w:rFonts w:cs="Times New Roman"/>
              </w:rPr>
            </w:pPr>
            <w:r>
              <w:rPr>
                <w:rFonts w:cs="Times New Roma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50.0</w:t>
            </w:r>
          </w:p>
        </w:tc>
        <w:tc>
          <w:tcPr>
            <w:tcW w:w="517" w:type="pct"/>
            <w:tcBorders>
              <w:tl2br w:val="nil"/>
              <w:tr2bl w:val="nil"/>
            </w:tcBorders>
            <w:vAlign w:val="center"/>
          </w:tcPr>
          <w:p>
            <w:pPr>
              <w:jc w:val="center"/>
              <w:rPr>
                <w:rFonts w:cs="Times New Roman"/>
              </w:rPr>
            </w:pPr>
            <w:r>
              <w:rPr>
                <w:rFonts w:cs="Times New Roman"/>
              </w:rPr>
              <w:t>1.02E-03</w:t>
            </w:r>
          </w:p>
        </w:tc>
        <w:tc>
          <w:tcPr>
            <w:tcW w:w="345" w:type="pct"/>
            <w:tcBorders>
              <w:tl2br w:val="nil"/>
              <w:tr2bl w:val="nil"/>
            </w:tcBorders>
            <w:vAlign w:val="center"/>
          </w:tcPr>
          <w:p>
            <w:pPr>
              <w:jc w:val="center"/>
              <w:rPr>
                <w:rFonts w:cs="Times New Roman"/>
              </w:rPr>
            </w:pPr>
            <w:r>
              <w:rPr>
                <w:rFonts w:cs="Times New Roman"/>
              </w:rPr>
              <w:t>2.03</w:t>
            </w:r>
          </w:p>
        </w:tc>
        <w:tc>
          <w:tcPr>
            <w:tcW w:w="519" w:type="pct"/>
            <w:tcBorders>
              <w:tl2br w:val="nil"/>
              <w:tr2bl w:val="nil"/>
            </w:tcBorders>
            <w:vAlign w:val="center"/>
          </w:tcPr>
          <w:p>
            <w:pPr>
              <w:jc w:val="center"/>
              <w:rPr>
                <w:rFonts w:cs="Times New Roman"/>
              </w:rPr>
            </w:pPr>
            <w:r>
              <w:rPr>
                <w:rFonts w:cs="Times New Roman"/>
              </w:rPr>
              <w:t>1.76E-04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1.76E-05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1.06E-04</w:t>
            </w:r>
          </w:p>
        </w:tc>
        <w:tc>
          <w:tcPr>
            <w:tcW w:w="469" w:type="pct"/>
            <w:tcBorders>
              <w:tl2br w:val="nil"/>
              <w:tr2bl w:val="nil"/>
            </w:tcBorders>
            <w:vAlign w:val="center"/>
          </w:tcPr>
          <w:p>
            <w:pPr>
              <w:jc w:val="center"/>
              <w:rPr>
                <w:rFonts w:cs="Times New Roman"/>
              </w:rPr>
            </w:pPr>
            <w:r>
              <w:rPr>
                <w:rFonts w:cs="Times New Roman"/>
              </w:rPr>
              <w:t>0.02</w:t>
            </w:r>
          </w:p>
        </w:tc>
        <w:tc>
          <w:tcPr>
            <w:tcW w:w="486" w:type="pct"/>
            <w:tcBorders>
              <w:tl2br w:val="nil"/>
              <w:tr2bl w:val="nil"/>
            </w:tcBorders>
            <w:vAlign w:val="center"/>
          </w:tcPr>
          <w:p>
            <w:pPr>
              <w:jc w:val="center"/>
              <w:rPr>
                <w:rFonts w:cs="Times New Roman"/>
              </w:rPr>
            </w:pPr>
            <w:r>
              <w:rPr>
                <w:rFonts w:cs="Times New Roman"/>
              </w:rPr>
              <w:t>4.07E-03</w:t>
            </w:r>
          </w:p>
        </w:tc>
        <w:tc>
          <w:tcPr>
            <w:tcW w:w="437" w:type="pct"/>
            <w:tcBorders>
              <w:tl2br w:val="nil"/>
              <w:tr2bl w:val="nil"/>
            </w:tcBorders>
            <w:vAlign w:val="center"/>
          </w:tcPr>
          <w:p>
            <w:pPr>
              <w:jc w:val="center"/>
              <w:rPr>
                <w:rFonts w:cs="Times New Roman"/>
              </w:rPr>
            </w:pPr>
            <w:r>
              <w:rPr>
                <w:rFonts w:cs="Times New Roman"/>
              </w:rPr>
              <w:t>2.04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100.0</w:t>
            </w:r>
          </w:p>
        </w:tc>
        <w:tc>
          <w:tcPr>
            <w:tcW w:w="517" w:type="pct"/>
            <w:tcBorders>
              <w:tl2br w:val="nil"/>
              <w:tr2bl w:val="nil"/>
            </w:tcBorders>
            <w:vAlign w:val="center"/>
          </w:tcPr>
          <w:p>
            <w:pPr>
              <w:jc w:val="center"/>
              <w:rPr>
                <w:rFonts w:cs="Times New Roman"/>
              </w:rPr>
            </w:pPr>
            <w:r>
              <w:rPr>
                <w:rFonts w:cs="Times New Roman"/>
              </w:rPr>
              <w:t>4.45E-03</w:t>
            </w:r>
          </w:p>
        </w:tc>
        <w:tc>
          <w:tcPr>
            <w:tcW w:w="345" w:type="pct"/>
            <w:tcBorders>
              <w:tl2br w:val="nil"/>
              <w:tr2bl w:val="nil"/>
            </w:tcBorders>
            <w:vAlign w:val="center"/>
          </w:tcPr>
          <w:p>
            <w:pPr>
              <w:jc w:val="center"/>
              <w:rPr>
                <w:rFonts w:cs="Times New Roman"/>
              </w:rPr>
            </w:pPr>
            <w:r>
              <w:rPr>
                <w:rFonts w:cs="Times New Roman"/>
              </w:rPr>
              <w:t>8.89</w:t>
            </w:r>
          </w:p>
        </w:tc>
        <w:tc>
          <w:tcPr>
            <w:tcW w:w="519" w:type="pct"/>
            <w:tcBorders>
              <w:tl2br w:val="nil"/>
              <w:tr2bl w:val="nil"/>
            </w:tcBorders>
            <w:vAlign w:val="center"/>
          </w:tcPr>
          <w:p>
            <w:pPr>
              <w:jc w:val="center"/>
              <w:rPr>
                <w:rFonts w:cs="Times New Roman"/>
              </w:rPr>
            </w:pPr>
            <w:r>
              <w:rPr>
                <w:rFonts w:cs="Times New Roman"/>
              </w:rPr>
              <w:t>7.73E-04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7.73E-05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4.63E-04</w:t>
            </w:r>
          </w:p>
        </w:tc>
        <w:tc>
          <w:tcPr>
            <w:tcW w:w="469" w:type="pct"/>
            <w:tcBorders>
              <w:tl2br w:val="nil"/>
              <w:tr2bl w:val="nil"/>
            </w:tcBorders>
            <w:vAlign w:val="center"/>
          </w:tcPr>
          <w:p>
            <w:pPr>
              <w:jc w:val="center"/>
              <w:rPr>
                <w:rFonts w:cs="Times New Roman"/>
              </w:rPr>
            </w:pPr>
            <w:r>
              <w:rPr>
                <w:rFonts w:cs="Times New Roman"/>
              </w:rPr>
              <w:t>0.09</w:t>
            </w:r>
          </w:p>
        </w:tc>
        <w:tc>
          <w:tcPr>
            <w:tcW w:w="486" w:type="pct"/>
            <w:tcBorders>
              <w:tl2br w:val="nil"/>
              <w:tr2bl w:val="nil"/>
            </w:tcBorders>
            <w:vAlign w:val="center"/>
          </w:tcPr>
          <w:p>
            <w:pPr>
              <w:jc w:val="center"/>
              <w:rPr>
                <w:rFonts w:cs="Times New Roman"/>
              </w:rPr>
            </w:pPr>
            <w:r>
              <w:rPr>
                <w:rFonts w:cs="Times New Roman"/>
              </w:rPr>
              <w:t>1.78E-02</w:t>
            </w:r>
          </w:p>
        </w:tc>
        <w:tc>
          <w:tcPr>
            <w:tcW w:w="437" w:type="pct"/>
            <w:tcBorders>
              <w:tl2br w:val="nil"/>
              <w:tr2bl w:val="nil"/>
            </w:tcBorders>
            <w:vAlign w:val="center"/>
          </w:tcPr>
          <w:p>
            <w:pPr>
              <w:jc w:val="center"/>
              <w:rPr>
                <w:rFonts w:cs="Times New Roman"/>
              </w:rPr>
            </w:pPr>
            <w:r>
              <w:rPr>
                <w:rFonts w:cs="Times New Roman"/>
              </w:rPr>
              <w:t>8.92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b/>
                <w:bCs/>
                <w:sz w:val="23"/>
                <w:szCs w:val="23"/>
              </w:rPr>
            </w:pPr>
            <w:r>
              <w:rPr>
                <w:rFonts w:cs="Times New Roman"/>
                <w:b/>
                <w:bCs/>
                <w:sz w:val="23"/>
                <w:szCs w:val="23"/>
              </w:rPr>
              <w:t>150.0</w:t>
            </w:r>
          </w:p>
        </w:tc>
        <w:tc>
          <w:tcPr>
            <w:tcW w:w="517" w:type="pct"/>
            <w:tcBorders>
              <w:tl2br w:val="nil"/>
              <w:tr2bl w:val="nil"/>
            </w:tcBorders>
            <w:vAlign w:val="center"/>
          </w:tcPr>
          <w:p>
            <w:pPr>
              <w:jc w:val="center"/>
              <w:rPr>
                <w:rFonts w:cs="Times New Roman"/>
                <w:b/>
                <w:bCs/>
              </w:rPr>
            </w:pPr>
            <w:r>
              <w:rPr>
                <w:rFonts w:cs="Times New Roman"/>
                <w:b/>
                <w:bCs/>
              </w:rPr>
              <w:t>4.50E-03</w:t>
            </w:r>
          </w:p>
        </w:tc>
        <w:tc>
          <w:tcPr>
            <w:tcW w:w="345" w:type="pct"/>
            <w:tcBorders>
              <w:tl2br w:val="nil"/>
              <w:tr2bl w:val="nil"/>
            </w:tcBorders>
            <w:vAlign w:val="center"/>
          </w:tcPr>
          <w:p>
            <w:pPr>
              <w:jc w:val="center"/>
              <w:rPr>
                <w:rFonts w:cs="Times New Roman"/>
                <w:b/>
                <w:bCs/>
              </w:rPr>
            </w:pPr>
            <w:r>
              <w:rPr>
                <w:rFonts w:cs="Times New Roman"/>
                <w:b/>
                <w:bCs/>
              </w:rPr>
              <w:t>9.00</w:t>
            </w:r>
          </w:p>
        </w:tc>
        <w:tc>
          <w:tcPr>
            <w:tcW w:w="519" w:type="pct"/>
            <w:tcBorders>
              <w:tl2br w:val="nil"/>
              <w:tr2bl w:val="nil"/>
            </w:tcBorders>
            <w:vAlign w:val="center"/>
          </w:tcPr>
          <w:p>
            <w:pPr>
              <w:jc w:val="center"/>
              <w:rPr>
                <w:rFonts w:cs="Times New Roman"/>
                <w:b/>
                <w:bCs/>
              </w:rPr>
            </w:pPr>
            <w:r>
              <w:rPr>
                <w:rFonts w:cs="Times New Roman"/>
                <w:b/>
                <w:bCs/>
              </w:rPr>
              <w:t>7.82E-04</w:t>
            </w:r>
          </w:p>
        </w:tc>
        <w:tc>
          <w:tcPr>
            <w:tcW w:w="358" w:type="pct"/>
            <w:tcBorders>
              <w:tl2br w:val="nil"/>
              <w:tr2bl w:val="nil"/>
            </w:tcBorders>
            <w:vAlign w:val="center"/>
          </w:tcPr>
          <w:p>
            <w:pPr>
              <w:jc w:val="center"/>
              <w:rPr>
                <w:rFonts w:cs="Times New Roman"/>
                <w:b/>
                <w:bCs/>
              </w:rPr>
            </w:pPr>
            <w:r>
              <w:rPr>
                <w:rFonts w:cs="Times New Roman"/>
                <w:b/>
                <w:bCs/>
              </w:rPr>
              <w:t>0.00</w:t>
            </w:r>
          </w:p>
        </w:tc>
        <w:tc>
          <w:tcPr>
            <w:tcW w:w="519" w:type="pct"/>
            <w:tcBorders>
              <w:tl2br w:val="nil"/>
              <w:tr2bl w:val="nil"/>
            </w:tcBorders>
            <w:vAlign w:val="center"/>
          </w:tcPr>
          <w:p>
            <w:pPr>
              <w:jc w:val="center"/>
              <w:rPr>
                <w:rFonts w:cs="Times New Roman"/>
                <w:b/>
                <w:bCs/>
              </w:rPr>
            </w:pPr>
            <w:r>
              <w:rPr>
                <w:rFonts w:cs="Times New Roman"/>
                <w:b/>
                <w:bCs/>
              </w:rPr>
              <w:t>7.82E-05</w:t>
            </w:r>
          </w:p>
        </w:tc>
        <w:tc>
          <w:tcPr>
            <w:tcW w:w="422" w:type="pct"/>
            <w:tcBorders>
              <w:tl2br w:val="nil"/>
              <w:tr2bl w:val="nil"/>
            </w:tcBorders>
            <w:vAlign w:val="center"/>
          </w:tcPr>
          <w:p>
            <w:pPr>
              <w:jc w:val="center"/>
              <w:rPr>
                <w:rFonts w:cs="Times New Roman"/>
                <w:b/>
                <w:bCs/>
              </w:rPr>
            </w:pPr>
            <w:r>
              <w:rPr>
                <w:rFonts w:cs="Times New Roman"/>
                <w:b/>
                <w:bCs/>
              </w:rPr>
              <w:t>0.00</w:t>
            </w:r>
          </w:p>
        </w:tc>
        <w:tc>
          <w:tcPr>
            <w:tcW w:w="486" w:type="pct"/>
            <w:tcBorders>
              <w:tl2br w:val="nil"/>
              <w:tr2bl w:val="nil"/>
            </w:tcBorders>
            <w:vAlign w:val="center"/>
          </w:tcPr>
          <w:p>
            <w:pPr>
              <w:jc w:val="center"/>
              <w:rPr>
                <w:rFonts w:cs="Times New Roman"/>
                <w:b/>
                <w:bCs/>
              </w:rPr>
            </w:pPr>
            <w:r>
              <w:rPr>
                <w:rFonts w:cs="Times New Roman"/>
                <w:b/>
                <w:bCs/>
              </w:rPr>
              <w:t>4.69E-04</w:t>
            </w:r>
          </w:p>
        </w:tc>
        <w:tc>
          <w:tcPr>
            <w:tcW w:w="469" w:type="pct"/>
            <w:tcBorders>
              <w:tl2br w:val="nil"/>
              <w:tr2bl w:val="nil"/>
            </w:tcBorders>
            <w:vAlign w:val="center"/>
          </w:tcPr>
          <w:p>
            <w:pPr>
              <w:jc w:val="center"/>
              <w:rPr>
                <w:rFonts w:cs="Times New Roman"/>
                <w:b/>
                <w:bCs/>
              </w:rPr>
            </w:pPr>
            <w:r>
              <w:rPr>
                <w:rFonts w:cs="Times New Roman"/>
                <w:b/>
                <w:bCs/>
              </w:rPr>
              <w:t>0.09</w:t>
            </w:r>
          </w:p>
        </w:tc>
        <w:tc>
          <w:tcPr>
            <w:tcW w:w="486" w:type="pct"/>
            <w:tcBorders>
              <w:tl2br w:val="nil"/>
              <w:tr2bl w:val="nil"/>
            </w:tcBorders>
            <w:vAlign w:val="center"/>
          </w:tcPr>
          <w:p>
            <w:pPr>
              <w:jc w:val="center"/>
              <w:rPr>
                <w:rFonts w:cs="Times New Roman"/>
                <w:b/>
                <w:bCs/>
              </w:rPr>
            </w:pPr>
            <w:r>
              <w:rPr>
                <w:rFonts w:cs="Times New Roman"/>
                <w:b/>
                <w:bCs/>
              </w:rPr>
              <w:t>1.80E-02</w:t>
            </w:r>
          </w:p>
        </w:tc>
        <w:tc>
          <w:tcPr>
            <w:tcW w:w="437" w:type="pct"/>
            <w:tcBorders>
              <w:tl2br w:val="nil"/>
              <w:tr2bl w:val="nil"/>
            </w:tcBorders>
            <w:vAlign w:val="center"/>
          </w:tcPr>
          <w:p>
            <w:pPr>
              <w:jc w:val="center"/>
              <w:rPr>
                <w:rFonts w:cs="Times New Roman"/>
                <w:b/>
                <w:bCs/>
              </w:rPr>
            </w:pPr>
            <w:r>
              <w:rPr>
                <w:rFonts w:cs="Times New Roman"/>
                <w:b/>
                <w:bCs/>
              </w:rPr>
              <w:t>9.02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200.0</w:t>
            </w:r>
          </w:p>
        </w:tc>
        <w:tc>
          <w:tcPr>
            <w:tcW w:w="517" w:type="pct"/>
            <w:tcBorders>
              <w:tl2br w:val="nil"/>
              <w:tr2bl w:val="nil"/>
            </w:tcBorders>
            <w:vAlign w:val="center"/>
          </w:tcPr>
          <w:p>
            <w:pPr>
              <w:jc w:val="center"/>
              <w:rPr>
                <w:rFonts w:cs="Times New Roman"/>
              </w:rPr>
            </w:pPr>
            <w:r>
              <w:rPr>
                <w:rFonts w:cs="Times New Roman"/>
              </w:rPr>
              <w:t>4.11E-03</w:t>
            </w:r>
          </w:p>
        </w:tc>
        <w:tc>
          <w:tcPr>
            <w:tcW w:w="345" w:type="pct"/>
            <w:tcBorders>
              <w:tl2br w:val="nil"/>
              <w:tr2bl w:val="nil"/>
            </w:tcBorders>
            <w:vAlign w:val="center"/>
          </w:tcPr>
          <w:p>
            <w:pPr>
              <w:jc w:val="center"/>
              <w:rPr>
                <w:rFonts w:cs="Times New Roman"/>
              </w:rPr>
            </w:pPr>
            <w:r>
              <w:rPr>
                <w:rFonts w:cs="Times New Roman"/>
              </w:rPr>
              <w:t>8.23</w:t>
            </w:r>
          </w:p>
        </w:tc>
        <w:tc>
          <w:tcPr>
            <w:tcW w:w="519" w:type="pct"/>
            <w:tcBorders>
              <w:tl2br w:val="nil"/>
              <w:tr2bl w:val="nil"/>
            </w:tcBorders>
            <w:vAlign w:val="center"/>
          </w:tcPr>
          <w:p>
            <w:pPr>
              <w:jc w:val="center"/>
              <w:rPr>
                <w:rFonts w:cs="Times New Roman"/>
              </w:rPr>
            </w:pPr>
            <w:r>
              <w:rPr>
                <w:rFonts w:cs="Times New Roman"/>
              </w:rPr>
              <w:t>7.15E-04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7.15E-05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4.29E-04</w:t>
            </w:r>
          </w:p>
        </w:tc>
        <w:tc>
          <w:tcPr>
            <w:tcW w:w="469" w:type="pct"/>
            <w:tcBorders>
              <w:tl2br w:val="nil"/>
              <w:tr2bl w:val="nil"/>
            </w:tcBorders>
            <w:vAlign w:val="center"/>
          </w:tcPr>
          <w:p>
            <w:pPr>
              <w:jc w:val="center"/>
              <w:rPr>
                <w:rFonts w:cs="Times New Roman"/>
              </w:rPr>
            </w:pPr>
            <w:r>
              <w:rPr>
                <w:rFonts w:cs="Times New Roman"/>
              </w:rPr>
              <w:t>0.09</w:t>
            </w:r>
          </w:p>
        </w:tc>
        <w:tc>
          <w:tcPr>
            <w:tcW w:w="486" w:type="pct"/>
            <w:tcBorders>
              <w:tl2br w:val="nil"/>
              <w:tr2bl w:val="nil"/>
            </w:tcBorders>
            <w:vAlign w:val="center"/>
          </w:tcPr>
          <w:p>
            <w:pPr>
              <w:jc w:val="center"/>
              <w:rPr>
                <w:rFonts w:cs="Times New Roman"/>
              </w:rPr>
            </w:pPr>
            <w:r>
              <w:rPr>
                <w:rFonts w:cs="Times New Roman"/>
              </w:rPr>
              <w:t>1.65E-02</w:t>
            </w:r>
          </w:p>
        </w:tc>
        <w:tc>
          <w:tcPr>
            <w:tcW w:w="437" w:type="pct"/>
            <w:tcBorders>
              <w:tl2br w:val="nil"/>
              <w:tr2bl w:val="nil"/>
            </w:tcBorders>
            <w:vAlign w:val="center"/>
          </w:tcPr>
          <w:p>
            <w:pPr>
              <w:jc w:val="center"/>
              <w:rPr>
                <w:rFonts w:cs="Times New Roman"/>
              </w:rPr>
            </w:pPr>
            <w:r>
              <w:rPr>
                <w:rFonts w:cs="Times New Roman"/>
              </w:rPr>
              <w:t>8.25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300.0</w:t>
            </w:r>
          </w:p>
        </w:tc>
        <w:tc>
          <w:tcPr>
            <w:tcW w:w="517" w:type="pct"/>
            <w:tcBorders>
              <w:tl2br w:val="nil"/>
              <w:tr2bl w:val="nil"/>
            </w:tcBorders>
            <w:vAlign w:val="center"/>
          </w:tcPr>
          <w:p>
            <w:pPr>
              <w:jc w:val="center"/>
              <w:rPr>
                <w:rFonts w:cs="Times New Roman"/>
              </w:rPr>
            </w:pPr>
            <w:r>
              <w:rPr>
                <w:rFonts w:cs="Times New Roman"/>
              </w:rPr>
              <w:t>2.92E-03</w:t>
            </w:r>
          </w:p>
        </w:tc>
        <w:tc>
          <w:tcPr>
            <w:tcW w:w="345" w:type="pct"/>
            <w:tcBorders>
              <w:tl2br w:val="nil"/>
              <w:tr2bl w:val="nil"/>
            </w:tcBorders>
            <w:vAlign w:val="center"/>
          </w:tcPr>
          <w:p>
            <w:pPr>
              <w:jc w:val="center"/>
              <w:rPr>
                <w:rFonts w:cs="Times New Roman"/>
              </w:rPr>
            </w:pPr>
            <w:r>
              <w:rPr>
                <w:rFonts w:cs="Times New Roman"/>
              </w:rPr>
              <w:t>5.84</w:t>
            </w:r>
          </w:p>
        </w:tc>
        <w:tc>
          <w:tcPr>
            <w:tcW w:w="519" w:type="pct"/>
            <w:tcBorders>
              <w:tl2br w:val="nil"/>
              <w:tr2bl w:val="nil"/>
            </w:tcBorders>
            <w:vAlign w:val="center"/>
          </w:tcPr>
          <w:p>
            <w:pPr>
              <w:jc w:val="center"/>
              <w:rPr>
                <w:rFonts w:cs="Times New Roman"/>
              </w:rPr>
            </w:pPr>
            <w:r>
              <w:rPr>
                <w:rFonts w:cs="Times New Roman"/>
              </w:rPr>
              <w:t>5.07E-04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5.07E-05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3.04E-04</w:t>
            </w:r>
          </w:p>
        </w:tc>
        <w:tc>
          <w:tcPr>
            <w:tcW w:w="469" w:type="pct"/>
            <w:tcBorders>
              <w:tl2br w:val="nil"/>
              <w:tr2bl w:val="nil"/>
            </w:tcBorders>
            <w:vAlign w:val="center"/>
          </w:tcPr>
          <w:p>
            <w:pPr>
              <w:jc w:val="center"/>
              <w:rPr>
                <w:rFonts w:cs="Times New Roman"/>
              </w:rPr>
            </w:pPr>
            <w:r>
              <w:rPr>
                <w:rFonts w:cs="Times New Roman"/>
              </w:rPr>
              <w:t>0.06</w:t>
            </w:r>
          </w:p>
        </w:tc>
        <w:tc>
          <w:tcPr>
            <w:tcW w:w="486" w:type="pct"/>
            <w:tcBorders>
              <w:tl2br w:val="nil"/>
              <w:tr2bl w:val="nil"/>
            </w:tcBorders>
            <w:vAlign w:val="center"/>
          </w:tcPr>
          <w:p>
            <w:pPr>
              <w:jc w:val="center"/>
              <w:rPr>
                <w:rFonts w:cs="Times New Roman"/>
              </w:rPr>
            </w:pPr>
            <w:r>
              <w:rPr>
                <w:rFonts w:cs="Times New Roman"/>
              </w:rPr>
              <w:t>1.17E-02</w:t>
            </w:r>
          </w:p>
        </w:tc>
        <w:tc>
          <w:tcPr>
            <w:tcW w:w="437" w:type="pct"/>
            <w:tcBorders>
              <w:tl2br w:val="nil"/>
              <w:tr2bl w:val="nil"/>
            </w:tcBorders>
            <w:vAlign w:val="center"/>
          </w:tcPr>
          <w:p>
            <w:pPr>
              <w:jc w:val="center"/>
              <w:rPr>
                <w:rFonts w:cs="Times New Roman"/>
              </w:rPr>
            </w:pPr>
            <w:r>
              <w:rPr>
                <w:rFonts w:cs="Times New Roman"/>
              </w:rPr>
              <w:t>5.86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400.0</w:t>
            </w:r>
          </w:p>
        </w:tc>
        <w:tc>
          <w:tcPr>
            <w:tcW w:w="517" w:type="pct"/>
            <w:tcBorders>
              <w:tl2br w:val="nil"/>
              <w:tr2bl w:val="nil"/>
            </w:tcBorders>
            <w:vAlign w:val="center"/>
          </w:tcPr>
          <w:p>
            <w:pPr>
              <w:jc w:val="center"/>
              <w:rPr>
                <w:rFonts w:cs="Times New Roman"/>
              </w:rPr>
            </w:pPr>
            <w:r>
              <w:rPr>
                <w:rFonts w:cs="Times New Roman"/>
              </w:rPr>
              <w:t>2.48E-03</w:t>
            </w:r>
          </w:p>
        </w:tc>
        <w:tc>
          <w:tcPr>
            <w:tcW w:w="345" w:type="pct"/>
            <w:tcBorders>
              <w:tl2br w:val="nil"/>
              <w:tr2bl w:val="nil"/>
            </w:tcBorders>
            <w:vAlign w:val="center"/>
          </w:tcPr>
          <w:p>
            <w:pPr>
              <w:jc w:val="center"/>
              <w:rPr>
                <w:rFonts w:cs="Times New Roman"/>
              </w:rPr>
            </w:pPr>
            <w:r>
              <w:rPr>
                <w:rFonts w:cs="Times New Roman"/>
              </w:rPr>
              <w:t>4.96</w:t>
            </w:r>
          </w:p>
        </w:tc>
        <w:tc>
          <w:tcPr>
            <w:tcW w:w="519" w:type="pct"/>
            <w:tcBorders>
              <w:tl2br w:val="nil"/>
              <w:tr2bl w:val="nil"/>
            </w:tcBorders>
            <w:vAlign w:val="center"/>
          </w:tcPr>
          <w:p>
            <w:pPr>
              <w:jc w:val="center"/>
              <w:rPr>
                <w:rFonts w:cs="Times New Roman"/>
              </w:rPr>
            </w:pPr>
            <w:r>
              <w:rPr>
                <w:rFonts w:cs="Times New Roman"/>
              </w:rPr>
              <w:t>4.31E-04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4.31E-05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2.58E-04</w:t>
            </w:r>
          </w:p>
        </w:tc>
        <w:tc>
          <w:tcPr>
            <w:tcW w:w="469" w:type="pct"/>
            <w:tcBorders>
              <w:tl2br w:val="nil"/>
              <w:tr2bl w:val="nil"/>
            </w:tcBorders>
            <w:vAlign w:val="center"/>
          </w:tcPr>
          <w:p>
            <w:pPr>
              <w:jc w:val="center"/>
              <w:rPr>
                <w:rFonts w:cs="Times New Roman"/>
              </w:rPr>
            </w:pPr>
            <w:r>
              <w:rPr>
                <w:rFonts w:cs="Times New Roman"/>
              </w:rPr>
              <w:t>0.05</w:t>
            </w:r>
          </w:p>
        </w:tc>
        <w:tc>
          <w:tcPr>
            <w:tcW w:w="486" w:type="pct"/>
            <w:tcBorders>
              <w:tl2br w:val="nil"/>
              <w:tr2bl w:val="nil"/>
            </w:tcBorders>
            <w:vAlign w:val="center"/>
          </w:tcPr>
          <w:p>
            <w:pPr>
              <w:jc w:val="center"/>
              <w:rPr>
                <w:rFonts w:cs="Times New Roman"/>
              </w:rPr>
            </w:pPr>
            <w:r>
              <w:rPr>
                <w:rFonts w:cs="Times New Roman"/>
              </w:rPr>
              <w:t>9.94E-03</w:t>
            </w:r>
          </w:p>
        </w:tc>
        <w:tc>
          <w:tcPr>
            <w:tcW w:w="437" w:type="pct"/>
            <w:tcBorders>
              <w:tl2br w:val="nil"/>
              <w:tr2bl w:val="nil"/>
            </w:tcBorders>
            <w:vAlign w:val="center"/>
          </w:tcPr>
          <w:p>
            <w:pPr>
              <w:jc w:val="center"/>
              <w:rPr>
                <w:rFonts w:cs="Times New Roman"/>
              </w:rPr>
            </w:pPr>
            <w:r>
              <w:rPr>
                <w:rFonts w:cs="Times New Roman"/>
              </w:rPr>
              <w:t>4.97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500.0</w:t>
            </w:r>
          </w:p>
        </w:tc>
        <w:tc>
          <w:tcPr>
            <w:tcW w:w="517" w:type="pct"/>
            <w:tcBorders>
              <w:tl2br w:val="nil"/>
              <w:tr2bl w:val="nil"/>
            </w:tcBorders>
            <w:vAlign w:val="center"/>
          </w:tcPr>
          <w:p>
            <w:pPr>
              <w:jc w:val="center"/>
              <w:rPr>
                <w:rFonts w:cs="Times New Roman"/>
              </w:rPr>
            </w:pPr>
            <w:r>
              <w:rPr>
                <w:rFonts w:cs="Times New Roman"/>
              </w:rPr>
              <w:t>2.30E-03</w:t>
            </w:r>
          </w:p>
        </w:tc>
        <w:tc>
          <w:tcPr>
            <w:tcW w:w="345" w:type="pct"/>
            <w:tcBorders>
              <w:tl2br w:val="nil"/>
              <w:tr2bl w:val="nil"/>
            </w:tcBorders>
            <w:vAlign w:val="center"/>
          </w:tcPr>
          <w:p>
            <w:pPr>
              <w:jc w:val="center"/>
              <w:rPr>
                <w:rFonts w:cs="Times New Roman"/>
              </w:rPr>
            </w:pPr>
            <w:r>
              <w:rPr>
                <w:rFonts w:cs="Times New Roman"/>
              </w:rPr>
              <w:t>4.61</w:t>
            </w:r>
          </w:p>
        </w:tc>
        <w:tc>
          <w:tcPr>
            <w:tcW w:w="519" w:type="pct"/>
            <w:tcBorders>
              <w:tl2br w:val="nil"/>
              <w:tr2bl w:val="nil"/>
            </w:tcBorders>
            <w:vAlign w:val="center"/>
          </w:tcPr>
          <w:p>
            <w:pPr>
              <w:jc w:val="center"/>
              <w:rPr>
                <w:rFonts w:cs="Times New Roman"/>
              </w:rPr>
            </w:pPr>
            <w:r>
              <w:rPr>
                <w:rFonts w:cs="Times New Roman"/>
              </w:rPr>
              <w:t>4.00E-04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4.00E-05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2.40E-04</w:t>
            </w:r>
          </w:p>
        </w:tc>
        <w:tc>
          <w:tcPr>
            <w:tcW w:w="469" w:type="pct"/>
            <w:tcBorders>
              <w:tl2br w:val="nil"/>
              <w:tr2bl w:val="nil"/>
            </w:tcBorders>
            <w:vAlign w:val="center"/>
          </w:tcPr>
          <w:p>
            <w:pPr>
              <w:jc w:val="center"/>
              <w:rPr>
                <w:rFonts w:cs="Times New Roman"/>
              </w:rPr>
            </w:pPr>
            <w:r>
              <w:rPr>
                <w:rFonts w:cs="Times New Roman"/>
              </w:rPr>
              <w:t>0.05</w:t>
            </w:r>
          </w:p>
        </w:tc>
        <w:tc>
          <w:tcPr>
            <w:tcW w:w="486" w:type="pct"/>
            <w:tcBorders>
              <w:tl2br w:val="nil"/>
              <w:tr2bl w:val="nil"/>
            </w:tcBorders>
            <w:vAlign w:val="center"/>
          </w:tcPr>
          <w:p>
            <w:pPr>
              <w:jc w:val="center"/>
              <w:rPr>
                <w:rFonts w:cs="Times New Roman"/>
              </w:rPr>
            </w:pPr>
            <w:r>
              <w:rPr>
                <w:rFonts w:cs="Times New Roman"/>
              </w:rPr>
              <w:t>9.24E-03</w:t>
            </w:r>
          </w:p>
        </w:tc>
        <w:tc>
          <w:tcPr>
            <w:tcW w:w="437" w:type="pct"/>
            <w:tcBorders>
              <w:tl2br w:val="nil"/>
              <w:tr2bl w:val="nil"/>
            </w:tcBorders>
            <w:vAlign w:val="center"/>
          </w:tcPr>
          <w:p>
            <w:pPr>
              <w:jc w:val="center"/>
              <w:rPr>
                <w:rFonts w:cs="Times New Roman"/>
              </w:rPr>
            </w:pPr>
            <w:r>
              <w:rPr>
                <w:rFonts w:cs="Times New Roman"/>
              </w:rPr>
              <w:t>4.62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600.0</w:t>
            </w:r>
          </w:p>
        </w:tc>
        <w:tc>
          <w:tcPr>
            <w:tcW w:w="517" w:type="pct"/>
            <w:tcBorders>
              <w:tl2br w:val="nil"/>
              <w:tr2bl w:val="nil"/>
            </w:tcBorders>
            <w:vAlign w:val="center"/>
          </w:tcPr>
          <w:p>
            <w:pPr>
              <w:jc w:val="center"/>
              <w:rPr>
                <w:rFonts w:cs="Times New Roman"/>
              </w:rPr>
            </w:pPr>
            <w:r>
              <w:rPr>
                <w:rFonts w:cs="Times New Roman"/>
              </w:rPr>
              <w:t>2.05E-03</w:t>
            </w:r>
          </w:p>
        </w:tc>
        <w:tc>
          <w:tcPr>
            <w:tcW w:w="345" w:type="pct"/>
            <w:tcBorders>
              <w:tl2br w:val="nil"/>
              <w:tr2bl w:val="nil"/>
            </w:tcBorders>
            <w:vAlign w:val="center"/>
          </w:tcPr>
          <w:p>
            <w:pPr>
              <w:jc w:val="center"/>
              <w:rPr>
                <w:rFonts w:cs="Times New Roman"/>
              </w:rPr>
            </w:pPr>
            <w:r>
              <w:rPr>
                <w:rFonts w:cs="Times New Roman"/>
              </w:rPr>
              <w:t>4.11</w:t>
            </w:r>
          </w:p>
        </w:tc>
        <w:tc>
          <w:tcPr>
            <w:tcW w:w="519" w:type="pct"/>
            <w:tcBorders>
              <w:tl2br w:val="nil"/>
              <w:tr2bl w:val="nil"/>
            </w:tcBorders>
            <w:vAlign w:val="center"/>
          </w:tcPr>
          <w:p>
            <w:pPr>
              <w:jc w:val="center"/>
              <w:rPr>
                <w:rFonts w:cs="Times New Roman"/>
              </w:rPr>
            </w:pPr>
            <w:r>
              <w:rPr>
                <w:rFonts w:cs="Times New Roman"/>
              </w:rPr>
              <w:t>3.57E-04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3.57E-05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2.14E-04</w:t>
            </w:r>
          </w:p>
        </w:tc>
        <w:tc>
          <w:tcPr>
            <w:tcW w:w="469" w:type="pct"/>
            <w:tcBorders>
              <w:tl2br w:val="nil"/>
              <w:tr2bl w:val="nil"/>
            </w:tcBorders>
            <w:vAlign w:val="center"/>
          </w:tcPr>
          <w:p>
            <w:pPr>
              <w:jc w:val="center"/>
              <w:rPr>
                <w:rFonts w:cs="Times New Roman"/>
              </w:rPr>
            </w:pPr>
            <w:r>
              <w:rPr>
                <w:rFonts w:cs="Times New Roman"/>
              </w:rPr>
              <w:t>0.04</w:t>
            </w:r>
          </w:p>
        </w:tc>
        <w:tc>
          <w:tcPr>
            <w:tcW w:w="486" w:type="pct"/>
            <w:tcBorders>
              <w:tl2br w:val="nil"/>
              <w:tr2bl w:val="nil"/>
            </w:tcBorders>
            <w:vAlign w:val="center"/>
          </w:tcPr>
          <w:p>
            <w:pPr>
              <w:jc w:val="center"/>
              <w:rPr>
                <w:rFonts w:cs="Times New Roman"/>
              </w:rPr>
            </w:pPr>
            <w:r>
              <w:rPr>
                <w:rFonts w:cs="Times New Roman"/>
              </w:rPr>
              <w:t>8.23E-03</w:t>
            </w:r>
          </w:p>
        </w:tc>
        <w:tc>
          <w:tcPr>
            <w:tcW w:w="437" w:type="pct"/>
            <w:tcBorders>
              <w:tl2br w:val="nil"/>
              <w:tr2bl w:val="nil"/>
            </w:tcBorders>
            <w:vAlign w:val="center"/>
          </w:tcPr>
          <w:p>
            <w:pPr>
              <w:jc w:val="center"/>
              <w:rPr>
                <w:rFonts w:cs="Times New Roman"/>
              </w:rPr>
            </w:pPr>
            <w:r>
              <w:rPr>
                <w:rFonts w:cs="Times New Roman"/>
              </w:rPr>
              <w:t>4.12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700.0</w:t>
            </w:r>
          </w:p>
        </w:tc>
        <w:tc>
          <w:tcPr>
            <w:tcW w:w="517" w:type="pct"/>
            <w:tcBorders>
              <w:tl2br w:val="nil"/>
              <w:tr2bl w:val="nil"/>
            </w:tcBorders>
            <w:vAlign w:val="center"/>
          </w:tcPr>
          <w:p>
            <w:pPr>
              <w:jc w:val="center"/>
              <w:rPr>
                <w:rFonts w:cs="Times New Roman"/>
              </w:rPr>
            </w:pPr>
            <w:r>
              <w:rPr>
                <w:rFonts w:cs="Times New Roman"/>
              </w:rPr>
              <w:t>1.87E-03</w:t>
            </w:r>
          </w:p>
        </w:tc>
        <w:tc>
          <w:tcPr>
            <w:tcW w:w="345" w:type="pct"/>
            <w:tcBorders>
              <w:tl2br w:val="nil"/>
              <w:tr2bl w:val="nil"/>
            </w:tcBorders>
            <w:vAlign w:val="center"/>
          </w:tcPr>
          <w:p>
            <w:pPr>
              <w:jc w:val="center"/>
              <w:rPr>
                <w:rFonts w:cs="Times New Roman"/>
              </w:rPr>
            </w:pPr>
            <w:r>
              <w:rPr>
                <w:rFonts w:cs="Times New Roman"/>
              </w:rPr>
              <w:t>3.74</w:t>
            </w:r>
          </w:p>
        </w:tc>
        <w:tc>
          <w:tcPr>
            <w:tcW w:w="519" w:type="pct"/>
            <w:tcBorders>
              <w:tl2br w:val="nil"/>
              <w:tr2bl w:val="nil"/>
            </w:tcBorders>
            <w:vAlign w:val="center"/>
          </w:tcPr>
          <w:p>
            <w:pPr>
              <w:jc w:val="center"/>
              <w:rPr>
                <w:rFonts w:cs="Times New Roman"/>
              </w:rPr>
            </w:pPr>
            <w:r>
              <w:rPr>
                <w:rFonts w:cs="Times New Roman"/>
              </w:rPr>
              <w:t>3.25E-04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3.25E-05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1.95E-04</w:t>
            </w:r>
          </w:p>
        </w:tc>
        <w:tc>
          <w:tcPr>
            <w:tcW w:w="469" w:type="pct"/>
            <w:tcBorders>
              <w:tl2br w:val="nil"/>
              <w:tr2bl w:val="nil"/>
            </w:tcBorders>
            <w:vAlign w:val="center"/>
          </w:tcPr>
          <w:p>
            <w:pPr>
              <w:jc w:val="center"/>
              <w:rPr>
                <w:rFonts w:cs="Times New Roman"/>
              </w:rPr>
            </w:pPr>
            <w:r>
              <w:rPr>
                <w:rFonts w:cs="Times New Roman"/>
              </w:rPr>
              <w:t>0.04</w:t>
            </w:r>
          </w:p>
        </w:tc>
        <w:tc>
          <w:tcPr>
            <w:tcW w:w="486" w:type="pct"/>
            <w:tcBorders>
              <w:tl2br w:val="nil"/>
              <w:tr2bl w:val="nil"/>
            </w:tcBorders>
            <w:vAlign w:val="center"/>
          </w:tcPr>
          <w:p>
            <w:pPr>
              <w:jc w:val="center"/>
              <w:rPr>
                <w:rFonts w:cs="Times New Roman"/>
              </w:rPr>
            </w:pPr>
            <w:r>
              <w:rPr>
                <w:rFonts w:cs="Times New Roman"/>
              </w:rPr>
              <w:t>7.51E-03</w:t>
            </w:r>
          </w:p>
        </w:tc>
        <w:tc>
          <w:tcPr>
            <w:tcW w:w="437" w:type="pct"/>
            <w:tcBorders>
              <w:tl2br w:val="nil"/>
              <w:tr2bl w:val="nil"/>
            </w:tcBorders>
            <w:vAlign w:val="center"/>
          </w:tcPr>
          <w:p>
            <w:pPr>
              <w:jc w:val="center"/>
              <w:rPr>
                <w:rFonts w:cs="Times New Roman"/>
              </w:rPr>
            </w:pPr>
            <w:r>
              <w:rPr>
                <w:rFonts w:cs="Times New Roman"/>
              </w:rPr>
              <w:t>3.76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800.0</w:t>
            </w:r>
          </w:p>
        </w:tc>
        <w:tc>
          <w:tcPr>
            <w:tcW w:w="517" w:type="pct"/>
            <w:tcBorders>
              <w:tl2br w:val="nil"/>
              <w:tr2bl w:val="nil"/>
            </w:tcBorders>
            <w:vAlign w:val="center"/>
          </w:tcPr>
          <w:p>
            <w:pPr>
              <w:jc w:val="center"/>
              <w:rPr>
                <w:rFonts w:cs="Times New Roman"/>
              </w:rPr>
            </w:pPr>
            <w:r>
              <w:rPr>
                <w:rFonts w:cs="Times New Roman"/>
              </w:rPr>
              <w:t>1.72E-03</w:t>
            </w:r>
          </w:p>
        </w:tc>
        <w:tc>
          <w:tcPr>
            <w:tcW w:w="345" w:type="pct"/>
            <w:tcBorders>
              <w:tl2br w:val="nil"/>
              <w:tr2bl w:val="nil"/>
            </w:tcBorders>
            <w:vAlign w:val="center"/>
          </w:tcPr>
          <w:p>
            <w:pPr>
              <w:jc w:val="center"/>
              <w:rPr>
                <w:rFonts w:cs="Times New Roman"/>
              </w:rPr>
            </w:pPr>
            <w:r>
              <w:rPr>
                <w:rFonts w:cs="Times New Roman"/>
              </w:rPr>
              <w:t>3.45</w:t>
            </w:r>
          </w:p>
        </w:tc>
        <w:tc>
          <w:tcPr>
            <w:tcW w:w="519" w:type="pct"/>
            <w:tcBorders>
              <w:tl2br w:val="nil"/>
              <w:tr2bl w:val="nil"/>
            </w:tcBorders>
            <w:vAlign w:val="center"/>
          </w:tcPr>
          <w:p>
            <w:pPr>
              <w:jc w:val="center"/>
              <w:rPr>
                <w:rFonts w:cs="Times New Roman"/>
              </w:rPr>
            </w:pPr>
            <w:r>
              <w:rPr>
                <w:rFonts w:cs="Times New Roman"/>
              </w:rPr>
              <w:t>3.00E-04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3.00E-05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1.80E-04</w:t>
            </w:r>
          </w:p>
        </w:tc>
        <w:tc>
          <w:tcPr>
            <w:tcW w:w="469" w:type="pct"/>
            <w:tcBorders>
              <w:tl2br w:val="nil"/>
              <w:tr2bl w:val="nil"/>
            </w:tcBorders>
            <w:vAlign w:val="center"/>
          </w:tcPr>
          <w:p>
            <w:pPr>
              <w:jc w:val="center"/>
              <w:rPr>
                <w:rFonts w:cs="Times New Roman"/>
              </w:rPr>
            </w:pPr>
            <w:r>
              <w:rPr>
                <w:rFonts w:cs="Times New Roman"/>
              </w:rPr>
              <w:t>0.04</w:t>
            </w:r>
          </w:p>
        </w:tc>
        <w:tc>
          <w:tcPr>
            <w:tcW w:w="486" w:type="pct"/>
            <w:tcBorders>
              <w:tl2br w:val="nil"/>
              <w:tr2bl w:val="nil"/>
            </w:tcBorders>
            <w:vAlign w:val="center"/>
          </w:tcPr>
          <w:p>
            <w:pPr>
              <w:jc w:val="center"/>
              <w:rPr>
                <w:rFonts w:cs="Times New Roman"/>
              </w:rPr>
            </w:pPr>
            <w:r>
              <w:rPr>
                <w:rFonts w:cs="Times New Roman"/>
              </w:rPr>
              <w:t>6.91E-03</w:t>
            </w:r>
          </w:p>
        </w:tc>
        <w:tc>
          <w:tcPr>
            <w:tcW w:w="437" w:type="pct"/>
            <w:tcBorders>
              <w:tl2br w:val="nil"/>
              <w:tr2bl w:val="nil"/>
            </w:tcBorders>
            <w:vAlign w:val="center"/>
          </w:tcPr>
          <w:p>
            <w:pPr>
              <w:jc w:val="center"/>
              <w:rPr>
                <w:rFonts w:cs="Times New Roman"/>
              </w:rPr>
            </w:pPr>
            <w:r>
              <w:rPr>
                <w:rFonts w:cs="Times New Roman"/>
              </w:rPr>
              <w:t>3.46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900.0</w:t>
            </w:r>
          </w:p>
        </w:tc>
        <w:tc>
          <w:tcPr>
            <w:tcW w:w="517" w:type="pct"/>
            <w:tcBorders>
              <w:tl2br w:val="nil"/>
              <w:tr2bl w:val="nil"/>
            </w:tcBorders>
            <w:vAlign w:val="center"/>
          </w:tcPr>
          <w:p>
            <w:pPr>
              <w:jc w:val="center"/>
              <w:rPr>
                <w:rFonts w:cs="Times New Roman"/>
              </w:rPr>
            </w:pPr>
            <w:r>
              <w:rPr>
                <w:rFonts w:cs="Times New Roman"/>
              </w:rPr>
              <w:t>1.61E-03</w:t>
            </w:r>
          </w:p>
        </w:tc>
        <w:tc>
          <w:tcPr>
            <w:tcW w:w="345" w:type="pct"/>
            <w:tcBorders>
              <w:tl2br w:val="nil"/>
              <w:tr2bl w:val="nil"/>
            </w:tcBorders>
            <w:vAlign w:val="center"/>
          </w:tcPr>
          <w:p>
            <w:pPr>
              <w:jc w:val="center"/>
              <w:rPr>
                <w:rFonts w:cs="Times New Roman"/>
              </w:rPr>
            </w:pPr>
            <w:r>
              <w:rPr>
                <w:rFonts w:cs="Times New Roman"/>
              </w:rPr>
              <w:t>3.22</w:t>
            </w:r>
          </w:p>
        </w:tc>
        <w:tc>
          <w:tcPr>
            <w:tcW w:w="519" w:type="pct"/>
            <w:tcBorders>
              <w:tl2br w:val="nil"/>
              <w:tr2bl w:val="nil"/>
            </w:tcBorders>
            <w:vAlign w:val="center"/>
          </w:tcPr>
          <w:p>
            <w:pPr>
              <w:jc w:val="center"/>
              <w:rPr>
                <w:rFonts w:cs="Times New Roman"/>
              </w:rPr>
            </w:pPr>
            <w:r>
              <w:rPr>
                <w:rFonts w:cs="Times New Roman"/>
              </w:rPr>
              <w:t>2.80E-04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2.80E-05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1.68E-04</w:t>
            </w:r>
          </w:p>
        </w:tc>
        <w:tc>
          <w:tcPr>
            <w:tcW w:w="469" w:type="pct"/>
            <w:tcBorders>
              <w:tl2br w:val="nil"/>
              <w:tr2bl w:val="nil"/>
            </w:tcBorders>
            <w:vAlign w:val="center"/>
          </w:tcPr>
          <w:p>
            <w:pPr>
              <w:jc w:val="center"/>
              <w:rPr>
                <w:rFonts w:cs="Times New Roman"/>
              </w:rPr>
            </w:pPr>
            <w:r>
              <w:rPr>
                <w:rFonts w:cs="Times New Roman"/>
              </w:rPr>
              <w:t>0.03</w:t>
            </w:r>
          </w:p>
        </w:tc>
        <w:tc>
          <w:tcPr>
            <w:tcW w:w="486" w:type="pct"/>
            <w:tcBorders>
              <w:tl2br w:val="nil"/>
              <w:tr2bl w:val="nil"/>
            </w:tcBorders>
            <w:vAlign w:val="center"/>
          </w:tcPr>
          <w:p>
            <w:pPr>
              <w:jc w:val="center"/>
              <w:rPr>
                <w:rFonts w:cs="Times New Roman"/>
              </w:rPr>
            </w:pPr>
            <w:r>
              <w:rPr>
                <w:rFonts w:cs="Times New Roman"/>
              </w:rPr>
              <w:t>6.46E-03</w:t>
            </w:r>
          </w:p>
        </w:tc>
        <w:tc>
          <w:tcPr>
            <w:tcW w:w="437" w:type="pct"/>
            <w:tcBorders>
              <w:tl2br w:val="nil"/>
              <w:tr2bl w:val="nil"/>
            </w:tcBorders>
            <w:vAlign w:val="center"/>
          </w:tcPr>
          <w:p>
            <w:pPr>
              <w:jc w:val="center"/>
              <w:rPr>
                <w:rFonts w:cs="Times New Roman"/>
              </w:rPr>
            </w:pPr>
            <w:r>
              <w:rPr>
                <w:rFonts w:cs="Times New Roman"/>
              </w:rPr>
              <w:t>3.23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1000.0</w:t>
            </w:r>
          </w:p>
        </w:tc>
        <w:tc>
          <w:tcPr>
            <w:tcW w:w="517" w:type="pct"/>
            <w:tcBorders>
              <w:tl2br w:val="nil"/>
              <w:tr2bl w:val="nil"/>
            </w:tcBorders>
            <w:vAlign w:val="center"/>
          </w:tcPr>
          <w:p>
            <w:pPr>
              <w:jc w:val="center"/>
              <w:rPr>
                <w:rFonts w:cs="Times New Roman"/>
              </w:rPr>
            </w:pPr>
            <w:r>
              <w:rPr>
                <w:rFonts w:cs="Times New Roman"/>
              </w:rPr>
              <w:t>1.51E-03</w:t>
            </w:r>
          </w:p>
        </w:tc>
        <w:tc>
          <w:tcPr>
            <w:tcW w:w="345" w:type="pct"/>
            <w:tcBorders>
              <w:tl2br w:val="nil"/>
              <w:tr2bl w:val="nil"/>
            </w:tcBorders>
            <w:vAlign w:val="center"/>
          </w:tcPr>
          <w:p>
            <w:pPr>
              <w:jc w:val="center"/>
              <w:rPr>
                <w:rFonts w:cs="Times New Roman"/>
              </w:rPr>
            </w:pPr>
            <w:r>
              <w:rPr>
                <w:rFonts w:cs="Times New Roman"/>
              </w:rPr>
              <w:t>3.02</w:t>
            </w:r>
          </w:p>
        </w:tc>
        <w:tc>
          <w:tcPr>
            <w:tcW w:w="519" w:type="pct"/>
            <w:tcBorders>
              <w:tl2br w:val="nil"/>
              <w:tr2bl w:val="nil"/>
            </w:tcBorders>
            <w:vAlign w:val="center"/>
          </w:tcPr>
          <w:p>
            <w:pPr>
              <w:jc w:val="center"/>
              <w:rPr>
                <w:rFonts w:cs="Times New Roman"/>
              </w:rPr>
            </w:pPr>
            <w:r>
              <w:rPr>
                <w:rFonts w:cs="Times New Roman"/>
              </w:rPr>
              <w:t>2.63E-04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2.63E-05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1.57E-04</w:t>
            </w:r>
          </w:p>
        </w:tc>
        <w:tc>
          <w:tcPr>
            <w:tcW w:w="469" w:type="pct"/>
            <w:tcBorders>
              <w:tl2br w:val="nil"/>
              <w:tr2bl w:val="nil"/>
            </w:tcBorders>
            <w:vAlign w:val="center"/>
          </w:tcPr>
          <w:p>
            <w:pPr>
              <w:jc w:val="center"/>
              <w:rPr>
                <w:rFonts w:cs="Times New Roman"/>
              </w:rPr>
            </w:pPr>
            <w:r>
              <w:rPr>
                <w:rFonts w:cs="Times New Roman"/>
              </w:rPr>
              <w:t>0.03</w:t>
            </w:r>
          </w:p>
        </w:tc>
        <w:tc>
          <w:tcPr>
            <w:tcW w:w="486" w:type="pct"/>
            <w:tcBorders>
              <w:tl2br w:val="nil"/>
              <w:tr2bl w:val="nil"/>
            </w:tcBorders>
            <w:vAlign w:val="center"/>
          </w:tcPr>
          <w:p>
            <w:pPr>
              <w:jc w:val="center"/>
              <w:rPr>
                <w:rFonts w:cs="Times New Roman"/>
              </w:rPr>
            </w:pPr>
            <w:r>
              <w:rPr>
                <w:rFonts w:cs="Times New Roman"/>
              </w:rPr>
              <w:t>6.06E-03</w:t>
            </w:r>
          </w:p>
        </w:tc>
        <w:tc>
          <w:tcPr>
            <w:tcW w:w="437" w:type="pct"/>
            <w:tcBorders>
              <w:tl2br w:val="nil"/>
              <w:tr2bl w:val="nil"/>
            </w:tcBorders>
            <w:vAlign w:val="center"/>
          </w:tcPr>
          <w:p>
            <w:pPr>
              <w:jc w:val="center"/>
              <w:rPr>
                <w:rFonts w:cs="Times New Roman"/>
              </w:rPr>
            </w:pPr>
            <w:r>
              <w:rPr>
                <w:rFonts w:cs="Times New Roman"/>
              </w:rPr>
              <w:t>3.03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1200.0</w:t>
            </w:r>
          </w:p>
        </w:tc>
        <w:tc>
          <w:tcPr>
            <w:tcW w:w="517" w:type="pct"/>
            <w:tcBorders>
              <w:tl2br w:val="nil"/>
              <w:tr2bl w:val="nil"/>
            </w:tcBorders>
            <w:vAlign w:val="center"/>
          </w:tcPr>
          <w:p>
            <w:pPr>
              <w:jc w:val="center"/>
              <w:rPr>
                <w:rFonts w:cs="Times New Roman"/>
              </w:rPr>
            </w:pPr>
            <w:r>
              <w:rPr>
                <w:rFonts w:cs="Times New Roman"/>
              </w:rPr>
              <w:t>1.32E-03</w:t>
            </w:r>
          </w:p>
        </w:tc>
        <w:tc>
          <w:tcPr>
            <w:tcW w:w="345" w:type="pct"/>
            <w:tcBorders>
              <w:tl2br w:val="nil"/>
              <w:tr2bl w:val="nil"/>
            </w:tcBorders>
            <w:vAlign w:val="center"/>
          </w:tcPr>
          <w:p>
            <w:pPr>
              <w:jc w:val="center"/>
              <w:rPr>
                <w:rFonts w:cs="Times New Roman"/>
              </w:rPr>
            </w:pPr>
            <w:r>
              <w:rPr>
                <w:rFonts w:cs="Times New Roman"/>
              </w:rPr>
              <w:t>2.65</w:t>
            </w:r>
          </w:p>
        </w:tc>
        <w:tc>
          <w:tcPr>
            <w:tcW w:w="519" w:type="pct"/>
            <w:tcBorders>
              <w:tl2br w:val="nil"/>
              <w:tr2bl w:val="nil"/>
            </w:tcBorders>
            <w:vAlign w:val="center"/>
          </w:tcPr>
          <w:p>
            <w:pPr>
              <w:jc w:val="center"/>
              <w:rPr>
                <w:rFonts w:cs="Times New Roman"/>
              </w:rPr>
            </w:pPr>
            <w:r>
              <w:rPr>
                <w:rFonts w:cs="Times New Roman"/>
              </w:rPr>
              <w:t>2.30E-04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2.30E-05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1.38E-04</w:t>
            </w:r>
          </w:p>
        </w:tc>
        <w:tc>
          <w:tcPr>
            <w:tcW w:w="469" w:type="pct"/>
            <w:tcBorders>
              <w:tl2br w:val="nil"/>
              <w:tr2bl w:val="nil"/>
            </w:tcBorders>
            <w:vAlign w:val="center"/>
          </w:tcPr>
          <w:p>
            <w:pPr>
              <w:jc w:val="center"/>
              <w:rPr>
                <w:rFonts w:cs="Times New Roman"/>
              </w:rPr>
            </w:pPr>
            <w:r>
              <w:rPr>
                <w:rFonts w:cs="Times New Roman"/>
              </w:rPr>
              <w:t>0.03</w:t>
            </w:r>
          </w:p>
        </w:tc>
        <w:tc>
          <w:tcPr>
            <w:tcW w:w="486" w:type="pct"/>
            <w:tcBorders>
              <w:tl2br w:val="nil"/>
              <w:tr2bl w:val="nil"/>
            </w:tcBorders>
            <w:vAlign w:val="center"/>
          </w:tcPr>
          <w:p>
            <w:pPr>
              <w:jc w:val="center"/>
              <w:rPr>
                <w:rFonts w:cs="Times New Roman"/>
              </w:rPr>
            </w:pPr>
            <w:r>
              <w:rPr>
                <w:rFonts w:cs="Times New Roman"/>
              </w:rPr>
              <w:t>5.31E-03</w:t>
            </w:r>
          </w:p>
        </w:tc>
        <w:tc>
          <w:tcPr>
            <w:tcW w:w="437" w:type="pct"/>
            <w:tcBorders>
              <w:tl2br w:val="nil"/>
              <w:tr2bl w:val="nil"/>
            </w:tcBorders>
            <w:vAlign w:val="center"/>
          </w:tcPr>
          <w:p>
            <w:pPr>
              <w:jc w:val="center"/>
              <w:rPr>
                <w:rFonts w:cs="Times New Roman"/>
              </w:rPr>
            </w:pPr>
            <w:r>
              <w:rPr>
                <w:rFonts w:cs="Times New Roman"/>
              </w:rPr>
              <w:t>2.66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1400.0</w:t>
            </w:r>
          </w:p>
        </w:tc>
        <w:tc>
          <w:tcPr>
            <w:tcW w:w="517" w:type="pct"/>
            <w:tcBorders>
              <w:tl2br w:val="nil"/>
              <w:tr2bl w:val="nil"/>
            </w:tcBorders>
            <w:vAlign w:val="center"/>
          </w:tcPr>
          <w:p>
            <w:pPr>
              <w:jc w:val="center"/>
              <w:rPr>
                <w:rFonts w:cs="Times New Roman"/>
              </w:rPr>
            </w:pPr>
            <w:r>
              <w:rPr>
                <w:rFonts w:cs="Times New Roman"/>
              </w:rPr>
              <w:t>1.23E-03</w:t>
            </w:r>
          </w:p>
        </w:tc>
        <w:tc>
          <w:tcPr>
            <w:tcW w:w="345" w:type="pct"/>
            <w:tcBorders>
              <w:tl2br w:val="nil"/>
              <w:tr2bl w:val="nil"/>
            </w:tcBorders>
            <w:vAlign w:val="center"/>
          </w:tcPr>
          <w:p>
            <w:pPr>
              <w:jc w:val="center"/>
              <w:rPr>
                <w:rFonts w:cs="Times New Roman"/>
              </w:rPr>
            </w:pPr>
            <w:r>
              <w:rPr>
                <w:rFonts w:cs="Times New Roman"/>
              </w:rPr>
              <w:t>2.46</w:t>
            </w:r>
          </w:p>
        </w:tc>
        <w:tc>
          <w:tcPr>
            <w:tcW w:w="519" w:type="pct"/>
            <w:tcBorders>
              <w:tl2br w:val="nil"/>
              <w:tr2bl w:val="nil"/>
            </w:tcBorders>
            <w:vAlign w:val="center"/>
          </w:tcPr>
          <w:p>
            <w:pPr>
              <w:jc w:val="center"/>
              <w:rPr>
                <w:rFonts w:cs="Times New Roman"/>
              </w:rPr>
            </w:pPr>
            <w:r>
              <w:rPr>
                <w:rFonts w:cs="Times New Roman"/>
              </w:rPr>
              <w:t>2.14E-04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2.14E-05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1.28E-04</w:t>
            </w:r>
          </w:p>
        </w:tc>
        <w:tc>
          <w:tcPr>
            <w:tcW w:w="469" w:type="pct"/>
            <w:tcBorders>
              <w:tl2br w:val="nil"/>
              <w:tr2bl w:val="nil"/>
            </w:tcBorders>
            <w:vAlign w:val="center"/>
          </w:tcPr>
          <w:p>
            <w:pPr>
              <w:jc w:val="center"/>
              <w:rPr>
                <w:rFonts w:cs="Times New Roman"/>
              </w:rPr>
            </w:pPr>
            <w:r>
              <w:rPr>
                <w:rFonts w:cs="Times New Roman"/>
              </w:rPr>
              <w:t>0.03</w:t>
            </w:r>
          </w:p>
        </w:tc>
        <w:tc>
          <w:tcPr>
            <w:tcW w:w="486" w:type="pct"/>
            <w:tcBorders>
              <w:tl2br w:val="nil"/>
              <w:tr2bl w:val="nil"/>
            </w:tcBorders>
            <w:vAlign w:val="center"/>
          </w:tcPr>
          <w:p>
            <w:pPr>
              <w:jc w:val="center"/>
              <w:rPr>
                <w:rFonts w:cs="Times New Roman"/>
              </w:rPr>
            </w:pPr>
            <w:r>
              <w:rPr>
                <w:rFonts w:cs="Times New Roman"/>
              </w:rPr>
              <w:t>4.94E-03</w:t>
            </w:r>
          </w:p>
        </w:tc>
        <w:tc>
          <w:tcPr>
            <w:tcW w:w="437" w:type="pct"/>
            <w:tcBorders>
              <w:tl2br w:val="nil"/>
              <w:tr2bl w:val="nil"/>
            </w:tcBorders>
            <w:vAlign w:val="center"/>
          </w:tcPr>
          <w:p>
            <w:pPr>
              <w:jc w:val="center"/>
              <w:rPr>
                <w:rFonts w:cs="Times New Roman"/>
              </w:rPr>
            </w:pPr>
            <w:r>
              <w:rPr>
                <w:rFonts w:cs="Times New Roman"/>
              </w:rPr>
              <w:t>2.47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1600.0</w:t>
            </w:r>
          </w:p>
        </w:tc>
        <w:tc>
          <w:tcPr>
            <w:tcW w:w="517" w:type="pct"/>
            <w:tcBorders>
              <w:tl2br w:val="nil"/>
              <w:tr2bl w:val="nil"/>
            </w:tcBorders>
            <w:vAlign w:val="center"/>
          </w:tcPr>
          <w:p>
            <w:pPr>
              <w:jc w:val="center"/>
              <w:rPr>
                <w:rFonts w:cs="Times New Roman"/>
              </w:rPr>
            </w:pPr>
            <w:r>
              <w:rPr>
                <w:rFonts w:cs="Times New Roman"/>
              </w:rPr>
              <w:t>1.14E-03</w:t>
            </w:r>
          </w:p>
        </w:tc>
        <w:tc>
          <w:tcPr>
            <w:tcW w:w="345" w:type="pct"/>
            <w:tcBorders>
              <w:tl2br w:val="nil"/>
              <w:tr2bl w:val="nil"/>
            </w:tcBorders>
            <w:vAlign w:val="center"/>
          </w:tcPr>
          <w:p>
            <w:pPr>
              <w:jc w:val="center"/>
              <w:rPr>
                <w:rFonts w:cs="Times New Roman"/>
              </w:rPr>
            </w:pPr>
            <w:r>
              <w:rPr>
                <w:rFonts w:cs="Times New Roman"/>
              </w:rPr>
              <w:t>2.28</w:t>
            </w:r>
          </w:p>
        </w:tc>
        <w:tc>
          <w:tcPr>
            <w:tcW w:w="519" w:type="pct"/>
            <w:tcBorders>
              <w:tl2br w:val="nil"/>
              <w:tr2bl w:val="nil"/>
            </w:tcBorders>
            <w:vAlign w:val="center"/>
          </w:tcPr>
          <w:p>
            <w:pPr>
              <w:jc w:val="center"/>
              <w:rPr>
                <w:rFonts w:cs="Times New Roman"/>
              </w:rPr>
            </w:pPr>
            <w:r>
              <w:rPr>
                <w:rFonts w:cs="Times New Roman"/>
              </w:rPr>
              <w:t>1.98E-04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1.98E-05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1.19E-04</w:t>
            </w:r>
          </w:p>
        </w:tc>
        <w:tc>
          <w:tcPr>
            <w:tcW w:w="469" w:type="pct"/>
            <w:tcBorders>
              <w:tl2br w:val="nil"/>
              <w:tr2bl w:val="nil"/>
            </w:tcBorders>
            <w:vAlign w:val="center"/>
          </w:tcPr>
          <w:p>
            <w:pPr>
              <w:jc w:val="center"/>
              <w:rPr>
                <w:rFonts w:cs="Times New Roman"/>
              </w:rPr>
            </w:pPr>
            <w:r>
              <w:rPr>
                <w:rFonts w:cs="Times New Roman"/>
              </w:rPr>
              <w:t>0.02</w:t>
            </w:r>
          </w:p>
        </w:tc>
        <w:tc>
          <w:tcPr>
            <w:tcW w:w="486" w:type="pct"/>
            <w:tcBorders>
              <w:tl2br w:val="nil"/>
              <w:tr2bl w:val="nil"/>
            </w:tcBorders>
            <w:vAlign w:val="center"/>
          </w:tcPr>
          <w:p>
            <w:pPr>
              <w:jc w:val="center"/>
              <w:rPr>
                <w:rFonts w:cs="Times New Roman"/>
              </w:rPr>
            </w:pPr>
            <w:r>
              <w:rPr>
                <w:rFonts w:cs="Times New Roman"/>
              </w:rPr>
              <w:t>4.58E-03</w:t>
            </w:r>
          </w:p>
        </w:tc>
        <w:tc>
          <w:tcPr>
            <w:tcW w:w="437" w:type="pct"/>
            <w:tcBorders>
              <w:tl2br w:val="nil"/>
              <w:tr2bl w:val="nil"/>
            </w:tcBorders>
            <w:vAlign w:val="center"/>
          </w:tcPr>
          <w:p>
            <w:pPr>
              <w:jc w:val="center"/>
              <w:rPr>
                <w:rFonts w:cs="Times New Roman"/>
              </w:rPr>
            </w:pPr>
            <w:r>
              <w:rPr>
                <w:rFonts w:cs="Times New Roman"/>
              </w:rPr>
              <w:t>2.29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1800.0</w:t>
            </w:r>
          </w:p>
        </w:tc>
        <w:tc>
          <w:tcPr>
            <w:tcW w:w="517" w:type="pct"/>
            <w:tcBorders>
              <w:tl2br w:val="nil"/>
              <w:tr2bl w:val="nil"/>
            </w:tcBorders>
            <w:vAlign w:val="center"/>
          </w:tcPr>
          <w:p>
            <w:pPr>
              <w:jc w:val="center"/>
              <w:rPr>
                <w:rFonts w:cs="Times New Roman"/>
              </w:rPr>
            </w:pPr>
            <w:r>
              <w:rPr>
                <w:rFonts w:cs="Times New Roman"/>
              </w:rPr>
              <w:t>1.05E-03</w:t>
            </w:r>
          </w:p>
        </w:tc>
        <w:tc>
          <w:tcPr>
            <w:tcW w:w="345" w:type="pct"/>
            <w:tcBorders>
              <w:tl2br w:val="nil"/>
              <w:tr2bl w:val="nil"/>
            </w:tcBorders>
            <w:vAlign w:val="center"/>
          </w:tcPr>
          <w:p>
            <w:pPr>
              <w:jc w:val="center"/>
              <w:rPr>
                <w:rFonts w:cs="Times New Roman"/>
              </w:rPr>
            </w:pPr>
            <w:r>
              <w:rPr>
                <w:rFonts w:cs="Times New Roman"/>
              </w:rPr>
              <w:t>2.11</w:t>
            </w:r>
          </w:p>
        </w:tc>
        <w:tc>
          <w:tcPr>
            <w:tcW w:w="519" w:type="pct"/>
            <w:tcBorders>
              <w:tl2br w:val="nil"/>
              <w:tr2bl w:val="nil"/>
            </w:tcBorders>
            <w:vAlign w:val="center"/>
          </w:tcPr>
          <w:p>
            <w:pPr>
              <w:jc w:val="center"/>
              <w:rPr>
                <w:rFonts w:cs="Times New Roman"/>
              </w:rPr>
            </w:pPr>
            <w:r>
              <w:rPr>
                <w:rFonts w:cs="Times New Roman"/>
              </w:rPr>
              <w:t>1.83E-04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1.83E-05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1.10E-04</w:t>
            </w:r>
          </w:p>
        </w:tc>
        <w:tc>
          <w:tcPr>
            <w:tcW w:w="469" w:type="pct"/>
            <w:tcBorders>
              <w:tl2br w:val="nil"/>
              <w:tr2bl w:val="nil"/>
            </w:tcBorders>
            <w:vAlign w:val="center"/>
          </w:tcPr>
          <w:p>
            <w:pPr>
              <w:jc w:val="center"/>
              <w:rPr>
                <w:rFonts w:cs="Times New Roman"/>
              </w:rPr>
            </w:pPr>
            <w:r>
              <w:rPr>
                <w:rFonts w:cs="Times New Roman"/>
              </w:rPr>
              <w:t>0.02</w:t>
            </w:r>
          </w:p>
        </w:tc>
        <w:tc>
          <w:tcPr>
            <w:tcW w:w="486" w:type="pct"/>
            <w:tcBorders>
              <w:tl2br w:val="nil"/>
              <w:tr2bl w:val="nil"/>
            </w:tcBorders>
            <w:vAlign w:val="center"/>
          </w:tcPr>
          <w:p>
            <w:pPr>
              <w:jc w:val="center"/>
              <w:rPr>
                <w:rFonts w:cs="Times New Roman"/>
              </w:rPr>
            </w:pPr>
            <w:r>
              <w:rPr>
                <w:rFonts w:cs="Times New Roman"/>
              </w:rPr>
              <w:t>4.22E-03</w:t>
            </w:r>
          </w:p>
        </w:tc>
        <w:tc>
          <w:tcPr>
            <w:tcW w:w="437" w:type="pct"/>
            <w:tcBorders>
              <w:tl2br w:val="nil"/>
              <w:tr2bl w:val="nil"/>
            </w:tcBorders>
            <w:vAlign w:val="center"/>
          </w:tcPr>
          <w:p>
            <w:pPr>
              <w:jc w:val="center"/>
              <w:rPr>
                <w:rFonts w:cs="Times New Roman"/>
              </w:rPr>
            </w:pPr>
            <w:r>
              <w:rPr>
                <w:rFonts w:cs="Times New Roman"/>
              </w:rPr>
              <w:t>2.11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2000.0</w:t>
            </w:r>
          </w:p>
        </w:tc>
        <w:tc>
          <w:tcPr>
            <w:tcW w:w="517" w:type="pct"/>
            <w:tcBorders>
              <w:tl2br w:val="nil"/>
              <w:tr2bl w:val="nil"/>
            </w:tcBorders>
            <w:vAlign w:val="center"/>
          </w:tcPr>
          <w:p>
            <w:pPr>
              <w:jc w:val="center"/>
              <w:rPr>
                <w:rFonts w:cs="Times New Roman"/>
              </w:rPr>
            </w:pPr>
            <w:r>
              <w:rPr>
                <w:rFonts w:cs="Times New Roman"/>
              </w:rPr>
              <w:t>9.73E-04</w:t>
            </w:r>
          </w:p>
        </w:tc>
        <w:tc>
          <w:tcPr>
            <w:tcW w:w="345" w:type="pct"/>
            <w:tcBorders>
              <w:tl2br w:val="nil"/>
              <w:tr2bl w:val="nil"/>
            </w:tcBorders>
            <w:vAlign w:val="center"/>
          </w:tcPr>
          <w:p>
            <w:pPr>
              <w:jc w:val="center"/>
              <w:rPr>
                <w:rFonts w:cs="Times New Roman"/>
              </w:rPr>
            </w:pPr>
            <w:r>
              <w:rPr>
                <w:rFonts w:cs="Times New Roman"/>
              </w:rPr>
              <w:t>1.95</w:t>
            </w:r>
          </w:p>
        </w:tc>
        <w:tc>
          <w:tcPr>
            <w:tcW w:w="519" w:type="pct"/>
            <w:tcBorders>
              <w:tl2br w:val="nil"/>
              <w:tr2bl w:val="nil"/>
            </w:tcBorders>
            <w:vAlign w:val="center"/>
          </w:tcPr>
          <w:p>
            <w:pPr>
              <w:jc w:val="center"/>
              <w:rPr>
                <w:rFonts w:cs="Times New Roman"/>
              </w:rPr>
            </w:pPr>
            <w:r>
              <w:rPr>
                <w:rFonts w:cs="Times New Roman"/>
              </w:rPr>
              <w:t>1.69E-04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1.69E-05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1.01E-04</w:t>
            </w:r>
          </w:p>
        </w:tc>
        <w:tc>
          <w:tcPr>
            <w:tcW w:w="469" w:type="pct"/>
            <w:tcBorders>
              <w:tl2br w:val="nil"/>
              <w:tr2bl w:val="nil"/>
            </w:tcBorders>
            <w:vAlign w:val="center"/>
          </w:tcPr>
          <w:p>
            <w:pPr>
              <w:jc w:val="center"/>
              <w:rPr>
                <w:rFonts w:cs="Times New Roman"/>
              </w:rPr>
            </w:pPr>
            <w:r>
              <w:rPr>
                <w:rFonts w:cs="Times New Roman"/>
              </w:rPr>
              <w:t>0.02</w:t>
            </w:r>
          </w:p>
        </w:tc>
        <w:tc>
          <w:tcPr>
            <w:tcW w:w="486" w:type="pct"/>
            <w:tcBorders>
              <w:tl2br w:val="nil"/>
              <w:tr2bl w:val="nil"/>
            </w:tcBorders>
            <w:vAlign w:val="center"/>
          </w:tcPr>
          <w:p>
            <w:pPr>
              <w:jc w:val="center"/>
              <w:rPr>
                <w:rFonts w:cs="Times New Roman"/>
              </w:rPr>
            </w:pPr>
            <w:r>
              <w:rPr>
                <w:rFonts w:cs="Times New Roman"/>
              </w:rPr>
              <w:t>3.90E-03</w:t>
            </w:r>
          </w:p>
        </w:tc>
        <w:tc>
          <w:tcPr>
            <w:tcW w:w="437" w:type="pct"/>
            <w:tcBorders>
              <w:tl2br w:val="nil"/>
              <w:tr2bl w:val="nil"/>
            </w:tcBorders>
            <w:vAlign w:val="center"/>
          </w:tcPr>
          <w:p>
            <w:pPr>
              <w:jc w:val="center"/>
              <w:rPr>
                <w:rFonts w:cs="Times New Roman"/>
              </w:rPr>
            </w:pPr>
            <w:r>
              <w:rPr>
                <w:rFonts w:cs="Times New Roman"/>
              </w:rPr>
              <w:t>1.95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2500.0</w:t>
            </w:r>
          </w:p>
        </w:tc>
        <w:tc>
          <w:tcPr>
            <w:tcW w:w="517" w:type="pct"/>
            <w:tcBorders>
              <w:tl2br w:val="nil"/>
              <w:tr2bl w:val="nil"/>
            </w:tcBorders>
            <w:vAlign w:val="center"/>
          </w:tcPr>
          <w:p>
            <w:pPr>
              <w:jc w:val="center"/>
              <w:rPr>
                <w:rFonts w:cs="Times New Roman"/>
              </w:rPr>
            </w:pPr>
            <w:r>
              <w:rPr>
                <w:rFonts w:cs="Times New Roman"/>
              </w:rPr>
              <w:t>8.28E-04</w:t>
            </w:r>
          </w:p>
        </w:tc>
        <w:tc>
          <w:tcPr>
            <w:tcW w:w="345" w:type="pct"/>
            <w:tcBorders>
              <w:tl2br w:val="nil"/>
              <w:tr2bl w:val="nil"/>
            </w:tcBorders>
            <w:vAlign w:val="center"/>
          </w:tcPr>
          <w:p>
            <w:pPr>
              <w:jc w:val="center"/>
              <w:rPr>
                <w:rFonts w:cs="Times New Roman"/>
              </w:rPr>
            </w:pPr>
            <w:r>
              <w:rPr>
                <w:rFonts w:cs="Times New Roman"/>
              </w:rPr>
              <w:t>1.66</w:t>
            </w:r>
          </w:p>
        </w:tc>
        <w:tc>
          <w:tcPr>
            <w:tcW w:w="519" w:type="pct"/>
            <w:tcBorders>
              <w:tl2br w:val="nil"/>
              <w:tr2bl w:val="nil"/>
            </w:tcBorders>
            <w:vAlign w:val="center"/>
          </w:tcPr>
          <w:p>
            <w:pPr>
              <w:jc w:val="center"/>
              <w:rPr>
                <w:rFonts w:cs="Times New Roman"/>
              </w:rPr>
            </w:pPr>
            <w:r>
              <w:rPr>
                <w:rFonts w:cs="Times New Roman"/>
              </w:rPr>
              <w:t>1.44E-04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1.44E-05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8.62E-05</w:t>
            </w:r>
          </w:p>
        </w:tc>
        <w:tc>
          <w:tcPr>
            <w:tcW w:w="469" w:type="pct"/>
            <w:tcBorders>
              <w:tl2br w:val="nil"/>
              <w:tr2bl w:val="nil"/>
            </w:tcBorders>
            <w:vAlign w:val="center"/>
          </w:tcPr>
          <w:p>
            <w:pPr>
              <w:jc w:val="center"/>
              <w:rPr>
                <w:rFonts w:cs="Times New Roman"/>
              </w:rPr>
            </w:pPr>
            <w:r>
              <w:rPr>
                <w:rFonts w:cs="Times New Roman"/>
              </w:rPr>
              <w:t>0.02</w:t>
            </w:r>
          </w:p>
        </w:tc>
        <w:tc>
          <w:tcPr>
            <w:tcW w:w="486" w:type="pct"/>
            <w:tcBorders>
              <w:tl2br w:val="nil"/>
              <w:tr2bl w:val="nil"/>
            </w:tcBorders>
            <w:vAlign w:val="center"/>
          </w:tcPr>
          <w:p>
            <w:pPr>
              <w:jc w:val="center"/>
              <w:rPr>
                <w:rFonts w:cs="Times New Roman"/>
              </w:rPr>
            </w:pPr>
            <w:r>
              <w:rPr>
                <w:rFonts w:cs="Times New Roman"/>
              </w:rPr>
              <w:t>3.32E-03</w:t>
            </w:r>
          </w:p>
        </w:tc>
        <w:tc>
          <w:tcPr>
            <w:tcW w:w="437" w:type="pct"/>
            <w:tcBorders>
              <w:tl2br w:val="nil"/>
              <w:tr2bl w:val="nil"/>
            </w:tcBorders>
            <w:vAlign w:val="center"/>
          </w:tcPr>
          <w:p>
            <w:pPr>
              <w:jc w:val="center"/>
              <w:rPr>
                <w:rFonts w:cs="Times New Roman"/>
              </w:rPr>
            </w:pPr>
            <w:r>
              <w:rPr>
                <w:rFonts w:cs="Times New Roman"/>
              </w:rPr>
              <w:t>1.66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下风向最大浓度</w:t>
            </w:r>
          </w:p>
        </w:tc>
        <w:tc>
          <w:tcPr>
            <w:tcW w:w="517" w:type="pct"/>
            <w:tcBorders>
              <w:tl2br w:val="nil"/>
              <w:tr2bl w:val="nil"/>
            </w:tcBorders>
            <w:vAlign w:val="center"/>
          </w:tcPr>
          <w:p>
            <w:pPr>
              <w:jc w:val="center"/>
              <w:rPr>
                <w:rFonts w:cs="Times New Roman"/>
              </w:rPr>
            </w:pPr>
            <w:r>
              <w:rPr>
                <w:rFonts w:cs="Times New Roman"/>
              </w:rPr>
              <w:t>4.50E-03</w:t>
            </w:r>
          </w:p>
        </w:tc>
        <w:tc>
          <w:tcPr>
            <w:tcW w:w="345" w:type="pct"/>
            <w:tcBorders>
              <w:tl2br w:val="nil"/>
              <w:tr2bl w:val="nil"/>
            </w:tcBorders>
            <w:vAlign w:val="center"/>
          </w:tcPr>
          <w:p>
            <w:pPr>
              <w:jc w:val="center"/>
              <w:rPr>
                <w:rFonts w:cs="Times New Roman"/>
              </w:rPr>
            </w:pPr>
            <w:r>
              <w:rPr>
                <w:rFonts w:cs="Times New Roman"/>
              </w:rPr>
              <w:t>9.00</w:t>
            </w:r>
          </w:p>
        </w:tc>
        <w:tc>
          <w:tcPr>
            <w:tcW w:w="519" w:type="pct"/>
            <w:tcBorders>
              <w:tl2br w:val="nil"/>
              <w:tr2bl w:val="nil"/>
            </w:tcBorders>
            <w:vAlign w:val="center"/>
          </w:tcPr>
          <w:p>
            <w:pPr>
              <w:jc w:val="center"/>
              <w:rPr>
                <w:rFonts w:cs="Times New Roman"/>
              </w:rPr>
            </w:pPr>
            <w:r>
              <w:rPr>
                <w:rFonts w:cs="Times New Roman"/>
              </w:rPr>
              <w:t>7.82E-04</w:t>
            </w:r>
          </w:p>
        </w:tc>
        <w:tc>
          <w:tcPr>
            <w:tcW w:w="358" w:type="pct"/>
            <w:tcBorders>
              <w:tl2br w:val="nil"/>
              <w:tr2bl w:val="nil"/>
            </w:tcBorders>
            <w:vAlign w:val="center"/>
          </w:tcPr>
          <w:p>
            <w:pPr>
              <w:jc w:val="center"/>
              <w:rPr>
                <w:rFonts w:cs="Times New Roman"/>
              </w:rPr>
            </w:pPr>
            <w:r>
              <w:rPr>
                <w:rFonts w:cs="Times New Roman"/>
              </w:rPr>
              <w:t>0.00</w:t>
            </w:r>
          </w:p>
        </w:tc>
        <w:tc>
          <w:tcPr>
            <w:tcW w:w="519" w:type="pct"/>
            <w:tcBorders>
              <w:tl2br w:val="nil"/>
              <w:tr2bl w:val="nil"/>
            </w:tcBorders>
            <w:vAlign w:val="center"/>
          </w:tcPr>
          <w:p>
            <w:pPr>
              <w:jc w:val="center"/>
              <w:rPr>
                <w:rFonts w:cs="Times New Roman"/>
              </w:rPr>
            </w:pPr>
            <w:r>
              <w:rPr>
                <w:rFonts w:cs="Times New Roman"/>
              </w:rPr>
              <w:t>7.82E-05</w:t>
            </w:r>
          </w:p>
        </w:tc>
        <w:tc>
          <w:tcPr>
            <w:tcW w:w="422" w:type="pct"/>
            <w:tcBorders>
              <w:tl2br w:val="nil"/>
              <w:tr2bl w:val="nil"/>
            </w:tcBorders>
            <w:vAlign w:val="center"/>
          </w:tcPr>
          <w:p>
            <w:pPr>
              <w:jc w:val="center"/>
              <w:rPr>
                <w:rFonts w:cs="Times New Roman"/>
              </w:rPr>
            </w:pPr>
            <w:r>
              <w:rPr>
                <w:rFonts w:cs="Times New Roman"/>
              </w:rPr>
              <w:t>0.00</w:t>
            </w:r>
          </w:p>
        </w:tc>
        <w:tc>
          <w:tcPr>
            <w:tcW w:w="486" w:type="pct"/>
            <w:tcBorders>
              <w:tl2br w:val="nil"/>
              <w:tr2bl w:val="nil"/>
            </w:tcBorders>
            <w:vAlign w:val="center"/>
          </w:tcPr>
          <w:p>
            <w:pPr>
              <w:jc w:val="center"/>
              <w:rPr>
                <w:rFonts w:cs="Times New Roman"/>
              </w:rPr>
            </w:pPr>
            <w:r>
              <w:rPr>
                <w:rFonts w:cs="Times New Roman"/>
              </w:rPr>
              <w:t>4.69E-04</w:t>
            </w:r>
          </w:p>
        </w:tc>
        <w:tc>
          <w:tcPr>
            <w:tcW w:w="469" w:type="pct"/>
            <w:tcBorders>
              <w:tl2br w:val="nil"/>
              <w:tr2bl w:val="nil"/>
            </w:tcBorders>
            <w:vAlign w:val="center"/>
          </w:tcPr>
          <w:p>
            <w:pPr>
              <w:jc w:val="center"/>
              <w:rPr>
                <w:rFonts w:cs="Times New Roman"/>
              </w:rPr>
            </w:pPr>
            <w:r>
              <w:rPr>
                <w:rFonts w:cs="Times New Roman"/>
              </w:rPr>
              <w:t>0.09</w:t>
            </w:r>
          </w:p>
        </w:tc>
        <w:tc>
          <w:tcPr>
            <w:tcW w:w="486" w:type="pct"/>
            <w:tcBorders>
              <w:tl2br w:val="nil"/>
              <w:tr2bl w:val="nil"/>
            </w:tcBorders>
            <w:vAlign w:val="center"/>
          </w:tcPr>
          <w:p>
            <w:pPr>
              <w:jc w:val="center"/>
              <w:rPr>
                <w:rFonts w:cs="Times New Roman"/>
              </w:rPr>
            </w:pPr>
            <w:r>
              <w:rPr>
                <w:rFonts w:cs="Times New Roman"/>
              </w:rPr>
              <w:t>1.80E-02</w:t>
            </w:r>
          </w:p>
        </w:tc>
        <w:tc>
          <w:tcPr>
            <w:tcW w:w="437" w:type="pct"/>
            <w:tcBorders>
              <w:tl2br w:val="nil"/>
              <w:tr2bl w:val="nil"/>
            </w:tcBorders>
            <w:vAlign w:val="center"/>
          </w:tcPr>
          <w:p>
            <w:pPr>
              <w:jc w:val="center"/>
              <w:rPr>
                <w:rFonts w:cs="Times New Roman"/>
              </w:rPr>
            </w:pPr>
            <w:r>
              <w:rPr>
                <w:rFonts w:cs="Times New Roman"/>
              </w:rPr>
              <w:t>9.02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下风向最大浓度出现距离</w:t>
            </w:r>
          </w:p>
        </w:tc>
        <w:tc>
          <w:tcPr>
            <w:tcW w:w="517" w:type="pct"/>
            <w:tcBorders>
              <w:tl2br w:val="nil"/>
              <w:tr2bl w:val="nil"/>
            </w:tcBorders>
            <w:vAlign w:val="center"/>
          </w:tcPr>
          <w:p>
            <w:pPr>
              <w:jc w:val="center"/>
              <w:rPr>
                <w:rFonts w:cs="Times New Roman"/>
              </w:rPr>
            </w:pPr>
            <w:r>
              <w:rPr>
                <w:rFonts w:cs="Times New Roman"/>
              </w:rPr>
              <w:t>150</w:t>
            </w:r>
          </w:p>
        </w:tc>
        <w:tc>
          <w:tcPr>
            <w:tcW w:w="345" w:type="pct"/>
            <w:tcBorders>
              <w:tl2br w:val="nil"/>
              <w:tr2bl w:val="nil"/>
            </w:tcBorders>
            <w:vAlign w:val="center"/>
          </w:tcPr>
          <w:p>
            <w:pPr>
              <w:jc w:val="center"/>
              <w:rPr>
                <w:rFonts w:cs="Times New Roman"/>
              </w:rPr>
            </w:pPr>
            <w:r>
              <w:rPr>
                <w:rFonts w:cs="Times New Roman"/>
              </w:rPr>
              <w:t>150</w:t>
            </w:r>
          </w:p>
        </w:tc>
        <w:tc>
          <w:tcPr>
            <w:tcW w:w="519" w:type="pct"/>
            <w:tcBorders>
              <w:tl2br w:val="nil"/>
              <w:tr2bl w:val="nil"/>
            </w:tcBorders>
            <w:vAlign w:val="center"/>
          </w:tcPr>
          <w:p>
            <w:pPr>
              <w:jc w:val="center"/>
              <w:rPr>
                <w:rFonts w:cs="Times New Roman"/>
              </w:rPr>
            </w:pPr>
            <w:r>
              <w:rPr>
                <w:rFonts w:cs="Times New Roman"/>
              </w:rPr>
              <w:t>150</w:t>
            </w:r>
          </w:p>
        </w:tc>
        <w:tc>
          <w:tcPr>
            <w:tcW w:w="358" w:type="pct"/>
            <w:tcBorders>
              <w:tl2br w:val="nil"/>
              <w:tr2bl w:val="nil"/>
            </w:tcBorders>
            <w:vAlign w:val="center"/>
          </w:tcPr>
          <w:p>
            <w:pPr>
              <w:jc w:val="center"/>
              <w:rPr>
                <w:rFonts w:cs="Times New Roman"/>
              </w:rPr>
            </w:pPr>
            <w:r>
              <w:rPr>
                <w:rFonts w:cs="Times New Roman"/>
              </w:rPr>
              <w:t>150</w:t>
            </w:r>
          </w:p>
        </w:tc>
        <w:tc>
          <w:tcPr>
            <w:tcW w:w="519" w:type="pct"/>
            <w:tcBorders>
              <w:tl2br w:val="nil"/>
              <w:tr2bl w:val="nil"/>
            </w:tcBorders>
            <w:vAlign w:val="center"/>
          </w:tcPr>
          <w:p>
            <w:pPr>
              <w:jc w:val="center"/>
              <w:rPr>
                <w:rFonts w:cs="Times New Roman"/>
              </w:rPr>
            </w:pPr>
            <w:r>
              <w:rPr>
                <w:rFonts w:cs="Times New Roman"/>
              </w:rPr>
              <w:t>150</w:t>
            </w:r>
          </w:p>
        </w:tc>
        <w:tc>
          <w:tcPr>
            <w:tcW w:w="422" w:type="pct"/>
            <w:tcBorders>
              <w:tl2br w:val="nil"/>
              <w:tr2bl w:val="nil"/>
            </w:tcBorders>
            <w:vAlign w:val="center"/>
          </w:tcPr>
          <w:p>
            <w:pPr>
              <w:jc w:val="center"/>
              <w:rPr>
                <w:rFonts w:cs="Times New Roman"/>
              </w:rPr>
            </w:pPr>
            <w:r>
              <w:rPr>
                <w:rFonts w:cs="Times New Roman"/>
              </w:rPr>
              <w:t>150</w:t>
            </w:r>
          </w:p>
        </w:tc>
        <w:tc>
          <w:tcPr>
            <w:tcW w:w="486" w:type="pct"/>
            <w:tcBorders>
              <w:tl2br w:val="nil"/>
              <w:tr2bl w:val="nil"/>
            </w:tcBorders>
            <w:vAlign w:val="center"/>
          </w:tcPr>
          <w:p>
            <w:pPr>
              <w:jc w:val="center"/>
              <w:rPr>
                <w:rFonts w:cs="Times New Roman"/>
              </w:rPr>
            </w:pPr>
            <w:r>
              <w:rPr>
                <w:rFonts w:cs="Times New Roman"/>
              </w:rPr>
              <w:t>150</w:t>
            </w:r>
          </w:p>
        </w:tc>
        <w:tc>
          <w:tcPr>
            <w:tcW w:w="469" w:type="pct"/>
            <w:tcBorders>
              <w:tl2br w:val="nil"/>
              <w:tr2bl w:val="nil"/>
            </w:tcBorders>
            <w:vAlign w:val="center"/>
          </w:tcPr>
          <w:p>
            <w:pPr>
              <w:jc w:val="center"/>
              <w:rPr>
                <w:rFonts w:cs="Times New Roman"/>
              </w:rPr>
            </w:pPr>
            <w:r>
              <w:rPr>
                <w:rFonts w:cs="Times New Roman"/>
              </w:rPr>
              <w:t>150</w:t>
            </w:r>
          </w:p>
        </w:tc>
        <w:tc>
          <w:tcPr>
            <w:tcW w:w="486" w:type="pct"/>
            <w:tcBorders>
              <w:tl2br w:val="nil"/>
              <w:tr2bl w:val="nil"/>
            </w:tcBorders>
            <w:vAlign w:val="center"/>
          </w:tcPr>
          <w:p>
            <w:pPr>
              <w:jc w:val="center"/>
              <w:rPr>
                <w:rFonts w:cs="Times New Roman"/>
              </w:rPr>
            </w:pPr>
            <w:r>
              <w:rPr>
                <w:rFonts w:cs="Times New Roman"/>
              </w:rPr>
              <w:t>150</w:t>
            </w:r>
          </w:p>
        </w:tc>
        <w:tc>
          <w:tcPr>
            <w:tcW w:w="437" w:type="pct"/>
            <w:tcBorders>
              <w:tl2br w:val="nil"/>
              <w:tr2bl w:val="nil"/>
            </w:tcBorders>
            <w:vAlign w:val="center"/>
          </w:tcPr>
          <w:p>
            <w:pPr>
              <w:jc w:val="center"/>
              <w:rPr>
                <w:rFonts w:cs="Times New Roman"/>
              </w:rPr>
            </w:pPr>
            <w:r>
              <w:rPr>
                <w:rFonts w:cs="Times New Roman"/>
              </w:rPr>
              <w:t>150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90" w:hRule="atLeast"/>
          <w:jc w:val="center"/>
        </w:trPr>
        <w:tc>
          <w:tcPr>
            <w:tcW w:w="437" w:type="pct"/>
            <w:tcBorders>
              <w:tl2br w:val="nil"/>
              <w:tr2bl w:val="nil"/>
            </w:tcBorders>
            <w:vAlign w:val="center"/>
          </w:tcPr>
          <w:p>
            <w:pPr>
              <w:jc w:val="center"/>
              <w:rPr>
                <w:rFonts w:cs="Times New Roman"/>
              </w:rPr>
            </w:pPr>
            <w:r>
              <w:rPr>
                <w:rFonts w:cs="Times New Roman"/>
                <w:sz w:val="23"/>
                <w:szCs w:val="23"/>
              </w:rPr>
              <w:t>D10%最远距离</w:t>
            </w:r>
          </w:p>
        </w:tc>
        <w:tc>
          <w:tcPr>
            <w:tcW w:w="517" w:type="pct"/>
            <w:tcBorders>
              <w:tl2br w:val="nil"/>
              <w:tr2bl w:val="nil"/>
            </w:tcBorders>
            <w:vAlign w:val="center"/>
          </w:tcPr>
          <w:p>
            <w:pPr>
              <w:jc w:val="center"/>
              <w:rPr>
                <w:rFonts w:cs="Times New Roman"/>
              </w:rPr>
            </w:pPr>
            <w:r>
              <w:rPr>
                <w:rFonts w:cs="Times New Roman"/>
                <w:sz w:val="23"/>
                <w:szCs w:val="23"/>
              </w:rPr>
              <w:t>/</w:t>
            </w:r>
          </w:p>
        </w:tc>
        <w:tc>
          <w:tcPr>
            <w:tcW w:w="345" w:type="pct"/>
            <w:tcBorders>
              <w:tl2br w:val="nil"/>
              <w:tr2bl w:val="nil"/>
            </w:tcBorders>
            <w:vAlign w:val="center"/>
          </w:tcPr>
          <w:p>
            <w:pPr>
              <w:jc w:val="center"/>
              <w:rPr>
                <w:rFonts w:cs="Times New Roman"/>
              </w:rPr>
            </w:pPr>
            <w:r>
              <w:rPr>
                <w:rFonts w:cs="Times New Roman"/>
                <w:sz w:val="23"/>
                <w:szCs w:val="23"/>
              </w:rPr>
              <w:t>/</w:t>
            </w:r>
          </w:p>
        </w:tc>
        <w:tc>
          <w:tcPr>
            <w:tcW w:w="519" w:type="pct"/>
            <w:tcBorders>
              <w:tl2br w:val="nil"/>
              <w:tr2bl w:val="nil"/>
            </w:tcBorders>
            <w:vAlign w:val="center"/>
          </w:tcPr>
          <w:p>
            <w:pPr>
              <w:jc w:val="center"/>
              <w:rPr>
                <w:rFonts w:cs="Times New Roman"/>
              </w:rPr>
            </w:pPr>
            <w:r>
              <w:rPr>
                <w:rFonts w:cs="Times New Roman"/>
                <w:sz w:val="23"/>
                <w:szCs w:val="23"/>
              </w:rPr>
              <w:t>/</w:t>
            </w:r>
          </w:p>
        </w:tc>
        <w:tc>
          <w:tcPr>
            <w:tcW w:w="358" w:type="pct"/>
            <w:tcBorders>
              <w:tl2br w:val="nil"/>
              <w:tr2bl w:val="nil"/>
            </w:tcBorders>
            <w:vAlign w:val="center"/>
          </w:tcPr>
          <w:p>
            <w:pPr>
              <w:jc w:val="center"/>
              <w:rPr>
                <w:rFonts w:cs="Times New Roman"/>
              </w:rPr>
            </w:pPr>
            <w:r>
              <w:rPr>
                <w:rFonts w:cs="Times New Roman"/>
                <w:sz w:val="23"/>
                <w:szCs w:val="23"/>
              </w:rPr>
              <w:t>/</w:t>
            </w:r>
          </w:p>
        </w:tc>
        <w:tc>
          <w:tcPr>
            <w:tcW w:w="519" w:type="pct"/>
            <w:tcBorders>
              <w:tl2br w:val="nil"/>
              <w:tr2bl w:val="nil"/>
            </w:tcBorders>
            <w:vAlign w:val="center"/>
          </w:tcPr>
          <w:p>
            <w:pPr>
              <w:jc w:val="center"/>
              <w:rPr>
                <w:rFonts w:cs="Times New Roman"/>
              </w:rPr>
            </w:pPr>
            <w:r>
              <w:rPr>
                <w:rFonts w:cs="Times New Roman"/>
                <w:sz w:val="23"/>
                <w:szCs w:val="23"/>
              </w:rPr>
              <w:t>/</w:t>
            </w:r>
          </w:p>
        </w:tc>
        <w:tc>
          <w:tcPr>
            <w:tcW w:w="422" w:type="pct"/>
            <w:tcBorders>
              <w:tl2br w:val="nil"/>
              <w:tr2bl w:val="nil"/>
            </w:tcBorders>
            <w:vAlign w:val="center"/>
          </w:tcPr>
          <w:p>
            <w:pPr>
              <w:jc w:val="center"/>
              <w:rPr>
                <w:rFonts w:cs="Times New Roman"/>
              </w:rPr>
            </w:pPr>
            <w:r>
              <w:rPr>
                <w:rFonts w:cs="Times New Roman"/>
                <w:sz w:val="23"/>
                <w:szCs w:val="23"/>
              </w:rPr>
              <w:t>/</w:t>
            </w:r>
          </w:p>
        </w:tc>
        <w:tc>
          <w:tcPr>
            <w:tcW w:w="486" w:type="pct"/>
            <w:tcBorders>
              <w:tl2br w:val="nil"/>
              <w:tr2bl w:val="nil"/>
            </w:tcBorders>
            <w:vAlign w:val="center"/>
          </w:tcPr>
          <w:p>
            <w:pPr>
              <w:jc w:val="center"/>
              <w:rPr>
                <w:rFonts w:cs="Times New Roman"/>
                <w:sz w:val="23"/>
                <w:szCs w:val="23"/>
              </w:rPr>
            </w:pPr>
            <w:r>
              <w:rPr>
                <w:rFonts w:cs="Times New Roman"/>
                <w:sz w:val="23"/>
                <w:szCs w:val="23"/>
              </w:rPr>
              <w:t>/</w:t>
            </w:r>
          </w:p>
        </w:tc>
        <w:tc>
          <w:tcPr>
            <w:tcW w:w="469" w:type="pct"/>
            <w:tcBorders>
              <w:tl2br w:val="nil"/>
              <w:tr2bl w:val="nil"/>
            </w:tcBorders>
            <w:vAlign w:val="center"/>
          </w:tcPr>
          <w:p>
            <w:pPr>
              <w:jc w:val="center"/>
              <w:rPr>
                <w:rFonts w:cs="Times New Roman"/>
                <w:sz w:val="23"/>
                <w:szCs w:val="23"/>
              </w:rPr>
            </w:pPr>
            <w:r>
              <w:rPr>
                <w:rFonts w:cs="Times New Roman"/>
                <w:sz w:val="23"/>
                <w:szCs w:val="23"/>
              </w:rPr>
              <w:t>/</w:t>
            </w:r>
          </w:p>
        </w:tc>
        <w:tc>
          <w:tcPr>
            <w:tcW w:w="486" w:type="pct"/>
            <w:tcBorders>
              <w:tl2br w:val="nil"/>
              <w:tr2bl w:val="nil"/>
            </w:tcBorders>
            <w:vAlign w:val="center"/>
          </w:tcPr>
          <w:p>
            <w:pPr>
              <w:jc w:val="center"/>
              <w:rPr>
                <w:rFonts w:cs="Times New Roman"/>
                <w:sz w:val="23"/>
                <w:szCs w:val="23"/>
              </w:rPr>
            </w:pPr>
            <w:r>
              <w:rPr>
                <w:rFonts w:cs="Times New Roman"/>
                <w:sz w:val="23"/>
                <w:szCs w:val="23"/>
              </w:rPr>
              <w:t>/</w:t>
            </w:r>
          </w:p>
        </w:tc>
        <w:tc>
          <w:tcPr>
            <w:tcW w:w="437" w:type="pct"/>
            <w:tcBorders>
              <w:tl2br w:val="nil"/>
              <w:tr2bl w:val="nil"/>
            </w:tcBorders>
            <w:vAlign w:val="center"/>
          </w:tcPr>
          <w:p>
            <w:pPr>
              <w:jc w:val="center"/>
              <w:rPr>
                <w:rFonts w:cs="Times New Roman"/>
                <w:sz w:val="23"/>
                <w:szCs w:val="23"/>
              </w:rPr>
            </w:pPr>
            <w:r>
              <w:rPr>
                <w:rFonts w:cs="Times New Roman"/>
                <w:sz w:val="23"/>
                <w:szCs w:val="23"/>
              </w:rPr>
              <w:t>/</w:t>
            </w:r>
          </w:p>
        </w:tc>
      </w:tr>
    </w:tbl>
    <w:p>
      <w:pPr>
        <w:spacing w:line="360" w:lineRule="auto"/>
        <w:ind w:firstLine="480" w:firstLineChars="200"/>
        <w:rPr>
          <w:rFonts w:cs="Times New Roman"/>
          <w:sz w:val="24"/>
          <w:szCs w:val="24"/>
        </w:rPr>
      </w:pPr>
      <w:r>
        <w:rPr>
          <w:rFonts w:cs="Times New Roman"/>
          <w:sz w:val="24"/>
          <w:szCs w:val="24"/>
        </w:rPr>
        <w:t>本项目Pmax最大值出现为点源排放的NO</w:t>
      </w:r>
      <w:r>
        <w:rPr>
          <w:rFonts w:cs="Times New Roman"/>
          <w:sz w:val="24"/>
          <w:szCs w:val="24"/>
          <w:vertAlign w:val="subscript"/>
        </w:rPr>
        <w:t>2</w:t>
      </w:r>
      <w:r>
        <w:rPr>
          <w:rFonts w:cs="Times New Roman"/>
          <w:sz w:val="24"/>
          <w:szCs w:val="24"/>
        </w:rPr>
        <w:t xml:space="preserve">  Pmax值为9.02%，Cmax为1.80E-02mg/m³，根据《环境影响评价技术导则 大气环境》（HJ2.2-2018）分级判据，确定本项目大气环境影响评价工作等级为二级。根据《环境影响评价技术导则 大气环境》（HJ2.2-2018）要求，不需要进行进一步预测与评价，只对污染物排放量进行核算。</w:t>
      </w:r>
    </w:p>
    <w:p>
      <w:pPr>
        <w:spacing w:line="360" w:lineRule="auto"/>
        <w:ind w:firstLine="480" w:firstLineChars="200"/>
        <w:rPr>
          <w:rFonts w:cs="Times New Roman"/>
          <w:sz w:val="24"/>
          <w:szCs w:val="24"/>
        </w:rPr>
      </w:pPr>
      <w:r>
        <w:rPr>
          <w:rFonts w:cs="Times New Roman"/>
          <w:sz w:val="24"/>
          <w:szCs w:val="24"/>
        </w:rPr>
        <w:t>本项目废气中各污染物最大落地浓度占标率较低，因此，本项目废气污染物排放对周围大气环境影响较小。</w:t>
      </w:r>
    </w:p>
    <w:p>
      <w:pPr>
        <w:pStyle w:val="4"/>
        <w:rPr>
          <w:rFonts w:cs="Times New Roman"/>
        </w:rPr>
      </w:pPr>
      <w:r>
        <w:rPr>
          <w:rFonts w:cs="Times New Roman"/>
        </w:rPr>
        <w:t>4.5 污染物排放量核算</w:t>
      </w:r>
    </w:p>
    <w:p>
      <w:pPr>
        <w:pStyle w:val="5"/>
        <w:rPr>
          <w:rFonts w:hint="default" w:ascii="Times New Roman" w:hAnsi="Times New Roman"/>
        </w:rPr>
      </w:pPr>
      <w:r>
        <w:rPr>
          <w:rFonts w:hint="default" w:ascii="Times New Roman" w:hAnsi="Times New Roman"/>
        </w:rPr>
        <w:t>4.5.1 有组织排放量核算</w:t>
      </w:r>
    </w:p>
    <w:p>
      <w:pPr>
        <w:spacing w:line="360" w:lineRule="auto"/>
        <w:jc w:val="center"/>
        <w:rPr>
          <w:rFonts w:cs="Times New Roman"/>
          <w:b/>
          <w:bCs/>
          <w:sz w:val="24"/>
          <w:szCs w:val="24"/>
        </w:rPr>
      </w:pPr>
      <w:r>
        <w:rPr>
          <w:rFonts w:cs="Times New Roman"/>
          <w:b/>
          <w:bCs/>
          <w:sz w:val="24"/>
          <w:szCs w:val="24"/>
        </w:rPr>
        <w:t>表4.5-1  大气污染物有组织排放量核算表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27"/>
        <w:gridCol w:w="881"/>
        <w:gridCol w:w="945"/>
        <w:gridCol w:w="2004"/>
        <w:gridCol w:w="1927"/>
        <w:gridCol w:w="207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来源</w:t>
            </w:r>
          </w:p>
        </w:tc>
        <w:tc>
          <w:tcPr>
            <w:tcW w:w="460"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排放口编号</w:t>
            </w:r>
          </w:p>
        </w:tc>
        <w:tc>
          <w:tcPr>
            <w:tcW w:w="494"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污染物</w:t>
            </w:r>
          </w:p>
        </w:tc>
        <w:tc>
          <w:tcPr>
            <w:tcW w:w="1048"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核算排放浓度(mg/m</w:t>
            </w:r>
            <w:r>
              <w:rPr>
                <w:rFonts w:eastAsia="宋体"/>
                <w:b/>
                <w:bCs/>
                <w:kern w:val="21"/>
                <w:sz w:val="21"/>
                <w:szCs w:val="21"/>
                <w:vertAlign w:val="superscript"/>
              </w:rPr>
              <w:t>3</w:t>
            </w:r>
            <w:r>
              <w:rPr>
                <w:rFonts w:eastAsia="宋体"/>
                <w:b/>
                <w:bCs/>
                <w:kern w:val="21"/>
                <w:sz w:val="21"/>
                <w:szCs w:val="21"/>
              </w:rPr>
              <w:t>)</w:t>
            </w:r>
          </w:p>
        </w:tc>
        <w:tc>
          <w:tcPr>
            <w:tcW w:w="1007"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核算排放速率(kg/h)</w:t>
            </w:r>
          </w:p>
        </w:tc>
        <w:tc>
          <w:tcPr>
            <w:tcW w:w="1085"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核算年排放量(t/a)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主要排放口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浸胶、烘干</w:t>
            </w:r>
          </w:p>
        </w:tc>
        <w:tc>
          <w:tcPr>
            <w:tcW w:w="460"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DA005</w:t>
            </w:r>
          </w:p>
        </w:tc>
        <w:tc>
          <w:tcPr>
            <w:tcW w:w="494" w:type="pct"/>
            <w:tcBorders>
              <w:tl2br w:val="nil"/>
              <w:tr2bl w:val="nil"/>
            </w:tcBorders>
            <w:vAlign w:val="center"/>
          </w:tcPr>
          <w:p>
            <w:pPr>
              <w:jc w:val="center"/>
              <w:rPr>
                <w:rFonts w:cs="Times New Roman"/>
                <w:szCs w:val="21"/>
              </w:rPr>
            </w:pPr>
            <w:r>
              <w:rPr>
                <w:rFonts w:cs="Times New Roman"/>
                <w:szCs w:val="21"/>
              </w:rPr>
              <w:t>甲醛</w:t>
            </w:r>
          </w:p>
        </w:tc>
        <w:tc>
          <w:tcPr>
            <w:tcW w:w="1048"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2.0</w:t>
            </w:r>
          </w:p>
        </w:tc>
        <w:tc>
          <w:tcPr>
            <w:tcW w:w="100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0.050</w:t>
            </w:r>
          </w:p>
        </w:tc>
        <w:tc>
          <w:tcPr>
            <w:tcW w:w="108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0.397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VOCs</w:t>
            </w:r>
          </w:p>
        </w:tc>
        <w:tc>
          <w:tcPr>
            <w:tcW w:w="1048"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4</w:t>
            </w:r>
          </w:p>
        </w:tc>
        <w:tc>
          <w:tcPr>
            <w:tcW w:w="100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0.001</w:t>
            </w:r>
          </w:p>
        </w:tc>
        <w:tc>
          <w:tcPr>
            <w:tcW w:w="108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氨</w:t>
            </w:r>
          </w:p>
        </w:tc>
        <w:tc>
          <w:tcPr>
            <w:tcW w:w="1048"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0.3</w:t>
            </w:r>
            <w:r>
              <w:rPr>
                <w:rFonts w:hint="eastAsia" w:cs="Times New Roman"/>
                <w:color w:val="000000" w:themeColor="text1"/>
                <w:szCs w:val="21"/>
                <w:lang w:val="en-US" w:eastAsia="zh-CN"/>
                <w14:textFill>
                  <w14:solidFill>
                    <w14:schemeClr w14:val="tx1"/>
                  </w14:solidFill>
                </w14:textFill>
              </w:rPr>
              <w:t>2</w:t>
            </w:r>
          </w:p>
        </w:tc>
        <w:tc>
          <w:tcPr>
            <w:tcW w:w="100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0.008</w:t>
            </w:r>
          </w:p>
        </w:tc>
        <w:tc>
          <w:tcPr>
            <w:tcW w:w="1085"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0.06</w:t>
            </w:r>
            <w:r>
              <w:rPr>
                <w:rFonts w:hint="eastAsia" w:cs="Times New Roman"/>
                <w:color w:val="000000" w:themeColor="text1"/>
                <w:szCs w:val="21"/>
                <w:lang w:val="en-US" w:eastAsia="zh-CN"/>
                <w14:textFill>
                  <w14:solidFill>
                    <w14:schemeClr w14:val="tx1"/>
                  </w14:solidFill>
                </w14:textFill>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烘干</w:t>
            </w: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1048"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0.2</w:t>
            </w:r>
            <w:r>
              <w:rPr>
                <w:rFonts w:hint="eastAsia" w:cs="Times New Roman"/>
                <w:color w:val="000000" w:themeColor="text1"/>
                <w:szCs w:val="21"/>
                <w:lang w:val="en-US" w:eastAsia="zh-CN"/>
                <w14:textFill>
                  <w14:solidFill>
                    <w14:schemeClr w14:val="tx1"/>
                  </w14:solidFill>
                </w14:textFill>
              </w:rPr>
              <w:t>33</w:t>
            </w:r>
          </w:p>
        </w:tc>
        <w:tc>
          <w:tcPr>
            <w:tcW w:w="1007"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0.00</w:t>
            </w:r>
            <w:r>
              <w:rPr>
                <w:rFonts w:hint="eastAsia" w:cs="Times New Roman"/>
                <w:color w:val="000000" w:themeColor="text1"/>
                <w:szCs w:val="21"/>
                <w:lang w:val="en-US" w:eastAsia="zh-CN"/>
                <w14:textFill>
                  <w14:solidFill>
                    <w14:schemeClr w14:val="tx1"/>
                  </w14:solidFill>
                </w14:textFill>
              </w:rPr>
              <w:t>6</w:t>
            </w:r>
          </w:p>
        </w:tc>
        <w:tc>
          <w:tcPr>
            <w:tcW w:w="1085"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NOx</w:t>
            </w:r>
          </w:p>
        </w:tc>
        <w:tc>
          <w:tcPr>
            <w:tcW w:w="1048"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9.258</w:t>
            </w:r>
          </w:p>
        </w:tc>
        <w:tc>
          <w:tcPr>
            <w:tcW w:w="1007"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231</w:t>
            </w:r>
          </w:p>
        </w:tc>
        <w:tc>
          <w:tcPr>
            <w:tcW w:w="1085"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1.833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hint="eastAsia" w:eastAsia="宋体" w:cs="Times New Roman"/>
                <w:szCs w:val="21"/>
                <w:lang w:val="en-US" w:eastAsia="zh-CN"/>
              </w:rPr>
            </w:pPr>
            <w:r>
              <w:rPr>
                <w:rFonts w:hint="eastAsia" w:cs="Times New Roman"/>
                <w:szCs w:val="21"/>
                <w:lang w:val="en-US" w:eastAsia="zh-CN"/>
              </w:rPr>
              <w:t>颗粒物</w:t>
            </w:r>
          </w:p>
        </w:tc>
        <w:tc>
          <w:tcPr>
            <w:tcW w:w="1048" w:type="pct"/>
            <w:tcBorders>
              <w:tl2br w:val="nil"/>
              <w:tr2bl w:val="nil"/>
            </w:tcBorders>
            <w:vAlign w:val="center"/>
          </w:tcPr>
          <w:p>
            <w:pPr>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0.817</w:t>
            </w:r>
          </w:p>
        </w:tc>
        <w:tc>
          <w:tcPr>
            <w:tcW w:w="1007"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w:t>
            </w:r>
          </w:p>
        </w:tc>
        <w:tc>
          <w:tcPr>
            <w:tcW w:w="1085" w:type="pct"/>
            <w:tcBorders>
              <w:tl2br w:val="nil"/>
              <w:tr2bl w:val="nil"/>
            </w:tcBorders>
            <w:vAlign w:val="center"/>
          </w:tcPr>
          <w:p>
            <w:pPr>
              <w:jc w:val="center"/>
              <w:rPr>
                <w:rFonts w:hint="eastAsia"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浸胶、烘干</w:t>
            </w:r>
          </w:p>
        </w:tc>
        <w:tc>
          <w:tcPr>
            <w:tcW w:w="460"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DA006</w:t>
            </w:r>
          </w:p>
        </w:tc>
        <w:tc>
          <w:tcPr>
            <w:tcW w:w="494" w:type="pct"/>
            <w:tcBorders>
              <w:tl2br w:val="nil"/>
              <w:tr2bl w:val="nil"/>
            </w:tcBorders>
            <w:vAlign w:val="center"/>
          </w:tcPr>
          <w:p>
            <w:pPr>
              <w:jc w:val="center"/>
              <w:rPr>
                <w:rFonts w:cs="Times New Roman"/>
                <w:szCs w:val="21"/>
              </w:rPr>
            </w:pPr>
            <w:r>
              <w:rPr>
                <w:rFonts w:cs="Times New Roman"/>
                <w:szCs w:val="21"/>
              </w:rPr>
              <w:t>甲醛</w:t>
            </w:r>
          </w:p>
        </w:tc>
        <w:tc>
          <w:tcPr>
            <w:tcW w:w="1048"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2.3</w:t>
            </w:r>
            <w:r>
              <w:rPr>
                <w:rFonts w:hint="eastAsia" w:cs="Times New Roman"/>
                <w:color w:val="000000" w:themeColor="text1"/>
                <w:szCs w:val="21"/>
                <w:lang w:val="en-US" w:eastAsia="zh-CN"/>
                <w14:textFill>
                  <w14:solidFill>
                    <w14:schemeClr w14:val="tx1"/>
                  </w14:solidFill>
                </w14:textFill>
              </w:rPr>
              <w:t>2</w:t>
            </w:r>
          </w:p>
        </w:tc>
        <w:tc>
          <w:tcPr>
            <w:tcW w:w="100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0.058</w:t>
            </w:r>
          </w:p>
        </w:tc>
        <w:tc>
          <w:tcPr>
            <w:tcW w:w="1085" w:type="pct"/>
            <w:tcBorders>
              <w:tl2br w:val="nil"/>
              <w:tr2bl w:val="nil"/>
            </w:tcBorders>
            <w:vAlign w:val="center"/>
          </w:tcPr>
          <w:p>
            <w:pPr>
              <w:jc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szCs w:val="21"/>
                <w14:textFill>
                  <w14:solidFill>
                    <w14:schemeClr w14:val="tx1"/>
                  </w14:solidFill>
                </w14:textFill>
              </w:rPr>
              <w:t>0.4</w:t>
            </w:r>
            <w:r>
              <w:rPr>
                <w:rFonts w:hint="eastAsia" w:cs="Times New Roman"/>
                <w:color w:val="000000" w:themeColor="text1"/>
                <w:szCs w:val="21"/>
                <w:lang w:val="en-US" w:eastAsia="zh-CN"/>
                <w14:textFill>
                  <w14:solidFill>
                    <w14:schemeClr w14:val="tx1"/>
                  </w14:solidFill>
                </w14:textFill>
              </w:rPr>
              <w:t>59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VOCs</w:t>
            </w:r>
          </w:p>
        </w:tc>
        <w:tc>
          <w:tcPr>
            <w:tcW w:w="1048"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0.0</w:t>
            </w:r>
            <w:r>
              <w:rPr>
                <w:rFonts w:hint="eastAsia" w:cs="Times New Roman"/>
                <w:color w:val="000000" w:themeColor="text1"/>
                <w:szCs w:val="21"/>
                <w:lang w:val="en-US" w:eastAsia="zh-CN"/>
                <w14:textFill>
                  <w14:solidFill>
                    <w14:schemeClr w14:val="tx1"/>
                  </w14:solidFill>
                </w14:textFill>
              </w:rPr>
              <w:t>4</w:t>
            </w:r>
          </w:p>
        </w:tc>
        <w:tc>
          <w:tcPr>
            <w:tcW w:w="100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0.001</w:t>
            </w:r>
          </w:p>
        </w:tc>
        <w:tc>
          <w:tcPr>
            <w:tcW w:w="108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氨</w:t>
            </w:r>
          </w:p>
        </w:tc>
        <w:tc>
          <w:tcPr>
            <w:tcW w:w="1048"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w:t>
            </w:r>
            <w:r>
              <w:rPr>
                <w:rFonts w:hint="eastAsia" w:cs="Times New Roman"/>
                <w:color w:val="000000" w:themeColor="text1"/>
                <w:szCs w:val="21"/>
                <w:lang w:val="en-US" w:eastAsia="zh-CN"/>
                <w14:textFill>
                  <w14:solidFill>
                    <w14:schemeClr w14:val="tx1"/>
                  </w14:solidFill>
                </w14:textFill>
              </w:rPr>
              <w:t>4</w:t>
            </w:r>
          </w:p>
        </w:tc>
        <w:tc>
          <w:tcPr>
            <w:tcW w:w="100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0.010</w:t>
            </w:r>
          </w:p>
        </w:tc>
        <w:tc>
          <w:tcPr>
            <w:tcW w:w="108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烘干</w:t>
            </w: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SO</w:t>
            </w:r>
            <w:r>
              <w:rPr>
                <w:rFonts w:cs="Times New Roman"/>
                <w:szCs w:val="21"/>
                <w:vertAlign w:val="subscript"/>
              </w:rPr>
              <w:t>2</w:t>
            </w:r>
          </w:p>
        </w:tc>
        <w:tc>
          <w:tcPr>
            <w:tcW w:w="1048"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0.28</w:t>
            </w:r>
          </w:p>
        </w:tc>
        <w:tc>
          <w:tcPr>
            <w:tcW w:w="1007"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0.007</w:t>
            </w:r>
          </w:p>
        </w:tc>
        <w:tc>
          <w:tcPr>
            <w:tcW w:w="108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cs="Times New Roman"/>
                <w:szCs w:val="21"/>
              </w:rPr>
            </w:pPr>
            <w:r>
              <w:rPr>
                <w:rFonts w:cs="Times New Roman"/>
                <w:szCs w:val="21"/>
              </w:rPr>
              <w:t>NOx</w:t>
            </w:r>
          </w:p>
        </w:tc>
        <w:tc>
          <w:tcPr>
            <w:tcW w:w="1048"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11.4</w:t>
            </w:r>
          </w:p>
        </w:tc>
        <w:tc>
          <w:tcPr>
            <w:tcW w:w="1007" w:type="pct"/>
            <w:tcBorders>
              <w:tl2br w:val="nil"/>
              <w:tr2bl w:val="nil"/>
            </w:tcBorders>
            <w:vAlign w:val="center"/>
          </w:tcPr>
          <w:p>
            <w:pPr>
              <w:jc w:val="center"/>
              <w:rPr>
                <w:rFonts w:hint="eastAsia" w:eastAsia="宋体" w:cs="Times New Roman"/>
                <w:color w:val="000000" w:themeColor="text1"/>
                <w:szCs w:val="21"/>
                <w:lang w:eastAsia="zh-CN"/>
                <w14:textFill>
                  <w14:solidFill>
                    <w14:schemeClr w14:val="tx1"/>
                  </w14:solidFill>
                </w14:textFill>
              </w:rPr>
            </w:pPr>
            <w:r>
              <w:rPr>
                <w:rFonts w:cs="Times New Roman"/>
                <w:color w:val="000000" w:themeColor="text1"/>
                <w:szCs w:val="21"/>
                <w14:textFill>
                  <w14:solidFill>
                    <w14:schemeClr w14:val="tx1"/>
                  </w14:solidFill>
                </w14:textFill>
              </w:rPr>
              <w:t>0.28</w:t>
            </w:r>
            <w:r>
              <w:rPr>
                <w:rFonts w:hint="eastAsia" w:cs="Times New Roman"/>
                <w:color w:val="000000" w:themeColor="text1"/>
                <w:szCs w:val="21"/>
                <w:lang w:val="en-US" w:eastAsia="zh-CN"/>
                <w14:textFill>
                  <w14:solidFill>
                    <w14:schemeClr w14:val="tx1"/>
                  </w14:solidFill>
                </w14:textFill>
              </w:rPr>
              <w:t>5</w:t>
            </w:r>
          </w:p>
        </w:tc>
        <w:tc>
          <w:tcPr>
            <w:tcW w:w="1085" w:type="pct"/>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2.261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60"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94" w:type="pct"/>
            <w:tcBorders>
              <w:tl2br w:val="nil"/>
              <w:tr2bl w:val="nil"/>
            </w:tcBorders>
            <w:vAlign w:val="center"/>
          </w:tcPr>
          <w:p>
            <w:pPr>
              <w:jc w:val="center"/>
              <w:rPr>
                <w:rFonts w:hint="eastAsia" w:ascii="Times New Roman" w:hAnsi="Times New Roman" w:eastAsia="宋体" w:cs="Times New Roman"/>
                <w:kern w:val="2"/>
                <w:sz w:val="21"/>
                <w:szCs w:val="21"/>
                <w:lang w:val="en-US" w:eastAsia="zh-CN" w:bidi="ar-SA"/>
              </w:rPr>
            </w:pPr>
            <w:r>
              <w:rPr>
                <w:rFonts w:hint="eastAsia" w:cs="Times New Roman"/>
                <w:szCs w:val="21"/>
                <w:lang w:val="en-US" w:eastAsia="zh-CN"/>
              </w:rPr>
              <w:t>颗粒物</w:t>
            </w:r>
          </w:p>
        </w:tc>
        <w:tc>
          <w:tcPr>
            <w:tcW w:w="1048" w:type="pct"/>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w:t>
            </w:r>
          </w:p>
        </w:tc>
        <w:tc>
          <w:tcPr>
            <w:tcW w:w="1007" w:type="pct"/>
            <w:tcBorders>
              <w:tl2br w:val="nil"/>
              <w:tr2bl w:val="nil"/>
            </w:tcBorders>
            <w:vAlign w:val="center"/>
          </w:tcPr>
          <w:p>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0.025</w:t>
            </w:r>
          </w:p>
        </w:tc>
        <w:tc>
          <w:tcPr>
            <w:tcW w:w="1085" w:type="pct"/>
            <w:tcBorders>
              <w:tl2br w:val="nil"/>
              <w:tr2bl w:val="nil"/>
            </w:tcBorders>
            <w:vAlign w:val="center"/>
          </w:tcPr>
          <w:p>
            <w:pPr>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vAlign w:val="center"/>
          </w:tcPr>
          <w:p>
            <w:pPr>
              <w:pStyle w:val="109"/>
              <w:spacing w:line="240" w:lineRule="auto"/>
              <w:jc w:val="center"/>
              <w:rPr>
                <w:rFonts w:eastAsia="宋体"/>
                <w:color w:val="000000" w:themeColor="text1"/>
                <w:kern w:val="21"/>
                <w:sz w:val="21"/>
                <w:szCs w:val="21"/>
                <w14:textFill>
                  <w14:solidFill>
                    <w14:schemeClr w14:val="tx1"/>
                  </w14:solidFill>
                </w14:textFill>
              </w:rPr>
            </w:pPr>
            <w:r>
              <w:rPr>
                <w:rFonts w:eastAsia="宋体"/>
                <w:color w:val="000000" w:themeColor="text1"/>
                <w:kern w:val="21"/>
                <w:sz w:val="21"/>
                <w:szCs w:val="21"/>
                <w14:textFill>
                  <w14:solidFill>
                    <w14:schemeClr w14:val="tx1"/>
                  </w14:solidFill>
                </w14:textFill>
              </w:rPr>
              <w:t>有组织排放总计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4" w:type="pct"/>
            <w:gridSpan w:val="2"/>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有组织排放口总计</w:t>
            </w:r>
          </w:p>
        </w:tc>
        <w:tc>
          <w:tcPr>
            <w:tcW w:w="2550" w:type="pct"/>
            <w:gridSpan w:val="3"/>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甲醛</w:t>
            </w:r>
          </w:p>
        </w:tc>
        <w:tc>
          <w:tcPr>
            <w:tcW w:w="1085" w:type="pct"/>
            <w:tcBorders>
              <w:tl2br w:val="nil"/>
              <w:tr2bl w:val="nil"/>
            </w:tcBorders>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Cs w:val="21"/>
                <w:lang w:bidi="ar"/>
                <w14:textFill>
                  <w14:solidFill>
                    <w14:schemeClr w14:val="tx1"/>
                  </w14:solidFill>
                </w14:textFill>
              </w:rPr>
              <w:t>0.8</w:t>
            </w:r>
            <w:r>
              <w:rPr>
                <w:rFonts w:hint="eastAsia" w:cs="Times New Roman"/>
                <w:color w:val="000000" w:themeColor="text1"/>
                <w:kern w:val="0"/>
                <w:szCs w:val="21"/>
                <w:lang w:val="en-US" w:eastAsia="zh-CN" w:bidi="ar"/>
                <w14:textFill>
                  <w14:solidFill>
                    <w14:schemeClr w14:val="tx1"/>
                  </w14:solidFill>
                </w14:textFill>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4" w:type="pct"/>
            <w:gridSpan w:val="2"/>
            <w:vMerge w:val="continue"/>
            <w:tcBorders>
              <w:tl2br w:val="nil"/>
              <w:tr2bl w:val="nil"/>
            </w:tcBorders>
            <w:vAlign w:val="center"/>
          </w:tcPr>
          <w:p>
            <w:pPr>
              <w:pStyle w:val="109"/>
              <w:spacing w:line="240" w:lineRule="auto"/>
              <w:jc w:val="center"/>
              <w:rPr>
                <w:rFonts w:eastAsia="宋体"/>
                <w:kern w:val="21"/>
                <w:sz w:val="21"/>
                <w:szCs w:val="21"/>
              </w:rPr>
            </w:pPr>
          </w:p>
        </w:tc>
        <w:tc>
          <w:tcPr>
            <w:tcW w:w="2550" w:type="pct"/>
            <w:gridSpan w:val="3"/>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VOCs</w:t>
            </w:r>
          </w:p>
        </w:tc>
        <w:tc>
          <w:tcPr>
            <w:tcW w:w="1085" w:type="pct"/>
            <w:tcBorders>
              <w:tl2br w:val="nil"/>
              <w:tr2bl w:val="nil"/>
            </w:tcBorders>
            <w:vAlign w:val="center"/>
          </w:tcPr>
          <w:p>
            <w:pPr>
              <w:widowControl/>
              <w:jc w:val="center"/>
              <w:textAlignment w:val="center"/>
              <w:rPr>
                <w:rFonts w:cs="Times New Roman"/>
                <w:color w:val="000000" w:themeColor="text1"/>
                <w:szCs w:val="21"/>
                <w14:textFill>
                  <w14:solidFill>
                    <w14:schemeClr w14:val="tx1"/>
                  </w14:solidFill>
                </w14:textFill>
              </w:rPr>
            </w:pPr>
            <w:r>
              <w:rPr>
                <w:rFonts w:cs="Times New Roman"/>
                <w:color w:val="000000" w:themeColor="text1"/>
                <w:kern w:val="0"/>
                <w:szCs w:val="21"/>
                <w:lang w:bidi="ar"/>
                <w14:textFill>
                  <w14:solidFill>
                    <w14:schemeClr w14:val="tx1"/>
                  </w14:solidFill>
                </w14:textFill>
              </w:rPr>
              <w:t>0.011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4" w:type="pct"/>
            <w:gridSpan w:val="2"/>
            <w:vMerge w:val="continue"/>
            <w:tcBorders>
              <w:tl2br w:val="nil"/>
              <w:tr2bl w:val="nil"/>
            </w:tcBorders>
            <w:vAlign w:val="center"/>
          </w:tcPr>
          <w:p>
            <w:pPr>
              <w:pStyle w:val="109"/>
              <w:spacing w:line="240" w:lineRule="auto"/>
              <w:jc w:val="center"/>
              <w:rPr>
                <w:rFonts w:eastAsia="宋体"/>
                <w:kern w:val="21"/>
                <w:sz w:val="21"/>
                <w:szCs w:val="21"/>
              </w:rPr>
            </w:pPr>
          </w:p>
        </w:tc>
        <w:tc>
          <w:tcPr>
            <w:tcW w:w="2550" w:type="pct"/>
            <w:gridSpan w:val="3"/>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氨</w:t>
            </w:r>
          </w:p>
        </w:tc>
        <w:tc>
          <w:tcPr>
            <w:tcW w:w="1085" w:type="pct"/>
            <w:tcBorders>
              <w:tl2br w:val="nil"/>
              <w:tr2bl w:val="nil"/>
            </w:tcBorders>
            <w:vAlign w:val="center"/>
          </w:tcPr>
          <w:p>
            <w:pPr>
              <w:widowControl/>
              <w:jc w:val="center"/>
              <w:textAlignment w:val="center"/>
              <w:rPr>
                <w:rFonts w:hint="eastAsia"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Cs w:val="21"/>
                <w:lang w:bidi="ar"/>
                <w14:textFill>
                  <w14:solidFill>
                    <w14:schemeClr w14:val="tx1"/>
                  </w14:solidFill>
                </w14:textFill>
              </w:rPr>
              <w:t>0.14</w:t>
            </w:r>
            <w:r>
              <w:rPr>
                <w:rFonts w:hint="eastAsia" w:cs="Times New Roman"/>
                <w:color w:val="000000" w:themeColor="text1"/>
                <w:kern w:val="0"/>
                <w:szCs w:val="21"/>
                <w:lang w:val="en-US" w:eastAsia="zh-CN" w:bidi="ar"/>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4" w:type="pct"/>
            <w:gridSpan w:val="2"/>
            <w:vMerge w:val="continue"/>
            <w:tcBorders>
              <w:tl2br w:val="nil"/>
              <w:tr2bl w:val="nil"/>
            </w:tcBorders>
            <w:vAlign w:val="center"/>
          </w:tcPr>
          <w:p>
            <w:pPr>
              <w:pStyle w:val="109"/>
              <w:spacing w:line="240" w:lineRule="auto"/>
              <w:jc w:val="center"/>
              <w:rPr>
                <w:rFonts w:eastAsia="宋体"/>
                <w:kern w:val="21"/>
                <w:sz w:val="21"/>
                <w:szCs w:val="21"/>
              </w:rPr>
            </w:pPr>
          </w:p>
        </w:tc>
        <w:tc>
          <w:tcPr>
            <w:tcW w:w="2550" w:type="pct"/>
            <w:gridSpan w:val="3"/>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1085" w:type="pct"/>
            <w:tcBorders>
              <w:tl2br w:val="nil"/>
              <w:tr2bl w:val="nil"/>
            </w:tcBorders>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Cs w:val="21"/>
                <w:lang w:bidi="ar"/>
                <w14:textFill>
                  <w14:solidFill>
                    <w14:schemeClr w14:val="tx1"/>
                  </w14:solidFill>
                </w14:textFill>
              </w:rPr>
              <w:t>0.1</w:t>
            </w:r>
            <w:r>
              <w:rPr>
                <w:rFonts w:hint="eastAsia" w:cs="Times New Roman"/>
                <w:color w:val="000000" w:themeColor="text1"/>
                <w:kern w:val="0"/>
                <w:szCs w:val="21"/>
                <w:lang w:val="en-US" w:eastAsia="zh-CN" w:bidi="ar"/>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4" w:type="pct"/>
            <w:gridSpan w:val="2"/>
            <w:vMerge w:val="continue"/>
          </w:tcPr>
          <w:p>
            <w:pPr>
              <w:pStyle w:val="109"/>
              <w:spacing w:line="240" w:lineRule="auto"/>
              <w:jc w:val="center"/>
              <w:rPr>
                <w:rFonts w:eastAsia="宋体"/>
                <w:kern w:val="21"/>
                <w:sz w:val="21"/>
                <w:szCs w:val="21"/>
              </w:rPr>
            </w:pPr>
          </w:p>
        </w:tc>
        <w:tc>
          <w:tcPr>
            <w:tcW w:w="0" w:type="auto"/>
            <w:gridSpan w:val="3"/>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NOx</w:t>
            </w:r>
          </w:p>
        </w:tc>
        <w:tc>
          <w:tcPr>
            <w:tcW w:w="1085" w:type="pct"/>
            <w:vAlign w:val="center"/>
          </w:tcPr>
          <w:p>
            <w:pPr>
              <w:widowControl/>
              <w:jc w:val="center"/>
              <w:textAlignment w:val="center"/>
              <w:rPr>
                <w:rFonts w:hint="default" w:eastAsia="宋体" w:cs="Times New Roman"/>
                <w:color w:val="000000" w:themeColor="text1"/>
                <w:szCs w:val="21"/>
                <w:lang w:val="en-US" w:eastAsia="zh-CN"/>
                <w14:textFill>
                  <w14:solidFill>
                    <w14:schemeClr w14:val="tx1"/>
                  </w14:solidFill>
                </w14:textFill>
              </w:rPr>
            </w:pPr>
            <w:r>
              <w:rPr>
                <w:rFonts w:cs="Times New Roman"/>
                <w:color w:val="000000" w:themeColor="text1"/>
                <w:kern w:val="0"/>
                <w:szCs w:val="21"/>
                <w:lang w:bidi="ar"/>
                <w14:textFill>
                  <w14:solidFill>
                    <w14:schemeClr w14:val="tx1"/>
                  </w14:solidFill>
                </w14:textFill>
              </w:rPr>
              <w:t>4.</w:t>
            </w:r>
            <w:r>
              <w:rPr>
                <w:rFonts w:hint="eastAsia" w:cs="Times New Roman"/>
                <w:color w:val="000000" w:themeColor="text1"/>
                <w:kern w:val="0"/>
                <w:szCs w:val="21"/>
                <w:lang w:val="en-US" w:eastAsia="zh-CN" w:bidi="ar"/>
                <w14:textFill>
                  <w14:solidFill>
                    <w14:schemeClr w14:val="tx1"/>
                  </w14:solidFill>
                </w14:textFill>
              </w:rPr>
              <w:t>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64" w:type="pct"/>
            <w:gridSpan w:val="2"/>
            <w:vMerge w:val="continue"/>
          </w:tcPr>
          <w:p>
            <w:pPr>
              <w:pStyle w:val="109"/>
              <w:spacing w:line="240" w:lineRule="auto"/>
              <w:jc w:val="center"/>
              <w:rPr>
                <w:rFonts w:eastAsia="宋体"/>
                <w:kern w:val="21"/>
                <w:sz w:val="21"/>
                <w:szCs w:val="21"/>
              </w:rPr>
            </w:pPr>
          </w:p>
        </w:tc>
        <w:tc>
          <w:tcPr>
            <w:tcW w:w="0" w:type="auto"/>
            <w:gridSpan w:val="3"/>
            <w:vAlign w:val="center"/>
          </w:tcPr>
          <w:p>
            <w:pPr>
              <w:jc w:val="center"/>
              <w:rPr>
                <w:rFonts w:hint="eastAsia"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颗粒物</w:t>
            </w:r>
          </w:p>
        </w:tc>
        <w:tc>
          <w:tcPr>
            <w:tcW w:w="1085" w:type="pct"/>
            <w:vAlign w:val="center"/>
          </w:tcPr>
          <w:p>
            <w:pPr>
              <w:widowControl/>
              <w:jc w:val="center"/>
              <w:textAlignment w:val="center"/>
              <w:rPr>
                <w:rFonts w:hint="default" w:eastAsia="宋体"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0.362</w:t>
            </w:r>
          </w:p>
        </w:tc>
      </w:tr>
    </w:tbl>
    <w:p>
      <w:pPr>
        <w:pStyle w:val="5"/>
        <w:rPr>
          <w:rFonts w:hint="default" w:ascii="Times New Roman" w:hAnsi="Times New Roman"/>
        </w:rPr>
      </w:pPr>
      <w:r>
        <w:rPr>
          <w:rFonts w:hint="default" w:ascii="Times New Roman" w:hAnsi="Times New Roman"/>
        </w:rPr>
        <w:t>4.5.2 无组织排放量核算结果</w:t>
      </w:r>
    </w:p>
    <w:p>
      <w:pPr>
        <w:spacing w:line="360" w:lineRule="auto"/>
        <w:ind w:firstLine="480" w:firstLineChars="200"/>
        <w:rPr>
          <w:rFonts w:cs="Times New Roman"/>
          <w:sz w:val="24"/>
          <w:szCs w:val="24"/>
        </w:rPr>
      </w:pPr>
      <w:r>
        <w:rPr>
          <w:rFonts w:cs="Times New Roman"/>
          <w:sz w:val="24"/>
          <w:szCs w:val="24"/>
        </w:rPr>
        <w:t>运营期项目无组织排放量核算结果见下表。</w:t>
      </w:r>
    </w:p>
    <w:p>
      <w:pPr>
        <w:spacing w:line="360" w:lineRule="auto"/>
        <w:jc w:val="center"/>
        <w:rPr>
          <w:rFonts w:cs="Times New Roman"/>
          <w:b/>
          <w:bCs/>
          <w:sz w:val="24"/>
          <w:szCs w:val="24"/>
        </w:rPr>
      </w:pPr>
      <w:r>
        <w:rPr>
          <w:rFonts w:cs="Times New Roman"/>
          <w:b/>
          <w:bCs/>
          <w:sz w:val="24"/>
          <w:szCs w:val="24"/>
        </w:rPr>
        <w:t>表4.5-2  大气污染物无组织排放量核算表</w:t>
      </w:r>
    </w:p>
    <w:tbl>
      <w:tblPr>
        <w:tblStyle w:val="27"/>
        <w:tblW w:w="4994"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17"/>
        <w:gridCol w:w="907"/>
        <w:gridCol w:w="922"/>
        <w:gridCol w:w="1134"/>
        <w:gridCol w:w="2106"/>
        <w:gridCol w:w="1717"/>
        <w:gridCol w:w="11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6" w:type="pct"/>
            <w:vMerge w:val="restar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污染源</w:t>
            </w:r>
          </w:p>
        </w:tc>
        <w:tc>
          <w:tcPr>
            <w:tcW w:w="474" w:type="pct"/>
            <w:vMerge w:val="restar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产污环节</w:t>
            </w:r>
          </w:p>
        </w:tc>
        <w:tc>
          <w:tcPr>
            <w:tcW w:w="482" w:type="pct"/>
            <w:vMerge w:val="restar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污染物</w:t>
            </w:r>
          </w:p>
        </w:tc>
        <w:tc>
          <w:tcPr>
            <w:tcW w:w="593" w:type="pct"/>
            <w:vMerge w:val="restar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主要污染防治措施</w:t>
            </w:r>
          </w:p>
        </w:tc>
        <w:tc>
          <w:tcPr>
            <w:tcW w:w="1998" w:type="pct"/>
            <w:gridSpan w:val="2"/>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国家或地方污染物排放标准</w:t>
            </w:r>
          </w:p>
        </w:tc>
        <w:tc>
          <w:tcPr>
            <w:tcW w:w="604" w:type="pct"/>
            <w:vMerge w:val="restar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6" w:type="pct"/>
            <w:vMerge w:val="continue"/>
            <w:tcBorders>
              <w:tl2br w:val="nil"/>
              <w:tr2bl w:val="nil"/>
            </w:tcBorders>
            <w:vAlign w:val="center"/>
          </w:tcPr>
          <w:p>
            <w:pPr>
              <w:pStyle w:val="109"/>
              <w:spacing w:line="240" w:lineRule="auto"/>
              <w:jc w:val="center"/>
              <w:rPr>
                <w:rFonts w:eastAsia="宋体"/>
                <w:sz w:val="21"/>
                <w:szCs w:val="21"/>
              </w:rPr>
            </w:pPr>
          </w:p>
        </w:tc>
        <w:tc>
          <w:tcPr>
            <w:tcW w:w="474" w:type="pct"/>
            <w:vMerge w:val="continue"/>
            <w:tcBorders>
              <w:tl2br w:val="nil"/>
              <w:tr2bl w:val="nil"/>
            </w:tcBorders>
            <w:vAlign w:val="center"/>
          </w:tcPr>
          <w:p>
            <w:pPr>
              <w:pStyle w:val="109"/>
              <w:spacing w:line="240" w:lineRule="auto"/>
              <w:jc w:val="center"/>
              <w:rPr>
                <w:rFonts w:eastAsia="宋体"/>
                <w:sz w:val="21"/>
                <w:szCs w:val="21"/>
              </w:rPr>
            </w:pPr>
          </w:p>
        </w:tc>
        <w:tc>
          <w:tcPr>
            <w:tcW w:w="482" w:type="pct"/>
            <w:vMerge w:val="continue"/>
            <w:tcBorders>
              <w:tl2br w:val="nil"/>
              <w:tr2bl w:val="nil"/>
            </w:tcBorders>
            <w:vAlign w:val="center"/>
          </w:tcPr>
          <w:p>
            <w:pPr>
              <w:pStyle w:val="109"/>
              <w:spacing w:line="240" w:lineRule="auto"/>
              <w:jc w:val="center"/>
              <w:rPr>
                <w:rFonts w:eastAsia="宋体"/>
                <w:sz w:val="21"/>
                <w:szCs w:val="21"/>
              </w:rPr>
            </w:pPr>
          </w:p>
        </w:tc>
        <w:tc>
          <w:tcPr>
            <w:tcW w:w="593" w:type="pct"/>
            <w:vMerge w:val="continue"/>
            <w:tcBorders>
              <w:tl2br w:val="nil"/>
              <w:tr2bl w:val="nil"/>
            </w:tcBorders>
            <w:vAlign w:val="center"/>
          </w:tcPr>
          <w:p>
            <w:pPr>
              <w:pStyle w:val="109"/>
              <w:spacing w:line="240" w:lineRule="auto"/>
              <w:jc w:val="center"/>
              <w:rPr>
                <w:rFonts w:eastAsia="宋体"/>
                <w:sz w:val="21"/>
                <w:szCs w:val="21"/>
              </w:rPr>
            </w:pPr>
          </w:p>
        </w:tc>
        <w:tc>
          <w:tcPr>
            <w:tcW w:w="1101"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标准名称</w:t>
            </w:r>
          </w:p>
        </w:tc>
        <w:tc>
          <w:tcPr>
            <w:tcW w:w="896" w:type="pct"/>
            <w:tcBorders>
              <w:tl2br w:val="nil"/>
              <w:tr2bl w:val="nil"/>
            </w:tcBorders>
            <w:vAlign w:val="center"/>
          </w:tcPr>
          <w:p>
            <w:pPr>
              <w:pStyle w:val="109"/>
              <w:spacing w:line="240" w:lineRule="auto"/>
              <w:jc w:val="center"/>
              <w:rPr>
                <w:rFonts w:eastAsia="宋体"/>
                <w:b/>
                <w:bCs/>
                <w:kern w:val="21"/>
                <w:sz w:val="21"/>
                <w:szCs w:val="21"/>
              </w:rPr>
            </w:pPr>
            <w:r>
              <w:rPr>
                <w:rFonts w:eastAsia="宋体"/>
                <w:b/>
                <w:bCs/>
                <w:kern w:val="21"/>
                <w:sz w:val="21"/>
                <w:szCs w:val="21"/>
              </w:rPr>
              <w:t>浓度限值(mg/m</w:t>
            </w:r>
            <w:r>
              <w:rPr>
                <w:rFonts w:eastAsia="宋体"/>
                <w:b/>
                <w:bCs/>
                <w:kern w:val="21"/>
                <w:sz w:val="21"/>
                <w:szCs w:val="21"/>
                <w:vertAlign w:val="superscript"/>
              </w:rPr>
              <w:t>3</w:t>
            </w:r>
            <w:r>
              <w:rPr>
                <w:rFonts w:eastAsia="宋体"/>
                <w:b/>
                <w:bCs/>
                <w:kern w:val="21"/>
                <w:sz w:val="21"/>
                <w:szCs w:val="21"/>
              </w:rPr>
              <w:t>)</w:t>
            </w:r>
          </w:p>
        </w:tc>
        <w:tc>
          <w:tcPr>
            <w:tcW w:w="604" w:type="pct"/>
            <w:vMerge w:val="continue"/>
            <w:tcBorders>
              <w:tl2br w:val="nil"/>
              <w:tr2bl w:val="nil"/>
            </w:tcBorders>
            <w:vAlign w:val="center"/>
          </w:tcPr>
          <w:p>
            <w:pPr>
              <w:pStyle w:val="109"/>
              <w:spacing w:line="240" w:lineRule="auto"/>
              <w:jc w:val="center"/>
              <w:rPr>
                <w:rFonts w:eastAsia="宋体"/>
                <w:kern w:val="21"/>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6"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浸胶、烘干</w:t>
            </w:r>
          </w:p>
        </w:tc>
        <w:tc>
          <w:tcPr>
            <w:tcW w:w="474"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工艺过程</w:t>
            </w:r>
          </w:p>
        </w:tc>
        <w:tc>
          <w:tcPr>
            <w:tcW w:w="482" w:type="pct"/>
            <w:tcBorders>
              <w:tl2br w:val="nil"/>
              <w:tr2bl w:val="nil"/>
            </w:tcBorders>
            <w:vAlign w:val="center"/>
          </w:tcPr>
          <w:p>
            <w:pPr>
              <w:jc w:val="center"/>
              <w:rPr>
                <w:rFonts w:cs="Times New Roman"/>
                <w:szCs w:val="21"/>
              </w:rPr>
            </w:pPr>
            <w:r>
              <w:rPr>
                <w:rFonts w:cs="Times New Roman"/>
                <w:szCs w:val="21"/>
              </w:rPr>
              <w:t>甲醛</w:t>
            </w:r>
          </w:p>
        </w:tc>
        <w:tc>
          <w:tcPr>
            <w:tcW w:w="593"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二级活性炭吸附装置</w:t>
            </w:r>
          </w:p>
        </w:tc>
        <w:tc>
          <w:tcPr>
            <w:tcW w:w="1101"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《四川省固定污染源大气挥发性有机物排放标准》（DB51/2377-2017）</w:t>
            </w:r>
          </w:p>
        </w:tc>
        <w:tc>
          <w:tcPr>
            <w:tcW w:w="896"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5</w:t>
            </w:r>
          </w:p>
        </w:tc>
        <w:tc>
          <w:tcPr>
            <w:tcW w:w="604"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6" w:type="pct"/>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烘干</w:t>
            </w:r>
          </w:p>
        </w:tc>
        <w:tc>
          <w:tcPr>
            <w:tcW w:w="474"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82" w:type="pct"/>
            <w:tcBorders>
              <w:tl2br w:val="nil"/>
              <w:tr2bl w:val="nil"/>
            </w:tcBorders>
            <w:vAlign w:val="center"/>
          </w:tcPr>
          <w:p>
            <w:pPr>
              <w:jc w:val="center"/>
              <w:rPr>
                <w:rFonts w:cs="Times New Roman"/>
                <w:szCs w:val="21"/>
              </w:rPr>
            </w:pPr>
            <w:r>
              <w:rPr>
                <w:rFonts w:cs="Times New Roman"/>
                <w:szCs w:val="21"/>
              </w:rPr>
              <w:t>VOCs</w:t>
            </w:r>
          </w:p>
        </w:tc>
        <w:tc>
          <w:tcPr>
            <w:tcW w:w="59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1101" w:type="pct"/>
            <w:vMerge w:val="continue"/>
            <w:tcBorders>
              <w:tl2br w:val="nil"/>
              <w:tr2bl w:val="nil"/>
            </w:tcBorders>
            <w:vAlign w:val="center"/>
          </w:tcPr>
          <w:p>
            <w:pPr>
              <w:pStyle w:val="109"/>
              <w:spacing w:line="240" w:lineRule="auto"/>
              <w:jc w:val="center"/>
              <w:rPr>
                <w:rFonts w:eastAsia="宋体"/>
                <w:kern w:val="21"/>
                <w:sz w:val="21"/>
                <w:szCs w:val="21"/>
              </w:rPr>
            </w:pPr>
          </w:p>
        </w:tc>
        <w:tc>
          <w:tcPr>
            <w:tcW w:w="896"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2</w:t>
            </w:r>
          </w:p>
        </w:tc>
        <w:tc>
          <w:tcPr>
            <w:tcW w:w="604"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46"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74" w:type="pct"/>
            <w:vMerge w:val="continue"/>
            <w:tcBorders>
              <w:tl2br w:val="nil"/>
              <w:tr2bl w:val="nil"/>
            </w:tcBorders>
            <w:vAlign w:val="center"/>
          </w:tcPr>
          <w:p>
            <w:pPr>
              <w:pStyle w:val="109"/>
              <w:spacing w:line="240" w:lineRule="auto"/>
              <w:jc w:val="center"/>
              <w:rPr>
                <w:rFonts w:eastAsia="宋体"/>
                <w:kern w:val="21"/>
                <w:sz w:val="21"/>
                <w:szCs w:val="21"/>
              </w:rPr>
            </w:pPr>
          </w:p>
        </w:tc>
        <w:tc>
          <w:tcPr>
            <w:tcW w:w="482" w:type="pct"/>
            <w:tcBorders>
              <w:tl2br w:val="nil"/>
              <w:tr2bl w:val="nil"/>
            </w:tcBorders>
            <w:vAlign w:val="center"/>
          </w:tcPr>
          <w:p>
            <w:pPr>
              <w:jc w:val="center"/>
              <w:rPr>
                <w:rFonts w:cs="Times New Roman"/>
                <w:szCs w:val="21"/>
              </w:rPr>
            </w:pPr>
            <w:r>
              <w:rPr>
                <w:rFonts w:cs="Times New Roman"/>
                <w:szCs w:val="21"/>
              </w:rPr>
              <w:t>氨</w:t>
            </w:r>
          </w:p>
        </w:tc>
        <w:tc>
          <w:tcPr>
            <w:tcW w:w="593" w:type="pct"/>
            <w:vMerge w:val="continue"/>
            <w:tcBorders>
              <w:tl2br w:val="nil"/>
              <w:tr2bl w:val="nil"/>
            </w:tcBorders>
            <w:vAlign w:val="center"/>
          </w:tcPr>
          <w:p>
            <w:pPr>
              <w:pStyle w:val="109"/>
              <w:spacing w:line="240" w:lineRule="auto"/>
              <w:jc w:val="center"/>
              <w:rPr>
                <w:rFonts w:eastAsia="宋体"/>
                <w:kern w:val="21"/>
                <w:sz w:val="21"/>
                <w:szCs w:val="21"/>
              </w:rPr>
            </w:pPr>
          </w:p>
        </w:tc>
        <w:tc>
          <w:tcPr>
            <w:tcW w:w="1101" w:type="pct"/>
            <w:tcBorders>
              <w:tl2br w:val="nil"/>
              <w:tr2bl w:val="nil"/>
            </w:tcBorders>
            <w:vAlign w:val="center"/>
          </w:tcPr>
          <w:p>
            <w:pPr>
              <w:pStyle w:val="109"/>
              <w:spacing w:line="240" w:lineRule="auto"/>
              <w:jc w:val="center"/>
              <w:rPr>
                <w:rFonts w:eastAsia="宋体"/>
                <w:kern w:val="21"/>
                <w:sz w:val="21"/>
                <w:szCs w:val="21"/>
              </w:rPr>
            </w:pPr>
            <w:r>
              <w:rPr>
                <w:rFonts w:eastAsia="宋体"/>
                <w:sz w:val="21"/>
                <w:szCs w:val="21"/>
              </w:rPr>
              <w:t>《恶臭污染物排放标准》（GB14554-93）</w:t>
            </w:r>
          </w:p>
        </w:tc>
        <w:tc>
          <w:tcPr>
            <w:tcW w:w="896"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1.5</w:t>
            </w:r>
          </w:p>
        </w:tc>
        <w:tc>
          <w:tcPr>
            <w:tcW w:w="604"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0.004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7"/>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无组织排放总计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1" w:type="pct"/>
            <w:gridSpan w:val="2"/>
            <w:vMerge w:val="restar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无组织排放总计</w:t>
            </w:r>
          </w:p>
        </w:tc>
        <w:tc>
          <w:tcPr>
            <w:tcW w:w="3074" w:type="pct"/>
            <w:gridSpan w:val="4"/>
            <w:tcBorders>
              <w:tl2br w:val="nil"/>
              <w:tr2bl w:val="nil"/>
            </w:tcBorders>
            <w:vAlign w:val="center"/>
          </w:tcPr>
          <w:p>
            <w:pPr>
              <w:jc w:val="center"/>
              <w:rPr>
                <w:rFonts w:cs="Times New Roman"/>
                <w:szCs w:val="21"/>
              </w:rPr>
            </w:pPr>
            <w:r>
              <w:rPr>
                <w:rFonts w:cs="Times New Roman"/>
                <w:szCs w:val="21"/>
              </w:rPr>
              <w:t>甲醛</w:t>
            </w:r>
          </w:p>
        </w:tc>
        <w:tc>
          <w:tcPr>
            <w:tcW w:w="604"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1" w:type="pct"/>
            <w:gridSpan w:val="2"/>
            <w:vMerge w:val="continue"/>
            <w:tcBorders>
              <w:tl2br w:val="nil"/>
              <w:tr2bl w:val="nil"/>
            </w:tcBorders>
            <w:vAlign w:val="center"/>
          </w:tcPr>
          <w:p>
            <w:pPr>
              <w:pStyle w:val="109"/>
              <w:spacing w:line="240" w:lineRule="auto"/>
              <w:jc w:val="center"/>
              <w:rPr>
                <w:rFonts w:eastAsia="宋体"/>
                <w:kern w:val="21"/>
                <w:sz w:val="21"/>
                <w:szCs w:val="21"/>
              </w:rPr>
            </w:pPr>
          </w:p>
        </w:tc>
        <w:tc>
          <w:tcPr>
            <w:tcW w:w="3074" w:type="pct"/>
            <w:gridSpan w:val="4"/>
            <w:tcBorders>
              <w:tl2br w:val="nil"/>
              <w:tr2bl w:val="nil"/>
            </w:tcBorders>
            <w:vAlign w:val="center"/>
          </w:tcPr>
          <w:p>
            <w:pPr>
              <w:jc w:val="center"/>
              <w:rPr>
                <w:rFonts w:cs="Times New Roman"/>
                <w:szCs w:val="21"/>
              </w:rPr>
            </w:pPr>
            <w:r>
              <w:rPr>
                <w:rFonts w:cs="Times New Roman"/>
                <w:szCs w:val="21"/>
              </w:rPr>
              <w:t>VOCs</w:t>
            </w:r>
          </w:p>
        </w:tc>
        <w:tc>
          <w:tcPr>
            <w:tcW w:w="604"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21" w:type="pct"/>
            <w:gridSpan w:val="2"/>
            <w:vMerge w:val="continue"/>
            <w:tcBorders>
              <w:tl2br w:val="nil"/>
              <w:tr2bl w:val="nil"/>
            </w:tcBorders>
            <w:vAlign w:val="center"/>
          </w:tcPr>
          <w:p>
            <w:pPr>
              <w:pStyle w:val="109"/>
              <w:spacing w:line="240" w:lineRule="auto"/>
              <w:jc w:val="center"/>
              <w:rPr>
                <w:rFonts w:eastAsia="宋体"/>
                <w:kern w:val="21"/>
                <w:sz w:val="21"/>
                <w:szCs w:val="21"/>
              </w:rPr>
            </w:pPr>
          </w:p>
        </w:tc>
        <w:tc>
          <w:tcPr>
            <w:tcW w:w="3074" w:type="pct"/>
            <w:gridSpan w:val="4"/>
            <w:tcBorders>
              <w:tl2br w:val="nil"/>
              <w:tr2bl w:val="nil"/>
            </w:tcBorders>
            <w:vAlign w:val="center"/>
          </w:tcPr>
          <w:p>
            <w:pPr>
              <w:jc w:val="center"/>
              <w:rPr>
                <w:rFonts w:cs="Times New Roman"/>
                <w:szCs w:val="21"/>
              </w:rPr>
            </w:pPr>
            <w:r>
              <w:rPr>
                <w:rFonts w:cs="Times New Roman"/>
                <w:szCs w:val="21"/>
              </w:rPr>
              <w:t>氨</w:t>
            </w:r>
          </w:p>
        </w:tc>
        <w:tc>
          <w:tcPr>
            <w:tcW w:w="604" w:type="pct"/>
            <w:tcBorders>
              <w:tl2br w:val="nil"/>
              <w:tr2bl w:val="nil"/>
            </w:tcBorders>
            <w:vAlign w:val="center"/>
          </w:tcPr>
          <w:p>
            <w:pPr>
              <w:pStyle w:val="109"/>
              <w:spacing w:line="240" w:lineRule="auto"/>
              <w:jc w:val="center"/>
              <w:rPr>
                <w:rFonts w:eastAsia="宋体"/>
                <w:kern w:val="21"/>
                <w:sz w:val="21"/>
                <w:szCs w:val="21"/>
              </w:rPr>
            </w:pPr>
            <w:r>
              <w:rPr>
                <w:rFonts w:eastAsia="宋体"/>
                <w:kern w:val="21"/>
                <w:sz w:val="21"/>
                <w:szCs w:val="21"/>
              </w:rPr>
              <w:t>0.004</w:t>
            </w:r>
          </w:p>
        </w:tc>
      </w:tr>
    </w:tbl>
    <w:p>
      <w:pPr>
        <w:pStyle w:val="5"/>
        <w:rPr>
          <w:rFonts w:hint="default" w:ascii="Times New Roman" w:hAnsi="Times New Roman"/>
        </w:rPr>
      </w:pPr>
      <w:r>
        <w:rPr>
          <w:rFonts w:hint="default" w:ascii="Times New Roman" w:hAnsi="Times New Roman"/>
        </w:rPr>
        <w:t>4.5.3 污染物总排放量核算结果</w:t>
      </w:r>
    </w:p>
    <w:p>
      <w:pPr>
        <w:spacing w:line="360" w:lineRule="auto"/>
        <w:jc w:val="center"/>
        <w:rPr>
          <w:rFonts w:cs="Times New Roman"/>
          <w:b/>
          <w:bCs/>
          <w:sz w:val="24"/>
          <w:szCs w:val="24"/>
        </w:rPr>
      </w:pPr>
      <w:r>
        <w:rPr>
          <w:rFonts w:cs="Times New Roman"/>
          <w:b/>
          <w:bCs/>
          <w:sz w:val="24"/>
          <w:szCs w:val="24"/>
        </w:rPr>
        <w:t>表4.5-3 本项目大气污染物年排放量核算表</w:t>
      </w:r>
    </w:p>
    <w:tbl>
      <w:tblPr>
        <w:tblStyle w:val="26"/>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73"/>
        <w:gridCol w:w="3741"/>
        <w:gridCol w:w="435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0" w:type="pct"/>
            <w:tcBorders>
              <w:tl2br w:val="nil"/>
              <w:tr2bl w:val="nil"/>
            </w:tcBorders>
            <w:vAlign w:val="center"/>
          </w:tcPr>
          <w:p>
            <w:pPr>
              <w:widowControl/>
              <w:jc w:val="center"/>
              <w:textAlignment w:val="top"/>
              <w:rPr>
                <w:rFonts w:cs="Times New Roman"/>
                <w:b/>
                <w:bCs/>
                <w:szCs w:val="21"/>
              </w:rPr>
            </w:pPr>
            <w:r>
              <w:rPr>
                <w:rFonts w:cs="Times New Roman"/>
                <w:b/>
                <w:bCs/>
                <w:kern w:val="0"/>
                <w:szCs w:val="21"/>
                <w:lang w:bidi="ar"/>
              </w:rPr>
              <w:t>序号</w:t>
            </w:r>
          </w:p>
        </w:tc>
        <w:tc>
          <w:tcPr>
            <w:tcW w:w="1955" w:type="pct"/>
            <w:tcBorders>
              <w:tl2br w:val="nil"/>
              <w:tr2bl w:val="nil"/>
            </w:tcBorders>
            <w:vAlign w:val="center"/>
          </w:tcPr>
          <w:p>
            <w:pPr>
              <w:widowControl/>
              <w:jc w:val="center"/>
              <w:textAlignment w:val="top"/>
              <w:rPr>
                <w:rFonts w:cs="Times New Roman"/>
                <w:b/>
                <w:bCs/>
                <w:szCs w:val="21"/>
              </w:rPr>
            </w:pPr>
            <w:r>
              <w:rPr>
                <w:rFonts w:cs="Times New Roman"/>
                <w:b/>
                <w:bCs/>
                <w:kern w:val="0"/>
                <w:szCs w:val="21"/>
                <w:lang w:bidi="ar"/>
              </w:rPr>
              <w:t>污染物</w:t>
            </w:r>
          </w:p>
        </w:tc>
        <w:tc>
          <w:tcPr>
            <w:tcW w:w="2274" w:type="pct"/>
            <w:tcBorders>
              <w:tl2br w:val="nil"/>
              <w:tr2bl w:val="nil"/>
            </w:tcBorders>
            <w:vAlign w:val="center"/>
          </w:tcPr>
          <w:p>
            <w:pPr>
              <w:widowControl/>
              <w:jc w:val="center"/>
              <w:textAlignment w:val="top"/>
              <w:rPr>
                <w:rFonts w:cs="Times New Roman"/>
                <w:b/>
                <w:bCs/>
                <w:szCs w:val="21"/>
              </w:rPr>
            </w:pPr>
            <w:r>
              <w:rPr>
                <w:rFonts w:cs="Times New Roman"/>
                <w:b/>
                <w:bCs/>
                <w:kern w:val="0"/>
                <w:szCs w:val="21"/>
                <w:lang w:bidi="ar"/>
              </w:rPr>
              <w:t>年排放量（</w:t>
            </w:r>
            <w:r>
              <w:rPr>
                <w:rStyle w:val="102"/>
                <w:rFonts w:hint="default" w:ascii="Times New Roman" w:hAnsi="Times New Roman" w:cs="Times New Roman"/>
                <w:color w:val="auto"/>
                <w:lang w:bidi="ar"/>
              </w:rPr>
              <w:t>t/a</w:t>
            </w:r>
            <w:r>
              <w:rPr>
                <w:rStyle w:val="110"/>
                <w:rFonts w:hint="default" w:ascii="Times New Roman" w:hAnsi="Times New Roman" w:cs="Times New Roman"/>
                <w:color w:val="auto"/>
                <w:lang w:bidi="ar"/>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0" w:type="pct"/>
            <w:tcBorders>
              <w:tl2br w:val="nil"/>
              <w:tr2bl w:val="nil"/>
            </w:tcBorders>
            <w:vAlign w:val="center"/>
          </w:tcPr>
          <w:p>
            <w:pPr>
              <w:widowControl/>
              <w:jc w:val="center"/>
              <w:textAlignment w:val="top"/>
              <w:rPr>
                <w:rFonts w:cs="Times New Roman"/>
                <w:szCs w:val="21"/>
              </w:rPr>
            </w:pPr>
            <w:r>
              <w:rPr>
                <w:rFonts w:cs="Times New Roman"/>
                <w:kern w:val="0"/>
                <w:szCs w:val="21"/>
                <w:lang w:bidi="ar"/>
              </w:rPr>
              <w:t>1</w:t>
            </w:r>
          </w:p>
        </w:tc>
        <w:tc>
          <w:tcPr>
            <w:tcW w:w="374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14:textFill>
                  <w14:solidFill>
                    <w14:schemeClr w14:val="tx1"/>
                  </w14:solidFill>
                </w14:textFill>
              </w:rPr>
              <w:t>颗粒物</w:t>
            </w:r>
          </w:p>
        </w:tc>
        <w:tc>
          <w:tcPr>
            <w:tcW w:w="43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0.3</w:t>
            </w:r>
            <w:r>
              <w:rPr>
                <w:rFonts w:hint="eastAsia" w:cs="Times New Roman"/>
                <w:color w:val="000000" w:themeColor="text1"/>
                <w:szCs w:val="21"/>
                <w:lang w:val="en-US" w:eastAsia="zh-CN"/>
                <w14:textFill>
                  <w14:solidFill>
                    <w14:schemeClr w14:val="tx1"/>
                  </w14:solidFill>
                </w14:textFill>
              </w:rPr>
              <w:t>62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0" w:type="pct"/>
            <w:tcBorders>
              <w:tl2br w:val="nil"/>
              <w:tr2bl w:val="nil"/>
            </w:tcBorders>
            <w:vAlign w:val="center"/>
          </w:tcPr>
          <w:p>
            <w:pPr>
              <w:widowControl/>
              <w:jc w:val="center"/>
              <w:textAlignment w:val="top"/>
              <w:rPr>
                <w:rFonts w:cs="Times New Roman"/>
                <w:szCs w:val="21"/>
              </w:rPr>
            </w:pPr>
            <w:r>
              <w:rPr>
                <w:rFonts w:cs="Times New Roman"/>
                <w:kern w:val="0"/>
                <w:szCs w:val="21"/>
                <w:lang w:bidi="ar"/>
              </w:rPr>
              <w:t>2</w:t>
            </w:r>
          </w:p>
        </w:tc>
        <w:tc>
          <w:tcPr>
            <w:tcW w:w="374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甲醛</w:t>
            </w:r>
          </w:p>
        </w:tc>
        <w:tc>
          <w:tcPr>
            <w:tcW w:w="435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0.9</w:t>
            </w:r>
            <w:r>
              <w:rPr>
                <w:rFonts w:hint="eastAsia" w:cs="Times New Roman"/>
                <w:color w:val="000000" w:themeColor="text1"/>
                <w:szCs w:val="21"/>
                <w:lang w:val="en-US" w:eastAsia="zh-CN"/>
                <w14:textFill>
                  <w14:solidFill>
                    <w14:schemeClr w14:val="tx1"/>
                  </w14:solidFill>
                </w14:textFill>
              </w:rPr>
              <w:t>66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0" w:type="pct"/>
            <w:tcBorders>
              <w:tl2br w:val="nil"/>
              <w:tr2bl w:val="nil"/>
            </w:tcBorders>
            <w:vAlign w:val="center"/>
          </w:tcPr>
          <w:p>
            <w:pPr>
              <w:widowControl/>
              <w:jc w:val="center"/>
              <w:textAlignment w:val="top"/>
              <w:rPr>
                <w:rFonts w:cs="Times New Roman"/>
                <w:szCs w:val="21"/>
              </w:rPr>
            </w:pPr>
            <w:r>
              <w:rPr>
                <w:rFonts w:cs="Times New Roman"/>
                <w:kern w:val="0"/>
                <w:szCs w:val="21"/>
                <w:lang w:bidi="ar"/>
              </w:rPr>
              <w:t>3</w:t>
            </w:r>
          </w:p>
        </w:tc>
        <w:tc>
          <w:tcPr>
            <w:tcW w:w="3741" w:type="dxa"/>
            <w:tcBorders>
              <w:tl2br w:val="nil"/>
              <w:tr2bl w:val="nil"/>
            </w:tcBorders>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VOCs</w:t>
            </w:r>
          </w:p>
        </w:tc>
        <w:tc>
          <w:tcPr>
            <w:tcW w:w="4351" w:type="dxa"/>
            <w:tcBorders>
              <w:tl2br w:val="nil"/>
              <w:tr2bl w:val="nil"/>
            </w:tcBorders>
            <w:noWrap/>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0.013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770" w:type="pct"/>
            <w:tcBorders>
              <w:tl2br w:val="nil"/>
              <w:tr2bl w:val="nil"/>
            </w:tcBorders>
            <w:noWrap/>
            <w:vAlign w:val="center"/>
          </w:tcPr>
          <w:p>
            <w:pPr>
              <w:widowControl/>
              <w:jc w:val="center"/>
              <w:textAlignment w:val="center"/>
              <w:rPr>
                <w:rFonts w:cs="Times New Roman"/>
                <w:szCs w:val="21"/>
              </w:rPr>
            </w:pPr>
            <w:r>
              <w:rPr>
                <w:rFonts w:cs="Times New Roman"/>
                <w:kern w:val="0"/>
                <w:szCs w:val="21"/>
                <w:lang w:bidi="ar"/>
              </w:rPr>
              <w:t>4</w:t>
            </w:r>
          </w:p>
        </w:tc>
        <w:tc>
          <w:tcPr>
            <w:tcW w:w="3741" w:type="dxa"/>
            <w:tcBorders>
              <w:tl2br w:val="nil"/>
              <w:tr2bl w:val="nil"/>
            </w:tcBorders>
            <w:noWrap/>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氨</w:t>
            </w:r>
          </w:p>
        </w:tc>
        <w:tc>
          <w:tcPr>
            <w:tcW w:w="4351" w:type="dxa"/>
            <w:tcBorders>
              <w:tl2br w:val="nil"/>
              <w:tr2bl w:val="nil"/>
            </w:tcBorders>
            <w:noWrap/>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0.14</w:t>
            </w:r>
            <w:r>
              <w:rPr>
                <w:rFonts w:hint="eastAsia" w:cs="Times New Roman"/>
                <w:color w:val="000000" w:themeColor="text1"/>
                <w:szCs w:val="21"/>
                <w:lang w:val="en-US" w:eastAsia="zh-CN"/>
                <w14:textFill>
                  <w14:solidFill>
                    <w14:schemeClr w14:val="tx1"/>
                  </w14:solidFill>
                </w14:textFill>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tcPr>
          <w:p>
            <w:pPr>
              <w:widowControl/>
              <w:jc w:val="center"/>
              <w:textAlignment w:val="center"/>
              <w:rPr>
                <w:rFonts w:cs="Times New Roman"/>
                <w:szCs w:val="21"/>
              </w:rPr>
            </w:pPr>
            <w:r>
              <w:rPr>
                <w:rFonts w:cs="Times New Roman"/>
                <w:szCs w:val="21"/>
              </w:rPr>
              <w:t>5</w:t>
            </w:r>
          </w:p>
        </w:tc>
        <w:tc>
          <w:tcPr>
            <w:tcW w:w="3741"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SO</w:t>
            </w:r>
            <w:r>
              <w:rPr>
                <w:rFonts w:cs="Times New Roman"/>
                <w:color w:val="000000" w:themeColor="text1"/>
                <w:szCs w:val="21"/>
                <w:vertAlign w:val="subscript"/>
                <w14:textFill>
                  <w14:solidFill>
                    <w14:schemeClr w14:val="tx1"/>
                  </w14:solidFill>
                </w14:textFill>
              </w:rPr>
              <w:t>2</w:t>
            </w:r>
          </w:p>
        </w:tc>
        <w:tc>
          <w:tcPr>
            <w:tcW w:w="4351" w:type="dxa"/>
            <w:vAlign w:val="center"/>
          </w:tcPr>
          <w:p>
            <w:pPr>
              <w:jc w:val="center"/>
              <w:rPr>
                <w:rFonts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0" w:type="auto"/>
          </w:tcPr>
          <w:p>
            <w:pPr>
              <w:widowControl/>
              <w:jc w:val="center"/>
              <w:textAlignment w:val="center"/>
              <w:rPr>
                <w:rFonts w:hint="eastAsia" w:eastAsia="宋体" w:cs="Times New Roman"/>
                <w:szCs w:val="21"/>
                <w:lang w:val="en-US" w:eastAsia="zh-CN"/>
              </w:rPr>
            </w:pPr>
            <w:r>
              <w:rPr>
                <w:rFonts w:hint="eastAsia" w:cs="Times New Roman"/>
                <w:szCs w:val="21"/>
                <w:lang w:val="en-US" w:eastAsia="zh-CN"/>
              </w:rPr>
              <w:t>6</w:t>
            </w:r>
          </w:p>
        </w:tc>
        <w:tc>
          <w:tcPr>
            <w:tcW w:w="3741" w:type="dxa"/>
            <w:vAlign w:val="center"/>
          </w:tcPr>
          <w:p>
            <w:pPr>
              <w:jc w:val="center"/>
              <w:rPr>
                <w:rFonts w:cs="Times New Roman"/>
                <w:color w:val="000000" w:themeColor="text1"/>
                <w:szCs w:val="21"/>
                <w14:textFill>
                  <w14:solidFill>
                    <w14:schemeClr w14:val="tx1"/>
                  </w14:solidFill>
                </w14:textFill>
              </w:rPr>
            </w:pPr>
            <w:r>
              <w:rPr>
                <w:rFonts w:cs="Times New Roman"/>
                <w:color w:val="000000" w:themeColor="text1"/>
                <w:szCs w:val="21"/>
                <w14:textFill>
                  <w14:solidFill>
                    <w14:schemeClr w14:val="tx1"/>
                  </w14:solidFill>
                </w14:textFill>
              </w:rPr>
              <w:t>NOx</w:t>
            </w:r>
          </w:p>
        </w:tc>
        <w:tc>
          <w:tcPr>
            <w:tcW w:w="4351" w:type="dxa"/>
            <w:vAlign w:val="center"/>
          </w:tcPr>
          <w:p>
            <w:pPr>
              <w:jc w:val="center"/>
              <w:rPr>
                <w:rFonts w:cs="Times New Roman"/>
                <w:color w:val="000000" w:themeColor="text1"/>
                <w:kern w:val="0"/>
                <w:szCs w:val="21"/>
                <w:lang w:bidi="ar"/>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4.094</w:t>
            </w:r>
          </w:p>
        </w:tc>
      </w:tr>
    </w:tbl>
    <w:p>
      <w:pPr>
        <w:pStyle w:val="4"/>
        <w:rPr>
          <w:rFonts w:cs="Times New Roman"/>
        </w:rPr>
      </w:pPr>
      <w:r>
        <w:rPr>
          <w:rFonts w:cs="Times New Roman"/>
        </w:rPr>
        <w:t>4.6 大气环境防护距离</w:t>
      </w:r>
    </w:p>
    <w:p>
      <w:pPr>
        <w:spacing w:line="360" w:lineRule="auto"/>
        <w:ind w:firstLine="480" w:firstLineChars="200"/>
        <w:rPr>
          <w:rFonts w:cs="Times New Roman"/>
          <w:sz w:val="24"/>
          <w:szCs w:val="24"/>
        </w:rPr>
      </w:pPr>
      <w:r>
        <w:rPr>
          <w:rFonts w:cs="Times New Roman"/>
          <w:sz w:val="24"/>
          <w:szCs w:val="32"/>
          <w:lang w:bidi="ar"/>
        </w:rPr>
        <w:t>根据《环境影响评价技术导则—大气环境》（HJ2.2-2018）要求，大气环境防护距离需要根据全厂污染源进行短期预测确定。采用AERMOD模式对厂区大气防护距离进行模拟，经预测，本项目排放大气污染物厂界浓度满足标准限值，且厂界外大气污染物浓度均满足环境空气质量标准，因此无需设置大气环境防护距离。</w:t>
      </w:r>
    </w:p>
    <w:p>
      <w:pPr>
        <w:pStyle w:val="4"/>
        <w:rPr>
          <w:rFonts w:cs="Times New Roman"/>
        </w:rPr>
      </w:pPr>
      <w:r>
        <w:rPr>
          <w:rFonts w:cs="Times New Roman"/>
        </w:rPr>
        <w:t>4.7 卫生防护距离</w:t>
      </w:r>
    </w:p>
    <w:p>
      <w:pPr>
        <w:spacing w:line="360" w:lineRule="auto"/>
        <w:ind w:firstLine="480" w:firstLineChars="200"/>
        <w:rPr>
          <w:rFonts w:cs="Times New Roman"/>
          <w:sz w:val="24"/>
          <w:szCs w:val="24"/>
        </w:rPr>
      </w:pPr>
      <w:r>
        <w:rPr>
          <w:rFonts w:cs="Times New Roman"/>
          <w:sz w:val="24"/>
          <w:szCs w:val="24"/>
        </w:rPr>
        <w:t>根据生态环境部环境工程评估中心2021年2月发布的《&lt;环境影响评价技术导则大气环境&gt;（HJ2.2-2018）常见问题与解答》第四章第（四）条如何设置卫生防护距离：《环境影响评价技术导则大气环境》（HJ2.2-2018）不涉及卫生防护距离计算，因此本次环评不划定卫生防护距离。</w:t>
      </w:r>
    </w:p>
    <w:p>
      <w:pPr>
        <w:pStyle w:val="4"/>
        <w:rPr>
          <w:rFonts w:cs="Times New Roman"/>
        </w:rPr>
      </w:pPr>
      <w:r>
        <w:rPr>
          <w:rFonts w:cs="Times New Roman"/>
        </w:rPr>
        <w:t>4.8 大气环境影响自查表</w:t>
      </w:r>
    </w:p>
    <w:p>
      <w:pPr>
        <w:spacing w:line="360" w:lineRule="auto"/>
        <w:ind w:firstLine="480" w:firstLineChars="200"/>
        <w:rPr>
          <w:rFonts w:cs="Times New Roman"/>
          <w:sz w:val="24"/>
          <w:szCs w:val="24"/>
        </w:rPr>
      </w:pPr>
      <w:r>
        <w:rPr>
          <w:rFonts w:cs="Times New Roman"/>
          <w:sz w:val="24"/>
          <w:szCs w:val="24"/>
        </w:rPr>
        <w:t>本项目大气环境影响自查表见下表所示。</w:t>
      </w:r>
    </w:p>
    <w:p>
      <w:pPr>
        <w:spacing w:line="360" w:lineRule="auto"/>
        <w:jc w:val="center"/>
        <w:rPr>
          <w:rFonts w:cs="Times New Roman"/>
          <w:b/>
          <w:bCs/>
          <w:sz w:val="24"/>
          <w:szCs w:val="24"/>
        </w:rPr>
      </w:pPr>
      <w:r>
        <w:rPr>
          <w:rFonts w:cs="Times New Roman"/>
          <w:b/>
          <w:bCs/>
          <w:sz w:val="24"/>
          <w:szCs w:val="24"/>
        </w:rPr>
        <w:t>表 4.8-1  大气环境影响自查表</w:t>
      </w:r>
    </w:p>
    <w:tbl>
      <w:tblPr>
        <w:tblStyle w:val="2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Layout w:type="autofit"/>
        <w:tblCellMar>
          <w:top w:w="0" w:type="dxa"/>
          <w:left w:w="28" w:type="dxa"/>
          <w:bottom w:w="0" w:type="dxa"/>
          <w:right w:w="28" w:type="dxa"/>
        </w:tblCellMar>
      </w:tblPr>
      <w:tblGrid>
        <w:gridCol w:w="886"/>
        <w:gridCol w:w="1375"/>
        <w:gridCol w:w="1091"/>
        <w:gridCol w:w="222"/>
        <w:gridCol w:w="115"/>
        <w:gridCol w:w="209"/>
        <w:gridCol w:w="88"/>
        <w:gridCol w:w="141"/>
        <w:gridCol w:w="346"/>
        <w:gridCol w:w="324"/>
        <w:gridCol w:w="320"/>
        <w:gridCol w:w="184"/>
        <w:gridCol w:w="292"/>
        <w:gridCol w:w="90"/>
        <w:gridCol w:w="299"/>
        <w:gridCol w:w="562"/>
        <w:gridCol w:w="171"/>
        <w:gridCol w:w="293"/>
        <w:gridCol w:w="88"/>
        <w:gridCol w:w="192"/>
        <w:gridCol w:w="653"/>
        <w:gridCol w:w="30"/>
        <w:gridCol w:w="145"/>
        <w:gridCol w:w="310"/>
        <w:gridCol w:w="126"/>
        <w:gridCol w:w="252"/>
        <w:gridCol w:w="601"/>
      </w:tblGrid>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1202" w:type="pct"/>
            <w:gridSpan w:val="2"/>
            <w:tcBorders>
              <w:tl2br w:val="nil"/>
              <w:tr2bl w:val="nil"/>
            </w:tcBorders>
            <w:vAlign w:val="center"/>
          </w:tcPr>
          <w:p>
            <w:pPr>
              <w:pStyle w:val="108"/>
              <w:rPr>
                <w:rFonts w:cs="Times New Roman"/>
                <w:b/>
                <w:bCs/>
              </w:rPr>
            </w:pPr>
            <w:r>
              <w:rPr>
                <w:rFonts w:cs="Times New Roman"/>
                <w:b/>
                <w:bCs/>
              </w:rPr>
              <w:t>工作内容</w:t>
            </w:r>
          </w:p>
        </w:tc>
        <w:tc>
          <w:tcPr>
            <w:tcW w:w="3797" w:type="pct"/>
            <w:gridSpan w:val="25"/>
            <w:tcBorders>
              <w:tl2br w:val="nil"/>
              <w:tr2bl w:val="nil"/>
            </w:tcBorders>
            <w:vAlign w:val="center"/>
          </w:tcPr>
          <w:p>
            <w:pPr>
              <w:pStyle w:val="108"/>
              <w:rPr>
                <w:rFonts w:cs="Times New Roman"/>
                <w:b/>
                <w:bCs/>
              </w:rPr>
            </w:pPr>
            <w:r>
              <w:rPr>
                <w:rFonts w:cs="Times New Roman"/>
                <w:b/>
                <w:bCs/>
              </w:rPr>
              <w:t>自查项目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tl2br w:val="nil"/>
              <w:tr2bl w:val="nil"/>
            </w:tcBorders>
            <w:vAlign w:val="center"/>
          </w:tcPr>
          <w:p>
            <w:pPr>
              <w:pStyle w:val="108"/>
              <w:rPr>
                <w:rFonts w:cs="Times New Roman"/>
              </w:rPr>
            </w:pPr>
            <w:r>
              <w:rPr>
                <w:rFonts w:cs="Times New Roman"/>
              </w:rPr>
              <w:t>评价等级与范围</w:t>
            </w:r>
          </w:p>
        </w:tc>
        <w:tc>
          <w:tcPr>
            <w:tcW w:w="730" w:type="pct"/>
            <w:tcBorders>
              <w:tl2br w:val="nil"/>
              <w:tr2bl w:val="nil"/>
            </w:tcBorders>
            <w:vAlign w:val="center"/>
          </w:tcPr>
          <w:p>
            <w:pPr>
              <w:pStyle w:val="108"/>
              <w:rPr>
                <w:rFonts w:cs="Times New Roman"/>
              </w:rPr>
            </w:pPr>
            <w:r>
              <w:rPr>
                <w:rFonts w:cs="Times New Roman"/>
              </w:rPr>
              <w:t>评价等级</w:t>
            </w:r>
          </w:p>
        </w:tc>
        <w:tc>
          <w:tcPr>
            <w:tcW w:w="1616" w:type="pct"/>
            <w:gridSpan w:val="10"/>
            <w:tcBorders>
              <w:tl2br w:val="nil"/>
              <w:tr2bl w:val="nil"/>
            </w:tcBorders>
            <w:vAlign w:val="center"/>
          </w:tcPr>
          <w:p>
            <w:pPr>
              <w:pStyle w:val="108"/>
              <w:rPr>
                <w:rFonts w:cs="Times New Roman"/>
              </w:rPr>
            </w:pPr>
            <w:r>
              <w:rPr>
                <w:rFonts w:cs="Times New Roman"/>
              </w:rPr>
              <w:t>一级□</w:t>
            </w:r>
          </w:p>
        </w:tc>
        <w:tc>
          <w:tcPr>
            <w:tcW w:w="1662" w:type="pct"/>
            <w:gridSpan w:val="12"/>
            <w:tcBorders>
              <w:tl2br w:val="nil"/>
              <w:tr2bl w:val="nil"/>
            </w:tcBorders>
            <w:vAlign w:val="center"/>
          </w:tcPr>
          <w:p>
            <w:pPr>
              <w:pStyle w:val="108"/>
              <w:rPr>
                <w:rFonts w:cs="Times New Roman"/>
              </w:rPr>
            </w:pPr>
            <w:r>
              <w:rPr>
                <w:rFonts w:cs="Times New Roman"/>
              </w:rPr>
              <w:t>二级√</w:t>
            </w:r>
          </w:p>
        </w:tc>
        <w:tc>
          <w:tcPr>
            <w:tcW w:w="518" w:type="pct"/>
            <w:gridSpan w:val="3"/>
            <w:tcBorders>
              <w:tl2br w:val="nil"/>
              <w:tr2bl w:val="nil"/>
            </w:tcBorders>
            <w:vAlign w:val="center"/>
          </w:tcPr>
          <w:p>
            <w:pPr>
              <w:pStyle w:val="108"/>
              <w:rPr>
                <w:rFonts w:cs="Times New Roman"/>
              </w:rPr>
            </w:pPr>
            <w:r>
              <w:rPr>
                <w:rFonts w:cs="Times New Roman"/>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评价范围</w:t>
            </w:r>
          </w:p>
        </w:tc>
        <w:tc>
          <w:tcPr>
            <w:tcW w:w="1616" w:type="pct"/>
            <w:gridSpan w:val="10"/>
            <w:tcBorders>
              <w:tl2br w:val="nil"/>
              <w:tr2bl w:val="nil"/>
            </w:tcBorders>
            <w:vAlign w:val="center"/>
          </w:tcPr>
          <w:p>
            <w:pPr>
              <w:pStyle w:val="108"/>
              <w:rPr>
                <w:rFonts w:cs="Times New Roman"/>
              </w:rPr>
            </w:pPr>
            <w:r>
              <w:rPr>
                <w:rFonts w:cs="Times New Roman"/>
              </w:rPr>
              <w:t>边长=50km□</w:t>
            </w:r>
          </w:p>
        </w:tc>
        <w:tc>
          <w:tcPr>
            <w:tcW w:w="1662" w:type="pct"/>
            <w:gridSpan w:val="12"/>
            <w:tcBorders>
              <w:tl2br w:val="nil"/>
              <w:tr2bl w:val="nil"/>
            </w:tcBorders>
            <w:vAlign w:val="center"/>
          </w:tcPr>
          <w:p>
            <w:pPr>
              <w:pStyle w:val="108"/>
              <w:rPr>
                <w:rFonts w:cs="Times New Roman"/>
              </w:rPr>
            </w:pPr>
            <w:r>
              <w:rPr>
                <w:rFonts w:cs="Times New Roman"/>
              </w:rPr>
              <w:t>边长5km√</w:t>
            </w:r>
          </w:p>
        </w:tc>
        <w:tc>
          <w:tcPr>
            <w:tcW w:w="518" w:type="pct"/>
            <w:gridSpan w:val="3"/>
            <w:tcBorders>
              <w:tl2br w:val="nil"/>
              <w:tr2bl w:val="nil"/>
            </w:tcBorders>
            <w:vAlign w:val="center"/>
          </w:tcPr>
          <w:p>
            <w:pPr>
              <w:pStyle w:val="108"/>
              <w:rPr>
                <w:rFonts w:cs="Times New Roman"/>
              </w:rPr>
            </w:pPr>
            <w:r>
              <w:rPr>
                <w:rFonts w:cs="Times New Roman"/>
              </w:rPr>
              <w:t>边长=5 km□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tl2br w:val="nil"/>
              <w:tr2bl w:val="nil"/>
            </w:tcBorders>
            <w:vAlign w:val="center"/>
          </w:tcPr>
          <w:p>
            <w:pPr>
              <w:pStyle w:val="108"/>
              <w:rPr>
                <w:rFonts w:cs="Times New Roman"/>
              </w:rPr>
            </w:pPr>
            <w:r>
              <w:rPr>
                <w:rFonts w:cs="Times New Roman"/>
              </w:rPr>
              <w:t>评价因子</w:t>
            </w:r>
          </w:p>
        </w:tc>
        <w:tc>
          <w:tcPr>
            <w:tcW w:w="730" w:type="pct"/>
            <w:tcBorders>
              <w:tl2br w:val="nil"/>
              <w:tr2bl w:val="nil"/>
            </w:tcBorders>
            <w:vAlign w:val="center"/>
          </w:tcPr>
          <w:p>
            <w:pPr>
              <w:pStyle w:val="108"/>
              <w:rPr>
                <w:rFonts w:cs="Times New Roman"/>
              </w:rPr>
            </w:pPr>
            <w:r>
              <w:rPr>
                <w:rFonts w:cs="Times New Roman"/>
              </w:rPr>
              <w:t>SO</w:t>
            </w:r>
            <w:r>
              <w:rPr>
                <w:rFonts w:cs="Times New Roman"/>
                <w:vertAlign w:val="subscript"/>
              </w:rPr>
              <w:t>2</w:t>
            </w:r>
            <w:r>
              <w:rPr>
                <w:rFonts w:cs="Times New Roman"/>
              </w:rPr>
              <w:t xml:space="preserve"> +NOx排放量</w:t>
            </w:r>
          </w:p>
        </w:tc>
        <w:tc>
          <w:tcPr>
            <w:tcW w:w="870" w:type="pct"/>
            <w:gridSpan w:val="4"/>
            <w:tcBorders>
              <w:tl2br w:val="nil"/>
              <w:tr2bl w:val="nil"/>
            </w:tcBorders>
            <w:vAlign w:val="center"/>
          </w:tcPr>
          <w:p>
            <w:pPr>
              <w:pStyle w:val="108"/>
              <w:rPr>
                <w:rFonts w:cs="Times New Roman"/>
              </w:rPr>
            </w:pPr>
            <w:r>
              <w:rPr>
                <w:rFonts w:cs="Times New Roman"/>
              </w:rPr>
              <w:t>≥ 2000t/a□</w:t>
            </w:r>
          </w:p>
        </w:tc>
        <w:tc>
          <w:tcPr>
            <w:tcW w:w="2407" w:type="pct"/>
            <w:gridSpan w:val="18"/>
            <w:tcBorders>
              <w:tl2br w:val="nil"/>
              <w:tr2bl w:val="nil"/>
            </w:tcBorders>
            <w:vAlign w:val="center"/>
          </w:tcPr>
          <w:p>
            <w:pPr>
              <w:pStyle w:val="108"/>
              <w:rPr>
                <w:rFonts w:cs="Times New Roman"/>
              </w:rPr>
            </w:pPr>
            <w:r>
              <w:rPr>
                <w:rFonts w:cs="Times New Roman"/>
              </w:rPr>
              <w:t>500 ~ 2000t/a□</w:t>
            </w:r>
          </w:p>
        </w:tc>
        <w:tc>
          <w:tcPr>
            <w:tcW w:w="518" w:type="pct"/>
            <w:gridSpan w:val="3"/>
            <w:tcBorders>
              <w:tl2br w:val="nil"/>
              <w:tr2bl w:val="nil"/>
            </w:tcBorders>
            <w:vAlign w:val="center"/>
          </w:tcPr>
          <w:p>
            <w:pPr>
              <w:pStyle w:val="108"/>
              <w:rPr>
                <w:rFonts w:cs="Times New Roman"/>
              </w:rPr>
            </w:pPr>
            <w:r>
              <w:rPr>
                <w:rFonts w:cs="Times New Roman"/>
              </w:rPr>
              <w:t>＜500 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评价因子</w:t>
            </w:r>
          </w:p>
        </w:tc>
        <w:tc>
          <w:tcPr>
            <w:tcW w:w="2368" w:type="pct"/>
            <w:gridSpan w:val="15"/>
            <w:tcBorders>
              <w:tl2br w:val="nil"/>
              <w:tr2bl w:val="nil"/>
            </w:tcBorders>
            <w:vAlign w:val="center"/>
          </w:tcPr>
          <w:p>
            <w:pPr>
              <w:pStyle w:val="108"/>
              <w:rPr>
                <w:rFonts w:cs="Times New Roman"/>
              </w:rPr>
            </w:pPr>
            <w:r>
              <w:rPr>
                <w:rFonts w:cs="Times New Roman"/>
              </w:rPr>
              <w:t>基本污染物: SO</w:t>
            </w:r>
            <w:r>
              <w:rPr>
                <w:rFonts w:cs="Times New Roman"/>
                <w:vertAlign w:val="subscript"/>
              </w:rPr>
              <w:t>2</w:t>
            </w:r>
            <w:r>
              <w:rPr>
                <w:rFonts w:cs="Times New Roman"/>
              </w:rPr>
              <w:t>、NO</w:t>
            </w:r>
            <w:r>
              <w:rPr>
                <w:rFonts w:cs="Times New Roman"/>
                <w:vertAlign w:val="subscript"/>
              </w:rPr>
              <w:t>2</w:t>
            </w:r>
            <w:r>
              <w:rPr>
                <w:rFonts w:cs="Times New Roman"/>
              </w:rPr>
              <w:t>、PM</w:t>
            </w:r>
            <w:r>
              <w:rPr>
                <w:rFonts w:cs="Times New Roman"/>
                <w:vertAlign w:val="subscript"/>
              </w:rPr>
              <w:t>10</w:t>
            </w:r>
            <w:r>
              <w:rPr>
                <w:rFonts w:cs="Times New Roman"/>
              </w:rPr>
              <w:t>、PM</w:t>
            </w:r>
            <w:r>
              <w:rPr>
                <w:rFonts w:cs="Times New Roman"/>
                <w:vertAlign w:val="subscript"/>
              </w:rPr>
              <w:t>2.5</w:t>
            </w:r>
            <w:r>
              <w:rPr>
                <w:rFonts w:cs="Times New Roman"/>
              </w:rPr>
              <w:t>、CO、O</w:t>
            </w:r>
            <w:r>
              <w:rPr>
                <w:rFonts w:cs="Times New Roman"/>
                <w:vertAlign w:val="subscript"/>
              </w:rPr>
              <w:t>3</w:t>
            </w:r>
          </w:p>
        </w:tc>
        <w:tc>
          <w:tcPr>
            <w:tcW w:w="1428" w:type="pct"/>
            <w:gridSpan w:val="10"/>
            <w:tcBorders>
              <w:tl2br w:val="nil"/>
              <w:tr2bl w:val="nil"/>
            </w:tcBorders>
            <w:vAlign w:val="center"/>
          </w:tcPr>
          <w:p>
            <w:pPr>
              <w:pStyle w:val="108"/>
              <w:rPr>
                <w:rFonts w:cs="Times New Roman"/>
              </w:rPr>
            </w:pPr>
            <w:r>
              <w:rPr>
                <w:rFonts w:cs="Times New Roman"/>
              </w:rPr>
              <w:t>包括二次PM</w:t>
            </w:r>
            <w:r>
              <w:rPr>
                <w:rFonts w:cs="Times New Roman"/>
                <w:vertAlign w:val="subscript"/>
              </w:rPr>
              <w:t>2.5</w:t>
            </w:r>
            <w:r>
              <w:rPr>
                <w:rFonts w:cs="Times New Roman"/>
              </w:rPr>
              <w:t>□</w:t>
            </w:r>
          </w:p>
          <w:p>
            <w:pPr>
              <w:pStyle w:val="108"/>
              <w:rPr>
                <w:rFonts w:cs="Times New Roman"/>
              </w:rPr>
            </w:pPr>
            <w:r>
              <w:rPr>
                <w:rFonts w:cs="Times New Roman"/>
              </w:rPr>
              <w:t>不包括二次PM</w:t>
            </w:r>
            <w:r>
              <w:rPr>
                <w:rFonts w:cs="Times New Roman"/>
                <w:vertAlign w:val="subscript"/>
              </w:rPr>
              <w:t>2.5</w:t>
            </w:r>
            <w:r>
              <w:rPr>
                <w:rFonts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tcBorders>
              <w:tl2br w:val="nil"/>
              <w:tr2bl w:val="nil"/>
            </w:tcBorders>
            <w:vAlign w:val="center"/>
          </w:tcPr>
          <w:p>
            <w:pPr>
              <w:pStyle w:val="108"/>
              <w:rPr>
                <w:rFonts w:cs="Times New Roman"/>
              </w:rPr>
            </w:pPr>
            <w:r>
              <w:rPr>
                <w:rFonts w:cs="Times New Roman"/>
              </w:rPr>
              <w:t>评价标准</w:t>
            </w:r>
          </w:p>
        </w:tc>
        <w:tc>
          <w:tcPr>
            <w:tcW w:w="730" w:type="pct"/>
            <w:tcBorders>
              <w:tl2br w:val="nil"/>
              <w:tr2bl w:val="nil"/>
            </w:tcBorders>
            <w:vAlign w:val="center"/>
          </w:tcPr>
          <w:p>
            <w:pPr>
              <w:pStyle w:val="108"/>
              <w:rPr>
                <w:rFonts w:cs="Times New Roman"/>
              </w:rPr>
            </w:pPr>
            <w:r>
              <w:rPr>
                <w:rFonts w:cs="Times New Roman"/>
              </w:rPr>
              <w:t>评价标准</w:t>
            </w:r>
          </w:p>
        </w:tc>
        <w:tc>
          <w:tcPr>
            <w:tcW w:w="1176" w:type="pct"/>
            <w:gridSpan w:val="7"/>
            <w:tcBorders>
              <w:tl2br w:val="nil"/>
              <w:tr2bl w:val="nil"/>
            </w:tcBorders>
            <w:vAlign w:val="center"/>
          </w:tcPr>
          <w:p>
            <w:pPr>
              <w:pStyle w:val="108"/>
              <w:rPr>
                <w:rFonts w:cs="Times New Roman"/>
              </w:rPr>
            </w:pPr>
            <w:r>
              <w:rPr>
                <w:rFonts w:cs="Times New Roman"/>
              </w:rPr>
              <w:t>国家标准√</w:t>
            </w:r>
          </w:p>
        </w:tc>
        <w:tc>
          <w:tcPr>
            <w:tcW w:w="1192" w:type="pct"/>
            <w:gridSpan w:val="8"/>
            <w:tcBorders>
              <w:tl2br w:val="nil"/>
              <w:tr2bl w:val="nil"/>
            </w:tcBorders>
            <w:vAlign w:val="center"/>
          </w:tcPr>
          <w:p>
            <w:pPr>
              <w:pStyle w:val="108"/>
              <w:rPr>
                <w:rFonts w:cs="Times New Roman"/>
              </w:rPr>
            </w:pPr>
            <w:r>
              <w:rPr>
                <w:rFonts w:cs="Times New Roman"/>
              </w:rPr>
              <w:t>地方标准□</w:t>
            </w:r>
          </w:p>
        </w:tc>
        <w:tc>
          <w:tcPr>
            <w:tcW w:w="652" w:type="pct"/>
            <w:gridSpan w:val="4"/>
            <w:tcBorders>
              <w:tl2br w:val="nil"/>
              <w:tr2bl w:val="nil"/>
            </w:tcBorders>
            <w:vAlign w:val="center"/>
          </w:tcPr>
          <w:p>
            <w:pPr>
              <w:pStyle w:val="108"/>
              <w:rPr>
                <w:rFonts w:cs="Times New Roman"/>
              </w:rPr>
            </w:pPr>
            <w:r>
              <w:rPr>
                <w:rFonts w:cs="Times New Roman"/>
              </w:rPr>
              <w:t>附录D☑</w:t>
            </w:r>
          </w:p>
        </w:tc>
        <w:tc>
          <w:tcPr>
            <w:tcW w:w="776" w:type="pct"/>
            <w:gridSpan w:val="6"/>
            <w:tcBorders>
              <w:tl2br w:val="nil"/>
              <w:tr2bl w:val="nil"/>
            </w:tcBorders>
            <w:vAlign w:val="center"/>
          </w:tcPr>
          <w:p>
            <w:pPr>
              <w:pStyle w:val="108"/>
              <w:rPr>
                <w:rFonts w:cs="Times New Roman"/>
              </w:rPr>
            </w:pPr>
            <w:r>
              <w:rPr>
                <w:rFonts w:cs="Times New Roman"/>
              </w:rPr>
              <w:t>其他标准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tl2br w:val="nil"/>
              <w:tr2bl w:val="nil"/>
            </w:tcBorders>
            <w:vAlign w:val="center"/>
          </w:tcPr>
          <w:p>
            <w:pPr>
              <w:pStyle w:val="108"/>
              <w:rPr>
                <w:rFonts w:cs="Times New Roman"/>
              </w:rPr>
            </w:pPr>
            <w:r>
              <w:rPr>
                <w:rFonts w:cs="Times New Roman"/>
              </w:rPr>
              <w:t>现状评价</w:t>
            </w:r>
          </w:p>
        </w:tc>
        <w:tc>
          <w:tcPr>
            <w:tcW w:w="730" w:type="pct"/>
            <w:tcBorders>
              <w:tl2br w:val="nil"/>
              <w:tr2bl w:val="nil"/>
            </w:tcBorders>
            <w:vAlign w:val="center"/>
          </w:tcPr>
          <w:p>
            <w:pPr>
              <w:pStyle w:val="108"/>
              <w:rPr>
                <w:rFonts w:cs="Times New Roman"/>
              </w:rPr>
            </w:pPr>
            <w:r>
              <w:rPr>
                <w:rFonts w:cs="Times New Roman"/>
              </w:rPr>
              <w:t>环境功能区</w:t>
            </w:r>
          </w:p>
        </w:tc>
        <w:tc>
          <w:tcPr>
            <w:tcW w:w="1348" w:type="pct"/>
            <w:gridSpan w:val="8"/>
            <w:tcBorders>
              <w:tl2br w:val="nil"/>
              <w:tr2bl w:val="nil"/>
            </w:tcBorders>
            <w:vAlign w:val="center"/>
          </w:tcPr>
          <w:p>
            <w:pPr>
              <w:pStyle w:val="108"/>
              <w:rPr>
                <w:rFonts w:cs="Times New Roman"/>
              </w:rPr>
            </w:pPr>
            <w:r>
              <w:rPr>
                <w:rFonts w:cs="Times New Roman"/>
              </w:rPr>
              <w:t>一类区□</w:t>
            </w:r>
          </w:p>
        </w:tc>
        <w:tc>
          <w:tcPr>
            <w:tcW w:w="1325" w:type="pct"/>
            <w:gridSpan w:val="10"/>
            <w:tcBorders>
              <w:tl2br w:val="nil"/>
              <w:tr2bl w:val="nil"/>
            </w:tcBorders>
            <w:vAlign w:val="center"/>
          </w:tcPr>
          <w:p>
            <w:pPr>
              <w:pStyle w:val="108"/>
              <w:rPr>
                <w:rFonts w:cs="Times New Roman"/>
              </w:rPr>
            </w:pPr>
            <w:r>
              <w:rPr>
                <w:rFonts w:cs="Times New Roman"/>
              </w:rPr>
              <w:t>二类区√</w:t>
            </w:r>
          </w:p>
        </w:tc>
        <w:tc>
          <w:tcPr>
            <w:tcW w:w="1123" w:type="pct"/>
            <w:gridSpan w:val="7"/>
            <w:tcBorders>
              <w:tl2br w:val="nil"/>
              <w:tr2bl w:val="nil"/>
            </w:tcBorders>
            <w:vAlign w:val="center"/>
          </w:tcPr>
          <w:p>
            <w:pPr>
              <w:pStyle w:val="108"/>
              <w:rPr>
                <w:rFonts w:cs="Times New Roman"/>
              </w:rPr>
            </w:pPr>
            <w:r>
              <w:rPr>
                <w:rFonts w:cs="Times New Roman"/>
              </w:rPr>
              <w:t>一类区和二类区□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评价基准年</w:t>
            </w:r>
          </w:p>
        </w:tc>
        <w:tc>
          <w:tcPr>
            <w:tcW w:w="3797" w:type="pct"/>
            <w:gridSpan w:val="25"/>
            <w:tcBorders>
              <w:tl2br w:val="nil"/>
              <w:tr2bl w:val="nil"/>
            </w:tcBorders>
            <w:vAlign w:val="center"/>
          </w:tcPr>
          <w:p>
            <w:pPr>
              <w:pStyle w:val="108"/>
              <w:rPr>
                <w:rFonts w:cs="Times New Roman"/>
              </w:rPr>
            </w:pPr>
            <w:r>
              <w:rPr>
                <w:rFonts w:cs="Times New Roman"/>
              </w:rPr>
              <w:t>2019年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环境空气质量现状调查数据来源</w:t>
            </w:r>
          </w:p>
        </w:tc>
        <w:tc>
          <w:tcPr>
            <w:tcW w:w="1348" w:type="pct"/>
            <w:gridSpan w:val="8"/>
            <w:tcBorders>
              <w:tl2br w:val="nil"/>
              <w:tr2bl w:val="nil"/>
            </w:tcBorders>
            <w:vAlign w:val="center"/>
          </w:tcPr>
          <w:p>
            <w:pPr>
              <w:pStyle w:val="108"/>
              <w:rPr>
                <w:rFonts w:cs="Times New Roman"/>
              </w:rPr>
            </w:pPr>
            <w:r>
              <w:rPr>
                <w:rFonts w:cs="Times New Roman"/>
              </w:rPr>
              <w:t>长期例行监测数据□</w:t>
            </w:r>
          </w:p>
        </w:tc>
        <w:tc>
          <w:tcPr>
            <w:tcW w:w="1672" w:type="pct"/>
            <w:gridSpan w:val="11"/>
            <w:tcBorders>
              <w:tl2br w:val="nil"/>
              <w:tr2bl w:val="nil"/>
            </w:tcBorders>
            <w:vAlign w:val="center"/>
          </w:tcPr>
          <w:p>
            <w:pPr>
              <w:pStyle w:val="108"/>
              <w:rPr>
                <w:rFonts w:cs="Times New Roman"/>
              </w:rPr>
            </w:pPr>
            <w:r>
              <w:rPr>
                <w:rFonts w:cs="Times New Roman"/>
              </w:rPr>
              <w:t>主管部门发布的数据√</w:t>
            </w:r>
          </w:p>
        </w:tc>
        <w:tc>
          <w:tcPr>
            <w:tcW w:w="776" w:type="pct"/>
            <w:gridSpan w:val="6"/>
            <w:tcBorders>
              <w:tl2br w:val="nil"/>
              <w:tr2bl w:val="nil"/>
            </w:tcBorders>
            <w:vAlign w:val="center"/>
          </w:tcPr>
          <w:p>
            <w:pPr>
              <w:pStyle w:val="108"/>
              <w:rPr>
                <w:rFonts w:cs="Times New Roman"/>
              </w:rPr>
            </w:pPr>
            <w:r>
              <w:rPr>
                <w:rFonts w:cs="Times New Roman"/>
              </w:rPr>
              <w:t>现状补充监测√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现状评价</w:t>
            </w:r>
          </w:p>
        </w:tc>
        <w:tc>
          <w:tcPr>
            <w:tcW w:w="2368" w:type="pct"/>
            <w:gridSpan w:val="15"/>
            <w:tcBorders>
              <w:tl2br w:val="nil"/>
              <w:tr2bl w:val="nil"/>
            </w:tcBorders>
            <w:vAlign w:val="center"/>
          </w:tcPr>
          <w:p>
            <w:pPr>
              <w:pStyle w:val="108"/>
              <w:rPr>
                <w:rFonts w:cs="Times New Roman"/>
              </w:rPr>
            </w:pPr>
            <w:r>
              <w:rPr>
                <w:rFonts w:cs="Times New Roman"/>
              </w:rPr>
              <w:t>达标区√</w:t>
            </w:r>
          </w:p>
        </w:tc>
        <w:tc>
          <w:tcPr>
            <w:tcW w:w="1428" w:type="pct"/>
            <w:gridSpan w:val="10"/>
            <w:tcBorders>
              <w:tl2br w:val="nil"/>
              <w:tr2bl w:val="nil"/>
            </w:tcBorders>
            <w:vAlign w:val="center"/>
          </w:tcPr>
          <w:p>
            <w:pPr>
              <w:pStyle w:val="108"/>
              <w:rPr>
                <w:rFonts w:cs="Times New Roman"/>
              </w:rPr>
            </w:pPr>
            <w:r>
              <w:rPr>
                <w:rFonts w:cs="Times New Roman"/>
              </w:rPr>
              <w:t>不达标区□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tcBorders>
              <w:tl2br w:val="nil"/>
              <w:tr2bl w:val="nil"/>
            </w:tcBorders>
            <w:vAlign w:val="center"/>
          </w:tcPr>
          <w:p>
            <w:pPr>
              <w:pStyle w:val="108"/>
              <w:rPr>
                <w:rFonts w:cs="Times New Roman"/>
              </w:rPr>
            </w:pPr>
            <w:r>
              <w:rPr>
                <w:rFonts w:cs="Times New Roman"/>
              </w:rPr>
              <w:t>污染源调查</w:t>
            </w:r>
          </w:p>
        </w:tc>
        <w:tc>
          <w:tcPr>
            <w:tcW w:w="730" w:type="pct"/>
            <w:tcBorders>
              <w:tl2br w:val="nil"/>
              <w:tr2bl w:val="nil"/>
            </w:tcBorders>
            <w:vAlign w:val="center"/>
          </w:tcPr>
          <w:p>
            <w:pPr>
              <w:pStyle w:val="108"/>
              <w:rPr>
                <w:rFonts w:cs="Times New Roman"/>
              </w:rPr>
            </w:pPr>
            <w:r>
              <w:rPr>
                <w:rFonts w:cs="Times New Roman"/>
              </w:rPr>
              <w:t>调查内容</w:t>
            </w:r>
          </w:p>
        </w:tc>
        <w:tc>
          <w:tcPr>
            <w:tcW w:w="1348" w:type="pct"/>
            <w:gridSpan w:val="8"/>
            <w:tcBorders>
              <w:tl2br w:val="nil"/>
              <w:tr2bl w:val="nil"/>
            </w:tcBorders>
            <w:vAlign w:val="center"/>
          </w:tcPr>
          <w:p>
            <w:pPr>
              <w:pStyle w:val="108"/>
              <w:rPr>
                <w:rFonts w:cs="Times New Roman"/>
              </w:rPr>
            </w:pPr>
            <w:r>
              <w:rPr>
                <w:rFonts w:cs="Times New Roman"/>
              </w:rPr>
              <w:t>本项目正常排放源   √</w:t>
            </w:r>
          </w:p>
          <w:p>
            <w:pPr>
              <w:pStyle w:val="108"/>
              <w:rPr>
                <w:rFonts w:cs="Times New Roman"/>
              </w:rPr>
            </w:pPr>
            <w:r>
              <w:rPr>
                <w:rFonts w:cs="Times New Roman"/>
              </w:rPr>
              <w:t>本项目非正常排放源 □</w:t>
            </w:r>
          </w:p>
          <w:p>
            <w:pPr>
              <w:pStyle w:val="108"/>
              <w:rPr>
                <w:rFonts w:cs="Times New Roman"/>
              </w:rPr>
            </w:pPr>
            <w:r>
              <w:rPr>
                <w:rFonts w:cs="Times New Roman"/>
              </w:rPr>
              <w:t>现有污染源         √</w:t>
            </w:r>
          </w:p>
        </w:tc>
        <w:tc>
          <w:tcPr>
            <w:tcW w:w="1019" w:type="pct"/>
            <w:gridSpan w:val="7"/>
            <w:tcBorders>
              <w:tl2br w:val="nil"/>
              <w:tr2bl w:val="nil"/>
            </w:tcBorders>
            <w:vAlign w:val="center"/>
          </w:tcPr>
          <w:p>
            <w:pPr>
              <w:pStyle w:val="108"/>
              <w:rPr>
                <w:rFonts w:cs="Times New Roman"/>
              </w:rPr>
            </w:pPr>
            <w:r>
              <w:rPr>
                <w:rFonts w:cs="Times New Roman"/>
              </w:rPr>
              <w:t>拟替代的污染源□</w:t>
            </w:r>
          </w:p>
        </w:tc>
        <w:tc>
          <w:tcPr>
            <w:tcW w:w="977" w:type="pct"/>
            <w:gridSpan w:val="8"/>
            <w:tcBorders>
              <w:tl2br w:val="nil"/>
              <w:tr2bl w:val="nil"/>
            </w:tcBorders>
            <w:vAlign w:val="center"/>
          </w:tcPr>
          <w:p>
            <w:pPr>
              <w:pStyle w:val="108"/>
              <w:rPr>
                <w:rFonts w:cs="Times New Roman"/>
              </w:rPr>
            </w:pPr>
            <w:r>
              <w:rPr>
                <w:rFonts w:cs="Times New Roman"/>
              </w:rPr>
              <w:t>其他在建、拟建项目污染源□</w:t>
            </w:r>
          </w:p>
        </w:tc>
        <w:tc>
          <w:tcPr>
            <w:tcW w:w="450" w:type="pct"/>
            <w:gridSpan w:val="2"/>
            <w:tcBorders>
              <w:tl2br w:val="nil"/>
              <w:tr2bl w:val="nil"/>
            </w:tcBorders>
            <w:vAlign w:val="center"/>
          </w:tcPr>
          <w:p>
            <w:pPr>
              <w:pStyle w:val="108"/>
              <w:rPr>
                <w:rFonts w:cs="Times New Roman"/>
              </w:rPr>
            </w:pPr>
            <w:r>
              <w:rPr>
                <w:rFonts w:cs="Times New Roman"/>
              </w:rPr>
              <w:t>区域污染源□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tl2br w:val="nil"/>
              <w:tr2bl w:val="nil"/>
            </w:tcBorders>
            <w:vAlign w:val="center"/>
          </w:tcPr>
          <w:p>
            <w:pPr>
              <w:pStyle w:val="108"/>
              <w:rPr>
                <w:rFonts w:cs="Times New Roman"/>
              </w:rPr>
            </w:pPr>
            <w:r>
              <w:rPr>
                <w:rFonts w:cs="Times New Roman"/>
              </w:rPr>
              <w:t>大气环境影响预测与评价</w:t>
            </w:r>
          </w:p>
        </w:tc>
        <w:tc>
          <w:tcPr>
            <w:tcW w:w="730" w:type="pct"/>
            <w:tcBorders>
              <w:tl2br w:val="nil"/>
              <w:tr2bl w:val="nil"/>
            </w:tcBorders>
            <w:vAlign w:val="center"/>
          </w:tcPr>
          <w:p>
            <w:pPr>
              <w:pStyle w:val="108"/>
              <w:rPr>
                <w:rFonts w:cs="Times New Roman"/>
              </w:rPr>
            </w:pPr>
            <w:r>
              <w:rPr>
                <w:rFonts w:cs="Times New Roman"/>
              </w:rPr>
              <w:t>预测模型</w:t>
            </w:r>
          </w:p>
        </w:tc>
        <w:tc>
          <w:tcPr>
            <w:tcW w:w="580" w:type="pct"/>
            <w:tcBorders>
              <w:tl2br w:val="nil"/>
              <w:tr2bl w:val="nil"/>
            </w:tcBorders>
            <w:vAlign w:val="center"/>
          </w:tcPr>
          <w:p>
            <w:pPr>
              <w:pStyle w:val="108"/>
              <w:rPr>
                <w:rFonts w:cs="Times New Roman"/>
              </w:rPr>
            </w:pPr>
            <w:r>
              <w:rPr>
                <w:rFonts w:cs="Times New Roman"/>
              </w:rPr>
              <w:t>AERMOD</w:t>
            </w:r>
          </w:p>
          <w:p>
            <w:pPr>
              <w:pStyle w:val="108"/>
              <w:rPr>
                <w:rFonts w:cs="Times New Roman"/>
              </w:rPr>
            </w:pPr>
            <w:r>
              <w:rPr>
                <w:rFonts w:cs="Times New Roman"/>
              </w:rPr>
              <w:t>□</w:t>
            </w:r>
          </w:p>
        </w:tc>
        <w:tc>
          <w:tcPr>
            <w:tcW w:w="411" w:type="pct"/>
            <w:gridSpan w:val="5"/>
            <w:tcBorders>
              <w:tl2br w:val="nil"/>
              <w:tr2bl w:val="nil"/>
            </w:tcBorders>
            <w:vAlign w:val="center"/>
          </w:tcPr>
          <w:p>
            <w:pPr>
              <w:pStyle w:val="108"/>
              <w:rPr>
                <w:rFonts w:cs="Times New Roman"/>
              </w:rPr>
            </w:pPr>
            <w:r>
              <w:rPr>
                <w:rFonts w:cs="Times New Roman"/>
              </w:rPr>
              <w:t>ADMS</w:t>
            </w:r>
          </w:p>
          <w:p>
            <w:pPr>
              <w:pStyle w:val="108"/>
              <w:rPr>
                <w:rFonts w:cs="Times New Roman"/>
              </w:rPr>
            </w:pPr>
            <w:r>
              <w:rPr>
                <w:rFonts w:cs="Times New Roman"/>
              </w:rPr>
              <w:t>□</w:t>
            </w:r>
          </w:p>
        </w:tc>
        <w:tc>
          <w:tcPr>
            <w:tcW w:w="779" w:type="pct"/>
            <w:gridSpan w:val="5"/>
            <w:tcBorders>
              <w:tl2br w:val="nil"/>
              <w:tr2bl w:val="nil"/>
            </w:tcBorders>
            <w:vAlign w:val="center"/>
          </w:tcPr>
          <w:p>
            <w:pPr>
              <w:pStyle w:val="108"/>
              <w:rPr>
                <w:rFonts w:cs="Times New Roman"/>
              </w:rPr>
            </w:pPr>
            <w:r>
              <w:rPr>
                <w:rFonts w:cs="Times New Roman"/>
              </w:rPr>
              <w:t>AUSTAL2000</w:t>
            </w:r>
          </w:p>
          <w:p>
            <w:pPr>
              <w:pStyle w:val="108"/>
              <w:rPr>
                <w:rFonts w:cs="Times New Roman"/>
              </w:rPr>
            </w:pPr>
            <w:r>
              <w:rPr>
                <w:rFonts w:cs="Times New Roman"/>
              </w:rPr>
              <w:t>□</w:t>
            </w:r>
          </w:p>
        </w:tc>
        <w:tc>
          <w:tcPr>
            <w:tcW w:w="753" w:type="pct"/>
            <w:gridSpan w:val="5"/>
            <w:tcBorders>
              <w:tl2br w:val="nil"/>
              <w:tr2bl w:val="nil"/>
            </w:tcBorders>
            <w:vAlign w:val="center"/>
          </w:tcPr>
          <w:p>
            <w:pPr>
              <w:pStyle w:val="108"/>
              <w:rPr>
                <w:rFonts w:cs="Times New Roman"/>
              </w:rPr>
            </w:pPr>
            <w:r>
              <w:rPr>
                <w:rFonts w:cs="Times New Roman"/>
              </w:rPr>
              <w:t>EDMS/AEDT</w:t>
            </w:r>
          </w:p>
          <w:p>
            <w:pPr>
              <w:pStyle w:val="108"/>
              <w:rPr>
                <w:rFonts w:cs="Times New Roman"/>
              </w:rPr>
            </w:pPr>
            <w:r>
              <w:rPr>
                <w:rFonts w:cs="Times New Roman"/>
              </w:rPr>
              <w:t>□</w:t>
            </w:r>
          </w:p>
        </w:tc>
        <w:tc>
          <w:tcPr>
            <w:tcW w:w="588" w:type="pct"/>
            <w:gridSpan w:val="5"/>
            <w:tcBorders>
              <w:tl2br w:val="nil"/>
              <w:tr2bl w:val="nil"/>
            </w:tcBorders>
            <w:vAlign w:val="center"/>
          </w:tcPr>
          <w:p>
            <w:pPr>
              <w:pStyle w:val="108"/>
              <w:rPr>
                <w:rFonts w:cs="Times New Roman"/>
              </w:rPr>
            </w:pPr>
            <w:r>
              <w:rPr>
                <w:rFonts w:cs="Times New Roman"/>
              </w:rPr>
              <w:t>CALPUFF□</w:t>
            </w:r>
          </w:p>
        </w:tc>
        <w:tc>
          <w:tcPr>
            <w:tcW w:w="366" w:type="pct"/>
            <w:gridSpan w:val="3"/>
            <w:tcBorders>
              <w:tl2br w:val="nil"/>
              <w:tr2bl w:val="nil"/>
            </w:tcBorders>
            <w:vAlign w:val="center"/>
          </w:tcPr>
          <w:p>
            <w:pPr>
              <w:pStyle w:val="108"/>
              <w:rPr>
                <w:rFonts w:cs="Times New Roman"/>
              </w:rPr>
            </w:pPr>
            <w:r>
              <w:rPr>
                <w:rFonts w:cs="Times New Roman"/>
              </w:rPr>
              <w:t>网格模型</w:t>
            </w:r>
          </w:p>
          <w:p>
            <w:pPr>
              <w:pStyle w:val="108"/>
              <w:rPr>
                <w:rFonts w:cs="Times New Roman"/>
              </w:rPr>
            </w:pPr>
            <w:r>
              <w:rPr>
                <w:rFonts w:cs="Times New Roman"/>
              </w:rPr>
              <w:t>□</w:t>
            </w:r>
          </w:p>
        </w:tc>
        <w:tc>
          <w:tcPr>
            <w:tcW w:w="317" w:type="pct"/>
            <w:tcBorders>
              <w:tl2br w:val="nil"/>
              <w:tr2bl w:val="nil"/>
            </w:tcBorders>
            <w:vAlign w:val="center"/>
          </w:tcPr>
          <w:p>
            <w:pPr>
              <w:pStyle w:val="108"/>
              <w:rPr>
                <w:rFonts w:cs="Times New Roman"/>
              </w:rPr>
            </w:pPr>
            <w:r>
              <w:rPr>
                <w:rFonts w:cs="Times New Roman"/>
              </w:rPr>
              <w:t>其他</w:t>
            </w:r>
          </w:p>
          <w:p>
            <w:pPr>
              <w:pStyle w:val="108"/>
              <w:rPr>
                <w:rFonts w:cs="Times New Roman"/>
              </w:rPr>
            </w:pPr>
            <w:r>
              <w:rPr>
                <w:rFonts w:cs="Times New Roman"/>
              </w:rPr>
              <w:sym w:font="Wingdings" w:char="00FE"/>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预测范围</w:t>
            </w:r>
          </w:p>
        </w:tc>
        <w:tc>
          <w:tcPr>
            <w:tcW w:w="992" w:type="pct"/>
            <w:gridSpan w:val="6"/>
            <w:tcBorders>
              <w:tl2br w:val="nil"/>
              <w:tr2bl w:val="nil"/>
            </w:tcBorders>
            <w:vAlign w:val="center"/>
          </w:tcPr>
          <w:p>
            <w:pPr>
              <w:pStyle w:val="108"/>
              <w:rPr>
                <w:rFonts w:cs="Times New Roman"/>
              </w:rPr>
            </w:pPr>
            <w:r>
              <w:rPr>
                <w:rFonts w:cs="Times New Roman"/>
              </w:rPr>
              <w:t>边长≥ 50km□</w:t>
            </w:r>
          </w:p>
        </w:tc>
        <w:tc>
          <w:tcPr>
            <w:tcW w:w="2121" w:type="pct"/>
            <w:gridSpan w:val="15"/>
            <w:tcBorders>
              <w:tl2br w:val="nil"/>
              <w:tr2bl w:val="nil"/>
            </w:tcBorders>
            <w:vAlign w:val="center"/>
          </w:tcPr>
          <w:p>
            <w:pPr>
              <w:pStyle w:val="108"/>
              <w:rPr>
                <w:rFonts w:cs="Times New Roman"/>
              </w:rPr>
            </w:pPr>
            <w:r>
              <w:rPr>
                <w:rFonts w:cs="Times New Roman"/>
              </w:rPr>
              <w:t>边长5～50km □</w:t>
            </w:r>
          </w:p>
        </w:tc>
        <w:tc>
          <w:tcPr>
            <w:tcW w:w="683" w:type="pct"/>
            <w:gridSpan w:val="4"/>
            <w:tcBorders>
              <w:tl2br w:val="nil"/>
              <w:tr2bl w:val="nil"/>
            </w:tcBorders>
            <w:vAlign w:val="center"/>
          </w:tcPr>
          <w:p>
            <w:pPr>
              <w:pStyle w:val="108"/>
              <w:rPr>
                <w:rFonts w:cs="Times New Roman"/>
              </w:rPr>
            </w:pPr>
            <w:r>
              <w:rPr>
                <w:rFonts w:cs="Times New Roman"/>
              </w:rPr>
              <w:t>边长=5km</w:t>
            </w:r>
            <w:r>
              <w:rPr>
                <w:rFonts w:cs="Times New Roman"/>
              </w:rPr>
              <w:sym w:font="Wingdings 2" w:char="0052"/>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预测因子</w:t>
            </w:r>
          </w:p>
        </w:tc>
        <w:tc>
          <w:tcPr>
            <w:tcW w:w="2368" w:type="pct"/>
            <w:gridSpan w:val="15"/>
            <w:tcBorders>
              <w:tl2br w:val="nil"/>
              <w:tr2bl w:val="nil"/>
            </w:tcBorders>
            <w:vAlign w:val="center"/>
          </w:tcPr>
          <w:p>
            <w:pPr>
              <w:pStyle w:val="108"/>
              <w:rPr>
                <w:rFonts w:cs="Times New Roman"/>
              </w:rPr>
            </w:pPr>
            <w:r>
              <w:rPr>
                <w:rFonts w:cs="Times New Roman"/>
              </w:rPr>
              <w:t>预测因（甲醛、VOCs、氨、SO</w:t>
            </w:r>
            <w:r>
              <w:rPr>
                <w:rFonts w:cs="Times New Roman"/>
                <w:vertAlign w:val="superscript"/>
              </w:rPr>
              <w:t>2</w:t>
            </w:r>
            <w:r>
              <w:rPr>
                <w:rFonts w:cs="Times New Roman"/>
              </w:rPr>
              <w:t>、NOx)</w:t>
            </w:r>
          </w:p>
        </w:tc>
        <w:tc>
          <w:tcPr>
            <w:tcW w:w="1428" w:type="pct"/>
            <w:gridSpan w:val="10"/>
            <w:tcBorders>
              <w:tl2br w:val="nil"/>
              <w:tr2bl w:val="nil"/>
            </w:tcBorders>
            <w:vAlign w:val="center"/>
          </w:tcPr>
          <w:p>
            <w:pPr>
              <w:pStyle w:val="108"/>
              <w:rPr>
                <w:rFonts w:cs="Times New Roman"/>
              </w:rPr>
            </w:pPr>
            <w:r>
              <w:rPr>
                <w:rFonts w:cs="Times New Roman"/>
              </w:rPr>
              <w:t>包括二次PM</w:t>
            </w:r>
            <w:r>
              <w:rPr>
                <w:rFonts w:cs="Times New Roman"/>
                <w:vertAlign w:val="subscript"/>
              </w:rPr>
              <w:t>2.5</w:t>
            </w:r>
            <w:r>
              <w:rPr>
                <w:rFonts w:cs="Times New Roman"/>
              </w:rPr>
              <w:t xml:space="preserve"> □</w:t>
            </w:r>
          </w:p>
          <w:p>
            <w:pPr>
              <w:pStyle w:val="108"/>
              <w:rPr>
                <w:rFonts w:cs="Times New Roman"/>
              </w:rPr>
            </w:pPr>
            <w:r>
              <w:rPr>
                <w:rFonts w:cs="Times New Roman"/>
              </w:rPr>
              <w:t>不包括二次PM</w:t>
            </w:r>
            <w:r>
              <w:rPr>
                <w:rFonts w:cs="Times New Roman"/>
                <w:vertAlign w:val="subscript"/>
              </w:rPr>
              <w:t>2.5</w:t>
            </w:r>
            <w:r>
              <w:rPr>
                <w:rFonts w:cs="Times New Roman"/>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正常排放短期浓度贡献值</w:t>
            </w:r>
          </w:p>
        </w:tc>
        <w:tc>
          <w:tcPr>
            <w:tcW w:w="2368" w:type="pct"/>
            <w:gridSpan w:val="15"/>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2"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最大占标率≤100%</w:t>
            </w:r>
            <w:r>
              <w:rPr>
                <w:rFonts w:cs="Times New Roman"/>
              </w:rPr>
              <w:sym w:font="Wingdings" w:char="00FE"/>
            </w:r>
          </w:p>
        </w:tc>
        <w:tc>
          <w:tcPr>
            <w:tcW w:w="1428" w:type="pct"/>
            <w:gridSpan w:val="10"/>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3"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最大占标率＞100%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vMerge w:val="restart"/>
            <w:tcBorders>
              <w:tl2br w:val="nil"/>
              <w:tr2bl w:val="nil"/>
            </w:tcBorders>
            <w:vAlign w:val="center"/>
          </w:tcPr>
          <w:p>
            <w:pPr>
              <w:pStyle w:val="108"/>
              <w:rPr>
                <w:rFonts w:cs="Times New Roman"/>
              </w:rPr>
            </w:pPr>
            <w:r>
              <w:rPr>
                <w:rFonts w:cs="Times New Roman"/>
              </w:rPr>
              <w:t>正常排放年均浓度贡献值</w:t>
            </w:r>
          </w:p>
        </w:tc>
        <w:tc>
          <w:tcPr>
            <w:tcW w:w="698" w:type="pct"/>
            <w:gridSpan w:val="2"/>
            <w:tcBorders>
              <w:tl2br w:val="nil"/>
              <w:tr2bl w:val="nil"/>
            </w:tcBorders>
            <w:vAlign w:val="center"/>
          </w:tcPr>
          <w:p>
            <w:pPr>
              <w:pStyle w:val="108"/>
              <w:rPr>
                <w:rFonts w:cs="Times New Roman"/>
              </w:rPr>
            </w:pPr>
            <w:r>
              <w:rPr>
                <w:rFonts w:cs="Times New Roman"/>
              </w:rPr>
              <w:t>一类区</w:t>
            </w:r>
          </w:p>
        </w:tc>
        <w:tc>
          <w:tcPr>
            <w:tcW w:w="1669" w:type="pct"/>
            <w:gridSpan w:val="13"/>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4"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最大占标率≤10%□</w:t>
            </w:r>
          </w:p>
        </w:tc>
        <w:tc>
          <w:tcPr>
            <w:tcW w:w="1428" w:type="pct"/>
            <w:gridSpan w:val="10"/>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5"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最大标率＞10%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vMerge w:val="continue"/>
            <w:tcBorders>
              <w:tl2br w:val="nil"/>
              <w:tr2bl w:val="nil"/>
            </w:tcBorders>
            <w:vAlign w:val="center"/>
          </w:tcPr>
          <w:p>
            <w:pPr>
              <w:pStyle w:val="108"/>
              <w:rPr>
                <w:rFonts w:cs="Times New Roman"/>
              </w:rPr>
            </w:pPr>
          </w:p>
        </w:tc>
        <w:tc>
          <w:tcPr>
            <w:tcW w:w="698" w:type="pct"/>
            <w:gridSpan w:val="2"/>
            <w:tcBorders>
              <w:tl2br w:val="nil"/>
              <w:tr2bl w:val="nil"/>
            </w:tcBorders>
            <w:vAlign w:val="center"/>
          </w:tcPr>
          <w:p>
            <w:pPr>
              <w:pStyle w:val="108"/>
              <w:rPr>
                <w:rFonts w:cs="Times New Roman"/>
              </w:rPr>
            </w:pPr>
            <w:r>
              <w:rPr>
                <w:rFonts w:cs="Times New Roman"/>
              </w:rPr>
              <w:t>二类区</w:t>
            </w:r>
          </w:p>
        </w:tc>
        <w:tc>
          <w:tcPr>
            <w:tcW w:w="2414" w:type="pct"/>
            <w:gridSpan w:val="19"/>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6"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最大占标率≤30%☑</w:t>
            </w:r>
          </w:p>
        </w:tc>
        <w:tc>
          <w:tcPr>
            <w:tcW w:w="683" w:type="pct"/>
            <w:gridSpan w:val="4"/>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7"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最大标率＞30%□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非正常排放1h浓度贡献值</w:t>
            </w:r>
          </w:p>
        </w:tc>
        <w:tc>
          <w:tcPr>
            <w:tcW w:w="917" w:type="pct"/>
            <w:gridSpan w:val="5"/>
            <w:tcBorders>
              <w:tl2br w:val="nil"/>
              <w:tr2bl w:val="nil"/>
            </w:tcBorders>
            <w:vAlign w:val="center"/>
          </w:tcPr>
          <w:p>
            <w:pPr>
              <w:pStyle w:val="108"/>
              <w:rPr>
                <w:rFonts w:cs="Times New Roman"/>
              </w:rPr>
            </w:pPr>
            <w:r>
              <w:rPr>
                <w:rFonts w:cs="Times New Roman"/>
              </w:rPr>
              <w:t>非正常持续时长</w:t>
            </w:r>
          </w:p>
          <w:p>
            <w:pPr>
              <w:pStyle w:val="108"/>
              <w:rPr>
                <w:rFonts w:cs="Times New Roman"/>
              </w:rPr>
            </w:pPr>
            <w:r>
              <w:rPr>
                <w:rFonts w:cs="Times New Roman"/>
              </w:rPr>
              <w:t>（  ）h</w:t>
            </w:r>
          </w:p>
        </w:tc>
        <w:tc>
          <w:tcPr>
            <w:tcW w:w="1654" w:type="pct"/>
            <w:gridSpan w:val="12"/>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8"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占标率≤100% □</w:t>
            </w:r>
          </w:p>
        </w:tc>
        <w:tc>
          <w:tcPr>
            <w:tcW w:w="1225" w:type="pct"/>
            <w:gridSpan w:val="8"/>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39"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占标率＞100%□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保证率日平均浓度和年平均浓度叠加值</w:t>
            </w:r>
          </w:p>
        </w:tc>
        <w:tc>
          <w:tcPr>
            <w:tcW w:w="1978" w:type="pct"/>
            <w:gridSpan w:val="13"/>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40"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 xml:space="preserve"> 达标□</w:t>
            </w:r>
          </w:p>
        </w:tc>
        <w:tc>
          <w:tcPr>
            <w:tcW w:w="1818" w:type="pct"/>
            <w:gridSpan w:val="12"/>
            <w:tcBorders>
              <w:tl2br w:val="nil"/>
              <w:tr2bl w:val="nil"/>
            </w:tcBorders>
            <w:vAlign w:val="center"/>
          </w:tcPr>
          <w:p>
            <w:pPr>
              <w:pStyle w:val="108"/>
              <w:rPr>
                <w:rFonts w:cs="Times New Roman"/>
              </w:rPr>
            </w:pPr>
            <w:r>
              <w:rPr>
                <w:rFonts w:cs="Times New Roman"/>
              </w:rPr>
              <w:fldChar w:fldCharType="begin"/>
            </w:r>
            <w:r>
              <w:rPr>
                <w:rFonts w:cs="Times New Roman"/>
              </w:rPr>
              <w:instrText xml:space="preserve"> QUOTE </w:instrText>
            </w:r>
            <w:r>
              <w:rPr>
                <w:rFonts w:cs="Times New Roman"/>
              </w:rPr>
              <w:pict>
                <v:shape id="_x0000_i1041" o:spt="75" type="#_x0000_t75" style="height:31.2pt;width:453.25pt;" filled="f" o:preferrelative="t" stroked="f" coordsize="21600,21600" equationxml="&lt;?xml version=&quot;1.0&quot; encoding=&quot;UTF-8&quot; standalone=&quot;yes&quot;?&gt;&#10;&#10;&lt;?mso-application progid=&quot;Word.Document&quot;?&gt;&#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CompressPunctuation&quot;/&gt;&lt;w:documentProtection w:enforcement=&quot;off&quot;/&gt;&lt;w:doNotEmbedSystemFonts/&gt;&lt;w:defaultTabStop w:val=&quot;420&quot;/&gt;&lt;w:drawingGridVerticalSpacing w:val=&quot;156&quot;/&gt;&lt;w:displayHorizontalDrawingGridEvery w:val=&quot;1&quot;/&gt;&lt;w:displayVerticalDrawingGridEvery w:val=&quot;1&quot;/&gt;&lt;w:compat&gt;&lt;w:adjustLineHeightInTable/&gt;&lt;w:ulTrailSpace/&gt;&lt;w:doNotExpandShiftReturn/&gt;&lt;w:balanceSingleByteDoubleByteWidth/&gt;&lt;w:useFELayout/&gt;&lt;w:spaceForUL/&gt;&lt;w:breakWrappedTables/&gt;&lt;w:dontGrowAutofit/&gt;&lt;w:useFELayout/&gt;&lt;/w:compat&gt;&lt;/w:docPr&gt;&lt;w:body&gt;&lt;wx:sect&gt;&lt;w:p&gt;&lt;m:oMathPara&gt;&lt;m:oMath&gt;&lt;m:sSub&gt;&lt;m:sSubPr&gt;&lt;m:ctrlPr&gt;&lt;w:rPr&gt;&lt;w:rFonts w:ascii=&quot;Cambria Math&quot; w:h-ansi=&quot;Cambria Math&quot; w:cs=&quot;Times New Roman&quot; w:hint=&quot;default&quot;/&gt;&lt;w:i/&gt;&lt;w:color w:val=&quot;auto&quot;/&gt;&lt;/w:rPr&gt;&lt;/m:ctrlPr&gt;&lt;/m:sSubPr&gt;&lt;m:e&gt;&lt;m:r&gt;&lt;w:rPr&gt;&lt;w:rFonts w:ascii=&quot;Cambria Math&quot; w:h-ansi=&quot;Cambria Math&quot; w:cs=&quot;Times New Roman&quot; w:hint=&quot;default&quot;/&gt;&lt;w:color w:val=&quot;auto&quot;/&gt;&lt;/w:rPr&gt;&lt;m:t&gt;C&lt;/m:t&gt;&lt;/m:r&gt;&lt;m:ctrlPr&gt;&lt;w:rPr&gt;&lt;w:rFonts w:ascii=&quot;Cambria Math&quot; w:h-ansi=&quot;Cambria Math&quot; w:cs=&quot;Times New Roman&quot; w:hint=&quot;default&quot;/&gt;&lt;w:i/&gt;&lt;w:color w:val=&quot;auto&quot;/&gt;&lt;/w:rPr&gt;&lt;/m:ctrlPr&gt;&lt;/m:e&gt;&lt;m:sub&gt;&lt;m:r&gt;&lt;m:rPr&gt;&lt;m:sty m:val=&quot;p&quot;/&gt;&lt;/m:rPr&gt;&lt;w:rPr&gt;&lt;w:rFonts w:ascii=&quot;Cambria Math&quot; w:h-ansi=&quot;Cambria Math&quot; w:cs=&quot;Times New Roman&quot; w:hint=&quot;default&quot;/&gt;&lt;w:color w:val=&quot;auto&quot;/&gt;&lt;/w:rPr&gt;&lt;m:t&gt;本项目&lt;/m:t&gt;&lt;/m:r&gt;&lt;m:ctrlPr&gt;&lt;w:rPr&gt;&lt;w:rFonts w:ascii=&quot;Cambria Math&quot; w:h-ansi=&quot;Cambria Math&quot; w:cs=&quot;Times=&quot;p=&quot;p Np&quot;/ew Roman&quot; w:hint=&quot;default&quot;/&gt;&lt;w:i/&gt;&lt;w:color w:val=&quot;auto&quot;/&gt;&lt;/w:rPr&gt;&lt;/m:ctrlPr&gt;&lt;/m:sub&gt;&lt;/m:sSub&gt;&lt;/m:oMath&gt;&lt;/m:oMathPara&gt;&lt;/w:p&gt;&lt;/wx:sect&gt;&lt;/w:body&gt;&lt;/w:wordDocument&gt;">
                  <v:path/>
                  <v:fill on="f" focussize="0,0"/>
                  <v:stroke on="f" joinstyle="miter"/>
                  <v:imagedata r:id="rId41" o:title=""/>
                  <o:lock v:ext="edit" aspectratio="f"/>
                  <w10:wrap type="none"/>
                  <w10:anchorlock/>
                </v:shape>
              </w:pict>
            </w:r>
            <w:r>
              <w:rPr>
                <w:rFonts w:cs="Times New Roman"/>
              </w:rPr>
              <w:instrText xml:space="preserve"> </w:instrText>
            </w:r>
            <w:r>
              <w:rPr>
                <w:rFonts w:cs="Times New Roman"/>
              </w:rPr>
              <w:fldChar w:fldCharType="separate"/>
            </w:r>
            <w:r>
              <w:rPr>
                <w:rFonts w:cs="Times New Roman"/>
              </w:rPr>
              <w:fldChar w:fldCharType="end"/>
            </w:r>
            <w:r>
              <w:rPr>
                <w:rFonts w:cs="Times New Roman"/>
              </w:rPr>
              <w:t xml:space="preserve"> 不达标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区域环境质量的整体变化情况</w:t>
            </w:r>
          </w:p>
        </w:tc>
        <w:tc>
          <w:tcPr>
            <w:tcW w:w="1978" w:type="pct"/>
            <w:gridSpan w:val="13"/>
            <w:tcBorders>
              <w:tl2br w:val="nil"/>
              <w:tr2bl w:val="nil"/>
            </w:tcBorders>
            <w:vAlign w:val="center"/>
          </w:tcPr>
          <w:p>
            <w:pPr>
              <w:pStyle w:val="108"/>
              <w:rPr>
                <w:rFonts w:cs="Times New Roman"/>
              </w:rPr>
            </w:pPr>
            <w:r>
              <w:rPr>
                <w:rFonts w:cs="Times New Roman"/>
              </w:rPr>
              <w:t>k ≤-20% □</w:t>
            </w:r>
          </w:p>
        </w:tc>
        <w:tc>
          <w:tcPr>
            <w:tcW w:w="1818" w:type="pct"/>
            <w:gridSpan w:val="12"/>
            <w:tcBorders>
              <w:tl2br w:val="nil"/>
              <w:tr2bl w:val="nil"/>
            </w:tcBorders>
            <w:vAlign w:val="center"/>
          </w:tcPr>
          <w:p>
            <w:pPr>
              <w:pStyle w:val="108"/>
              <w:rPr>
                <w:rFonts w:cs="Times New Roman"/>
              </w:rPr>
            </w:pPr>
            <w:r>
              <w:rPr>
                <w:rFonts w:cs="Times New Roman"/>
              </w:rPr>
              <w:t>k ＞-20%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tl2br w:val="nil"/>
              <w:tr2bl w:val="nil"/>
            </w:tcBorders>
            <w:vAlign w:val="center"/>
          </w:tcPr>
          <w:p>
            <w:pPr>
              <w:pStyle w:val="108"/>
              <w:rPr>
                <w:rFonts w:cs="Times New Roman"/>
              </w:rPr>
            </w:pPr>
            <w:r>
              <w:rPr>
                <w:rFonts w:cs="Times New Roman"/>
              </w:rPr>
              <w:t>环境监测计划</w:t>
            </w:r>
          </w:p>
        </w:tc>
        <w:tc>
          <w:tcPr>
            <w:tcW w:w="730" w:type="pct"/>
            <w:tcBorders>
              <w:tl2br w:val="nil"/>
              <w:tr2bl w:val="nil"/>
            </w:tcBorders>
            <w:vAlign w:val="center"/>
          </w:tcPr>
          <w:p>
            <w:pPr>
              <w:pStyle w:val="108"/>
              <w:rPr>
                <w:rFonts w:cs="Times New Roman"/>
              </w:rPr>
            </w:pPr>
            <w:r>
              <w:rPr>
                <w:rFonts w:cs="Times New Roman"/>
              </w:rPr>
              <w:t>污染源监测</w:t>
            </w:r>
          </w:p>
        </w:tc>
        <w:tc>
          <w:tcPr>
            <w:tcW w:w="1819" w:type="pct"/>
            <w:gridSpan w:val="12"/>
            <w:tcBorders>
              <w:tl2br w:val="nil"/>
              <w:tr2bl w:val="nil"/>
            </w:tcBorders>
            <w:vAlign w:val="center"/>
          </w:tcPr>
          <w:p>
            <w:pPr>
              <w:pStyle w:val="108"/>
              <w:rPr>
                <w:rFonts w:cs="Times New Roman"/>
              </w:rPr>
            </w:pPr>
            <w:r>
              <w:rPr>
                <w:rFonts w:cs="Times New Roman"/>
              </w:rPr>
              <w:t>监测因子：（甲醛、VOCs、氨、SO</w:t>
            </w:r>
            <w:r>
              <w:rPr>
                <w:rFonts w:cs="Times New Roman"/>
                <w:vertAlign w:val="superscript"/>
              </w:rPr>
              <w:t>2</w:t>
            </w:r>
            <w:r>
              <w:rPr>
                <w:rFonts w:cs="Times New Roman"/>
              </w:rPr>
              <w:t>、NOx）</w:t>
            </w:r>
          </w:p>
        </w:tc>
        <w:tc>
          <w:tcPr>
            <w:tcW w:w="1459" w:type="pct"/>
            <w:gridSpan w:val="10"/>
            <w:tcBorders>
              <w:tl2br w:val="nil"/>
              <w:tr2bl w:val="nil"/>
            </w:tcBorders>
            <w:vAlign w:val="center"/>
          </w:tcPr>
          <w:p>
            <w:pPr>
              <w:pStyle w:val="108"/>
              <w:rPr>
                <w:rFonts w:cs="Times New Roman"/>
              </w:rPr>
            </w:pPr>
            <w:r>
              <w:rPr>
                <w:rFonts w:cs="Times New Roman"/>
              </w:rPr>
              <w:t xml:space="preserve">有组织废气监测√   </w:t>
            </w:r>
          </w:p>
          <w:p>
            <w:pPr>
              <w:pStyle w:val="108"/>
              <w:rPr>
                <w:rFonts w:cs="Times New Roman"/>
              </w:rPr>
            </w:pPr>
            <w:r>
              <w:rPr>
                <w:rFonts w:cs="Times New Roman"/>
              </w:rPr>
              <w:t>无组织废气监测√</w:t>
            </w:r>
          </w:p>
        </w:tc>
        <w:tc>
          <w:tcPr>
            <w:tcW w:w="518" w:type="pct"/>
            <w:gridSpan w:val="3"/>
            <w:tcBorders>
              <w:tl2br w:val="nil"/>
              <w:tr2bl w:val="nil"/>
            </w:tcBorders>
            <w:vAlign w:val="center"/>
          </w:tcPr>
          <w:p>
            <w:pPr>
              <w:pStyle w:val="108"/>
              <w:rPr>
                <w:rFonts w:cs="Times New Roman"/>
              </w:rPr>
            </w:pPr>
            <w:r>
              <w:rPr>
                <w:rFonts w:cs="Times New Roman"/>
              </w:rP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环境质量监测</w:t>
            </w:r>
          </w:p>
        </w:tc>
        <w:tc>
          <w:tcPr>
            <w:tcW w:w="1819" w:type="pct"/>
            <w:gridSpan w:val="12"/>
            <w:tcBorders>
              <w:tl2br w:val="nil"/>
              <w:tr2bl w:val="nil"/>
            </w:tcBorders>
            <w:vAlign w:val="center"/>
          </w:tcPr>
          <w:p>
            <w:pPr>
              <w:pStyle w:val="108"/>
              <w:rPr>
                <w:rFonts w:cs="Times New Roman"/>
              </w:rPr>
            </w:pPr>
            <w:r>
              <w:rPr>
                <w:rFonts w:cs="Times New Roman"/>
              </w:rPr>
              <w:t>监测因子：（甲醛、VOCs、氨、SO</w:t>
            </w:r>
            <w:r>
              <w:rPr>
                <w:rFonts w:cs="Times New Roman"/>
                <w:vertAlign w:val="superscript"/>
              </w:rPr>
              <w:t>2</w:t>
            </w:r>
            <w:r>
              <w:rPr>
                <w:rFonts w:cs="Times New Roman"/>
              </w:rPr>
              <w:t>、NOx）</w:t>
            </w:r>
          </w:p>
        </w:tc>
        <w:tc>
          <w:tcPr>
            <w:tcW w:w="1459" w:type="pct"/>
            <w:gridSpan w:val="10"/>
            <w:tcBorders>
              <w:tl2br w:val="nil"/>
              <w:tr2bl w:val="nil"/>
            </w:tcBorders>
            <w:vAlign w:val="center"/>
          </w:tcPr>
          <w:p>
            <w:pPr>
              <w:pStyle w:val="108"/>
              <w:rPr>
                <w:rFonts w:cs="Times New Roman"/>
              </w:rPr>
            </w:pPr>
            <w:r>
              <w:rPr>
                <w:rFonts w:cs="Times New Roman"/>
              </w:rPr>
              <w:t>监测点位数（  ）</w:t>
            </w:r>
          </w:p>
        </w:tc>
        <w:tc>
          <w:tcPr>
            <w:tcW w:w="518" w:type="pct"/>
            <w:gridSpan w:val="3"/>
            <w:tcBorders>
              <w:tl2br w:val="nil"/>
              <w:tr2bl w:val="nil"/>
            </w:tcBorders>
            <w:vAlign w:val="center"/>
          </w:tcPr>
          <w:p>
            <w:pPr>
              <w:pStyle w:val="108"/>
              <w:rPr>
                <w:rFonts w:cs="Times New Roman"/>
              </w:rPr>
            </w:pPr>
            <w:r>
              <w:rPr>
                <w:rFonts w:cs="Times New Roman"/>
              </w:rPr>
              <w:t>无监测√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restart"/>
            <w:tcBorders>
              <w:tl2br w:val="nil"/>
              <w:tr2bl w:val="nil"/>
            </w:tcBorders>
            <w:vAlign w:val="center"/>
          </w:tcPr>
          <w:p>
            <w:pPr>
              <w:pStyle w:val="108"/>
              <w:rPr>
                <w:rFonts w:cs="Times New Roman"/>
              </w:rPr>
            </w:pPr>
            <w:r>
              <w:rPr>
                <w:rFonts w:cs="Times New Roman"/>
              </w:rPr>
              <w:t>评价结论</w:t>
            </w:r>
          </w:p>
        </w:tc>
        <w:tc>
          <w:tcPr>
            <w:tcW w:w="730" w:type="pct"/>
            <w:tcBorders>
              <w:tl2br w:val="nil"/>
              <w:tr2bl w:val="nil"/>
            </w:tcBorders>
            <w:vAlign w:val="center"/>
          </w:tcPr>
          <w:p>
            <w:pPr>
              <w:pStyle w:val="108"/>
              <w:rPr>
                <w:rFonts w:cs="Times New Roman"/>
              </w:rPr>
            </w:pPr>
            <w:r>
              <w:rPr>
                <w:rFonts w:cs="Times New Roman"/>
              </w:rPr>
              <w:t>环境影响</w:t>
            </w:r>
          </w:p>
        </w:tc>
        <w:tc>
          <w:tcPr>
            <w:tcW w:w="3797" w:type="pct"/>
            <w:gridSpan w:val="25"/>
            <w:tcBorders>
              <w:tl2br w:val="nil"/>
              <w:tr2bl w:val="nil"/>
            </w:tcBorders>
            <w:vAlign w:val="center"/>
          </w:tcPr>
          <w:p>
            <w:pPr>
              <w:pStyle w:val="108"/>
              <w:rPr>
                <w:rFonts w:cs="Times New Roman"/>
              </w:rPr>
            </w:pPr>
            <w:r>
              <w:rPr>
                <w:rFonts w:cs="Times New Roman"/>
              </w:rPr>
              <w:t>可以接受 √     不可以接受□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大气环境防护距离</w:t>
            </w:r>
          </w:p>
        </w:tc>
        <w:tc>
          <w:tcPr>
            <w:tcW w:w="3797" w:type="pct"/>
            <w:gridSpan w:val="25"/>
            <w:tcBorders>
              <w:tl2br w:val="nil"/>
              <w:tr2bl w:val="nil"/>
            </w:tcBorders>
            <w:vAlign w:val="center"/>
          </w:tcPr>
          <w:p>
            <w:pPr>
              <w:pStyle w:val="108"/>
              <w:rPr>
                <w:rFonts w:cs="Times New Roman"/>
              </w:rPr>
            </w:pPr>
            <w:r>
              <w:rPr>
                <w:rFonts w:cs="Times New Roman"/>
              </w:rPr>
              <w:t>距（     ）厂界最远（     ）m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471" w:type="pct"/>
            <w:vMerge w:val="continue"/>
            <w:tcBorders>
              <w:tl2br w:val="nil"/>
              <w:tr2bl w:val="nil"/>
            </w:tcBorders>
            <w:vAlign w:val="center"/>
          </w:tcPr>
          <w:p>
            <w:pPr>
              <w:pStyle w:val="108"/>
              <w:rPr>
                <w:rFonts w:cs="Times New Roman"/>
              </w:rPr>
            </w:pPr>
          </w:p>
        </w:tc>
        <w:tc>
          <w:tcPr>
            <w:tcW w:w="730" w:type="pct"/>
            <w:tcBorders>
              <w:tl2br w:val="nil"/>
              <w:tr2bl w:val="nil"/>
            </w:tcBorders>
            <w:vAlign w:val="center"/>
          </w:tcPr>
          <w:p>
            <w:pPr>
              <w:pStyle w:val="108"/>
              <w:rPr>
                <w:rFonts w:cs="Times New Roman"/>
              </w:rPr>
            </w:pPr>
            <w:r>
              <w:rPr>
                <w:rFonts w:cs="Times New Roman"/>
              </w:rPr>
              <w:t>污染源年排放量</w:t>
            </w:r>
          </w:p>
        </w:tc>
        <w:tc>
          <w:tcPr>
            <w:tcW w:w="759" w:type="pct"/>
            <w:gridSpan w:val="3"/>
            <w:tcBorders>
              <w:tl2br w:val="nil"/>
              <w:tr2bl w:val="nil"/>
            </w:tcBorders>
            <w:vAlign w:val="center"/>
          </w:tcPr>
          <w:p>
            <w:pPr>
              <w:pStyle w:val="108"/>
              <w:rPr>
                <w:rFonts w:cs="Times New Roman"/>
              </w:rPr>
            </w:pPr>
            <w:r>
              <w:rPr>
                <w:rFonts w:cs="Times New Roman"/>
              </w:rPr>
              <w:t>SO</w:t>
            </w:r>
            <w:r>
              <w:rPr>
                <w:rFonts w:cs="Times New Roman"/>
                <w:vertAlign w:val="subscript"/>
              </w:rPr>
              <w:t>2</w:t>
            </w:r>
            <w:r>
              <w:rPr>
                <w:rFonts w:cs="Times New Roman"/>
              </w:rPr>
              <w:t>:（</w:t>
            </w:r>
            <w:r>
              <w:rPr>
                <w:rFonts w:cs="Times New Roman"/>
                <w:kern w:val="0"/>
                <w:szCs w:val="21"/>
                <w:lang w:bidi="ar"/>
              </w:rPr>
              <w:t>0.114</w:t>
            </w:r>
            <w:r>
              <w:rPr>
                <w:rFonts w:cs="Times New Roman"/>
              </w:rPr>
              <w:t>）t/a</w:t>
            </w:r>
          </w:p>
        </w:tc>
        <w:tc>
          <w:tcPr>
            <w:tcW w:w="759" w:type="pct"/>
            <w:gridSpan w:val="6"/>
            <w:tcBorders>
              <w:tl2br w:val="nil"/>
              <w:tr2bl w:val="nil"/>
            </w:tcBorders>
            <w:vAlign w:val="center"/>
          </w:tcPr>
          <w:p>
            <w:pPr>
              <w:pStyle w:val="108"/>
              <w:rPr>
                <w:rFonts w:cs="Times New Roman"/>
              </w:rPr>
            </w:pPr>
            <w:r>
              <w:rPr>
                <w:rFonts w:cs="Times New Roman"/>
              </w:rPr>
              <w:t>NOx:（</w:t>
            </w:r>
            <w:r>
              <w:rPr>
                <w:rFonts w:cs="Times New Roman"/>
                <w:kern w:val="0"/>
                <w:szCs w:val="21"/>
                <w:lang w:bidi="ar"/>
              </w:rPr>
              <w:t>4.522</w:t>
            </w:r>
            <w:r>
              <w:rPr>
                <w:rFonts w:cs="Times New Roman"/>
              </w:rPr>
              <w:t>）t/a</w:t>
            </w:r>
          </w:p>
        </w:tc>
        <w:tc>
          <w:tcPr>
            <w:tcW w:w="759" w:type="pct"/>
            <w:gridSpan w:val="5"/>
            <w:tcBorders>
              <w:tl2br w:val="nil"/>
              <w:tr2bl w:val="nil"/>
            </w:tcBorders>
            <w:vAlign w:val="center"/>
          </w:tcPr>
          <w:p>
            <w:pPr>
              <w:pStyle w:val="108"/>
              <w:rPr>
                <w:rFonts w:cs="Times New Roman"/>
              </w:rPr>
            </w:pPr>
            <w:r>
              <w:rPr>
                <w:rFonts w:cs="Times New Roman"/>
              </w:rPr>
              <w:t>甲醛:（</w:t>
            </w:r>
            <w:r>
              <w:rPr>
                <w:rFonts w:cs="Times New Roman"/>
                <w:kern w:val="0"/>
                <w:szCs w:val="21"/>
                <w:lang w:bidi="ar"/>
              </w:rPr>
              <w:t>0.997</w:t>
            </w:r>
            <w:r>
              <w:rPr>
                <w:rFonts w:cs="Times New Roman"/>
              </w:rPr>
              <w:t>）t/a</w:t>
            </w:r>
          </w:p>
        </w:tc>
        <w:tc>
          <w:tcPr>
            <w:tcW w:w="759" w:type="pct"/>
            <w:gridSpan w:val="6"/>
            <w:tcBorders>
              <w:tl2br w:val="nil"/>
              <w:tr2bl w:val="nil"/>
            </w:tcBorders>
            <w:vAlign w:val="center"/>
          </w:tcPr>
          <w:p>
            <w:pPr>
              <w:pStyle w:val="108"/>
              <w:rPr>
                <w:rFonts w:cs="Times New Roman"/>
              </w:rPr>
            </w:pPr>
            <w:r>
              <w:rPr>
                <w:rFonts w:cs="Times New Roman"/>
                <w:szCs w:val="21"/>
              </w:rPr>
              <w:t>氨</w:t>
            </w:r>
            <w:r>
              <w:rPr>
                <w:rFonts w:cs="Times New Roman"/>
              </w:rPr>
              <w:t>:（</w:t>
            </w:r>
            <w:r>
              <w:rPr>
                <w:rFonts w:cs="Times New Roman"/>
                <w:kern w:val="0"/>
                <w:szCs w:val="21"/>
                <w:lang w:bidi="ar"/>
              </w:rPr>
              <w:t>0.146</w:t>
            </w:r>
            <w:r>
              <w:rPr>
                <w:rFonts w:cs="Times New Roman"/>
              </w:rPr>
              <w:t>）t/a</w:t>
            </w:r>
          </w:p>
        </w:tc>
        <w:tc>
          <w:tcPr>
            <w:tcW w:w="761" w:type="pct"/>
            <w:gridSpan w:val="5"/>
            <w:tcBorders>
              <w:tl2br w:val="nil"/>
              <w:tr2bl w:val="nil"/>
            </w:tcBorders>
            <w:vAlign w:val="center"/>
          </w:tcPr>
          <w:p>
            <w:pPr>
              <w:pStyle w:val="108"/>
              <w:rPr>
                <w:rFonts w:cs="Times New Roman"/>
              </w:rPr>
            </w:pPr>
            <w:r>
              <w:rPr>
                <w:rFonts w:cs="Times New Roman"/>
              </w:rPr>
              <w:t>VOCs:（</w:t>
            </w:r>
            <w:r>
              <w:rPr>
                <w:rFonts w:cs="Times New Roman"/>
                <w:kern w:val="0"/>
                <w:szCs w:val="21"/>
                <w:lang w:bidi="ar"/>
              </w:rPr>
              <w:t>0.013</w:t>
            </w:r>
            <w:r>
              <w:rPr>
                <w:rFonts w:cs="Times New Roman"/>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27"/>
            <w:tcBorders>
              <w:tl2br w:val="nil"/>
              <w:tr2bl w:val="nil"/>
            </w:tcBorders>
            <w:vAlign w:val="center"/>
          </w:tcPr>
          <w:p>
            <w:pPr>
              <w:pStyle w:val="108"/>
              <w:rPr>
                <w:rFonts w:cs="Times New Roman"/>
              </w:rPr>
            </w:pPr>
            <w:r>
              <w:rPr>
                <w:rFonts w:cs="Times New Roman"/>
              </w:rPr>
              <w:t>注：“□” 为勾选项 ，填“√” ；“（   ）” 为内容填写项</w:t>
            </w:r>
          </w:p>
        </w:tc>
      </w:tr>
    </w:tbl>
    <w:p>
      <w:pPr>
        <w:spacing w:line="360" w:lineRule="auto"/>
        <w:jc w:val="center"/>
        <w:rPr>
          <w:rFonts w:cs="Times New Roman"/>
          <w:b/>
          <w:bCs/>
          <w:sz w:val="24"/>
          <w:szCs w:val="24"/>
        </w:rPr>
      </w:pPr>
    </w:p>
    <w:p>
      <w:pPr>
        <w:spacing w:line="360" w:lineRule="auto"/>
        <w:jc w:val="center"/>
        <w:rPr>
          <w:rFonts w:cs="Times New Roman"/>
          <w:b/>
          <w:bCs/>
          <w:sz w:val="24"/>
          <w:szCs w:val="24"/>
        </w:rPr>
      </w:pPr>
    </w:p>
    <w:p>
      <w:pPr>
        <w:spacing w:line="360" w:lineRule="auto"/>
        <w:jc w:val="center"/>
        <w:rPr>
          <w:rFonts w:cs="Times New Roman"/>
          <w:b/>
          <w:bCs/>
          <w:sz w:val="24"/>
          <w:szCs w:val="24"/>
        </w:rPr>
      </w:pPr>
    </w:p>
    <w:p>
      <w:pPr>
        <w:spacing w:line="360" w:lineRule="auto"/>
        <w:jc w:val="center"/>
        <w:rPr>
          <w:rFonts w:cs="Times New Roman"/>
          <w:b/>
          <w:bCs/>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sectPr>
          <w:pgSz w:w="11906" w:h="16838"/>
          <w:pgMar w:top="1134" w:right="1134" w:bottom="1134" w:left="1417" w:header="851" w:footer="992" w:gutter="0"/>
          <w:cols w:space="720" w:num="1"/>
          <w:docGrid w:type="lines" w:linePitch="312" w:charSpace="0"/>
        </w:sectPr>
      </w:pPr>
    </w:p>
    <w:p>
      <w:pPr>
        <w:pStyle w:val="3"/>
        <w:rPr>
          <w:rFonts w:cs="Times New Roman"/>
        </w:rPr>
      </w:pPr>
      <w:r>
        <w:rPr>
          <w:rFonts w:cs="Times New Roman"/>
        </w:rPr>
        <w:t>5 大气环境影响防护措施</w:t>
      </w:r>
    </w:p>
    <w:p>
      <w:pPr>
        <w:spacing w:line="360" w:lineRule="auto"/>
        <w:ind w:firstLine="480" w:firstLineChars="200"/>
        <w:rPr>
          <w:rFonts w:cs="Times New Roman"/>
          <w:sz w:val="24"/>
          <w:szCs w:val="24"/>
        </w:rPr>
      </w:pPr>
      <w:r>
        <w:rPr>
          <w:rFonts w:cs="Times New Roman"/>
          <w:sz w:val="24"/>
          <w:szCs w:val="24"/>
        </w:rPr>
        <w:t>原料在浸胶、烘干环节产生的废气：</w:t>
      </w:r>
      <w:r>
        <w:rPr>
          <w:rFonts w:cs="Times New Roman"/>
          <w:bCs/>
          <w:sz w:val="24"/>
          <w:szCs w:val="24"/>
        </w:rPr>
        <w:t>浸胶与烘干设备为密闭设备，废气经密闭设备顶部排气口管道收集，收集效率以98%计，设计风机风量25000</w:t>
      </w:r>
      <w:r>
        <w:rPr>
          <w:rFonts w:cs="Times New Roman"/>
          <w:sz w:val="24"/>
          <w:szCs w:val="24"/>
        </w:rPr>
        <w:t>m</w:t>
      </w:r>
      <w:r>
        <w:rPr>
          <w:rFonts w:cs="Times New Roman"/>
          <w:sz w:val="24"/>
          <w:szCs w:val="24"/>
          <w:vertAlign w:val="superscript"/>
        </w:rPr>
        <w:t>3</w:t>
      </w:r>
      <w:r>
        <w:rPr>
          <w:rFonts w:cs="Times New Roman"/>
          <w:bCs/>
          <w:sz w:val="24"/>
          <w:szCs w:val="24"/>
        </w:rPr>
        <w:t>/h，收集后的废气共经一套“二级活性炭吸附”设施处理</w:t>
      </w:r>
      <w:r>
        <w:rPr>
          <w:rFonts w:cs="Times New Roman"/>
          <w:sz w:val="24"/>
          <w:szCs w:val="24"/>
        </w:rPr>
        <w:t>（一期和二期各设置一套）</w:t>
      </w:r>
      <w:r>
        <w:rPr>
          <w:rFonts w:cs="Times New Roman"/>
          <w:bCs/>
          <w:sz w:val="24"/>
          <w:szCs w:val="24"/>
        </w:rPr>
        <w:t>，甲醛、有机废气处理效率按84%计，氨处理效率按20%计，处理后由18m高的排气筒DA005排放。</w:t>
      </w:r>
    </w:p>
    <w:p>
      <w:pPr>
        <w:spacing w:line="360" w:lineRule="auto"/>
        <w:ind w:firstLine="480" w:firstLineChars="200"/>
        <w:rPr>
          <w:rFonts w:cs="Times New Roman"/>
          <w:sz w:val="24"/>
          <w:szCs w:val="24"/>
        </w:rPr>
      </w:pPr>
      <w:r>
        <w:rPr>
          <w:rFonts w:cs="Times New Roman"/>
          <w:sz w:val="24"/>
          <w:szCs w:val="24"/>
        </w:rPr>
        <w:t>烘干工序产生的天然气燃烧废气：</w:t>
      </w:r>
      <w:r>
        <w:rPr>
          <w:rFonts w:cs="Times New Roman"/>
          <w:bCs/>
          <w:sz w:val="24"/>
          <w:szCs w:val="24"/>
        </w:rPr>
        <w:t>企业安装低氮燃烧装置，烘干炉产生的废气由18m高排气筒（DA005）排放。</w:t>
      </w:r>
    </w:p>
    <w:p>
      <w:pPr>
        <w:spacing w:line="360" w:lineRule="auto"/>
        <w:ind w:firstLine="480" w:firstLineChars="200"/>
        <w:rPr>
          <w:rFonts w:cs="Times New Roman"/>
          <w:sz w:val="24"/>
          <w:szCs w:val="24"/>
        </w:rPr>
      </w:pPr>
      <w:r>
        <w:rPr>
          <w:rFonts w:cs="Times New Roman"/>
          <w:sz w:val="24"/>
          <w:szCs w:val="24"/>
        </w:rPr>
        <w:t>食堂油烟：</w:t>
      </w:r>
      <w:r>
        <w:rPr>
          <w:rFonts w:cs="Times New Roman"/>
          <w:bCs/>
          <w:sz w:val="24"/>
          <w:szCs w:val="24"/>
        </w:rPr>
        <w:t>食堂安装了1台油烟净化器（风量为3000m</w:t>
      </w:r>
      <w:r>
        <w:rPr>
          <w:rFonts w:cs="Times New Roman"/>
          <w:bCs/>
          <w:sz w:val="24"/>
          <w:szCs w:val="24"/>
          <w:vertAlign w:val="superscript"/>
        </w:rPr>
        <w:t>3</w:t>
      </w:r>
      <w:r>
        <w:rPr>
          <w:rFonts w:cs="Times New Roman"/>
          <w:bCs/>
          <w:sz w:val="24"/>
          <w:szCs w:val="24"/>
        </w:rPr>
        <w:t>/h），食堂油烟经处理后通过油烟管道（DA004）外排，处理效率按60%计。</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sectPr>
          <w:pgSz w:w="11906" w:h="16838"/>
          <w:pgMar w:top="1134" w:right="1134" w:bottom="1134" w:left="1417" w:header="851" w:footer="992" w:gutter="0"/>
          <w:cols w:space="720" w:num="1"/>
          <w:docGrid w:type="lines" w:linePitch="312" w:charSpace="0"/>
        </w:sectPr>
      </w:pPr>
    </w:p>
    <w:p>
      <w:pPr>
        <w:pStyle w:val="3"/>
        <w:rPr>
          <w:rFonts w:cs="Times New Roman"/>
        </w:rPr>
      </w:pPr>
      <w:r>
        <w:rPr>
          <w:rFonts w:cs="Times New Roman"/>
        </w:rPr>
        <w:t>6 环境监测计划</w:t>
      </w:r>
    </w:p>
    <w:p>
      <w:pPr>
        <w:pStyle w:val="4"/>
        <w:rPr>
          <w:rFonts w:cs="Times New Roman"/>
        </w:rPr>
      </w:pPr>
      <w:r>
        <w:rPr>
          <w:rFonts w:cs="Times New Roman"/>
        </w:rPr>
        <w:t>6.1 环境监测的意义</w:t>
      </w:r>
    </w:p>
    <w:p>
      <w:pPr>
        <w:spacing w:line="360" w:lineRule="auto"/>
        <w:ind w:firstLine="480" w:firstLineChars="200"/>
        <w:rPr>
          <w:rFonts w:cs="Times New Roman"/>
          <w:sz w:val="24"/>
          <w:szCs w:val="24"/>
        </w:rPr>
      </w:pPr>
      <w:r>
        <w:rPr>
          <w:rFonts w:cs="Times New Roman"/>
          <w:sz w:val="24"/>
          <w:szCs w:val="24"/>
        </w:rPr>
        <w:t>环境监测（包括污染源监测）是企业环境保护的重要组成部分，也是企业的一项规范化制度。通过环境监测，进行数据整理分析，建立监测档案，可为污染源治理、掌握污染物排放变化规律提供依据，为上级环保部门进行区域环境规划、管理执法提供依据。同时，环境监测也是企业实现污染物总量控制，做到清洁生产的重要保证手段之一。</w:t>
      </w:r>
    </w:p>
    <w:p>
      <w:pPr>
        <w:pStyle w:val="4"/>
        <w:rPr>
          <w:rFonts w:cs="Times New Roman"/>
        </w:rPr>
      </w:pPr>
      <w:r>
        <w:rPr>
          <w:rFonts w:cs="Times New Roman"/>
        </w:rPr>
        <w:t>6.2 监测内容</w:t>
      </w:r>
    </w:p>
    <w:p>
      <w:pPr>
        <w:pStyle w:val="5"/>
        <w:rPr>
          <w:rFonts w:hint="default" w:ascii="Times New Roman" w:hAnsi="Times New Roman"/>
        </w:rPr>
      </w:pPr>
      <w:r>
        <w:rPr>
          <w:rFonts w:hint="default" w:ascii="Times New Roman" w:hAnsi="Times New Roman"/>
        </w:rPr>
        <w:t>6.2.1 环境跟踪监测计划</w:t>
      </w:r>
    </w:p>
    <w:p>
      <w:pPr>
        <w:spacing w:line="360" w:lineRule="auto"/>
        <w:ind w:firstLine="480" w:firstLineChars="200"/>
        <w:rPr>
          <w:rFonts w:cs="Times New Roman"/>
          <w:sz w:val="24"/>
          <w:szCs w:val="24"/>
        </w:rPr>
      </w:pPr>
      <w:r>
        <w:rPr>
          <w:rFonts w:cs="Times New Roman"/>
          <w:sz w:val="24"/>
          <w:szCs w:val="24"/>
        </w:rPr>
        <w:t>本项目监测计划根据《排污许可证申请与核发技术规范 总则》（HJ942—2018）、《排污单位自行监测技术指南 总则》（HJ819-2017）制定。</w:t>
      </w:r>
    </w:p>
    <w:p>
      <w:pPr>
        <w:spacing w:line="360" w:lineRule="auto"/>
        <w:jc w:val="center"/>
        <w:rPr>
          <w:rFonts w:cs="Times New Roman"/>
          <w:b/>
          <w:sz w:val="24"/>
          <w:szCs w:val="24"/>
        </w:rPr>
      </w:pPr>
      <w:r>
        <w:rPr>
          <w:rFonts w:cs="Times New Roman"/>
          <w:b/>
          <w:sz w:val="24"/>
          <w:szCs w:val="24"/>
        </w:rPr>
        <w:t>表6.2-1 有组织废气监测方案</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2098"/>
        <w:gridCol w:w="1936"/>
        <w:gridCol w:w="40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4" w:type="pct"/>
            <w:tcBorders>
              <w:tl2br w:val="nil"/>
              <w:tr2bl w:val="nil"/>
            </w:tcBorders>
            <w:shd w:val="clear" w:color="auto" w:fill="auto"/>
            <w:vAlign w:val="center"/>
          </w:tcPr>
          <w:p>
            <w:pPr>
              <w:jc w:val="center"/>
              <w:rPr>
                <w:rFonts w:cs="Times New Roman"/>
                <w:b/>
                <w:bCs/>
                <w:szCs w:val="21"/>
              </w:rPr>
            </w:pPr>
            <w:r>
              <w:rPr>
                <w:rFonts w:cs="Times New Roman"/>
                <w:b/>
                <w:bCs/>
                <w:szCs w:val="21"/>
              </w:rPr>
              <w:t>监测点位</w:t>
            </w:r>
          </w:p>
        </w:tc>
        <w:tc>
          <w:tcPr>
            <w:tcW w:w="1095" w:type="pct"/>
            <w:tcBorders>
              <w:tl2br w:val="nil"/>
              <w:tr2bl w:val="nil"/>
            </w:tcBorders>
            <w:shd w:val="clear" w:color="auto" w:fill="auto"/>
            <w:vAlign w:val="center"/>
          </w:tcPr>
          <w:p>
            <w:pPr>
              <w:jc w:val="center"/>
              <w:rPr>
                <w:rFonts w:cs="Times New Roman"/>
                <w:b/>
                <w:bCs/>
                <w:szCs w:val="21"/>
              </w:rPr>
            </w:pPr>
            <w:r>
              <w:rPr>
                <w:rFonts w:cs="Times New Roman"/>
                <w:b/>
                <w:bCs/>
                <w:szCs w:val="21"/>
              </w:rPr>
              <w:t>监测指标</w:t>
            </w:r>
          </w:p>
        </w:tc>
        <w:tc>
          <w:tcPr>
            <w:tcW w:w="1010" w:type="pct"/>
            <w:tcBorders>
              <w:tl2br w:val="nil"/>
              <w:tr2bl w:val="nil"/>
            </w:tcBorders>
            <w:shd w:val="clear" w:color="auto" w:fill="auto"/>
            <w:vAlign w:val="center"/>
          </w:tcPr>
          <w:p>
            <w:pPr>
              <w:jc w:val="center"/>
              <w:rPr>
                <w:rFonts w:cs="Times New Roman"/>
                <w:b/>
                <w:bCs/>
                <w:szCs w:val="21"/>
              </w:rPr>
            </w:pPr>
            <w:r>
              <w:rPr>
                <w:rFonts w:cs="Times New Roman"/>
                <w:b/>
                <w:bCs/>
                <w:szCs w:val="21"/>
              </w:rPr>
              <w:t>监测频次</w:t>
            </w:r>
          </w:p>
        </w:tc>
        <w:tc>
          <w:tcPr>
            <w:tcW w:w="2118" w:type="pct"/>
            <w:tcBorders>
              <w:tl2br w:val="nil"/>
              <w:tr2bl w:val="nil"/>
            </w:tcBorders>
          </w:tcPr>
          <w:p>
            <w:pPr>
              <w:jc w:val="center"/>
              <w:rPr>
                <w:rFonts w:cs="Times New Roman"/>
                <w:b/>
                <w:bCs/>
                <w:szCs w:val="21"/>
              </w:rPr>
            </w:pPr>
            <w:r>
              <w:rPr>
                <w:rFonts w:cs="Times New Roman"/>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774" w:type="pct"/>
            <w:tcBorders>
              <w:tl2br w:val="nil"/>
              <w:tr2bl w:val="nil"/>
            </w:tcBorders>
            <w:shd w:val="clear" w:color="auto" w:fill="auto"/>
            <w:vAlign w:val="center"/>
          </w:tcPr>
          <w:p>
            <w:pPr>
              <w:jc w:val="center"/>
              <w:rPr>
                <w:rFonts w:cs="Times New Roman"/>
                <w:szCs w:val="21"/>
              </w:rPr>
            </w:pPr>
            <w:r>
              <w:rPr>
                <w:rFonts w:cs="Times New Roman"/>
                <w:szCs w:val="21"/>
              </w:rPr>
              <w:t>DA005</w:t>
            </w:r>
          </w:p>
        </w:tc>
        <w:tc>
          <w:tcPr>
            <w:tcW w:w="1095" w:type="pct"/>
            <w:tcBorders>
              <w:tl2br w:val="nil"/>
              <w:tr2bl w:val="nil"/>
            </w:tcBorders>
            <w:shd w:val="clear" w:color="auto" w:fill="auto"/>
            <w:vAlign w:val="center"/>
          </w:tcPr>
          <w:p>
            <w:pPr>
              <w:jc w:val="center"/>
              <w:rPr>
                <w:rFonts w:cs="Times New Roman"/>
                <w:szCs w:val="21"/>
              </w:rPr>
            </w:pPr>
            <w:r>
              <w:rPr>
                <w:rFonts w:cs="Times New Roman"/>
                <w:szCs w:val="21"/>
              </w:rPr>
              <w:t>甲醛、VOCs、氨、SO</w:t>
            </w:r>
            <w:r>
              <w:rPr>
                <w:rFonts w:cs="Times New Roman"/>
                <w:szCs w:val="21"/>
                <w:vertAlign w:val="subscript"/>
              </w:rPr>
              <w:t>2</w:t>
            </w:r>
            <w:r>
              <w:rPr>
                <w:rFonts w:cs="Times New Roman"/>
                <w:szCs w:val="21"/>
              </w:rPr>
              <w:t>、NOx</w:t>
            </w:r>
          </w:p>
        </w:tc>
        <w:tc>
          <w:tcPr>
            <w:tcW w:w="1010" w:type="pct"/>
            <w:tcBorders>
              <w:tl2br w:val="nil"/>
              <w:tr2bl w:val="nil"/>
            </w:tcBorders>
            <w:shd w:val="clear" w:color="auto" w:fill="auto"/>
            <w:vAlign w:val="center"/>
          </w:tcPr>
          <w:p>
            <w:pPr>
              <w:jc w:val="center"/>
              <w:rPr>
                <w:rFonts w:cs="Times New Roman"/>
                <w:szCs w:val="21"/>
              </w:rPr>
            </w:pPr>
            <w:r>
              <w:rPr>
                <w:rFonts w:cs="Times New Roman"/>
                <w:szCs w:val="21"/>
              </w:rPr>
              <w:t>1次/半年</w:t>
            </w:r>
          </w:p>
        </w:tc>
        <w:tc>
          <w:tcPr>
            <w:tcW w:w="2118" w:type="pct"/>
            <w:tcBorders>
              <w:tl2br w:val="nil"/>
              <w:tr2bl w:val="nil"/>
            </w:tcBorders>
            <w:vAlign w:val="center"/>
          </w:tcPr>
          <w:p>
            <w:pPr>
              <w:jc w:val="center"/>
              <w:rPr>
                <w:rFonts w:cs="Times New Roman"/>
                <w:szCs w:val="21"/>
              </w:rPr>
            </w:pPr>
            <w:r>
              <w:rPr>
                <w:rFonts w:cs="Times New Roman"/>
                <w:szCs w:val="21"/>
              </w:rPr>
              <w:t>甲醛、VOCs执行《四川省固定污染源大气挥发性有机物排放标准》（DB51/2377-2017）中相应标准；SO</w:t>
            </w:r>
            <w:r>
              <w:rPr>
                <w:rFonts w:cs="Times New Roman"/>
                <w:szCs w:val="21"/>
                <w:vertAlign w:val="subscript"/>
              </w:rPr>
              <w:t>2</w:t>
            </w:r>
            <w:r>
              <w:rPr>
                <w:rFonts w:cs="Times New Roman"/>
                <w:szCs w:val="21"/>
              </w:rPr>
              <w:t>、NOx执行《建材工业大气污染物排放标准》（DB37/2373-2018）中相关标准；氨执行《恶臭污染物排放标准》（GB14554-93）中相关标准</w:t>
            </w:r>
          </w:p>
        </w:tc>
      </w:tr>
    </w:tbl>
    <w:p>
      <w:pPr>
        <w:spacing w:line="360" w:lineRule="auto"/>
        <w:jc w:val="center"/>
        <w:rPr>
          <w:rFonts w:cs="Times New Roman"/>
          <w:b/>
          <w:sz w:val="24"/>
          <w:szCs w:val="24"/>
        </w:rPr>
      </w:pPr>
      <w:r>
        <w:rPr>
          <w:rFonts w:cs="Times New Roman"/>
          <w:b/>
          <w:sz w:val="24"/>
          <w:szCs w:val="24"/>
        </w:rPr>
        <w:t>表6.2-2 无组织废气监测方案</w:t>
      </w:r>
    </w:p>
    <w:tbl>
      <w:tblPr>
        <w:tblStyle w:val="2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6"/>
        <w:gridCol w:w="2538"/>
        <w:gridCol w:w="1313"/>
        <w:gridCol w:w="39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tcBorders>
              <w:tl2br w:val="nil"/>
              <w:tr2bl w:val="nil"/>
            </w:tcBorders>
            <w:shd w:val="clear" w:color="auto" w:fill="auto"/>
            <w:vAlign w:val="center"/>
          </w:tcPr>
          <w:p>
            <w:pPr>
              <w:jc w:val="center"/>
              <w:rPr>
                <w:rFonts w:cs="Times New Roman"/>
                <w:b/>
                <w:bCs/>
                <w:szCs w:val="21"/>
              </w:rPr>
            </w:pPr>
            <w:r>
              <w:rPr>
                <w:rFonts w:cs="Times New Roman"/>
                <w:b/>
                <w:bCs/>
                <w:szCs w:val="21"/>
              </w:rPr>
              <w:t>监测点位</w:t>
            </w:r>
          </w:p>
        </w:tc>
        <w:tc>
          <w:tcPr>
            <w:tcW w:w="1326" w:type="pct"/>
            <w:tcBorders>
              <w:tl2br w:val="nil"/>
              <w:tr2bl w:val="nil"/>
            </w:tcBorders>
            <w:shd w:val="clear" w:color="auto" w:fill="auto"/>
            <w:vAlign w:val="center"/>
          </w:tcPr>
          <w:p>
            <w:pPr>
              <w:jc w:val="center"/>
              <w:rPr>
                <w:rFonts w:cs="Times New Roman"/>
                <w:b/>
                <w:bCs/>
                <w:szCs w:val="21"/>
              </w:rPr>
            </w:pPr>
            <w:r>
              <w:rPr>
                <w:rFonts w:cs="Times New Roman"/>
                <w:b/>
                <w:bCs/>
                <w:szCs w:val="21"/>
              </w:rPr>
              <w:t>监测指标</w:t>
            </w:r>
          </w:p>
        </w:tc>
        <w:tc>
          <w:tcPr>
            <w:tcW w:w="686" w:type="pct"/>
            <w:tcBorders>
              <w:tl2br w:val="nil"/>
              <w:tr2bl w:val="nil"/>
            </w:tcBorders>
            <w:shd w:val="clear" w:color="auto" w:fill="auto"/>
            <w:vAlign w:val="center"/>
          </w:tcPr>
          <w:p>
            <w:pPr>
              <w:jc w:val="center"/>
              <w:rPr>
                <w:rFonts w:cs="Times New Roman"/>
                <w:b/>
                <w:bCs/>
                <w:szCs w:val="21"/>
              </w:rPr>
            </w:pPr>
            <w:r>
              <w:rPr>
                <w:rFonts w:cs="Times New Roman"/>
                <w:b/>
                <w:bCs/>
                <w:szCs w:val="21"/>
              </w:rPr>
              <w:t>监测频次</w:t>
            </w:r>
          </w:p>
        </w:tc>
        <w:tc>
          <w:tcPr>
            <w:tcW w:w="2044" w:type="pct"/>
            <w:tcBorders>
              <w:tl2br w:val="nil"/>
              <w:tr2bl w:val="nil"/>
            </w:tcBorders>
            <w:vAlign w:val="center"/>
          </w:tcPr>
          <w:p>
            <w:pPr>
              <w:jc w:val="center"/>
              <w:rPr>
                <w:rFonts w:cs="Times New Roman"/>
                <w:b/>
                <w:bCs/>
                <w:szCs w:val="21"/>
              </w:rPr>
            </w:pPr>
            <w:r>
              <w:rPr>
                <w:rFonts w:cs="Times New Roman"/>
                <w:b/>
                <w:bCs/>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 w:type="pct"/>
            <w:tcBorders>
              <w:tl2br w:val="nil"/>
              <w:tr2bl w:val="nil"/>
            </w:tcBorders>
            <w:shd w:val="clear" w:color="auto" w:fill="auto"/>
            <w:vAlign w:val="center"/>
          </w:tcPr>
          <w:p>
            <w:pPr>
              <w:jc w:val="center"/>
              <w:rPr>
                <w:rFonts w:cs="Times New Roman"/>
                <w:szCs w:val="21"/>
              </w:rPr>
            </w:pPr>
            <w:r>
              <w:rPr>
                <w:rFonts w:cs="Times New Roman"/>
                <w:szCs w:val="21"/>
              </w:rPr>
              <w:t>厂界</w:t>
            </w:r>
          </w:p>
        </w:tc>
        <w:tc>
          <w:tcPr>
            <w:tcW w:w="1326" w:type="pct"/>
            <w:tcBorders>
              <w:tl2br w:val="nil"/>
              <w:tr2bl w:val="nil"/>
            </w:tcBorders>
            <w:shd w:val="clear" w:color="auto" w:fill="auto"/>
            <w:vAlign w:val="center"/>
          </w:tcPr>
          <w:p>
            <w:pPr>
              <w:jc w:val="center"/>
              <w:rPr>
                <w:rFonts w:cs="Times New Roman"/>
                <w:szCs w:val="21"/>
              </w:rPr>
            </w:pPr>
            <w:r>
              <w:rPr>
                <w:rFonts w:cs="Times New Roman"/>
                <w:szCs w:val="21"/>
              </w:rPr>
              <w:t>甲醛、VOCs、氨、SO</w:t>
            </w:r>
            <w:r>
              <w:rPr>
                <w:rFonts w:cs="Times New Roman"/>
                <w:szCs w:val="21"/>
                <w:vertAlign w:val="subscript"/>
              </w:rPr>
              <w:t>2</w:t>
            </w:r>
            <w:r>
              <w:rPr>
                <w:rFonts w:cs="Times New Roman"/>
                <w:szCs w:val="21"/>
              </w:rPr>
              <w:t>、NOx</w:t>
            </w:r>
          </w:p>
        </w:tc>
        <w:tc>
          <w:tcPr>
            <w:tcW w:w="686" w:type="pct"/>
            <w:tcBorders>
              <w:tl2br w:val="nil"/>
              <w:tr2bl w:val="nil"/>
            </w:tcBorders>
            <w:shd w:val="clear" w:color="auto" w:fill="auto"/>
            <w:vAlign w:val="center"/>
          </w:tcPr>
          <w:p>
            <w:pPr>
              <w:jc w:val="center"/>
              <w:rPr>
                <w:rFonts w:cs="Times New Roman"/>
                <w:szCs w:val="21"/>
              </w:rPr>
            </w:pPr>
            <w:r>
              <w:rPr>
                <w:rFonts w:cs="Times New Roman"/>
                <w:szCs w:val="21"/>
              </w:rPr>
              <w:t>1次/半年</w:t>
            </w:r>
          </w:p>
        </w:tc>
        <w:tc>
          <w:tcPr>
            <w:tcW w:w="2044" w:type="pct"/>
            <w:tcBorders>
              <w:tl2br w:val="nil"/>
              <w:tr2bl w:val="nil"/>
            </w:tcBorders>
            <w:vAlign w:val="center"/>
          </w:tcPr>
          <w:p>
            <w:pPr>
              <w:jc w:val="center"/>
              <w:rPr>
                <w:rFonts w:cs="Times New Roman"/>
                <w:szCs w:val="21"/>
              </w:rPr>
            </w:pPr>
            <w:r>
              <w:rPr>
                <w:rFonts w:cs="Times New Roman"/>
                <w:szCs w:val="21"/>
              </w:rPr>
              <w:t>甲醛、VOCs执行《四川省固定污染源大气挥发性有机物排放标准》（DB51/2377-2017）中相应标准；SO</w:t>
            </w:r>
            <w:r>
              <w:rPr>
                <w:rFonts w:cs="Times New Roman"/>
                <w:szCs w:val="21"/>
                <w:vertAlign w:val="subscript"/>
              </w:rPr>
              <w:t>2</w:t>
            </w:r>
            <w:r>
              <w:rPr>
                <w:rFonts w:cs="Times New Roman"/>
                <w:szCs w:val="21"/>
              </w:rPr>
              <w:t>、NOx执行《大气污染物综合排放标准》（GB16297-1996）中相关标准；氨执行《恶臭污染物排放标准》（GB14554-93）中相关标准</w:t>
            </w:r>
          </w:p>
        </w:tc>
      </w:tr>
    </w:tbl>
    <w:p>
      <w:pPr>
        <w:pStyle w:val="5"/>
        <w:rPr>
          <w:rFonts w:hint="default" w:ascii="Times New Roman" w:hAnsi="Times New Roman"/>
        </w:rPr>
      </w:pPr>
      <w:r>
        <w:rPr>
          <w:rFonts w:hint="default" w:ascii="Times New Roman" w:hAnsi="Times New Roman"/>
        </w:rPr>
        <w:t>6.2.2 监测分析方法</w:t>
      </w:r>
    </w:p>
    <w:p>
      <w:pPr>
        <w:spacing w:line="360" w:lineRule="auto"/>
        <w:ind w:firstLine="480" w:firstLineChars="200"/>
        <w:rPr>
          <w:rFonts w:cs="Times New Roman"/>
          <w:sz w:val="24"/>
          <w:szCs w:val="24"/>
        </w:rPr>
      </w:pPr>
      <w:r>
        <w:rPr>
          <w:rFonts w:cs="Times New Roman"/>
          <w:sz w:val="24"/>
          <w:szCs w:val="24"/>
        </w:rPr>
        <w:t>采用国家规定的相关标准进行。</w:t>
      </w:r>
    </w:p>
    <w:p>
      <w:pPr>
        <w:pStyle w:val="5"/>
        <w:rPr>
          <w:rFonts w:hint="default" w:ascii="Times New Roman" w:hAnsi="Times New Roman"/>
        </w:rPr>
      </w:pPr>
      <w:r>
        <w:rPr>
          <w:rFonts w:hint="default" w:ascii="Times New Roman" w:hAnsi="Times New Roman"/>
        </w:rPr>
        <w:t>6.2.3 监测的质量保证</w:t>
      </w:r>
    </w:p>
    <w:p>
      <w:pPr>
        <w:spacing w:line="360" w:lineRule="auto"/>
        <w:ind w:firstLine="480" w:firstLineChars="200"/>
        <w:rPr>
          <w:rFonts w:cs="Times New Roman"/>
          <w:sz w:val="24"/>
          <w:szCs w:val="24"/>
        </w:rPr>
      </w:pPr>
      <w:r>
        <w:rPr>
          <w:rFonts w:cs="Times New Roman"/>
          <w:sz w:val="24"/>
          <w:szCs w:val="24"/>
        </w:rPr>
        <w:t>1.定期对监测人员进行培训。</w:t>
      </w:r>
    </w:p>
    <w:p>
      <w:pPr>
        <w:spacing w:line="360" w:lineRule="auto"/>
        <w:ind w:firstLine="480" w:firstLineChars="200"/>
        <w:rPr>
          <w:rFonts w:cs="Times New Roman"/>
          <w:sz w:val="24"/>
          <w:szCs w:val="24"/>
        </w:rPr>
      </w:pPr>
      <w:r>
        <w:rPr>
          <w:rFonts w:cs="Times New Roman"/>
          <w:sz w:val="24"/>
          <w:szCs w:val="24"/>
        </w:rPr>
        <w:t>2.监测仪器定期检测，以保证数据的可靠性。</w:t>
      </w:r>
    </w:p>
    <w:p>
      <w:pPr>
        <w:pStyle w:val="5"/>
        <w:rPr>
          <w:rFonts w:hint="default" w:ascii="Times New Roman" w:hAnsi="Times New Roman"/>
        </w:rPr>
      </w:pPr>
      <w:r>
        <w:rPr>
          <w:rFonts w:hint="default" w:ascii="Times New Roman" w:hAnsi="Times New Roman"/>
        </w:rPr>
        <w:t>6.2.4 信息公开</w:t>
      </w:r>
    </w:p>
    <w:p>
      <w:pPr>
        <w:spacing w:line="360" w:lineRule="auto"/>
        <w:ind w:firstLine="482" w:firstLineChars="200"/>
        <w:rPr>
          <w:rFonts w:cs="Times New Roman"/>
          <w:b/>
          <w:bCs/>
          <w:sz w:val="24"/>
          <w:szCs w:val="24"/>
        </w:rPr>
      </w:pPr>
      <w:r>
        <w:rPr>
          <w:rFonts w:cs="Times New Roman"/>
          <w:b/>
          <w:bCs/>
          <w:sz w:val="24"/>
          <w:szCs w:val="24"/>
        </w:rPr>
        <w:t>1、公开内容</w:t>
      </w:r>
    </w:p>
    <w:p>
      <w:pPr>
        <w:spacing w:line="360" w:lineRule="auto"/>
        <w:ind w:firstLine="480" w:firstLineChars="200"/>
        <w:rPr>
          <w:rFonts w:cs="Times New Roman"/>
          <w:sz w:val="24"/>
          <w:szCs w:val="24"/>
        </w:rPr>
      </w:pPr>
      <w:r>
        <w:rPr>
          <w:rFonts w:cs="Times New Roman"/>
          <w:sz w:val="24"/>
          <w:szCs w:val="24"/>
        </w:rPr>
        <w:t>企业应将自行监测工作开展情况及监测结果向社会公众公开，公开内容应包括：</w:t>
      </w:r>
    </w:p>
    <w:p>
      <w:pPr>
        <w:spacing w:line="360" w:lineRule="auto"/>
        <w:ind w:firstLine="480" w:firstLineChars="200"/>
        <w:rPr>
          <w:rFonts w:cs="Times New Roman"/>
          <w:sz w:val="24"/>
          <w:szCs w:val="24"/>
        </w:rPr>
      </w:pPr>
      <w:r>
        <w:rPr>
          <w:rFonts w:cs="Times New Roman"/>
          <w:sz w:val="24"/>
          <w:szCs w:val="24"/>
        </w:rPr>
        <w:t>（1）基础信息：企业名称、法人代表、所属行业、地理位置、联系方式、委托监测机 构名称等；</w:t>
      </w:r>
    </w:p>
    <w:p>
      <w:pPr>
        <w:spacing w:line="360" w:lineRule="auto"/>
        <w:ind w:firstLine="480" w:firstLineChars="200"/>
        <w:rPr>
          <w:rFonts w:cs="Times New Roman"/>
          <w:sz w:val="24"/>
          <w:szCs w:val="24"/>
        </w:rPr>
      </w:pPr>
      <w:r>
        <w:rPr>
          <w:rFonts w:cs="Times New Roman"/>
          <w:sz w:val="24"/>
          <w:szCs w:val="24"/>
        </w:rPr>
        <w:t>（2）自行监测方案；</w:t>
      </w:r>
    </w:p>
    <w:p>
      <w:pPr>
        <w:spacing w:line="360" w:lineRule="auto"/>
        <w:ind w:firstLine="480" w:firstLineChars="200"/>
        <w:rPr>
          <w:rFonts w:cs="Times New Roman"/>
          <w:sz w:val="24"/>
          <w:szCs w:val="24"/>
        </w:rPr>
      </w:pPr>
      <w:r>
        <w:rPr>
          <w:rFonts w:cs="Times New Roman"/>
          <w:sz w:val="24"/>
          <w:szCs w:val="24"/>
        </w:rPr>
        <w:t>（3）自行监测结果：全部监测点位、监测时间、污染物种类及浓度、标准限值、达标 情况、超标倍数、污染物排放方式及排放去向；</w:t>
      </w:r>
    </w:p>
    <w:p>
      <w:pPr>
        <w:spacing w:line="360" w:lineRule="auto"/>
        <w:ind w:firstLine="480" w:firstLineChars="200"/>
        <w:rPr>
          <w:rFonts w:cs="Times New Roman"/>
          <w:sz w:val="24"/>
          <w:szCs w:val="24"/>
        </w:rPr>
      </w:pPr>
      <w:r>
        <w:rPr>
          <w:rFonts w:cs="Times New Roman"/>
          <w:sz w:val="24"/>
          <w:szCs w:val="24"/>
        </w:rPr>
        <w:t>（4）未开展自行监测的原因；</w:t>
      </w:r>
    </w:p>
    <w:p>
      <w:pPr>
        <w:spacing w:line="360" w:lineRule="auto"/>
        <w:ind w:firstLine="480" w:firstLineChars="200"/>
        <w:rPr>
          <w:rFonts w:cs="Times New Roman"/>
          <w:sz w:val="24"/>
          <w:szCs w:val="24"/>
        </w:rPr>
      </w:pPr>
      <w:r>
        <w:rPr>
          <w:rFonts w:cs="Times New Roman"/>
          <w:sz w:val="24"/>
          <w:szCs w:val="24"/>
        </w:rPr>
        <w:t>（5）污染源监测年度报告。</w:t>
      </w:r>
    </w:p>
    <w:p>
      <w:pPr>
        <w:spacing w:line="360" w:lineRule="auto"/>
        <w:ind w:firstLine="482" w:firstLineChars="200"/>
        <w:rPr>
          <w:rFonts w:cs="Times New Roman"/>
          <w:b/>
          <w:bCs/>
          <w:sz w:val="24"/>
          <w:szCs w:val="24"/>
        </w:rPr>
      </w:pPr>
      <w:r>
        <w:rPr>
          <w:rFonts w:cs="Times New Roman"/>
          <w:b/>
          <w:bCs/>
          <w:sz w:val="24"/>
          <w:szCs w:val="24"/>
        </w:rPr>
        <w:t>2、公开方式</w:t>
      </w:r>
    </w:p>
    <w:p>
      <w:pPr>
        <w:spacing w:line="360" w:lineRule="auto"/>
        <w:ind w:firstLine="480" w:firstLineChars="200"/>
        <w:rPr>
          <w:rFonts w:cs="Times New Roman"/>
          <w:sz w:val="24"/>
          <w:szCs w:val="24"/>
        </w:rPr>
      </w:pPr>
      <w:r>
        <w:rPr>
          <w:rFonts w:cs="Times New Roman"/>
          <w:sz w:val="24"/>
          <w:szCs w:val="24"/>
        </w:rPr>
        <w:t>企业可通过对外网站、报纸、广播、电视等便于公众知晓的方式公开自行监测信息。</w:t>
      </w:r>
    </w:p>
    <w:p>
      <w:pPr>
        <w:spacing w:line="360" w:lineRule="auto"/>
        <w:ind w:firstLine="482" w:firstLineChars="200"/>
        <w:rPr>
          <w:rFonts w:cs="Times New Roman"/>
          <w:b/>
          <w:bCs/>
          <w:sz w:val="24"/>
          <w:szCs w:val="24"/>
        </w:rPr>
      </w:pPr>
      <w:r>
        <w:rPr>
          <w:rFonts w:cs="Times New Roman"/>
          <w:b/>
          <w:bCs/>
          <w:sz w:val="24"/>
          <w:szCs w:val="24"/>
        </w:rPr>
        <w:t>3、公开时限</w:t>
      </w:r>
    </w:p>
    <w:p>
      <w:pPr>
        <w:spacing w:line="360" w:lineRule="auto"/>
        <w:ind w:firstLine="480" w:firstLineChars="200"/>
        <w:rPr>
          <w:rFonts w:cs="Times New Roman"/>
          <w:sz w:val="24"/>
          <w:szCs w:val="24"/>
        </w:rPr>
      </w:pPr>
      <w:r>
        <w:rPr>
          <w:rFonts w:cs="Times New Roman"/>
          <w:sz w:val="24"/>
          <w:szCs w:val="24"/>
        </w:rPr>
        <w:t>企业自行监测信息按以下要求的时限公开：</w:t>
      </w:r>
    </w:p>
    <w:p>
      <w:pPr>
        <w:spacing w:line="360" w:lineRule="auto"/>
        <w:ind w:firstLine="480" w:firstLineChars="200"/>
        <w:rPr>
          <w:rFonts w:cs="Times New Roman"/>
          <w:sz w:val="24"/>
          <w:szCs w:val="24"/>
        </w:rPr>
      </w:pPr>
      <w:r>
        <w:rPr>
          <w:rFonts w:cs="Times New Roman"/>
          <w:sz w:val="24"/>
          <w:szCs w:val="24"/>
        </w:rPr>
        <w:t>（1）企业基础信息应随监测数据一并公布，基础信息、自行监测方案如有调整变化时，应于变更后的五日内公布最新内容；</w:t>
      </w:r>
    </w:p>
    <w:p>
      <w:pPr>
        <w:spacing w:line="360" w:lineRule="auto"/>
        <w:ind w:firstLine="480" w:firstLineChars="200"/>
        <w:rPr>
          <w:rFonts w:cs="Times New Roman"/>
          <w:sz w:val="24"/>
          <w:szCs w:val="24"/>
        </w:rPr>
      </w:pPr>
      <w:r>
        <w:rPr>
          <w:rFonts w:cs="Times New Roman"/>
          <w:sz w:val="24"/>
          <w:szCs w:val="24"/>
        </w:rPr>
        <w:t>（2）手工监测数据应于每次监测完成后的次日公布；</w:t>
      </w:r>
    </w:p>
    <w:p>
      <w:pPr>
        <w:spacing w:line="360" w:lineRule="auto"/>
        <w:ind w:firstLine="480" w:firstLineChars="200"/>
        <w:rPr>
          <w:rFonts w:cs="Times New Roman"/>
          <w:sz w:val="24"/>
          <w:szCs w:val="24"/>
        </w:rPr>
      </w:pPr>
      <w:r>
        <w:rPr>
          <w:rFonts w:cs="Times New Roman"/>
          <w:sz w:val="24"/>
          <w:szCs w:val="24"/>
        </w:rPr>
        <w:t>（3）自动监测数据应实时公布监测结果；</w:t>
      </w:r>
    </w:p>
    <w:p>
      <w:pPr>
        <w:spacing w:line="360" w:lineRule="auto"/>
        <w:ind w:firstLine="480" w:firstLineChars="200"/>
        <w:rPr>
          <w:rFonts w:cs="Times New Roman"/>
          <w:sz w:val="24"/>
          <w:szCs w:val="24"/>
        </w:rPr>
      </w:pPr>
      <w:r>
        <w:rPr>
          <w:rFonts w:cs="Times New Roman"/>
          <w:sz w:val="24"/>
          <w:szCs w:val="24"/>
        </w:rPr>
        <w:t>（4）每年1月底前公布上年度自行监测年度报告。</w:t>
      </w:r>
    </w:p>
    <w:p>
      <w:pPr>
        <w:pStyle w:val="5"/>
        <w:rPr>
          <w:rFonts w:hint="default" w:ascii="Times New Roman" w:hAnsi="Times New Roman"/>
        </w:rPr>
      </w:pPr>
      <w:r>
        <w:rPr>
          <w:rFonts w:hint="default" w:ascii="Times New Roman" w:hAnsi="Times New Roman"/>
        </w:rPr>
        <w:t xml:space="preserve">6.2.5 环保设施验收建议 </w:t>
      </w:r>
    </w:p>
    <w:p>
      <w:pPr>
        <w:spacing w:line="360" w:lineRule="auto"/>
        <w:ind w:firstLine="480" w:firstLineChars="200"/>
        <w:rPr>
          <w:rFonts w:cs="Times New Roman"/>
          <w:sz w:val="24"/>
          <w:szCs w:val="24"/>
        </w:rPr>
      </w:pPr>
      <w:r>
        <w:rPr>
          <w:rFonts w:cs="Times New Roman"/>
          <w:sz w:val="24"/>
          <w:szCs w:val="24"/>
        </w:rPr>
        <w:t>本项目完工后，应当进行环保设施“三同时”竣工验收，并应与主体工程同步进行。本项目保设施竣工验收主要内容见下表。</w:t>
      </w:r>
    </w:p>
    <w:p>
      <w:pPr>
        <w:spacing w:line="360" w:lineRule="auto"/>
        <w:jc w:val="center"/>
        <w:rPr>
          <w:rFonts w:cs="Times New Roman"/>
          <w:b/>
          <w:bCs/>
          <w:sz w:val="24"/>
          <w:szCs w:val="24"/>
        </w:rPr>
      </w:pPr>
      <w:r>
        <w:rPr>
          <w:rFonts w:cs="Times New Roman"/>
          <w:b/>
          <w:bCs/>
          <w:sz w:val="24"/>
          <w:szCs w:val="24"/>
        </w:rPr>
        <w:t>表 6.2-2  环保设施“三同时”竣工验收项目一览表</w:t>
      </w:r>
    </w:p>
    <w:tbl>
      <w:tblPr>
        <w:tblStyle w:val="112"/>
        <w:tblW w:w="4995"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57" w:type="dxa"/>
          <w:bottom w:w="0" w:type="dxa"/>
          <w:right w:w="57" w:type="dxa"/>
        </w:tblCellMar>
      </w:tblPr>
      <w:tblGrid>
        <w:gridCol w:w="651"/>
        <w:gridCol w:w="1627"/>
        <w:gridCol w:w="3603"/>
        <w:gridCol w:w="3579"/>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1204" w:type="pct"/>
            <w:gridSpan w:val="2"/>
            <w:tcBorders>
              <w:tl2br w:val="nil"/>
              <w:tr2bl w:val="nil"/>
            </w:tcBorders>
            <w:vAlign w:val="center"/>
          </w:tcPr>
          <w:p>
            <w:pPr>
              <w:widowControl/>
              <w:kinsoku w:val="0"/>
              <w:autoSpaceDE w:val="0"/>
              <w:autoSpaceDN w:val="0"/>
              <w:adjustRightInd w:val="0"/>
              <w:snapToGrid w:val="0"/>
              <w:jc w:val="center"/>
              <w:textAlignment w:val="baseline"/>
              <w:rPr>
                <w:rFonts w:cs="Times New Roman"/>
                <w:b/>
                <w:bCs/>
                <w:szCs w:val="21"/>
              </w:rPr>
            </w:pPr>
            <w:r>
              <w:rPr>
                <w:rFonts w:cs="Times New Roman"/>
                <w:b/>
                <w:bCs/>
                <w:spacing w:val="7"/>
                <w:szCs w:val="21"/>
              </w:rPr>
              <w:t>污</w:t>
            </w:r>
            <w:r>
              <w:rPr>
                <w:rFonts w:cs="Times New Roman"/>
                <w:b/>
                <w:bCs/>
                <w:spacing w:val="6"/>
                <w:szCs w:val="21"/>
              </w:rPr>
              <w:t>染源</w:t>
            </w:r>
          </w:p>
        </w:tc>
        <w:tc>
          <w:tcPr>
            <w:tcW w:w="1904" w:type="pct"/>
            <w:tcBorders>
              <w:tl2br w:val="nil"/>
              <w:tr2bl w:val="nil"/>
            </w:tcBorders>
            <w:vAlign w:val="center"/>
          </w:tcPr>
          <w:p>
            <w:pPr>
              <w:widowControl/>
              <w:kinsoku w:val="0"/>
              <w:autoSpaceDE w:val="0"/>
              <w:autoSpaceDN w:val="0"/>
              <w:adjustRightInd w:val="0"/>
              <w:snapToGrid w:val="0"/>
              <w:jc w:val="center"/>
              <w:textAlignment w:val="baseline"/>
              <w:rPr>
                <w:rFonts w:cs="Times New Roman"/>
                <w:b/>
                <w:bCs/>
                <w:spacing w:val="7"/>
                <w:szCs w:val="21"/>
              </w:rPr>
            </w:pPr>
            <w:r>
              <w:rPr>
                <w:rFonts w:cs="Times New Roman"/>
                <w:b/>
                <w:bCs/>
                <w:spacing w:val="7"/>
                <w:szCs w:val="21"/>
              </w:rPr>
              <w:t>环保设施</w:t>
            </w:r>
          </w:p>
        </w:tc>
        <w:tc>
          <w:tcPr>
            <w:tcW w:w="1891" w:type="pct"/>
            <w:tcBorders>
              <w:tl2br w:val="nil"/>
              <w:tr2bl w:val="nil"/>
            </w:tcBorders>
            <w:vAlign w:val="center"/>
          </w:tcPr>
          <w:p>
            <w:pPr>
              <w:widowControl/>
              <w:kinsoku w:val="0"/>
              <w:autoSpaceDE w:val="0"/>
              <w:autoSpaceDN w:val="0"/>
              <w:adjustRightInd w:val="0"/>
              <w:snapToGrid w:val="0"/>
              <w:jc w:val="center"/>
              <w:textAlignment w:val="baseline"/>
              <w:rPr>
                <w:rFonts w:cs="Times New Roman"/>
                <w:b/>
                <w:bCs/>
                <w:spacing w:val="7"/>
                <w:szCs w:val="21"/>
              </w:rPr>
            </w:pPr>
            <w:r>
              <w:rPr>
                <w:rFonts w:cs="Times New Roman"/>
                <w:b/>
                <w:bCs/>
                <w:spacing w:val="7"/>
                <w:szCs w:val="21"/>
              </w:rPr>
              <w:t>竣工验收内容与要求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废水</w:t>
            </w:r>
          </w:p>
        </w:tc>
        <w:tc>
          <w:tcPr>
            <w:tcW w:w="859"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生活污水</w:t>
            </w:r>
          </w:p>
        </w:tc>
        <w:tc>
          <w:tcPr>
            <w:tcW w:w="1904"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rPr>
              <w:t>食堂废水经隔油池（新增1m</w:t>
            </w:r>
            <w:r>
              <w:rPr>
                <w:rFonts w:cs="Times New Roman"/>
                <w:szCs w:val="21"/>
                <w:vertAlign w:val="superscript"/>
              </w:rPr>
              <w:t>3</w:t>
            </w:r>
            <w:r>
              <w:rPr>
                <w:rFonts w:cs="Times New Roman"/>
                <w:szCs w:val="21"/>
              </w:rPr>
              <w:t>）处理后同生活污水一同经厂区现有化粪池（30m</w:t>
            </w:r>
            <w:r>
              <w:rPr>
                <w:rFonts w:cs="Times New Roman"/>
                <w:szCs w:val="21"/>
                <w:vertAlign w:val="superscript"/>
              </w:rPr>
              <w:t>3</w:t>
            </w:r>
            <w:r>
              <w:rPr>
                <w:rFonts w:cs="Times New Roman"/>
                <w:szCs w:val="21"/>
              </w:rPr>
              <w:t>）处理后排入园区管网进入柳池工业园区污水处理厂处理。</w:t>
            </w:r>
          </w:p>
        </w:tc>
        <w:tc>
          <w:tcPr>
            <w:tcW w:w="1891"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restar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废气</w:t>
            </w:r>
          </w:p>
        </w:tc>
        <w:tc>
          <w:tcPr>
            <w:tcW w:w="859"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rPr>
              <w:t>浸胶工序、烘干工序产生的废气</w:t>
            </w:r>
          </w:p>
        </w:tc>
        <w:tc>
          <w:tcPr>
            <w:tcW w:w="1904"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rPr>
              <w:t>经二级活性炭装置（一期和二期各一套）吸附处理后分别经一根18m高排气筒（DA005、DA006）排放</w:t>
            </w:r>
          </w:p>
        </w:tc>
        <w:tc>
          <w:tcPr>
            <w:tcW w:w="1891" w:type="pct"/>
            <w:vMerge w:val="restar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rPr>
              <w:t>《四川省固定污染源大气挥发性有机物排放标准》（DB51/2377-2017）；《建材工业大气污染物排放标准》（DB37/2373-2018）；《恶臭污染物排放标准》（GB14554-93）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c>
          <w:tcPr>
            <w:tcW w:w="859"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bCs/>
                <w:kern w:val="0"/>
                <w:szCs w:val="21"/>
              </w:rPr>
              <w:t>天然气燃烧废气</w:t>
            </w:r>
          </w:p>
        </w:tc>
        <w:tc>
          <w:tcPr>
            <w:tcW w:w="1904"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rPr>
              <w:t>安装低氮燃烧器（一期和二期各一套）</w:t>
            </w:r>
          </w:p>
        </w:tc>
        <w:tc>
          <w:tcPr>
            <w:tcW w:w="1891"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c>
          <w:tcPr>
            <w:tcW w:w="859"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lang w:bidi="ar"/>
              </w:rPr>
              <w:t>食堂油烟</w:t>
            </w:r>
          </w:p>
        </w:tc>
        <w:tc>
          <w:tcPr>
            <w:tcW w:w="1904"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lang w:bidi="ar"/>
              </w:rPr>
              <w:t>经油烟净化器处理后外排</w:t>
            </w:r>
          </w:p>
        </w:tc>
        <w:tc>
          <w:tcPr>
            <w:tcW w:w="1891"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zCs w:val="21"/>
              </w:rPr>
              <w:t>《饮食业油烟排放标准》（GB 18483-2001）</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噪声</w:t>
            </w:r>
          </w:p>
        </w:tc>
        <w:tc>
          <w:tcPr>
            <w:tcW w:w="859"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设备噪声</w:t>
            </w:r>
          </w:p>
        </w:tc>
        <w:tc>
          <w:tcPr>
            <w:tcW w:w="1904"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eastAsiaTheme="minorEastAsia"/>
                <w:szCs w:val="21"/>
              </w:rPr>
              <w:t>选低噪声设备，采取基础减振、隔声措施</w:t>
            </w:r>
          </w:p>
        </w:tc>
        <w:tc>
          <w:tcPr>
            <w:tcW w:w="1891" w:type="pc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eastAsiaTheme="minorEastAsia"/>
                <w:szCs w:val="21"/>
              </w:rPr>
              <w:t>《工业企业厂界环境噪声排放标准》（GB12348-2008）3类标准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restar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固废</w:t>
            </w:r>
          </w:p>
        </w:tc>
        <w:tc>
          <w:tcPr>
            <w:tcW w:w="859" w:type="pct"/>
            <w:tcBorders>
              <w:tl2br w:val="nil"/>
              <w:tr2bl w:val="nil"/>
            </w:tcBorders>
            <w:vAlign w:val="center"/>
          </w:tcPr>
          <w:p>
            <w:pPr>
              <w:autoSpaceDN w:val="0"/>
              <w:jc w:val="center"/>
              <w:textAlignment w:val="bottom"/>
              <w:rPr>
                <w:rFonts w:cs="Times New Roman"/>
                <w:szCs w:val="21"/>
              </w:rPr>
            </w:pPr>
            <w:r>
              <w:rPr>
                <w:rFonts w:cs="Times New Roman"/>
                <w:szCs w:val="21"/>
              </w:rPr>
              <w:t>生活垃圾</w:t>
            </w:r>
          </w:p>
        </w:tc>
        <w:tc>
          <w:tcPr>
            <w:tcW w:w="1904" w:type="pct"/>
            <w:tcBorders>
              <w:tl2br w:val="nil"/>
              <w:tr2bl w:val="nil"/>
            </w:tcBorders>
            <w:vAlign w:val="center"/>
          </w:tcPr>
          <w:p>
            <w:pPr>
              <w:tabs>
                <w:tab w:val="left" w:pos="1134"/>
              </w:tabs>
              <w:jc w:val="center"/>
              <w:rPr>
                <w:rFonts w:cs="Times New Roman"/>
                <w:szCs w:val="21"/>
              </w:rPr>
            </w:pPr>
            <w:r>
              <w:rPr>
                <w:rFonts w:cs="Times New Roman"/>
                <w:szCs w:val="21"/>
              </w:rPr>
              <w:t>收集交由环卫部门清运</w:t>
            </w:r>
          </w:p>
        </w:tc>
        <w:tc>
          <w:tcPr>
            <w:tcW w:w="1891" w:type="pct"/>
            <w:vMerge w:val="restart"/>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《一般工业固体废物贮存、处置场污染控制标准》（GB 18599-2001）及其修改单</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c>
          <w:tcPr>
            <w:tcW w:w="859" w:type="pct"/>
            <w:tcBorders>
              <w:tl2br w:val="nil"/>
              <w:tr2bl w:val="nil"/>
            </w:tcBorders>
            <w:vAlign w:val="center"/>
          </w:tcPr>
          <w:p>
            <w:pPr>
              <w:autoSpaceDN w:val="0"/>
              <w:jc w:val="center"/>
              <w:textAlignment w:val="bottom"/>
              <w:rPr>
                <w:rFonts w:cs="Times New Roman"/>
                <w:szCs w:val="21"/>
              </w:rPr>
            </w:pPr>
            <w:r>
              <w:rPr>
                <w:rFonts w:cs="Times New Roman"/>
                <w:szCs w:val="21"/>
              </w:rPr>
              <w:t>餐厨垃圾</w:t>
            </w:r>
          </w:p>
        </w:tc>
        <w:tc>
          <w:tcPr>
            <w:tcW w:w="1904" w:type="pct"/>
            <w:tcBorders>
              <w:tl2br w:val="nil"/>
              <w:tr2bl w:val="nil"/>
            </w:tcBorders>
            <w:vAlign w:val="center"/>
          </w:tcPr>
          <w:p>
            <w:pPr>
              <w:tabs>
                <w:tab w:val="left" w:pos="1134"/>
              </w:tabs>
              <w:jc w:val="center"/>
              <w:rPr>
                <w:rFonts w:cs="Times New Roman"/>
                <w:szCs w:val="21"/>
              </w:rPr>
            </w:pPr>
            <w:r>
              <w:rPr>
                <w:rFonts w:cs="Times New Roman"/>
                <w:szCs w:val="21"/>
              </w:rPr>
              <w:t>交由有资质的单位处理</w:t>
            </w:r>
          </w:p>
        </w:tc>
        <w:tc>
          <w:tcPr>
            <w:tcW w:w="1891"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c>
          <w:tcPr>
            <w:tcW w:w="859" w:type="pct"/>
            <w:tcBorders>
              <w:tl2br w:val="nil"/>
              <w:tr2bl w:val="nil"/>
            </w:tcBorders>
            <w:vAlign w:val="center"/>
          </w:tcPr>
          <w:p>
            <w:pPr>
              <w:autoSpaceDN w:val="0"/>
              <w:jc w:val="center"/>
              <w:textAlignment w:val="bottom"/>
              <w:rPr>
                <w:rFonts w:cs="Times New Roman"/>
                <w:szCs w:val="21"/>
              </w:rPr>
            </w:pPr>
            <w:r>
              <w:rPr>
                <w:rFonts w:cs="Times New Roman"/>
                <w:szCs w:val="21"/>
              </w:rPr>
              <w:t>不合格品及边角料</w:t>
            </w:r>
          </w:p>
        </w:tc>
        <w:tc>
          <w:tcPr>
            <w:tcW w:w="1904" w:type="pct"/>
            <w:tcBorders>
              <w:tl2br w:val="nil"/>
              <w:tr2bl w:val="nil"/>
            </w:tcBorders>
            <w:vAlign w:val="center"/>
          </w:tcPr>
          <w:p>
            <w:pPr>
              <w:tabs>
                <w:tab w:val="left" w:pos="1134"/>
              </w:tabs>
              <w:jc w:val="center"/>
              <w:rPr>
                <w:rFonts w:cs="Times New Roman"/>
                <w:szCs w:val="21"/>
              </w:rPr>
            </w:pPr>
            <w:r>
              <w:rPr>
                <w:rFonts w:cs="Times New Roman"/>
                <w:szCs w:val="21"/>
              </w:rPr>
              <w:t>返回生产线重新利用</w:t>
            </w:r>
          </w:p>
        </w:tc>
        <w:tc>
          <w:tcPr>
            <w:tcW w:w="1891"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c>
          <w:tcPr>
            <w:tcW w:w="859" w:type="pct"/>
            <w:tcBorders>
              <w:tl2br w:val="nil"/>
              <w:tr2bl w:val="nil"/>
            </w:tcBorders>
            <w:vAlign w:val="center"/>
          </w:tcPr>
          <w:p>
            <w:pPr>
              <w:autoSpaceDN w:val="0"/>
              <w:jc w:val="center"/>
              <w:textAlignment w:val="bottom"/>
              <w:rPr>
                <w:rFonts w:cs="Times New Roman"/>
                <w:szCs w:val="21"/>
              </w:rPr>
            </w:pPr>
            <w:r>
              <w:rPr>
                <w:rFonts w:cs="Times New Roman"/>
                <w:szCs w:val="21"/>
              </w:rPr>
              <w:t>废包装材料</w:t>
            </w:r>
          </w:p>
        </w:tc>
        <w:tc>
          <w:tcPr>
            <w:tcW w:w="1904" w:type="pct"/>
            <w:tcBorders>
              <w:tl2br w:val="nil"/>
              <w:tr2bl w:val="nil"/>
            </w:tcBorders>
            <w:vAlign w:val="center"/>
          </w:tcPr>
          <w:p>
            <w:pPr>
              <w:tabs>
                <w:tab w:val="left" w:pos="1134"/>
              </w:tabs>
              <w:jc w:val="center"/>
              <w:rPr>
                <w:rFonts w:cs="Times New Roman"/>
                <w:szCs w:val="21"/>
              </w:rPr>
            </w:pPr>
            <w:r>
              <w:rPr>
                <w:rFonts w:cs="Times New Roman"/>
                <w:szCs w:val="21"/>
              </w:rPr>
              <w:t>外卖给废品回收单位</w:t>
            </w:r>
          </w:p>
        </w:tc>
        <w:tc>
          <w:tcPr>
            <w:tcW w:w="1891" w:type="pct"/>
            <w:vMerge w:val="continue"/>
            <w:tcBorders>
              <w:bottom w:val="single" w:color="auto" w:sz="4" w:space="0"/>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c>
          <w:tcPr>
            <w:tcW w:w="859" w:type="pct"/>
            <w:tcBorders>
              <w:tl2br w:val="nil"/>
              <w:tr2bl w:val="nil"/>
            </w:tcBorders>
            <w:vAlign w:val="center"/>
          </w:tcPr>
          <w:p>
            <w:pPr>
              <w:jc w:val="center"/>
              <w:rPr>
                <w:rFonts w:cs="Times New Roman"/>
                <w:szCs w:val="21"/>
              </w:rPr>
            </w:pPr>
            <w:r>
              <w:rPr>
                <w:rFonts w:cs="Times New Roman"/>
                <w:szCs w:val="21"/>
              </w:rPr>
              <w:t>废危化品桶</w:t>
            </w:r>
          </w:p>
        </w:tc>
        <w:tc>
          <w:tcPr>
            <w:tcW w:w="1904" w:type="pct"/>
            <w:tcBorders>
              <w:tl2br w:val="nil"/>
              <w:tr2bl w:val="nil"/>
            </w:tcBorders>
            <w:vAlign w:val="center"/>
          </w:tcPr>
          <w:p>
            <w:pPr>
              <w:tabs>
                <w:tab w:val="left" w:pos="1134"/>
              </w:tabs>
              <w:jc w:val="center"/>
              <w:rPr>
                <w:rFonts w:cs="Times New Roman"/>
                <w:szCs w:val="21"/>
              </w:rPr>
            </w:pPr>
            <w:r>
              <w:rPr>
                <w:rFonts w:cs="Times New Roman"/>
                <w:szCs w:val="21"/>
              </w:rPr>
              <w:t>定期由厂家回收利用</w:t>
            </w:r>
          </w:p>
        </w:tc>
        <w:tc>
          <w:tcPr>
            <w:tcW w:w="1891" w:type="pct"/>
            <w:vMerge w:val="restart"/>
            <w:tcBorders>
              <w:top w:val="single" w:color="auto" w:sz="4" w:space="0"/>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r>
              <w:rPr>
                <w:rFonts w:cs="Times New Roman"/>
                <w:spacing w:val="5"/>
                <w:szCs w:val="21"/>
              </w:rPr>
              <w:t>《危险废物贮存污染控制标准》（GB18597-2023）</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c>
          <w:tcPr>
            <w:tcW w:w="859" w:type="pct"/>
            <w:tcBorders>
              <w:tl2br w:val="nil"/>
              <w:tr2bl w:val="nil"/>
            </w:tcBorders>
            <w:vAlign w:val="center"/>
          </w:tcPr>
          <w:p>
            <w:pPr>
              <w:jc w:val="center"/>
              <w:rPr>
                <w:rFonts w:cs="Times New Roman"/>
                <w:szCs w:val="21"/>
              </w:rPr>
            </w:pPr>
            <w:r>
              <w:rPr>
                <w:rFonts w:cs="Times New Roman"/>
                <w:szCs w:val="21"/>
              </w:rPr>
              <w:t>废活性炭</w:t>
            </w:r>
          </w:p>
        </w:tc>
        <w:tc>
          <w:tcPr>
            <w:tcW w:w="1904" w:type="pct"/>
            <w:vMerge w:val="restart"/>
            <w:tcBorders>
              <w:tl2br w:val="nil"/>
              <w:tr2bl w:val="nil"/>
            </w:tcBorders>
            <w:vAlign w:val="center"/>
          </w:tcPr>
          <w:p>
            <w:pPr>
              <w:tabs>
                <w:tab w:val="left" w:pos="1134"/>
              </w:tabs>
              <w:jc w:val="center"/>
              <w:rPr>
                <w:rFonts w:cs="Times New Roman"/>
                <w:szCs w:val="21"/>
              </w:rPr>
            </w:pPr>
            <w:r>
              <w:rPr>
                <w:rFonts w:cs="Times New Roman"/>
                <w:szCs w:val="21"/>
              </w:rPr>
              <w:t>交由有危废资质单位处置</w:t>
            </w:r>
          </w:p>
        </w:tc>
        <w:tc>
          <w:tcPr>
            <w:tcW w:w="1891" w:type="pct"/>
            <w:vMerge w:val="continue"/>
            <w:tcBorders>
              <w:tl2br w:val="nil"/>
              <w:tr2bl w:val="nil"/>
            </w:tcBorders>
            <w:vAlign w:val="center"/>
          </w:tcPr>
          <w:p>
            <w:pPr>
              <w:widowControl/>
              <w:kinsoku w:val="0"/>
              <w:autoSpaceDE w:val="0"/>
              <w:autoSpaceDN w:val="0"/>
              <w:adjustRightInd w:val="0"/>
              <w:snapToGrid w:val="0"/>
              <w:jc w:val="center"/>
              <w:textAlignment w:val="baseline"/>
              <w:rPr>
                <w:rFonts w:cs="Times New Roman"/>
                <w:spacing w:val="5"/>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Borders>
              <w:tl2br w:val="nil"/>
              <w:tr2bl w:val="nil"/>
            </w:tcBorders>
            <w:vAlign w:val="center"/>
          </w:tcPr>
          <w:p>
            <w:pPr>
              <w:jc w:val="center"/>
              <w:rPr>
                <w:rFonts w:cs="Times New Roman"/>
                <w:szCs w:val="21"/>
              </w:rPr>
            </w:pPr>
          </w:p>
        </w:tc>
        <w:tc>
          <w:tcPr>
            <w:tcW w:w="859" w:type="pct"/>
            <w:tcBorders>
              <w:tl2br w:val="nil"/>
              <w:tr2bl w:val="nil"/>
            </w:tcBorders>
            <w:vAlign w:val="center"/>
          </w:tcPr>
          <w:p>
            <w:pPr>
              <w:jc w:val="center"/>
              <w:rPr>
                <w:rFonts w:cs="Times New Roman"/>
                <w:szCs w:val="21"/>
              </w:rPr>
            </w:pPr>
            <w:r>
              <w:rPr>
                <w:rFonts w:cs="Times New Roman"/>
                <w:szCs w:val="21"/>
              </w:rPr>
              <w:t>废机油</w:t>
            </w:r>
          </w:p>
        </w:tc>
        <w:tc>
          <w:tcPr>
            <w:tcW w:w="1904" w:type="pct"/>
            <w:vMerge w:val="continue"/>
            <w:tcBorders>
              <w:tl2br w:val="nil"/>
              <w:tr2bl w:val="nil"/>
            </w:tcBorders>
            <w:vAlign w:val="center"/>
          </w:tcPr>
          <w:p>
            <w:pPr>
              <w:jc w:val="center"/>
              <w:rPr>
                <w:rFonts w:cs="Times New Roman"/>
                <w:spacing w:val="4"/>
                <w:szCs w:val="21"/>
              </w:rPr>
            </w:pPr>
          </w:p>
        </w:tc>
        <w:tc>
          <w:tcPr>
            <w:tcW w:w="1891" w:type="pct"/>
            <w:vMerge w:val="continue"/>
            <w:tcBorders>
              <w:tl2br w:val="nil"/>
              <w:tr2bl w:val="nil"/>
            </w:tcBorders>
            <w:vAlign w:val="center"/>
          </w:tcPr>
          <w:p>
            <w:pPr>
              <w:jc w:val="center"/>
              <w:rPr>
                <w:rFonts w:cs="Times New Roman"/>
                <w:spacing w:val="8"/>
                <w:szCs w:val="21"/>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trPr>
        <w:tc>
          <w:tcPr>
            <w:tcW w:w="344" w:type="pct"/>
            <w:vMerge w:val="continue"/>
          </w:tcPr>
          <w:p>
            <w:pPr>
              <w:jc w:val="center"/>
              <w:rPr>
                <w:rFonts w:cs="Times New Roman"/>
                <w:szCs w:val="21"/>
              </w:rPr>
            </w:pPr>
          </w:p>
        </w:tc>
        <w:tc>
          <w:tcPr>
            <w:tcW w:w="0" w:type="auto"/>
            <w:vAlign w:val="center"/>
          </w:tcPr>
          <w:p>
            <w:pPr>
              <w:jc w:val="center"/>
              <w:rPr>
                <w:rFonts w:cs="Times New Roman"/>
                <w:szCs w:val="21"/>
              </w:rPr>
            </w:pPr>
            <w:r>
              <w:rPr>
                <w:rFonts w:cs="Times New Roman"/>
                <w:szCs w:val="21"/>
              </w:rPr>
              <w:t>含油抹布及手套</w:t>
            </w:r>
          </w:p>
        </w:tc>
        <w:tc>
          <w:tcPr>
            <w:tcW w:w="1904" w:type="pct"/>
            <w:vMerge w:val="continue"/>
          </w:tcPr>
          <w:p>
            <w:pPr>
              <w:jc w:val="center"/>
              <w:rPr>
                <w:rFonts w:cs="Times New Roman"/>
                <w:spacing w:val="4"/>
                <w:szCs w:val="21"/>
              </w:rPr>
            </w:pPr>
          </w:p>
        </w:tc>
        <w:tc>
          <w:tcPr>
            <w:tcW w:w="1891" w:type="pct"/>
            <w:vMerge w:val="continue"/>
            <w:tcBorders>
              <w:bottom w:val="single" w:color="auto" w:sz="4" w:space="0"/>
            </w:tcBorders>
          </w:tcPr>
          <w:p>
            <w:pPr>
              <w:jc w:val="center"/>
              <w:rPr>
                <w:rFonts w:cs="Times New Roman"/>
                <w:spacing w:val="8"/>
                <w:szCs w:val="21"/>
              </w:rPr>
            </w:pPr>
          </w:p>
        </w:tc>
      </w:tr>
    </w:tbl>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sectPr>
          <w:pgSz w:w="11906" w:h="16838"/>
          <w:pgMar w:top="1134" w:right="1134" w:bottom="1134" w:left="1417" w:header="851" w:footer="992" w:gutter="0"/>
          <w:cols w:space="720" w:num="1"/>
          <w:docGrid w:type="lines" w:linePitch="312" w:charSpace="0"/>
        </w:sectPr>
      </w:pPr>
    </w:p>
    <w:p>
      <w:pPr>
        <w:pStyle w:val="3"/>
        <w:rPr>
          <w:rFonts w:cs="Times New Roman"/>
        </w:rPr>
      </w:pPr>
      <w:r>
        <w:rPr>
          <w:rFonts w:cs="Times New Roman"/>
        </w:rPr>
        <w:t>7 大气评价结论与建议</w:t>
      </w:r>
    </w:p>
    <w:p>
      <w:pPr>
        <w:pStyle w:val="4"/>
        <w:rPr>
          <w:rFonts w:cs="Times New Roman"/>
        </w:rPr>
      </w:pPr>
      <w:r>
        <w:rPr>
          <w:rFonts w:cs="Times New Roman"/>
        </w:rPr>
        <w:t>7.1 环境空气质量现状</w:t>
      </w:r>
    </w:p>
    <w:p>
      <w:pPr>
        <w:spacing w:line="360" w:lineRule="auto"/>
        <w:ind w:firstLine="480" w:firstLineChars="200"/>
        <w:rPr>
          <w:rFonts w:cs="Times New Roman"/>
          <w:sz w:val="24"/>
          <w:szCs w:val="24"/>
        </w:rPr>
      </w:pPr>
      <w:r>
        <w:rPr>
          <w:rFonts w:cs="Times New Roman"/>
          <w:sz w:val="24"/>
          <w:szCs w:val="24"/>
        </w:rPr>
        <w:t>本项目评价范围涉及行政区域为达州市宣汉县，根据达州市生态环境局2023年1月18日公布的《达州市2022年环境空气质量状况》中相关数据和结论，宣汉县2022年均属于达标区。</w:t>
      </w:r>
    </w:p>
    <w:p>
      <w:pPr>
        <w:spacing w:line="360" w:lineRule="auto"/>
        <w:ind w:firstLine="480" w:firstLineChars="200"/>
        <w:rPr>
          <w:rFonts w:cs="Times New Roman"/>
          <w:sz w:val="24"/>
          <w:szCs w:val="24"/>
        </w:rPr>
      </w:pPr>
      <w:r>
        <w:rPr>
          <w:rFonts w:cs="Times New Roman"/>
          <w:sz w:val="24"/>
          <w:szCs w:val="24"/>
        </w:rPr>
        <w:t>本次评价对区域TVOC、甲醛、氨、颗粒物进行环境质量现状补充监测，评价区域环境空气中的TVOC、甲醛、氨浓度值均满足</w:t>
      </w:r>
      <w:r>
        <w:rPr>
          <w:rFonts w:cs="Times New Roman"/>
          <w:sz w:val="24"/>
          <w:szCs w:val="32"/>
          <w:lang w:bidi="ar"/>
        </w:rPr>
        <w:t>《环境影响评价技术导则大气环境》（HJ2.2-2018）附录D中的浓度限值标准要求；</w:t>
      </w:r>
      <w:r>
        <w:rPr>
          <w:rFonts w:cs="Times New Roman"/>
          <w:sz w:val="24"/>
          <w:szCs w:val="24"/>
        </w:rPr>
        <w:t>颗粒物满足《环境空气质量标准》（GB3095-2012）二级标准限值，项目所在区域环境空气质量良好。</w:t>
      </w:r>
    </w:p>
    <w:p>
      <w:pPr>
        <w:pStyle w:val="4"/>
        <w:rPr>
          <w:rFonts w:cs="Times New Roman"/>
        </w:rPr>
      </w:pPr>
      <w:r>
        <w:rPr>
          <w:rFonts w:cs="Times New Roman"/>
        </w:rPr>
        <w:t>7.2 大气影响预测结论</w:t>
      </w:r>
    </w:p>
    <w:p>
      <w:pPr>
        <w:spacing w:line="360" w:lineRule="auto"/>
        <w:ind w:firstLine="480" w:firstLineChars="200"/>
        <w:rPr>
          <w:rFonts w:cs="Times New Roman"/>
          <w:sz w:val="24"/>
          <w:szCs w:val="24"/>
        </w:rPr>
      </w:pPr>
      <w:r>
        <w:rPr>
          <w:rFonts w:cs="Times New Roman"/>
          <w:sz w:val="24"/>
          <w:szCs w:val="24"/>
        </w:rPr>
        <w:t>本项目大气环境评价等级为二级，采用估算模型进行预测，经预测，本项目排放的各污染物的最大落地浓度均未超过《环境空气质量标准》（GB3095-2012）二级标准。</w:t>
      </w:r>
    </w:p>
    <w:p>
      <w:pPr>
        <w:pStyle w:val="4"/>
        <w:rPr>
          <w:rFonts w:cs="Times New Roman"/>
        </w:rPr>
      </w:pPr>
      <w:r>
        <w:rPr>
          <w:rFonts w:cs="Times New Roman"/>
        </w:rPr>
        <w:t>7.3 大气环境防护距离</w:t>
      </w:r>
    </w:p>
    <w:p>
      <w:pPr>
        <w:spacing w:line="360" w:lineRule="auto"/>
        <w:ind w:firstLine="480" w:firstLineChars="200"/>
        <w:rPr>
          <w:rFonts w:cs="Times New Roman"/>
          <w:sz w:val="24"/>
          <w:szCs w:val="24"/>
        </w:rPr>
      </w:pPr>
      <w:r>
        <w:rPr>
          <w:rFonts w:cs="Times New Roman"/>
          <w:sz w:val="24"/>
          <w:szCs w:val="24"/>
        </w:rPr>
        <w:t>本项目不设置大气环境防护距离。</w:t>
      </w:r>
    </w:p>
    <w:p>
      <w:pPr>
        <w:pStyle w:val="4"/>
        <w:rPr>
          <w:rFonts w:cs="Times New Roman"/>
        </w:rPr>
      </w:pPr>
      <w:r>
        <w:rPr>
          <w:rFonts w:cs="Times New Roman"/>
        </w:rPr>
        <w:t>7.4 大气环境保护措施</w:t>
      </w:r>
    </w:p>
    <w:p>
      <w:pPr>
        <w:spacing w:line="360" w:lineRule="auto"/>
        <w:ind w:firstLine="480" w:firstLineChars="200"/>
        <w:rPr>
          <w:rFonts w:cs="Times New Roman"/>
          <w:sz w:val="24"/>
          <w:szCs w:val="24"/>
        </w:rPr>
      </w:pPr>
      <w:r>
        <w:rPr>
          <w:rFonts w:cs="Times New Roman"/>
          <w:sz w:val="24"/>
          <w:szCs w:val="24"/>
        </w:rPr>
        <w:t>原料在浸胶、烘干环节产生的废气：</w:t>
      </w:r>
      <w:r>
        <w:rPr>
          <w:rFonts w:cs="Times New Roman"/>
          <w:bCs/>
          <w:sz w:val="24"/>
          <w:szCs w:val="24"/>
        </w:rPr>
        <w:t>浸胶与烘干设备为密闭设备，废气经密闭设备顶部排气口管道收集，收集效率以98%计，设计风机风量25000</w:t>
      </w:r>
      <w:r>
        <w:rPr>
          <w:rFonts w:cs="Times New Roman"/>
          <w:sz w:val="24"/>
          <w:szCs w:val="24"/>
        </w:rPr>
        <w:t>m</w:t>
      </w:r>
      <w:r>
        <w:rPr>
          <w:rFonts w:cs="Times New Roman"/>
          <w:sz w:val="24"/>
          <w:szCs w:val="24"/>
          <w:vertAlign w:val="superscript"/>
        </w:rPr>
        <w:t>3</w:t>
      </w:r>
      <w:r>
        <w:rPr>
          <w:rFonts w:cs="Times New Roman"/>
          <w:bCs/>
          <w:sz w:val="24"/>
          <w:szCs w:val="24"/>
        </w:rPr>
        <w:t>/h，收集后的废气共经一套“二级活性炭吸附”设施处理</w:t>
      </w:r>
      <w:r>
        <w:rPr>
          <w:rFonts w:cs="Times New Roman"/>
          <w:sz w:val="24"/>
          <w:szCs w:val="24"/>
        </w:rPr>
        <w:t>（一期和二期各设置一套）</w:t>
      </w:r>
      <w:r>
        <w:rPr>
          <w:rFonts w:cs="Times New Roman"/>
          <w:bCs/>
          <w:sz w:val="24"/>
          <w:szCs w:val="24"/>
        </w:rPr>
        <w:t>，甲醛、有机废气处理效率按84%计，氨处理效率按20%计，处理后由18m高的排气筒DA005排放。</w:t>
      </w:r>
    </w:p>
    <w:p>
      <w:pPr>
        <w:spacing w:line="360" w:lineRule="auto"/>
        <w:ind w:firstLine="480" w:firstLineChars="200"/>
        <w:rPr>
          <w:rFonts w:cs="Times New Roman"/>
          <w:sz w:val="24"/>
          <w:szCs w:val="24"/>
        </w:rPr>
      </w:pPr>
      <w:r>
        <w:rPr>
          <w:rFonts w:cs="Times New Roman"/>
          <w:sz w:val="24"/>
          <w:szCs w:val="24"/>
        </w:rPr>
        <w:t>烘干工序产生的天然气燃烧废气：</w:t>
      </w:r>
      <w:r>
        <w:rPr>
          <w:rFonts w:cs="Times New Roman"/>
          <w:bCs/>
          <w:sz w:val="24"/>
          <w:szCs w:val="24"/>
        </w:rPr>
        <w:t>企业安装低氮燃烧装置，烘干炉产生的废气由18m高排气筒（DA005）排放。</w:t>
      </w:r>
    </w:p>
    <w:p>
      <w:pPr>
        <w:spacing w:line="360" w:lineRule="auto"/>
        <w:ind w:firstLine="480" w:firstLineChars="200"/>
        <w:rPr>
          <w:rFonts w:cs="Times New Roman"/>
          <w:sz w:val="24"/>
          <w:szCs w:val="24"/>
        </w:rPr>
      </w:pPr>
      <w:r>
        <w:rPr>
          <w:rFonts w:cs="Times New Roman"/>
          <w:sz w:val="24"/>
          <w:szCs w:val="24"/>
        </w:rPr>
        <w:t>食堂油烟：</w:t>
      </w:r>
      <w:r>
        <w:rPr>
          <w:rFonts w:cs="Times New Roman"/>
          <w:bCs/>
          <w:sz w:val="24"/>
          <w:szCs w:val="24"/>
        </w:rPr>
        <w:t>食堂安装了1台油烟净化器（风量为3000m</w:t>
      </w:r>
      <w:r>
        <w:rPr>
          <w:rFonts w:cs="Times New Roman"/>
          <w:bCs/>
          <w:sz w:val="24"/>
          <w:szCs w:val="24"/>
          <w:vertAlign w:val="superscript"/>
        </w:rPr>
        <w:t>3</w:t>
      </w:r>
      <w:r>
        <w:rPr>
          <w:rFonts w:cs="Times New Roman"/>
          <w:bCs/>
          <w:sz w:val="24"/>
          <w:szCs w:val="24"/>
        </w:rPr>
        <w:t>/h），食堂油烟经处理后通过油烟管道（DA004）外排，处理效率按60%计。</w:t>
      </w:r>
    </w:p>
    <w:p>
      <w:pPr>
        <w:spacing w:line="360" w:lineRule="auto"/>
        <w:ind w:firstLine="482" w:firstLineChars="200"/>
        <w:rPr>
          <w:rFonts w:cs="Times New Roman"/>
          <w:b/>
          <w:bCs/>
          <w:sz w:val="24"/>
          <w:szCs w:val="24"/>
        </w:rPr>
      </w:pPr>
      <w:r>
        <w:rPr>
          <w:rFonts w:cs="Times New Roman"/>
          <w:b/>
          <w:bCs/>
          <w:sz w:val="24"/>
          <w:szCs w:val="24"/>
        </w:rPr>
        <w:t>活性炭吸附装置运行原理及其性能介绍</w:t>
      </w:r>
    </w:p>
    <w:p>
      <w:pPr>
        <w:spacing w:line="360" w:lineRule="auto"/>
        <w:ind w:firstLine="480" w:firstLineChars="200"/>
        <w:rPr>
          <w:rFonts w:cs="Times New Roman"/>
          <w:sz w:val="24"/>
          <w:szCs w:val="24"/>
        </w:rPr>
      </w:pPr>
      <w:r>
        <w:rPr>
          <w:rFonts w:cs="Times New Roman"/>
          <w:sz w:val="24"/>
          <w:szCs w:val="24"/>
        </w:rPr>
        <w:t>因活性炭表面有大量微孔，其中绝大部分孔径小于500A（1A=10-10m），单位材料微孔的总内表面积称“比表面积”，可高达 900～1100m</w:t>
      </w:r>
      <w:r>
        <w:rPr>
          <w:rFonts w:cs="Times New Roman"/>
          <w:sz w:val="24"/>
          <w:szCs w:val="24"/>
          <w:vertAlign w:val="superscript"/>
        </w:rPr>
        <w:t>2</w:t>
      </w:r>
      <w:r>
        <w:rPr>
          <w:rFonts w:cs="Times New Roman"/>
          <w:sz w:val="24"/>
          <w:szCs w:val="24"/>
        </w:rPr>
        <w:t>/g，常被用来作为吸附有机废气的吸附剂。空气中的有害气体称“吸附质”，活性炭为“吸附剂”，由于分子间的引力，吸附质粘到微孔内表面，从而使空气得到净化。活性炭材料分颗粒炭、纤维炭，传统的颗粒活性炭有煤质炭、木质炭、椰壳炭、骨炭，在有机废气处理过程中，活性炭常被用来吸附烷烃、烯烃、芳香烃、酮、醛、氯代烃、酯等挥发性有机化合物（VOC</w:t>
      </w:r>
      <w:r>
        <w:rPr>
          <w:rFonts w:cs="Times New Roman"/>
          <w:sz w:val="24"/>
          <w:szCs w:val="24"/>
          <w:vertAlign w:val="subscript"/>
        </w:rPr>
        <w:t>S</w:t>
      </w:r>
      <w:r>
        <w:rPr>
          <w:rFonts w:cs="Times New Roman"/>
          <w:sz w:val="24"/>
          <w:szCs w:val="24"/>
        </w:rPr>
        <w:t>）。此外，活性炭具有孔径分布合理、吸附容量高、吸附速度快、机械强度大、在固定床中使用，气流阻力小、易于解吸和再生等优点，在宽浓度范围对大部分无机气体（如硫化物、氮氧化物等）和大多数有机蒸气、溶剂有较强的吸附能力。</w:t>
      </w:r>
    </w:p>
    <w:p>
      <w:pPr>
        <w:spacing w:line="360" w:lineRule="auto"/>
        <w:ind w:firstLine="480" w:firstLineChars="200"/>
        <w:rPr>
          <w:rFonts w:cs="Times New Roman"/>
          <w:sz w:val="24"/>
          <w:szCs w:val="24"/>
        </w:rPr>
      </w:pPr>
      <w:r>
        <w:rPr>
          <w:rFonts w:cs="Times New Roman"/>
          <w:sz w:val="24"/>
          <w:szCs w:val="24"/>
        </w:rPr>
        <w:t>本项目有机废气采用二级级活性炭吸附装置净化处理。一般单级活性炭的处理效率大于60%。本项目有机废气吸附温度为常温，则本项目采用二级活性炭处理效率为1－（1-60%）×（1-60%）=84%，则本项目取84%合理。同时，根据《吸附法工业有机废气治理工程技术规范》（HJ 2026-2013）活性炭吸附属于可行技术。</w:t>
      </w:r>
    </w:p>
    <w:p>
      <w:pPr>
        <w:spacing w:line="360" w:lineRule="auto"/>
        <w:ind w:firstLine="480" w:firstLineChars="200"/>
        <w:rPr>
          <w:rFonts w:cs="Times New Roman"/>
          <w:sz w:val="24"/>
          <w:szCs w:val="24"/>
        </w:rPr>
      </w:pPr>
      <w:r>
        <w:rPr>
          <w:rFonts w:cs="Times New Roman"/>
          <w:sz w:val="24"/>
          <w:szCs w:val="24"/>
        </w:rPr>
        <w:t>有组织废气处理后甲醛、VOCs执行《四川省固定污染源大气挥发性有机物排放标准》（DB51/2377-2017）中相应标准；SO</w:t>
      </w:r>
      <w:r>
        <w:rPr>
          <w:rFonts w:cs="Times New Roman"/>
          <w:sz w:val="24"/>
          <w:szCs w:val="24"/>
          <w:vertAlign w:val="subscript"/>
        </w:rPr>
        <w:t>2</w:t>
      </w:r>
      <w:r>
        <w:rPr>
          <w:rFonts w:cs="Times New Roman"/>
          <w:sz w:val="24"/>
          <w:szCs w:val="24"/>
        </w:rPr>
        <w:t>、NOx执行《建材工业大气污染物排放标准》（DB37/2373-2018）中相关标准；氨执行《恶臭污染物排放标准》（GB14554-93）中相关标准；无组织废气通过上述措施处理后甲醛、VOCs执行《四川省固定污染源大气挥发性有机物排放标准》（DB51/2377-2017）中相应标准；SO</w:t>
      </w:r>
      <w:r>
        <w:rPr>
          <w:rFonts w:cs="Times New Roman"/>
          <w:sz w:val="24"/>
          <w:szCs w:val="24"/>
          <w:vertAlign w:val="subscript"/>
        </w:rPr>
        <w:t>2</w:t>
      </w:r>
      <w:r>
        <w:rPr>
          <w:rFonts w:cs="Times New Roman"/>
          <w:sz w:val="24"/>
          <w:szCs w:val="24"/>
        </w:rPr>
        <w:t>、NOx执行《大气污染物综合排放标准》（GB16297-1996）中相关标准；氨执行《恶臭污染物排放标准》（GB14554-93）中相关标准。</w:t>
      </w:r>
    </w:p>
    <w:p>
      <w:pPr>
        <w:spacing w:line="360" w:lineRule="auto"/>
        <w:ind w:firstLine="480" w:firstLineChars="200"/>
        <w:rPr>
          <w:rFonts w:cs="Times New Roman"/>
          <w:sz w:val="24"/>
          <w:szCs w:val="24"/>
        </w:rPr>
      </w:pPr>
      <w:r>
        <w:rPr>
          <w:rFonts w:cs="Times New Roman"/>
          <w:sz w:val="24"/>
          <w:szCs w:val="24"/>
        </w:rPr>
        <w:t>综上所述：本项目对大气的环境影响可以接受。</w:t>
      </w: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p>
      <w:pPr>
        <w:spacing w:line="360" w:lineRule="auto"/>
        <w:ind w:firstLine="480" w:firstLineChars="200"/>
        <w:rPr>
          <w:rFonts w:cs="Times New Roman"/>
          <w:sz w:val="24"/>
          <w:szCs w:val="24"/>
        </w:rPr>
      </w:pPr>
    </w:p>
    <w:sectPr>
      <w:pgSz w:w="11906" w:h="16838"/>
      <w:pgMar w:top="1134" w:right="1134" w:bottom="1134"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Arial Black">
    <w:panose1 w:val="020B0A04020102020204"/>
    <w:charset w:val="00"/>
    <w:family w:val="swiss"/>
    <w:pitch w:val="default"/>
    <w:sig w:usb0="00000287" w:usb1="00000000" w:usb2="00000000" w:usb3="00000000" w:csb0="2000009F" w:csb1="DFD70000"/>
  </w:font>
  <w:font w:name="新宋体-18030">
    <w:altName w:val="宋体"/>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roman"/>
    <w:pitch w:val="default"/>
    <w:sig w:usb0="00000000" w:usb1="00000000" w:usb2="00000000" w:usb3="00000000" w:csb0="00000001"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249775"/>
    <w:multiLevelType w:val="singleLevel"/>
    <w:tmpl w:val="00249775"/>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kxY2U1ZWQzN2EzOTk4NzRiOWRkNTI1ZmQ4ODI2ZjQifQ=="/>
  </w:docVars>
  <w:rsids>
    <w:rsidRoot w:val="00172A27"/>
    <w:rsid w:val="00000B5E"/>
    <w:rsid w:val="00000C0A"/>
    <w:rsid w:val="000014A6"/>
    <w:rsid w:val="00001EBA"/>
    <w:rsid w:val="00002A6D"/>
    <w:rsid w:val="00003162"/>
    <w:rsid w:val="00006ACA"/>
    <w:rsid w:val="00006F6D"/>
    <w:rsid w:val="000103CE"/>
    <w:rsid w:val="00011144"/>
    <w:rsid w:val="00013A3F"/>
    <w:rsid w:val="0001444C"/>
    <w:rsid w:val="00014A20"/>
    <w:rsid w:val="00014B28"/>
    <w:rsid w:val="00014F13"/>
    <w:rsid w:val="0001552C"/>
    <w:rsid w:val="00016C99"/>
    <w:rsid w:val="00016D8D"/>
    <w:rsid w:val="00017226"/>
    <w:rsid w:val="00017D0D"/>
    <w:rsid w:val="000200E4"/>
    <w:rsid w:val="000207E9"/>
    <w:rsid w:val="000235FB"/>
    <w:rsid w:val="00024B9E"/>
    <w:rsid w:val="0002546F"/>
    <w:rsid w:val="00025610"/>
    <w:rsid w:val="00025C9E"/>
    <w:rsid w:val="00025EF3"/>
    <w:rsid w:val="0002610A"/>
    <w:rsid w:val="000307AB"/>
    <w:rsid w:val="00031C2C"/>
    <w:rsid w:val="00031D72"/>
    <w:rsid w:val="0003462F"/>
    <w:rsid w:val="00034DCC"/>
    <w:rsid w:val="00034DDA"/>
    <w:rsid w:val="00035AC5"/>
    <w:rsid w:val="00035EB5"/>
    <w:rsid w:val="00037C5C"/>
    <w:rsid w:val="00040855"/>
    <w:rsid w:val="00041755"/>
    <w:rsid w:val="0004272B"/>
    <w:rsid w:val="00043772"/>
    <w:rsid w:val="0004377D"/>
    <w:rsid w:val="000439DD"/>
    <w:rsid w:val="000447BD"/>
    <w:rsid w:val="00044D25"/>
    <w:rsid w:val="000452D7"/>
    <w:rsid w:val="00045304"/>
    <w:rsid w:val="0004673D"/>
    <w:rsid w:val="00046783"/>
    <w:rsid w:val="00050B9A"/>
    <w:rsid w:val="00050F56"/>
    <w:rsid w:val="00050FCF"/>
    <w:rsid w:val="0005183D"/>
    <w:rsid w:val="00051989"/>
    <w:rsid w:val="00051C97"/>
    <w:rsid w:val="00053455"/>
    <w:rsid w:val="00053EE1"/>
    <w:rsid w:val="000554A6"/>
    <w:rsid w:val="0005632A"/>
    <w:rsid w:val="0005647E"/>
    <w:rsid w:val="0005723F"/>
    <w:rsid w:val="000573CB"/>
    <w:rsid w:val="0005747E"/>
    <w:rsid w:val="00057875"/>
    <w:rsid w:val="00061654"/>
    <w:rsid w:val="0006592A"/>
    <w:rsid w:val="000668A4"/>
    <w:rsid w:val="00066A37"/>
    <w:rsid w:val="00067A22"/>
    <w:rsid w:val="00070A81"/>
    <w:rsid w:val="00071368"/>
    <w:rsid w:val="00071779"/>
    <w:rsid w:val="00074010"/>
    <w:rsid w:val="0007412D"/>
    <w:rsid w:val="00074317"/>
    <w:rsid w:val="00074D4F"/>
    <w:rsid w:val="000758A2"/>
    <w:rsid w:val="000758E5"/>
    <w:rsid w:val="000760E6"/>
    <w:rsid w:val="00077478"/>
    <w:rsid w:val="00077A0F"/>
    <w:rsid w:val="000813EA"/>
    <w:rsid w:val="00082F8F"/>
    <w:rsid w:val="00083098"/>
    <w:rsid w:val="00083188"/>
    <w:rsid w:val="000847F7"/>
    <w:rsid w:val="00084A07"/>
    <w:rsid w:val="00084D48"/>
    <w:rsid w:val="000858A9"/>
    <w:rsid w:val="00086637"/>
    <w:rsid w:val="00091E77"/>
    <w:rsid w:val="000929DD"/>
    <w:rsid w:val="00093154"/>
    <w:rsid w:val="00093367"/>
    <w:rsid w:val="0009339C"/>
    <w:rsid w:val="0009484A"/>
    <w:rsid w:val="0009642A"/>
    <w:rsid w:val="000964DC"/>
    <w:rsid w:val="00096636"/>
    <w:rsid w:val="00096A4D"/>
    <w:rsid w:val="00097315"/>
    <w:rsid w:val="000A02FB"/>
    <w:rsid w:val="000A0D5F"/>
    <w:rsid w:val="000A1CCE"/>
    <w:rsid w:val="000A2382"/>
    <w:rsid w:val="000A24F4"/>
    <w:rsid w:val="000A4136"/>
    <w:rsid w:val="000A5070"/>
    <w:rsid w:val="000A6411"/>
    <w:rsid w:val="000A712F"/>
    <w:rsid w:val="000A72C8"/>
    <w:rsid w:val="000B019A"/>
    <w:rsid w:val="000B0212"/>
    <w:rsid w:val="000B2352"/>
    <w:rsid w:val="000B23A4"/>
    <w:rsid w:val="000B47B9"/>
    <w:rsid w:val="000B4CD9"/>
    <w:rsid w:val="000B55FF"/>
    <w:rsid w:val="000B6672"/>
    <w:rsid w:val="000B6983"/>
    <w:rsid w:val="000B79A0"/>
    <w:rsid w:val="000C032C"/>
    <w:rsid w:val="000C1C38"/>
    <w:rsid w:val="000C1CDA"/>
    <w:rsid w:val="000C23BE"/>
    <w:rsid w:val="000C247E"/>
    <w:rsid w:val="000C2E30"/>
    <w:rsid w:val="000C37EB"/>
    <w:rsid w:val="000C5707"/>
    <w:rsid w:val="000C5B08"/>
    <w:rsid w:val="000C5F52"/>
    <w:rsid w:val="000C79F0"/>
    <w:rsid w:val="000C7FAC"/>
    <w:rsid w:val="000D0ADB"/>
    <w:rsid w:val="000D14C0"/>
    <w:rsid w:val="000D2AAA"/>
    <w:rsid w:val="000D318F"/>
    <w:rsid w:val="000D3928"/>
    <w:rsid w:val="000D46E2"/>
    <w:rsid w:val="000D4B06"/>
    <w:rsid w:val="000D50C0"/>
    <w:rsid w:val="000D5606"/>
    <w:rsid w:val="000D58C2"/>
    <w:rsid w:val="000D5C5F"/>
    <w:rsid w:val="000D5D22"/>
    <w:rsid w:val="000D7B34"/>
    <w:rsid w:val="000E0373"/>
    <w:rsid w:val="000E0CBE"/>
    <w:rsid w:val="000E123F"/>
    <w:rsid w:val="000E2B9F"/>
    <w:rsid w:val="000E3687"/>
    <w:rsid w:val="000E4316"/>
    <w:rsid w:val="000E46F4"/>
    <w:rsid w:val="000E6225"/>
    <w:rsid w:val="000E6C9F"/>
    <w:rsid w:val="000E7DAC"/>
    <w:rsid w:val="000F01A4"/>
    <w:rsid w:val="000F09DF"/>
    <w:rsid w:val="000F2090"/>
    <w:rsid w:val="000F2AFB"/>
    <w:rsid w:val="000F2C6D"/>
    <w:rsid w:val="000F3CE6"/>
    <w:rsid w:val="000F4022"/>
    <w:rsid w:val="000F4DC7"/>
    <w:rsid w:val="000F5DE7"/>
    <w:rsid w:val="000F639A"/>
    <w:rsid w:val="000F7CCB"/>
    <w:rsid w:val="00101C0A"/>
    <w:rsid w:val="00101D45"/>
    <w:rsid w:val="00101FE7"/>
    <w:rsid w:val="00102225"/>
    <w:rsid w:val="00102388"/>
    <w:rsid w:val="0010402E"/>
    <w:rsid w:val="001054EA"/>
    <w:rsid w:val="00106D98"/>
    <w:rsid w:val="00107266"/>
    <w:rsid w:val="00110740"/>
    <w:rsid w:val="00110ADB"/>
    <w:rsid w:val="00111FBC"/>
    <w:rsid w:val="00112CF4"/>
    <w:rsid w:val="001137C1"/>
    <w:rsid w:val="00113BF5"/>
    <w:rsid w:val="00113F84"/>
    <w:rsid w:val="00114D2C"/>
    <w:rsid w:val="001154A8"/>
    <w:rsid w:val="00115880"/>
    <w:rsid w:val="00115FD8"/>
    <w:rsid w:val="00116C46"/>
    <w:rsid w:val="0011732D"/>
    <w:rsid w:val="00117A17"/>
    <w:rsid w:val="0012069F"/>
    <w:rsid w:val="001207E6"/>
    <w:rsid w:val="00120E1C"/>
    <w:rsid w:val="00120F59"/>
    <w:rsid w:val="001217E4"/>
    <w:rsid w:val="001259AA"/>
    <w:rsid w:val="00125D9F"/>
    <w:rsid w:val="00125E98"/>
    <w:rsid w:val="0012683C"/>
    <w:rsid w:val="00127C82"/>
    <w:rsid w:val="00130AAF"/>
    <w:rsid w:val="0013238B"/>
    <w:rsid w:val="0013265F"/>
    <w:rsid w:val="00135DC0"/>
    <w:rsid w:val="001367D8"/>
    <w:rsid w:val="001378AA"/>
    <w:rsid w:val="00140613"/>
    <w:rsid w:val="00141069"/>
    <w:rsid w:val="00143010"/>
    <w:rsid w:val="001433E0"/>
    <w:rsid w:val="00143E2A"/>
    <w:rsid w:val="00145B98"/>
    <w:rsid w:val="0014630F"/>
    <w:rsid w:val="001473EB"/>
    <w:rsid w:val="00147683"/>
    <w:rsid w:val="00151185"/>
    <w:rsid w:val="001515B7"/>
    <w:rsid w:val="0015240B"/>
    <w:rsid w:val="001524BB"/>
    <w:rsid w:val="00152F00"/>
    <w:rsid w:val="0015377A"/>
    <w:rsid w:val="001556AA"/>
    <w:rsid w:val="001556F6"/>
    <w:rsid w:val="00157B75"/>
    <w:rsid w:val="0016016F"/>
    <w:rsid w:val="00161A8B"/>
    <w:rsid w:val="00162B9A"/>
    <w:rsid w:val="00162C48"/>
    <w:rsid w:val="00162E0F"/>
    <w:rsid w:val="0016321C"/>
    <w:rsid w:val="00164B95"/>
    <w:rsid w:val="00165EBA"/>
    <w:rsid w:val="00166183"/>
    <w:rsid w:val="00167113"/>
    <w:rsid w:val="00167852"/>
    <w:rsid w:val="00167FF0"/>
    <w:rsid w:val="00172388"/>
    <w:rsid w:val="00172630"/>
    <w:rsid w:val="00172A27"/>
    <w:rsid w:val="00173501"/>
    <w:rsid w:val="0017455C"/>
    <w:rsid w:val="00174BBE"/>
    <w:rsid w:val="0017583B"/>
    <w:rsid w:val="001761FF"/>
    <w:rsid w:val="00176491"/>
    <w:rsid w:val="00177391"/>
    <w:rsid w:val="0017764F"/>
    <w:rsid w:val="00177D64"/>
    <w:rsid w:val="001800A3"/>
    <w:rsid w:val="00180AF3"/>
    <w:rsid w:val="00182CD4"/>
    <w:rsid w:val="00185663"/>
    <w:rsid w:val="00190211"/>
    <w:rsid w:val="00190C01"/>
    <w:rsid w:val="00192DE0"/>
    <w:rsid w:val="00192ECE"/>
    <w:rsid w:val="00193D19"/>
    <w:rsid w:val="00194D46"/>
    <w:rsid w:val="00194FBD"/>
    <w:rsid w:val="001950E3"/>
    <w:rsid w:val="001961A6"/>
    <w:rsid w:val="001963F0"/>
    <w:rsid w:val="00196F8D"/>
    <w:rsid w:val="0019760B"/>
    <w:rsid w:val="00197F59"/>
    <w:rsid w:val="001A0FF0"/>
    <w:rsid w:val="001A1620"/>
    <w:rsid w:val="001A1644"/>
    <w:rsid w:val="001A4240"/>
    <w:rsid w:val="001A5316"/>
    <w:rsid w:val="001A6F59"/>
    <w:rsid w:val="001A7E03"/>
    <w:rsid w:val="001B12B2"/>
    <w:rsid w:val="001B13D5"/>
    <w:rsid w:val="001B15E1"/>
    <w:rsid w:val="001B1E5A"/>
    <w:rsid w:val="001B2801"/>
    <w:rsid w:val="001B2B05"/>
    <w:rsid w:val="001B2D20"/>
    <w:rsid w:val="001B3265"/>
    <w:rsid w:val="001B3BDB"/>
    <w:rsid w:val="001B3D47"/>
    <w:rsid w:val="001B430F"/>
    <w:rsid w:val="001B4F4F"/>
    <w:rsid w:val="001B5E2A"/>
    <w:rsid w:val="001B6F59"/>
    <w:rsid w:val="001B7258"/>
    <w:rsid w:val="001B75BE"/>
    <w:rsid w:val="001B7A91"/>
    <w:rsid w:val="001C12DF"/>
    <w:rsid w:val="001C30B0"/>
    <w:rsid w:val="001C3302"/>
    <w:rsid w:val="001C5180"/>
    <w:rsid w:val="001C5980"/>
    <w:rsid w:val="001C606B"/>
    <w:rsid w:val="001C6610"/>
    <w:rsid w:val="001D1F8C"/>
    <w:rsid w:val="001D2028"/>
    <w:rsid w:val="001D213A"/>
    <w:rsid w:val="001D260C"/>
    <w:rsid w:val="001D43CE"/>
    <w:rsid w:val="001D515D"/>
    <w:rsid w:val="001D6BA0"/>
    <w:rsid w:val="001D7671"/>
    <w:rsid w:val="001D7E10"/>
    <w:rsid w:val="001E0ADF"/>
    <w:rsid w:val="001E10E1"/>
    <w:rsid w:val="001E1EB8"/>
    <w:rsid w:val="001E2B35"/>
    <w:rsid w:val="001E2F0C"/>
    <w:rsid w:val="001E3F64"/>
    <w:rsid w:val="001E4B3B"/>
    <w:rsid w:val="001E5E27"/>
    <w:rsid w:val="001E6B6C"/>
    <w:rsid w:val="001F27AD"/>
    <w:rsid w:val="001F2AAA"/>
    <w:rsid w:val="001F4003"/>
    <w:rsid w:val="001F5082"/>
    <w:rsid w:val="001F62A7"/>
    <w:rsid w:val="00200FE3"/>
    <w:rsid w:val="00201289"/>
    <w:rsid w:val="00203CDC"/>
    <w:rsid w:val="00204283"/>
    <w:rsid w:val="002043D6"/>
    <w:rsid w:val="00204AA1"/>
    <w:rsid w:val="002063C4"/>
    <w:rsid w:val="00207D07"/>
    <w:rsid w:val="0021038B"/>
    <w:rsid w:val="0021090C"/>
    <w:rsid w:val="00210E1B"/>
    <w:rsid w:val="00211066"/>
    <w:rsid w:val="00211387"/>
    <w:rsid w:val="00211574"/>
    <w:rsid w:val="00212532"/>
    <w:rsid w:val="00212A35"/>
    <w:rsid w:val="00212CF3"/>
    <w:rsid w:val="00213258"/>
    <w:rsid w:val="00213A11"/>
    <w:rsid w:val="00213B8B"/>
    <w:rsid w:val="00213D80"/>
    <w:rsid w:val="00214509"/>
    <w:rsid w:val="00216405"/>
    <w:rsid w:val="0021676F"/>
    <w:rsid w:val="00217984"/>
    <w:rsid w:val="00217D48"/>
    <w:rsid w:val="00220011"/>
    <w:rsid w:val="002208B0"/>
    <w:rsid w:val="00220B98"/>
    <w:rsid w:val="00221BE9"/>
    <w:rsid w:val="0022260A"/>
    <w:rsid w:val="0022462F"/>
    <w:rsid w:val="002254B8"/>
    <w:rsid w:val="0022656E"/>
    <w:rsid w:val="002266E1"/>
    <w:rsid w:val="00230307"/>
    <w:rsid w:val="002329BE"/>
    <w:rsid w:val="00232C82"/>
    <w:rsid w:val="00232DD8"/>
    <w:rsid w:val="002330D6"/>
    <w:rsid w:val="002339F9"/>
    <w:rsid w:val="00233CDD"/>
    <w:rsid w:val="00234DE9"/>
    <w:rsid w:val="002350BB"/>
    <w:rsid w:val="00236693"/>
    <w:rsid w:val="00236916"/>
    <w:rsid w:val="00236D7F"/>
    <w:rsid w:val="00236F89"/>
    <w:rsid w:val="002412AB"/>
    <w:rsid w:val="00241505"/>
    <w:rsid w:val="002424FA"/>
    <w:rsid w:val="00242AD3"/>
    <w:rsid w:val="002445A1"/>
    <w:rsid w:val="00244AA7"/>
    <w:rsid w:val="00244AAD"/>
    <w:rsid w:val="00244C42"/>
    <w:rsid w:val="0024551A"/>
    <w:rsid w:val="0024662B"/>
    <w:rsid w:val="00246D7E"/>
    <w:rsid w:val="00250999"/>
    <w:rsid w:val="00252432"/>
    <w:rsid w:val="002528B3"/>
    <w:rsid w:val="002546FF"/>
    <w:rsid w:val="002551D2"/>
    <w:rsid w:val="0025626A"/>
    <w:rsid w:val="00256B20"/>
    <w:rsid w:val="00260192"/>
    <w:rsid w:val="00261E4A"/>
    <w:rsid w:val="00262994"/>
    <w:rsid w:val="0026323D"/>
    <w:rsid w:val="00264331"/>
    <w:rsid w:val="00265204"/>
    <w:rsid w:val="0026636F"/>
    <w:rsid w:val="002730EA"/>
    <w:rsid w:val="002743E3"/>
    <w:rsid w:val="00274A0C"/>
    <w:rsid w:val="00274C12"/>
    <w:rsid w:val="002757CC"/>
    <w:rsid w:val="002770D7"/>
    <w:rsid w:val="00280005"/>
    <w:rsid w:val="00280235"/>
    <w:rsid w:val="00280384"/>
    <w:rsid w:val="00280804"/>
    <w:rsid w:val="00280B47"/>
    <w:rsid w:val="00283592"/>
    <w:rsid w:val="002841BD"/>
    <w:rsid w:val="00285C64"/>
    <w:rsid w:val="002866F1"/>
    <w:rsid w:val="00286C77"/>
    <w:rsid w:val="00290BC4"/>
    <w:rsid w:val="00290C11"/>
    <w:rsid w:val="00293586"/>
    <w:rsid w:val="0029457F"/>
    <w:rsid w:val="00294C29"/>
    <w:rsid w:val="00295469"/>
    <w:rsid w:val="002955ED"/>
    <w:rsid w:val="002972BD"/>
    <w:rsid w:val="002A08E1"/>
    <w:rsid w:val="002A0ED9"/>
    <w:rsid w:val="002A18D5"/>
    <w:rsid w:val="002A251E"/>
    <w:rsid w:val="002A2756"/>
    <w:rsid w:val="002A29B6"/>
    <w:rsid w:val="002A2A02"/>
    <w:rsid w:val="002A38D3"/>
    <w:rsid w:val="002A3AB3"/>
    <w:rsid w:val="002A4A0F"/>
    <w:rsid w:val="002A4F4B"/>
    <w:rsid w:val="002A5C84"/>
    <w:rsid w:val="002A5CD7"/>
    <w:rsid w:val="002A6528"/>
    <w:rsid w:val="002B0DF9"/>
    <w:rsid w:val="002B0E76"/>
    <w:rsid w:val="002B1311"/>
    <w:rsid w:val="002B201A"/>
    <w:rsid w:val="002B24B6"/>
    <w:rsid w:val="002B2C50"/>
    <w:rsid w:val="002B3289"/>
    <w:rsid w:val="002B39A6"/>
    <w:rsid w:val="002B40B3"/>
    <w:rsid w:val="002B411C"/>
    <w:rsid w:val="002B4489"/>
    <w:rsid w:val="002B4C4F"/>
    <w:rsid w:val="002B65F6"/>
    <w:rsid w:val="002C0B3C"/>
    <w:rsid w:val="002C1988"/>
    <w:rsid w:val="002C2AC4"/>
    <w:rsid w:val="002C3A74"/>
    <w:rsid w:val="002C3CE0"/>
    <w:rsid w:val="002C3F5E"/>
    <w:rsid w:val="002C45DD"/>
    <w:rsid w:val="002C4B56"/>
    <w:rsid w:val="002C4E1E"/>
    <w:rsid w:val="002C4E39"/>
    <w:rsid w:val="002C5BC6"/>
    <w:rsid w:val="002C5D05"/>
    <w:rsid w:val="002C7193"/>
    <w:rsid w:val="002D0013"/>
    <w:rsid w:val="002D0787"/>
    <w:rsid w:val="002D172E"/>
    <w:rsid w:val="002D1B29"/>
    <w:rsid w:val="002D2E53"/>
    <w:rsid w:val="002D2FBD"/>
    <w:rsid w:val="002D341A"/>
    <w:rsid w:val="002D42E3"/>
    <w:rsid w:val="002D4951"/>
    <w:rsid w:val="002D590C"/>
    <w:rsid w:val="002D70A5"/>
    <w:rsid w:val="002D79CD"/>
    <w:rsid w:val="002E012A"/>
    <w:rsid w:val="002E05E0"/>
    <w:rsid w:val="002E29AB"/>
    <w:rsid w:val="002E301A"/>
    <w:rsid w:val="002E3580"/>
    <w:rsid w:val="002E3595"/>
    <w:rsid w:val="002E3D54"/>
    <w:rsid w:val="002E3F36"/>
    <w:rsid w:val="002E512B"/>
    <w:rsid w:val="002E51FB"/>
    <w:rsid w:val="002E5228"/>
    <w:rsid w:val="002E563E"/>
    <w:rsid w:val="002E607A"/>
    <w:rsid w:val="002E70A6"/>
    <w:rsid w:val="002E75C1"/>
    <w:rsid w:val="002E7838"/>
    <w:rsid w:val="002F0A21"/>
    <w:rsid w:val="002F161E"/>
    <w:rsid w:val="002F1F9C"/>
    <w:rsid w:val="002F23D3"/>
    <w:rsid w:val="002F269A"/>
    <w:rsid w:val="002F3611"/>
    <w:rsid w:val="002F3B1B"/>
    <w:rsid w:val="002F3F58"/>
    <w:rsid w:val="002F6DC8"/>
    <w:rsid w:val="002F6DD1"/>
    <w:rsid w:val="002F72C3"/>
    <w:rsid w:val="003010D2"/>
    <w:rsid w:val="0030122C"/>
    <w:rsid w:val="0030193C"/>
    <w:rsid w:val="00301B78"/>
    <w:rsid w:val="00302271"/>
    <w:rsid w:val="003034DC"/>
    <w:rsid w:val="00304899"/>
    <w:rsid w:val="00306FAA"/>
    <w:rsid w:val="0030760F"/>
    <w:rsid w:val="0031020C"/>
    <w:rsid w:val="00312F22"/>
    <w:rsid w:val="003131A0"/>
    <w:rsid w:val="00313C40"/>
    <w:rsid w:val="00313D1A"/>
    <w:rsid w:val="00314144"/>
    <w:rsid w:val="00314BDA"/>
    <w:rsid w:val="00314FE5"/>
    <w:rsid w:val="0031630B"/>
    <w:rsid w:val="00316AC4"/>
    <w:rsid w:val="00316FCB"/>
    <w:rsid w:val="00320F8F"/>
    <w:rsid w:val="003235DC"/>
    <w:rsid w:val="00323C50"/>
    <w:rsid w:val="00330230"/>
    <w:rsid w:val="0033072E"/>
    <w:rsid w:val="003311F2"/>
    <w:rsid w:val="00331682"/>
    <w:rsid w:val="003326E3"/>
    <w:rsid w:val="00332E63"/>
    <w:rsid w:val="003341ED"/>
    <w:rsid w:val="00335716"/>
    <w:rsid w:val="00335FCB"/>
    <w:rsid w:val="0033779A"/>
    <w:rsid w:val="00337FD8"/>
    <w:rsid w:val="00341AF7"/>
    <w:rsid w:val="003424E2"/>
    <w:rsid w:val="00343B2C"/>
    <w:rsid w:val="00343F97"/>
    <w:rsid w:val="00344193"/>
    <w:rsid w:val="003466D2"/>
    <w:rsid w:val="003468EC"/>
    <w:rsid w:val="00350258"/>
    <w:rsid w:val="00351729"/>
    <w:rsid w:val="0035279C"/>
    <w:rsid w:val="00352BE4"/>
    <w:rsid w:val="003539C3"/>
    <w:rsid w:val="003550AC"/>
    <w:rsid w:val="00355E36"/>
    <w:rsid w:val="00356DF0"/>
    <w:rsid w:val="003571C6"/>
    <w:rsid w:val="003608CD"/>
    <w:rsid w:val="003618A2"/>
    <w:rsid w:val="003619EF"/>
    <w:rsid w:val="00361A05"/>
    <w:rsid w:val="00363B46"/>
    <w:rsid w:val="00364E7A"/>
    <w:rsid w:val="0036523D"/>
    <w:rsid w:val="00365B74"/>
    <w:rsid w:val="003669E2"/>
    <w:rsid w:val="00366E22"/>
    <w:rsid w:val="0036774A"/>
    <w:rsid w:val="003706A4"/>
    <w:rsid w:val="00370AE5"/>
    <w:rsid w:val="0037127F"/>
    <w:rsid w:val="00371BD9"/>
    <w:rsid w:val="00371F9C"/>
    <w:rsid w:val="00372C4F"/>
    <w:rsid w:val="00373511"/>
    <w:rsid w:val="003745DF"/>
    <w:rsid w:val="00375980"/>
    <w:rsid w:val="00376CFB"/>
    <w:rsid w:val="0037774A"/>
    <w:rsid w:val="00377C58"/>
    <w:rsid w:val="003818B6"/>
    <w:rsid w:val="00381994"/>
    <w:rsid w:val="00382C42"/>
    <w:rsid w:val="003833C7"/>
    <w:rsid w:val="00385471"/>
    <w:rsid w:val="003854E5"/>
    <w:rsid w:val="00386D44"/>
    <w:rsid w:val="00386E2D"/>
    <w:rsid w:val="00387531"/>
    <w:rsid w:val="00391322"/>
    <w:rsid w:val="00391C44"/>
    <w:rsid w:val="003928B1"/>
    <w:rsid w:val="003936F8"/>
    <w:rsid w:val="003941F3"/>
    <w:rsid w:val="00394E7B"/>
    <w:rsid w:val="003950D0"/>
    <w:rsid w:val="00395477"/>
    <w:rsid w:val="00395626"/>
    <w:rsid w:val="00395F55"/>
    <w:rsid w:val="003A1F67"/>
    <w:rsid w:val="003A2456"/>
    <w:rsid w:val="003A249D"/>
    <w:rsid w:val="003A47EB"/>
    <w:rsid w:val="003A4B3B"/>
    <w:rsid w:val="003A5201"/>
    <w:rsid w:val="003A7449"/>
    <w:rsid w:val="003A783A"/>
    <w:rsid w:val="003B06C5"/>
    <w:rsid w:val="003B09E1"/>
    <w:rsid w:val="003B10DC"/>
    <w:rsid w:val="003B1C40"/>
    <w:rsid w:val="003B2158"/>
    <w:rsid w:val="003B2D28"/>
    <w:rsid w:val="003B3930"/>
    <w:rsid w:val="003B52D3"/>
    <w:rsid w:val="003B608E"/>
    <w:rsid w:val="003B7485"/>
    <w:rsid w:val="003B75F5"/>
    <w:rsid w:val="003C0B3B"/>
    <w:rsid w:val="003C29D9"/>
    <w:rsid w:val="003C2F6B"/>
    <w:rsid w:val="003C3813"/>
    <w:rsid w:val="003C3A3A"/>
    <w:rsid w:val="003C5A0A"/>
    <w:rsid w:val="003C5EE7"/>
    <w:rsid w:val="003C7148"/>
    <w:rsid w:val="003D05B4"/>
    <w:rsid w:val="003D156A"/>
    <w:rsid w:val="003D26CB"/>
    <w:rsid w:val="003D27F0"/>
    <w:rsid w:val="003D2B5C"/>
    <w:rsid w:val="003D5AFA"/>
    <w:rsid w:val="003D6101"/>
    <w:rsid w:val="003D61D2"/>
    <w:rsid w:val="003D774E"/>
    <w:rsid w:val="003D7B50"/>
    <w:rsid w:val="003E043C"/>
    <w:rsid w:val="003E0CFC"/>
    <w:rsid w:val="003E0DEF"/>
    <w:rsid w:val="003E1076"/>
    <w:rsid w:val="003E1502"/>
    <w:rsid w:val="003E31B6"/>
    <w:rsid w:val="003E36CD"/>
    <w:rsid w:val="003E4BA9"/>
    <w:rsid w:val="003E589B"/>
    <w:rsid w:val="003E5A78"/>
    <w:rsid w:val="003E5DF5"/>
    <w:rsid w:val="003E5F2A"/>
    <w:rsid w:val="003E771A"/>
    <w:rsid w:val="003F0853"/>
    <w:rsid w:val="003F1058"/>
    <w:rsid w:val="003F13C2"/>
    <w:rsid w:val="003F43EA"/>
    <w:rsid w:val="003F4CCE"/>
    <w:rsid w:val="003F6133"/>
    <w:rsid w:val="003F639F"/>
    <w:rsid w:val="003F7072"/>
    <w:rsid w:val="003F73FD"/>
    <w:rsid w:val="00400B49"/>
    <w:rsid w:val="00402497"/>
    <w:rsid w:val="00402913"/>
    <w:rsid w:val="00403062"/>
    <w:rsid w:val="0040377C"/>
    <w:rsid w:val="00404EA1"/>
    <w:rsid w:val="0040501C"/>
    <w:rsid w:val="0041017A"/>
    <w:rsid w:val="0041018F"/>
    <w:rsid w:val="00410827"/>
    <w:rsid w:val="00410AB1"/>
    <w:rsid w:val="0041262E"/>
    <w:rsid w:val="004149EF"/>
    <w:rsid w:val="004156B3"/>
    <w:rsid w:val="00415C33"/>
    <w:rsid w:val="004202F6"/>
    <w:rsid w:val="00420465"/>
    <w:rsid w:val="00421E47"/>
    <w:rsid w:val="00421E57"/>
    <w:rsid w:val="004227BC"/>
    <w:rsid w:val="004245BA"/>
    <w:rsid w:val="00424F5E"/>
    <w:rsid w:val="00425235"/>
    <w:rsid w:val="00427BFD"/>
    <w:rsid w:val="00431155"/>
    <w:rsid w:val="00431361"/>
    <w:rsid w:val="00431AB9"/>
    <w:rsid w:val="00432A00"/>
    <w:rsid w:val="00432DEE"/>
    <w:rsid w:val="00432EE3"/>
    <w:rsid w:val="00432FFC"/>
    <w:rsid w:val="0043420C"/>
    <w:rsid w:val="00434665"/>
    <w:rsid w:val="0043615D"/>
    <w:rsid w:val="004362F1"/>
    <w:rsid w:val="004366BD"/>
    <w:rsid w:val="00436B45"/>
    <w:rsid w:val="004376FC"/>
    <w:rsid w:val="00441FA4"/>
    <w:rsid w:val="004422AF"/>
    <w:rsid w:val="00443BAE"/>
    <w:rsid w:val="00443C5C"/>
    <w:rsid w:val="004452D4"/>
    <w:rsid w:val="00445940"/>
    <w:rsid w:val="00445C3E"/>
    <w:rsid w:val="00447692"/>
    <w:rsid w:val="00447AAB"/>
    <w:rsid w:val="00451499"/>
    <w:rsid w:val="0045444A"/>
    <w:rsid w:val="00455EA3"/>
    <w:rsid w:val="004565C6"/>
    <w:rsid w:val="004601E9"/>
    <w:rsid w:val="00461DD5"/>
    <w:rsid w:val="004639BC"/>
    <w:rsid w:val="00464211"/>
    <w:rsid w:val="00465D23"/>
    <w:rsid w:val="00465D7D"/>
    <w:rsid w:val="00465F0C"/>
    <w:rsid w:val="004662DD"/>
    <w:rsid w:val="0046733F"/>
    <w:rsid w:val="004706DE"/>
    <w:rsid w:val="00470AC7"/>
    <w:rsid w:val="00470E31"/>
    <w:rsid w:val="00471DB4"/>
    <w:rsid w:val="00471F4C"/>
    <w:rsid w:val="00472322"/>
    <w:rsid w:val="00473982"/>
    <w:rsid w:val="00474A2C"/>
    <w:rsid w:val="00474EF9"/>
    <w:rsid w:val="004764F1"/>
    <w:rsid w:val="00476797"/>
    <w:rsid w:val="00477BBE"/>
    <w:rsid w:val="004810CA"/>
    <w:rsid w:val="00481647"/>
    <w:rsid w:val="00481C22"/>
    <w:rsid w:val="00483018"/>
    <w:rsid w:val="0048339E"/>
    <w:rsid w:val="00483722"/>
    <w:rsid w:val="00487046"/>
    <w:rsid w:val="004910CB"/>
    <w:rsid w:val="00493A52"/>
    <w:rsid w:val="00494365"/>
    <w:rsid w:val="00494877"/>
    <w:rsid w:val="004950AC"/>
    <w:rsid w:val="00495E58"/>
    <w:rsid w:val="004A05A9"/>
    <w:rsid w:val="004A0782"/>
    <w:rsid w:val="004A0A90"/>
    <w:rsid w:val="004A0AD4"/>
    <w:rsid w:val="004A0E10"/>
    <w:rsid w:val="004A109D"/>
    <w:rsid w:val="004A1DC9"/>
    <w:rsid w:val="004A2181"/>
    <w:rsid w:val="004A315B"/>
    <w:rsid w:val="004A332C"/>
    <w:rsid w:val="004A35F2"/>
    <w:rsid w:val="004A3E21"/>
    <w:rsid w:val="004A3F66"/>
    <w:rsid w:val="004A4A7C"/>
    <w:rsid w:val="004A7534"/>
    <w:rsid w:val="004B0B3D"/>
    <w:rsid w:val="004B0EB9"/>
    <w:rsid w:val="004B1705"/>
    <w:rsid w:val="004B21FB"/>
    <w:rsid w:val="004B226F"/>
    <w:rsid w:val="004B3641"/>
    <w:rsid w:val="004B4AE3"/>
    <w:rsid w:val="004B4FCE"/>
    <w:rsid w:val="004B526B"/>
    <w:rsid w:val="004B6126"/>
    <w:rsid w:val="004B6B00"/>
    <w:rsid w:val="004B7320"/>
    <w:rsid w:val="004B7327"/>
    <w:rsid w:val="004B77FE"/>
    <w:rsid w:val="004B7C9D"/>
    <w:rsid w:val="004C005E"/>
    <w:rsid w:val="004C00CA"/>
    <w:rsid w:val="004C0E34"/>
    <w:rsid w:val="004C11EA"/>
    <w:rsid w:val="004C1A51"/>
    <w:rsid w:val="004C2B8B"/>
    <w:rsid w:val="004C4624"/>
    <w:rsid w:val="004C4788"/>
    <w:rsid w:val="004C4FA7"/>
    <w:rsid w:val="004C5182"/>
    <w:rsid w:val="004C5745"/>
    <w:rsid w:val="004C5A98"/>
    <w:rsid w:val="004C5D3A"/>
    <w:rsid w:val="004C60A8"/>
    <w:rsid w:val="004C6507"/>
    <w:rsid w:val="004C6978"/>
    <w:rsid w:val="004C7D36"/>
    <w:rsid w:val="004C7FCE"/>
    <w:rsid w:val="004D00B1"/>
    <w:rsid w:val="004D0245"/>
    <w:rsid w:val="004D1190"/>
    <w:rsid w:val="004D211F"/>
    <w:rsid w:val="004D27AC"/>
    <w:rsid w:val="004D4470"/>
    <w:rsid w:val="004D45EC"/>
    <w:rsid w:val="004D5AA8"/>
    <w:rsid w:val="004D66B6"/>
    <w:rsid w:val="004D72BF"/>
    <w:rsid w:val="004D7744"/>
    <w:rsid w:val="004D7F40"/>
    <w:rsid w:val="004E062B"/>
    <w:rsid w:val="004E0D32"/>
    <w:rsid w:val="004E143F"/>
    <w:rsid w:val="004E1519"/>
    <w:rsid w:val="004E1EEC"/>
    <w:rsid w:val="004E225F"/>
    <w:rsid w:val="004E3838"/>
    <w:rsid w:val="004E4831"/>
    <w:rsid w:val="004E646F"/>
    <w:rsid w:val="004E6BE8"/>
    <w:rsid w:val="004F148F"/>
    <w:rsid w:val="004F1E5D"/>
    <w:rsid w:val="004F315C"/>
    <w:rsid w:val="004F3710"/>
    <w:rsid w:val="004F3C08"/>
    <w:rsid w:val="004F6C0E"/>
    <w:rsid w:val="005009AE"/>
    <w:rsid w:val="0050222A"/>
    <w:rsid w:val="005027B8"/>
    <w:rsid w:val="00503A7F"/>
    <w:rsid w:val="00505B3A"/>
    <w:rsid w:val="00505B84"/>
    <w:rsid w:val="00506439"/>
    <w:rsid w:val="0050730E"/>
    <w:rsid w:val="0051015A"/>
    <w:rsid w:val="005104F4"/>
    <w:rsid w:val="00510A92"/>
    <w:rsid w:val="00511408"/>
    <w:rsid w:val="00511B6E"/>
    <w:rsid w:val="00512063"/>
    <w:rsid w:val="005134CB"/>
    <w:rsid w:val="005142B9"/>
    <w:rsid w:val="00514E3A"/>
    <w:rsid w:val="00515543"/>
    <w:rsid w:val="00515634"/>
    <w:rsid w:val="005168E4"/>
    <w:rsid w:val="0051691A"/>
    <w:rsid w:val="00516F05"/>
    <w:rsid w:val="00517795"/>
    <w:rsid w:val="00517BC6"/>
    <w:rsid w:val="00520EE7"/>
    <w:rsid w:val="00521550"/>
    <w:rsid w:val="00521907"/>
    <w:rsid w:val="00523A38"/>
    <w:rsid w:val="00524E29"/>
    <w:rsid w:val="0052503F"/>
    <w:rsid w:val="00526D7E"/>
    <w:rsid w:val="0052708C"/>
    <w:rsid w:val="005276A7"/>
    <w:rsid w:val="00530411"/>
    <w:rsid w:val="005327F2"/>
    <w:rsid w:val="00532FE6"/>
    <w:rsid w:val="00533BDE"/>
    <w:rsid w:val="00533D6F"/>
    <w:rsid w:val="00535B2F"/>
    <w:rsid w:val="00535E76"/>
    <w:rsid w:val="0053680C"/>
    <w:rsid w:val="00536BA5"/>
    <w:rsid w:val="00537843"/>
    <w:rsid w:val="00540220"/>
    <w:rsid w:val="00541060"/>
    <w:rsid w:val="005424F7"/>
    <w:rsid w:val="005442E0"/>
    <w:rsid w:val="00544F82"/>
    <w:rsid w:val="005457CE"/>
    <w:rsid w:val="00546715"/>
    <w:rsid w:val="00547161"/>
    <w:rsid w:val="00547427"/>
    <w:rsid w:val="0054788C"/>
    <w:rsid w:val="005479C7"/>
    <w:rsid w:val="005479DF"/>
    <w:rsid w:val="00550217"/>
    <w:rsid w:val="005508E0"/>
    <w:rsid w:val="00550CF5"/>
    <w:rsid w:val="005517AA"/>
    <w:rsid w:val="0055285D"/>
    <w:rsid w:val="00554A05"/>
    <w:rsid w:val="00555F5A"/>
    <w:rsid w:val="0055690B"/>
    <w:rsid w:val="00556BBD"/>
    <w:rsid w:val="00557FB1"/>
    <w:rsid w:val="005602CA"/>
    <w:rsid w:val="005609B4"/>
    <w:rsid w:val="00560DB9"/>
    <w:rsid w:val="00562BEA"/>
    <w:rsid w:val="00564299"/>
    <w:rsid w:val="00564628"/>
    <w:rsid w:val="00564DAE"/>
    <w:rsid w:val="00566178"/>
    <w:rsid w:val="0056664A"/>
    <w:rsid w:val="00567CD8"/>
    <w:rsid w:val="00567DF2"/>
    <w:rsid w:val="005709DF"/>
    <w:rsid w:val="005717EE"/>
    <w:rsid w:val="00571E2D"/>
    <w:rsid w:val="005739E1"/>
    <w:rsid w:val="00573CC5"/>
    <w:rsid w:val="005743A2"/>
    <w:rsid w:val="00574C59"/>
    <w:rsid w:val="00575255"/>
    <w:rsid w:val="005752A0"/>
    <w:rsid w:val="00575788"/>
    <w:rsid w:val="0057775C"/>
    <w:rsid w:val="00577DB9"/>
    <w:rsid w:val="00581559"/>
    <w:rsid w:val="00584F49"/>
    <w:rsid w:val="005852E4"/>
    <w:rsid w:val="005855E4"/>
    <w:rsid w:val="00585684"/>
    <w:rsid w:val="00586FC9"/>
    <w:rsid w:val="005870EC"/>
    <w:rsid w:val="00587CE2"/>
    <w:rsid w:val="00591B73"/>
    <w:rsid w:val="00592641"/>
    <w:rsid w:val="0059323E"/>
    <w:rsid w:val="00593691"/>
    <w:rsid w:val="00594625"/>
    <w:rsid w:val="00595CD2"/>
    <w:rsid w:val="00595FC8"/>
    <w:rsid w:val="00596333"/>
    <w:rsid w:val="005978DA"/>
    <w:rsid w:val="005A025D"/>
    <w:rsid w:val="005A1BA5"/>
    <w:rsid w:val="005A2769"/>
    <w:rsid w:val="005A2E4D"/>
    <w:rsid w:val="005A3E20"/>
    <w:rsid w:val="005A4B8C"/>
    <w:rsid w:val="005A6E1B"/>
    <w:rsid w:val="005A77DC"/>
    <w:rsid w:val="005B054E"/>
    <w:rsid w:val="005B2668"/>
    <w:rsid w:val="005B292D"/>
    <w:rsid w:val="005B3DA0"/>
    <w:rsid w:val="005B5290"/>
    <w:rsid w:val="005C166D"/>
    <w:rsid w:val="005C2622"/>
    <w:rsid w:val="005C303E"/>
    <w:rsid w:val="005C3655"/>
    <w:rsid w:val="005C397D"/>
    <w:rsid w:val="005C528D"/>
    <w:rsid w:val="005C6BDA"/>
    <w:rsid w:val="005C7C93"/>
    <w:rsid w:val="005D0906"/>
    <w:rsid w:val="005D0A2D"/>
    <w:rsid w:val="005D0D49"/>
    <w:rsid w:val="005D2AF4"/>
    <w:rsid w:val="005D3229"/>
    <w:rsid w:val="005D3B5F"/>
    <w:rsid w:val="005D6871"/>
    <w:rsid w:val="005D7B94"/>
    <w:rsid w:val="005E05DA"/>
    <w:rsid w:val="005E1180"/>
    <w:rsid w:val="005E1824"/>
    <w:rsid w:val="005E1826"/>
    <w:rsid w:val="005E2E89"/>
    <w:rsid w:val="005E3E58"/>
    <w:rsid w:val="005E406D"/>
    <w:rsid w:val="005E5434"/>
    <w:rsid w:val="005E5CCE"/>
    <w:rsid w:val="005E64D5"/>
    <w:rsid w:val="005E75AF"/>
    <w:rsid w:val="005E7CD6"/>
    <w:rsid w:val="005E7CF2"/>
    <w:rsid w:val="005F0D0D"/>
    <w:rsid w:val="005F1679"/>
    <w:rsid w:val="005F23F2"/>
    <w:rsid w:val="005F3973"/>
    <w:rsid w:val="005F444C"/>
    <w:rsid w:val="005F45D7"/>
    <w:rsid w:val="005F4856"/>
    <w:rsid w:val="005F7785"/>
    <w:rsid w:val="005F7A05"/>
    <w:rsid w:val="0060035F"/>
    <w:rsid w:val="006003BE"/>
    <w:rsid w:val="00600EBC"/>
    <w:rsid w:val="006020D1"/>
    <w:rsid w:val="0060216D"/>
    <w:rsid w:val="0060252B"/>
    <w:rsid w:val="00604A3C"/>
    <w:rsid w:val="00605673"/>
    <w:rsid w:val="00605700"/>
    <w:rsid w:val="00605C98"/>
    <w:rsid w:val="006075B4"/>
    <w:rsid w:val="00607B00"/>
    <w:rsid w:val="00611796"/>
    <w:rsid w:val="00611A47"/>
    <w:rsid w:val="00614FB8"/>
    <w:rsid w:val="006152D2"/>
    <w:rsid w:val="00616C0A"/>
    <w:rsid w:val="00616CF8"/>
    <w:rsid w:val="0061748F"/>
    <w:rsid w:val="0062084B"/>
    <w:rsid w:val="00620E5E"/>
    <w:rsid w:val="00620FBE"/>
    <w:rsid w:val="00621009"/>
    <w:rsid w:val="00621121"/>
    <w:rsid w:val="006212E6"/>
    <w:rsid w:val="00622389"/>
    <w:rsid w:val="006235EA"/>
    <w:rsid w:val="00625432"/>
    <w:rsid w:val="006265B5"/>
    <w:rsid w:val="00626814"/>
    <w:rsid w:val="00627E6B"/>
    <w:rsid w:val="0063036F"/>
    <w:rsid w:val="00633C6C"/>
    <w:rsid w:val="00634526"/>
    <w:rsid w:val="00634726"/>
    <w:rsid w:val="00635D10"/>
    <w:rsid w:val="00637142"/>
    <w:rsid w:val="00640F96"/>
    <w:rsid w:val="0064104D"/>
    <w:rsid w:val="00641897"/>
    <w:rsid w:val="00643ABB"/>
    <w:rsid w:val="006450A9"/>
    <w:rsid w:val="00645418"/>
    <w:rsid w:val="0064769B"/>
    <w:rsid w:val="006510E3"/>
    <w:rsid w:val="006518FC"/>
    <w:rsid w:val="00651C42"/>
    <w:rsid w:val="00651E1B"/>
    <w:rsid w:val="00651E3F"/>
    <w:rsid w:val="00653025"/>
    <w:rsid w:val="006537FA"/>
    <w:rsid w:val="00654F98"/>
    <w:rsid w:val="0065718F"/>
    <w:rsid w:val="00657309"/>
    <w:rsid w:val="006622A1"/>
    <w:rsid w:val="00663279"/>
    <w:rsid w:val="0066368B"/>
    <w:rsid w:val="00663D3F"/>
    <w:rsid w:val="00663D81"/>
    <w:rsid w:val="00666F66"/>
    <w:rsid w:val="006712DA"/>
    <w:rsid w:val="00672523"/>
    <w:rsid w:val="006725D8"/>
    <w:rsid w:val="00673B2E"/>
    <w:rsid w:val="00674728"/>
    <w:rsid w:val="00675EC0"/>
    <w:rsid w:val="00675EEB"/>
    <w:rsid w:val="00676500"/>
    <w:rsid w:val="0067695E"/>
    <w:rsid w:val="00676C6D"/>
    <w:rsid w:val="00681D65"/>
    <w:rsid w:val="00683AC2"/>
    <w:rsid w:val="00683D99"/>
    <w:rsid w:val="0068496F"/>
    <w:rsid w:val="006864EF"/>
    <w:rsid w:val="0068709D"/>
    <w:rsid w:val="00687A5D"/>
    <w:rsid w:val="0069169D"/>
    <w:rsid w:val="00692378"/>
    <w:rsid w:val="00692977"/>
    <w:rsid w:val="006929DF"/>
    <w:rsid w:val="006944C8"/>
    <w:rsid w:val="00695493"/>
    <w:rsid w:val="00695F04"/>
    <w:rsid w:val="0069608F"/>
    <w:rsid w:val="006963F8"/>
    <w:rsid w:val="0069699F"/>
    <w:rsid w:val="0069714B"/>
    <w:rsid w:val="00697E30"/>
    <w:rsid w:val="006A0265"/>
    <w:rsid w:val="006A1A1B"/>
    <w:rsid w:val="006A1FFB"/>
    <w:rsid w:val="006A437D"/>
    <w:rsid w:val="006A449A"/>
    <w:rsid w:val="006A5852"/>
    <w:rsid w:val="006A6053"/>
    <w:rsid w:val="006A7CB3"/>
    <w:rsid w:val="006B0DC3"/>
    <w:rsid w:val="006B195D"/>
    <w:rsid w:val="006B1C9C"/>
    <w:rsid w:val="006B257F"/>
    <w:rsid w:val="006B262A"/>
    <w:rsid w:val="006B264D"/>
    <w:rsid w:val="006B3A40"/>
    <w:rsid w:val="006B4D3C"/>
    <w:rsid w:val="006B4EF7"/>
    <w:rsid w:val="006B5035"/>
    <w:rsid w:val="006B593D"/>
    <w:rsid w:val="006B5EFF"/>
    <w:rsid w:val="006B6C59"/>
    <w:rsid w:val="006B7C28"/>
    <w:rsid w:val="006C18CC"/>
    <w:rsid w:val="006C3DDB"/>
    <w:rsid w:val="006C5593"/>
    <w:rsid w:val="006C58A0"/>
    <w:rsid w:val="006C5F7A"/>
    <w:rsid w:val="006C68FE"/>
    <w:rsid w:val="006C700C"/>
    <w:rsid w:val="006D10D1"/>
    <w:rsid w:val="006D12AC"/>
    <w:rsid w:val="006D18E7"/>
    <w:rsid w:val="006D2FC2"/>
    <w:rsid w:val="006D3083"/>
    <w:rsid w:val="006D34C0"/>
    <w:rsid w:val="006D4166"/>
    <w:rsid w:val="006D523A"/>
    <w:rsid w:val="006D741C"/>
    <w:rsid w:val="006D75E2"/>
    <w:rsid w:val="006D775A"/>
    <w:rsid w:val="006D7773"/>
    <w:rsid w:val="006E0F01"/>
    <w:rsid w:val="006E1B95"/>
    <w:rsid w:val="006E34CE"/>
    <w:rsid w:val="006E4A3E"/>
    <w:rsid w:val="006E53AA"/>
    <w:rsid w:val="006E5EC9"/>
    <w:rsid w:val="006F03D3"/>
    <w:rsid w:val="006F1474"/>
    <w:rsid w:val="006F1FA0"/>
    <w:rsid w:val="006F3E5F"/>
    <w:rsid w:val="006F40B4"/>
    <w:rsid w:val="006F495F"/>
    <w:rsid w:val="006F5698"/>
    <w:rsid w:val="006F569A"/>
    <w:rsid w:val="006F64D4"/>
    <w:rsid w:val="006F74BD"/>
    <w:rsid w:val="006F79BA"/>
    <w:rsid w:val="00701B08"/>
    <w:rsid w:val="00702F3F"/>
    <w:rsid w:val="00703662"/>
    <w:rsid w:val="0070387B"/>
    <w:rsid w:val="00703B22"/>
    <w:rsid w:val="00704B22"/>
    <w:rsid w:val="00705536"/>
    <w:rsid w:val="00705544"/>
    <w:rsid w:val="00707706"/>
    <w:rsid w:val="0071198F"/>
    <w:rsid w:val="00711CFF"/>
    <w:rsid w:val="00712718"/>
    <w:rsid w:val="007128BF"/>
    <w:rsid w:val="00712A09"/>
    <w:rsid w:val="00712ADA"/>
    <w:rsid w:val="00714B64"/>
    <w:rsid w:val="00714C2E"/>
    <w:rsid w:val="00715040"/>
    <w:rsid w:val="00715D54"/>
    <w:rsid w:val="0071768D"/>
    <w:rsid w:val="00720423"/>
    <w:rsid w:val="007204F8"/>
    <w:rsid w:val="0072091A"/>
    <w:rsid w:val="0072195A"/>
    <w:rsid w:val="00722416"/>
    <w:rsid w:val="007227DD"/>
    <w:rsid w:val="00724918"/>
    <w:rsid w:val="00725381"/>
    <w:rsid w:val="00726300"/>
    <w:rsid w:val="007306D1"/>
    <w:rsid w:val="00730FC5"/>
    <w:rsid w:val="00732E4D"/>
    <w:rsid w:val="00733436"/>
    <w:rsid w:val="00734079"/>
    <w:rsid w:val="007342EF"/>
    <w:rsid w:val="007355F0"/>
    <w:rsid w:val="00735747"/>
    <w:rsid w:val="00736A3E"/>
    <w:rsid w:val="00736D9D"/>
    <w:rsid w:val="00736F53"/>
    <w:rsid w:val="00740279"/>
    <w:rsid w:val="00742E03"/>
    <w:rsid w:val="007441BE"/>
    <w:rsid w:val="00744CAE"/>
    <w:rsid w:val="00744DF5"/>
    <w:rsid w:val="0074699B"/>
    <w:rsid w:val="00747945"/>
    <w:rsid w:val="00750158"/>
    <w:rsid w:val="007514DC"/>
    <w:rsid w:val="007519C5"/>
    <w:rsid w:val="007521DD"/>
    <w:rsid w:val="00752CF5"/>
    <w:rsid w:val="00753190"/>
    <w:rsid w:val="007539D1"/>
    <w:rsid w:val="00754885"/>
    <w:rsid w:val="00755824"/>
    <w:rsid w:val="0075615A"/>
    <w:rsid w:val="00757A0C"/>
    <w:rsid w:val="00760752"/>
    <w:rsid w:val="0076147D"/>
    <w:rsid w:val="00762BE7"/>
    <w:rsid w:val="0076584C"/>
    <w:rsid w:val="00767079"/>
    <w:rsid w:val="007675DB"/>
    <w:rsid w:val="00770BA1"/>
    <w:rsid w:val="00772CEC"/>
    <w:rsid w:val="00773707"/>
    <w:rsid w:val="0077500B"/>
    <w:rsid w:val="007752E7"/>
    <w:rsid w:val="00775812"/>
    <w:rsid w:val="00775C25"/>
    <w:rsid w:val="00775EE4"/>
    <w:rsid w:val="007763CA"/>
    <w:rsid w:val="0077670C"/>
    <w:rsid w:val="00776F11"/>
    <w:rsid w:val="0077720A"/>
    <w:rsid w:val="00777D1B"/>
    <w:rsid w:val="00783E57"/>
    <w:rsid w:val="00783ECB"/>
    <w:rsid w:val="00784706"/>
    <w:rsid w:val="00787B4B"/>
    <w:rsid w:val="00787BAB"/>
    <w:rsid w:val="00790759"/>
    <w:rsid w:val="00791B94"/>
    <w:rsid w:val="00793208"/>
    <w:rsid w:val="007934F3"/>
    <w:rsid w:val="007939E9"/>
    <w:rsid w:val="00793E2A"/>
    <w:rsid w:val="007955E1"/>
    <w:rsid w:val="007958D4"/>
    <w:rsid w:val="00796562"/>
    <w:rsid w:val="007969FE"/>
    <w:rsid w:val="007A039B"/>
    <w:rsid w:val="007A0628"/>
    <w:rsid w:val="007A06DF"/>
    <w:rsid w:val="007A10E8"/>
    <w:rsid w:val="007A351F"/>
    <w:rsid w:val="007A3E90"/>
    <w:rsid w:val="007A4DDC"/>
    <w:rsid w:val="007A5B70"/>
    <w:rsid w:val="007A6F59"/>
    <w:rsid w:val="007A79A9"/>
    <w:rsid w:val="007A7B1A"/>
    <w:rsid w:val="007A7DFC"/>
    <w:rsid w:val="007A7F9A"/>
    <w:rsid w:val="007B01DD"/>
    <w:rsid w:val="007B193D"/>
    <w:rsid w:val="007B1CA5"/>
    <w:rsid w:val="007B205A"/>
    <w:rsid w:val="007B53C2"/>
    <w:rsid w:val="007B695D"/>
    <w:rsid w:val="007B755A"/>
    <w:rsid w:val="007C07C5"/>
    <w:rsid w:val="007C0D69"/>
    <w:rsid w:val="007C52BF"/>
    <w:rsid w:val="007C743D"/>
    <w:rsid w:val="007C77D4"/>
    <w:rsid w:val="007D079B"/>
    <w:rsid w:val="007D080A"/>
    <w:rsid w:val="007D0D61"/>
    <w:rsid w:val="007D1673"/>
    <w:rsid w:val="007D19FB"/>
    <w:rsid w:val="007D4B91"/>
    <w:rsid w:val="007D4C3C"/>
    <w:rsid w:val="007D5528"/>
    <w:rsid w:val="007D6211"/>
    <w:rsid w:val="007D6EC0"/>
    <w:rsid w:val="007D7497"/>
    <w:rsid w:val="007E0496"/>
    <w:rsid w:val="007E04C6"/>
    <w:rsid w:val="007E0677"/>
    <w:rsid w:val="007E0D2C"/>
    <w:rsid w:val="007E1DA7"/>
    <w:rsid w:val="007E2A5C"/>
    <w:rsid w:val="007E452E"/>
    <w:rsid w:val="007E4BAA"/>
    <w:rsid w:val="007E4F94"/>
    <w:rsid w:val="007E6E36"/>
    <w:rsid w:val="007E7343"/>
    <w:rsid w:val="007E7ED8"/>
    <w:rsid w:val="007F068A"/>
    <w:rsid w:val="007F2655"/>
    <w:rsid w:val="007F2E32"/>
    <w:rsid w:val="007F45A9"/>
    <w:rsid w:val="007F5FF0"/>
    <w:rsid w:val="007F6059"/>
    <w:rsid w:val="007F6670"/>
    <w:rsid w:val="007F67B6"/>
    <w:rsid w:val="007F706D"/>
    <w:rsid w:val="007F7835"/>
    <w:rsid w:val="007F7DC3"/>
    <w:rsid w:val="007F7E0F"/>
    <w:rsid w:val="00800F41"/>
    <w:rsid w:val="0080188C"/>
    <w:rsid w:val="00801D89"/>
    <w:rsid w:val="00802127"/>
    <w:rsid w:val="00802EF9"/>
    <w:rsid w:val="00805D86"/>
    <w:rsid w:val="00805EFE"/>
    <w:rsid w:val="00806C6F"/>
    <w:rsid w:val="00806D11"/>
    <w:rsid w:val="00806DD5"/>
    <w:rsid w:val="00806E96"/>
    <w:rsid w:val="00807395"/>
    <w:rsid w:val="008079D8"/>
    <w:rsid w:val="0081083F"/>
    <w:rsid w:val="00810960"/>
    <w:rsid w:val="00810D4C"/>
    <w:rsid w:val="008110D9"/>
    <w:rsid w:val="00811E55"/>
    <w:rsid w:val="00811E8F"/>
    <w:rsid w:val="0081206E"/>
    <w:rsid w:val="0081229B"/>
    <w:rsid w:val="00812361"/>
    <w:rsid w:val="00812F8E"/>
    <w:rsid w:val="00814FBA"/>
    <w:rsid w:val="0081518B"/>
    <w:rsid w:val="00816E6D"/>
    <w:rsid w:val="00820382"/>
    <w:rsid w:val="00820633"/>
    <w:rsid w:val="00821B69"/>
    <w:rsid w:val="00821F4E"/>
    <w:rsid w:val="00822C87"/>
    <w:rsid w:val="00823E69"/>
    <w:rsid w:val="00824405"/>
    <w:rsid w:val="0082441E"/>
    <w:rsid w:val="0082583B"/>
    <w:rsid w:val="00826B90"/>
    <w:rsid w:val="00832ACE"/>
    <w:rsid w:val="00832DA4"/>
    <w:rsid w:val="0083397A"/>
    <w:rsid w:val="0083636E"/>
    <w:rsid w:val="00836489"/>
    <w:rsid w:val="00836716"/>
    <w:rsid w:val="0083700F"/>
    <w:rsid w:val="008377F5"/>
    <w:rsid w:val="0084120F"/>
    <w:rsid w:val="00841989"/>
    <w:rsid w:val="00841AD1"/>
    <w:rsid w:val="0084447B"/>
    <w:rsid w:val="008468C8"/>
    <w:rsid w:val="00846AAA"/>
    <w:rsid w:val="00847609"/>
    <w:rsid w:val="008479E8"/>
    <w:rsid w:val="00850119"/>
    <w:rsid w:val="00851BAB"/>
    <w:rsid w:val="008520B0"/>
    <w:rsid w:val="00853B3C"/>
    <w:rsid w:val="00854018"/>
    <w:rsid w:val="00854099"/>
    <w:rsid w:val="00855646"/>
    <w:rsid w:val="008567AE"/>
    <w:rsid w:val="008578C3"/>
    <w:rsid w:val="008602F0"/>
    <w:rsid w:val="00860F22"/>
    <w:rsid w:val="00862A6E"/>
    <w:rsid w:val="0086387E"/>
    <w:rsid w:val="00864D47"/>
    <w:rsid w:val="0086535D"/>
    <w:rsid w:val="00867024"/>
    <w:rsid w:val="0086790C"/>
    <w:rsid w:val="0086794B"/>
    <w:rsid w:val="00867FE5"/>
    <w:rsid w:val="008704FB"/>
    <w:rsid w:val="00871ADE"/>
    <w:rsid w:val="00871B4A"/>
    <w:rsid w:val="00871E93"/>
    <w:rsid w:val="00872BE4"/>
    <w:rsid w:val="00873927"/>
    <w:rsid w:val="00874B6E"/>
    <w:rsid w:val="008755DC"/>
    <w:rsid w:val="0087751B"/>
    <w:rsid w:val="00877BCA"/>
    <w:rsid w:val="00877E22"/>
    <w:rsid w:val="00880D3F"/>
    <w:rsid w:val="00880ECE"/>
    <w:rsid w:val="00881702"/>
    <w:rsid w:val="00881D2A"/>
    <w:rsid w:val="00882C21"/>
    <w:rsid w:val="008831B9"/>
    <w:rsid w:val="00884A54"/>
    <w:rsid w:val="00885352"/>
    <w:rsid w:val="00886B90"/>
    <w:rsid w:val="00887DBC"/>
    <w:rsid w:val="008914BC"/>
    <w:rsid w:val="00893649"/>
    <w:rsid w:val="008943C3"/>
    <w:rsid w:val="00894939"/>
    <w:rsid w:val="00897D19"/>
    <w:rsid w:val="00897E23"/>
    <w:rsid w:val="00897FB3"/>
    <w:rsid w:val="008A0D6F"/>
    <w:rsid w:val="008A3197"/>
    <w:rsid w:val="008A3F09"/>
    <w:rsid w:val="008A4D07"/>
    <w:rsid w:val="008A54CE"/>
    <w:rsid w:val="008A5571"/>
    <w:rsid w:val="008A5A1E"/>
    <w:rsid w:val="008A5DE1"/>
    <w:rsid w:val="008A5F83"/>
    <w:rsid w:val="008A6622"/>
    <w:rsid w:val="008A6A8B"/>
    <w:rsid w:val="008B0024"/>
    <w:rsid w:val="008B0979"/>
    <w:rsid w:val="008B1029"/>
    <w:rsid w:val="008B15EA"/>
    <w:rsid w:val="008B16AD"/>
    <w:rsid w:val="008B2B90"/>
    <w:rsid w:val="008B3379"/>
    <w:rsid w:val="008B34EA"/>
    <w:rsid w:val="008B3A71"/>
    <w:rsid w:val="008B4AB8"/>
    <w:rsid w:val="008B4ADF"/>
    <w:rsid w:val="008B5D7B"/>
    <w:rsid w:val="008B6597"/>
    <w:rsid w:val="008B69CD"/>
    <w:rsid w:val="008B7670"/>
    <w:rsid w:val="008B793F"/>
    <w:rsid w:val="008B7B14"/>
    <w:rsid w:val="008C1646"/>
    <w:rsid w:val="008C2EA8"/>
    <w:rsid w:val="008C4FE1"/>
    <w:rsid w:val="008C5287"/>
    <w:rsid w:val="008C67E6"/>
    <w:rsid w:val="008C7031"/>
    <w:rsid w:val="008C7721"/>
    <w:rsid w:val="008C7D04"/>
    <w:rsid w:val="008D0657"/>
    <w:rsid w:val="008D0C12"/>
    <w:rsid w:val="008D1FF7"/>
    <w:rsid w:val="008D2671"/>
    <w:rsid w:val="008D4660"/>
    <w:rsid w:val="008D4C79"/>
    <w:rsid w:val="008D574C"/>
    <w:rsid w:val="008D591A"/>
    <w:rsid w:val="008D5A9B"/>
    <w:rsid w:val="008D5D02"/>
    <w:rsid w:val="008D6C31"/>
    <w:rsid w:val="008E0002"/>
    <w:rsid w:val="008E0A70"/>
    <w:rsid w:val="008E1368"/>
    <w:rsid w:val="008E1502"/>
    <w:rsid w:val="008E16A7"/>
    <w:rsid w:val="008E2AD9"/>
    <w:rsid w:val="008E4390"/>
    <w:rsid w:val="008E6DCA"/>
    <w:rsid w:val="008F0708"/>
    <w:rsid w:val="008F0E22"/>
    <w:rsid w:val="008F1A64"/>
    <w:rsid w:val="008F2070"/>
    <w:rsid w:val="008F3B0E"/>
    <w:rsid w:val="008F4229"/>
    <w:rsid w:val="008F57F4"/>
    <w:rsid w:val="008F5815"/>
    <w:rsid w:val="008F5CA6"/>
    <w:rsid w:val="008F5CE1"/>
    <w:rsid w:val="008F6011"/>
    <w:rsid w:val="008F65B5"/>
    <w:rsid w:val="008F6B2E"/>
    <w:rsid w:val="008F7C87"/>
    <w:rsid w:val="008F7F1A"/>
    <w:rsid w:val="00902476"/>
    <w:rsid w:val="00902D38"/>
    <w:rsid w:val="00904D4D"/>
    <w:rsid w:val="0090628A"/>
    <w:rsid w:val="00906D75"/>
    <w:rsid w:val="0090761F"/>
    <w:rsid w:val="00907EE0"/>
    <w:rsid w:val="00910131"/>
    <w:rsid w:val="00911142"/>
    <w:rsid w:val="0091187D"/>
    <w:rsid w:val="009130B6"/>
    <w:rsid w:val="0091328A"/>
    <w:rsid w:val="00913A18"/>
    <w:rsid w:val="0091477C"/>
    <w:rsid w:val="0091717D"/>
    <w:rsid w:val="00917980"/>
    <w:rsid w:val="00917ACA"/>
    <w:rsid w:val="00917DBB"/>
    <w:rsid w:val="00917FD0"/>
    <w:rsid w:val="009205DA"/>
    <w:rsid w:val="009215AF"/>
    <w:rsid w:val="009221EC"/>
    <w:rsid w:val="00923636"/>
    <w:rsid w:val="00925345"/>
    <w:rsid w:val="00925EC7"/>
    <w:rsid w:val="00926587"/>
    <w:rsid w:val="00927128"/>
    <w:rsid w:val="00930184"/>
    <w:rsid w:val="009305F6"/>
    <w:rsid w:val="0093077D"/>
    <w:rsid w:val="009312CB"/>
    <w:rsid w:val="00932A56"/>
    <w:rsid w:val="009339EB"/>
    <w:rsid w:val="00934700"/>
    <w:rsid w:val="00936C78"/>
    <w:rsid w:val="00937BC7"/>
    <w:rsid w:val="00940557"/>
    <w:rsid w:val="00941B22"/>
    <w:rsid w:val="00942E85"/>
    <w:rsid w:val="00942FA1"/>
    <w:rsid w:val="00943A94"/>
    <w:rsid w:val="00945C90"/>
    <w:rsid w:val="00945D6A"/>
    <w:rsid w:val="00946805"/>
    <w:rsid w:val="00947F42"/>
    <w:rsid w:val="0095003B"/>
    <w:rsid w:val="00950E36"/>
    <w:rsid w:val="009513D3"/>
    <w:rsid w:val="009521D6"/>
    <w:rsid w:val="009529D6"/>
    <w:rsid w:val="00952DC5"/>
    <w:rsid w:val="00953474"/>
    <w:rsid w:val="00953A1B"/>
    <w:rsid w:val="00953EDA"/>
    <w:rsid w:val="00954277"/>
    <w:rsid w:val="00956397"/>
    <w:rsid w:val="009567CF"/>
    <w:rsid w:val="00957F21"/>
    <w:rsid w:val="0096070B"/>
    <w:rsid w:val="009607BD"/>
    <w:rsid w:val="00962BF7"/>
    <w:rsid w:val="00962E7C"/>
    <w:rsid w:val="00962F00"/>
    <w:rsid w:val="00963F4D"/>
    <w:rsid w:val="0096478C"/>
    <w:rsid w:val="00965C6B"/>
    <w:rsid w:val="00967181"/>
    <w:rsid w:val="00971283"/>
    <w:rsid w:val="009727FF"/>
    <w:rsid w:val="00973014"/>
    <w:rsid w:val="009735A5"/>
    <w:rsid w:val="00973DFD"/>
    <w:rsid w:val="00974272"/>
    <w:rsid w:val="009744A4"/>
    <w:rsid w:val="00977925"/>
    <w:rsid w:val="00980112"/>
    <w:rsid w:val="0098132B"/>
    <w:rsid w:val="00981B1F"/>
    <w:rsid w:val="00982295"/>
    <w:rsid w:val="0098385F"/>
    <w:rsid w:val="00983F63"/>
    <w:rsid w:val="009854B1"/>
    <w:rsid w:val="009855E3"/>
    <w:rsid w:val="009860E8"/>
    <w:rsid w:val="009868B1"/>
    <w:rsid w:val="009873A2"/>
    <w:rsid w:val="00987803"/>
    <w:rsid w:val="00990032"/>
    <w:rsid w:val="00991B63"/>
    <w:rsid w:val="009932B5"/>
    <w:rsid w:val="009941E4"/>
    <w:rsid w:val="00994A90"/>
    <w:rsid w:val="009967C9"/>
    <w:rsid w:val="009970A8"/>
    <w:rsid w:val="00997A54"/>
    <w:rsid w:val="009A1339"/>
    <w:rsid w:val="009A1A6B"/>
    <w:rsid w:val="009A207C"/>
    <w:rsid w:val="009A2F39"/>
    <w:rsid w:val="009A4905"/>
    <w:rsid w:val="009A4954"/>
    <w:rsid w:val="009A4B15"/>
    <w:rsid w:val="009A5063"/>
    <w:rsid w:val="009A605D"/>
    <w:rsid w:val="009A6FD5"/>
    <w:rsid w:val="009A7041"/>
    <w:rsid w:val="009A7A3E"/>
    <w:rsid w:val="009B1276"/>
    <w:rsid w:val="009B12E5"/>
    <w:rsid w:val="009B2726"/>
    <w:rsid w:val="009B3A55"/>
    <w:rsid w:val="009B3D52"/>
    <w:rsid w:val="009B4C14"/>
    <w:rsid w:val="009B5477"/>
    <w:rsid w:val="009B5738"/>
    <w:rsid w:val="009B5E0E"/>
    <w:rsid w:val="009B6CB6"/>
    <w:rsid w:val="009B7881"/>
    <w:rsid w:val="009C075E"/>
    <w:rsid w:val="009C084B"/>
    <w:rsid w:val="009C123B"/>
    <w:rsid w:val="009C1614"/>
    <w:rsid w:val="009C1BD3"/>
    <w:rsid w:val="009C1D03"/>
    <w:rsid w:val="009C218C"/>
    <w:rsid w:val="009C2A5E"/>
    <w:rsid w:val="009C4480"/>
    <w:rsid w:val="009C44A1"/>
    <w:rsid w:val="009C44CA"/>
    <w:rsid w:val="009C4CEA"/>
    <w:rsid w:val="009D1CAA"/>
    <w:rsid w:val="009D34C3"/>
    <w:rsid w:val="009D3981"/>
    <w:rsid w:val="009D41A5"/>
    <w:rsid w:val="009D4F4D"/>
    <w:rsid w:val="009D56BF"/>
    <w:rsid w:val="009E1764"/>
    <w:rsid w:val="009E2C67"/>
    <w:rsid w:val="009E3DA2"/>
    <w:rsid w:val="009E43C7"/>
    <w:rsid w:val="009E5960"/>
    <w:rsid w:val="009E7E43"/>
    <w:rsid w:val="009F0087"/>
    <w:rsid w:val="009F0329"/>
    <w:rsid w:val="009F03A7"/>
    <w:rsid w:val="009F1838"/>
    <w:rsid w:val="009F1ED0"/>
    <w:rsid w:val="009F3EE1"/>
    <w:rsid w:val="009F44B8"/>
    <w:rsid w:val="009F4FCE"/>
    <w:rsid w:val="009F76C1"/>
    <w:rsid w:val="009F7FC2"/>
    <w:rsid w:val="00A00DB4"/>
    <w:rsid w:val="00A01BFD"/>
    <w:rsid w:val="00A05058"/>
    <w:rsid w:val="00A0527D"/>
    <w:rsid w:val="00A05320"/>
    <w:rsid w:val="00A056E8"/>
    <w:rsid w:val="00A07A39"/>
    <w:rsid w:val="00A07E98"/>
    <w:rsid w:val="00A11AE6"/>
    <w:rsid w:val="00A14830"/>
    <w:rsid w:val="00A14D3A"/>
    <w:rsid w:val="00A1508A"/>
    <w:rsid w:val="00A15790"/>
    <w:rsid w:val="00A15922"/>
    <w:rsid w:val="00A172FF"/>
    <w:rsid w:val="00A17C22"/>
    <w:rsid w:val="00A20318"/>
    <w:rsid w:val="00A235E2"/>
    <w:rsid w:val="00A25A4A"/>
    <w:rsid w:val="00A25C23"/>
    <w:rsid w:val="00A26230"/>
    <w:rsid w:val="00A271C7"/>
    <w:rsid w:val="00A27432"/>
    <w:rsid w:val="00A31DA6"/>
    <w:rsid w:val="00A3258B"/>
    <w:rsid w:val="00A34618"/>
    <w:rsid w:val="00A350E1"/>
    <w:rsid w:val="00A35194"/>
    <w:rsid w:val="00A35AB1"/>
    <w:rsid w:val="00A35E50"/>
    <w:rsid w:val="00A369E9"/>
    <w:rsid w:val="00A374DD"/>
    <w:rsid w:val="00A37598"/>
    <w:rsid w:val="00A37793"/>
    <w:rsid w:val="00A41741"/>
    <w:rsid w:val="00A4189E"/>
    <w:rsid w:val="00A456F2"/>
    <w:rsid w:val="00A462B2"/>
    <w:rsid w:val="00A47986"/>
    <w:rsid w:val="00A50F26"/>
    <w:rsid w:val="00A51C72"/>
    <w:rsid w:val="00A523F0"/>
    <w:rsid w:val="00A52409"/>
    <w:rsid w:val="00A52943"/>
    <w:rsid w:val="00A53758"/>
    <w:rsid w:val="00A53A7B"/>
    <w:rsid w:val="00A53F7B"/>
    <w:rsid w:val="00A5436B"/>
    <w:rsid w:val="00A5449E"/>
    <w:rsid w:val="00A54935"/>
    <w:rsid w:val="00A54C0E"/>
    <w:rsid w:val="00A560D1"/>
    <w:rsid w:val="00A565EA"/>
    <w:rsid w:val="00A56ADB"/>
    <w:rsid w:val="00A575D1"/>
    <w:rsid w:val="00A5779C"/>
    <w:rsid w:val="00A57C9C"/>
    <w:rsid w:val="00A61BBF"/>
    <w:rsid w:val="00A660AC"/>
    <w:rsid w:val="00A66EA2"/>
    <w:rsid w:val="00A67FD5"/>
    <w:rsid w:val="00A704DB"/>
    <w:rsid w:val="00A72243"/>
    <w:rsid w:val="00A729E4"/>
    <w:rsid w:val="00A72FA2"/>
    <w:rsid w:val="00A7305E"/>
    <w:rsid w:val="00A73FC7"/>
    <w:rsid w:val="00A7518E"/>
    <w:rsid w:val="00A764CC"/>
    <w:rsid w:val="00A76C52"/>
    <w:rsid w:val="00A80095"/>
    <w:rsid w:val="00A813AE"/>
    <w:rsid w:val="00A81A0E"/>
    <w:rsid w:val="00A81AD2"/>
    <w:rsid w:val="00A82356"/>
    <w:rsid w:val="00A82681"/>
    <w:rsid w:val="00A83108"/>
    <w:rsid w:val="00A853F8"/>
    <w:rsid w:val="00A85658"/>
    <w:rsid w:val="00A857CF"/>
    <w:rsid w:val="00A86B3F"/>
    <w:rsid w:val="00A872E8"/>
    <w:rsid w:val="00A87363"/>
    <w:rsid w:val="00A9280C"/>
    <w:rsid w:val="00A93C66"/>
    <w:rsid w:val="00A94075"/>
    <w:rsid w:val="00A94525"/>
    <w:rsid w:val="00A957AB"/>
    <w:rsid w:val="00A971BF"/>
    <w:rsid w:val="00A978C9"/>
    <w:rsid w:val="00AA035A"/>
    <w:rsid w:val="00AA09F8"/>
    <w:rsid w:val="00AA18FE"/>
    <w:rsid w:val="00AA1BB8"/>
    <w:rsid w:val="00AA2479"/>
    <w:rsid w:val="00AA3D56"/>
    <w:rsid w:val="00AA64CF"/>
    <w:rsid w:val="00AA67F2"/>
    <w:rsid w:val="00AA6BFD"/>
    <w:rsid w:val="00AB01C4"/>
    <w:rsid w:val="00AB109C"/>
    <w:rsid w:val="00AB115B"/>
    <w:rsid w:val="00AB1216"/>
    <w:rsid w:val="00AB19FC"/>
    <w:rsid w:val="00AB229A"/>
    <w:rsid w:val="00AB23EA"/>
    <w:rsid w:val="00AB30CB"/>
    <w:rsid w:val="00AB36C1"/>
    <w:rsid w:val="00AB3F62"/>
    <w:rsid w:val="00AB41D6"/>
    <w:rsid w:val="00AB4F6D"/>
    <w:rsid w:val="00AB5A0D"/>
    <w:rsid w:val="00AB66A7"/>
    <w:rsid w:val="00AB729D"/>
    <w:rsid w:val="00AC0AE4"/>
    <w:rsid w:val="00AC1341"/>
    <w:rsid w:val="00AC2754"/>
    <w:rsid w:val="00AC2894"/>
    <w:rsid w:val="00AC395A"/>
    <w:rsid w:val="00AC5170"/>
    <w:rsid w:val="00AC5A27"/>
    <w:rsid w:val="00AC5DC0"/>
    <w:rsid w:val="00AC76D2"/>
    <w:rsid w:val="00AC78BF"/>
    <w:rsid w:val="00AD0A71"/>
    <w:rsid w:val="00AD0ABA"/>
    <w:rsid w:val="00AD324B"/>
    <w:rsid w:val="00AD3881"/>
    <w:rsid w:val="00AD48BF"/>
    <w:rsid w:val="00AD4D1A"/>
    <w:rsid w:val="00AD585A"/>
    <w:rsid w:val="00AD60A4"/>
    <w:rsid w:val="00AD63F0"/>
    <w:rsid w:val="00AD695B"/>
    <w:rsid w:val="00AD6D37"/>
    <w:rsid w:val="00AE0061"/>
    <w:rsid w:val="00AE0065"/>
    <w:rsid w:val="00AE063A"/>
    <w:rsid w:val="00AE4CD1"/>
    <w:rsid w:val="00AE6350"/>
    <w:rsid w:val="00AE768D"/>
    <w:rsid w:val="00AF1127"/>
    <w:rsid w:val="00AF14FD"/>
    <w:rsid w:val="00AF1853"/>
    <w:rsid w:val="00AF2A5F"/>
    <w:rsid w:val="00AF3457"/>
    <w:rsid w:val="00AF3E62"/>
    <w:rsid w:val="00AF45FE"/>
    <w:rsid w:val="00AF4AAE"/>
    <w:rsid w:val="00AF5408"/>
    <w:rsid w:val="00AF55AC"/>
    <w:rsid w:val="00AF6526"/>
    <w:rsid w:val="00B003ED"/>
    <w:rsid w:val="00B0073C"/>
    <w:rsid w:val="00B0087C"/>
    <w:rsid w:val="00B011D7"/>
    <w:rsid w:val="00B012AB"/>
    <w:rsid w:val="00B01507"/>
    <w:rsid w:val="00B017E7"/>
    <w:rsid w:val="00B019D3"/>
    <w:rsid w:val="00B01EEE"/>
    <w:rsid w:val="00B01F31"/>
    <w:rsid w:val="00B06088"/>
    <w:rsid w:val="00B06605"/>
    <w:rsid w:val="00B112CF"/>
    <w:rsid w:val="00B11422"/>
    <w:rsid w:val="00B11E37"/>
    <w:rsid w:val="00B133A8"/>
    <w:rsid w:val="00B13A2B"/>
    <w:rsid w:val="00B13CB2"/>
    <w:rsid w:val="00B1406F"/>
    <w:rsid w:val="00B15768"/>
    <w:rsid w:val="00B15E6C"/>
    <w:rsid w:val="00B17845"/>
    <w:rsid w:val="00B20117"/>
    <w:rsid w:val="00B21540"/>
    <w:rsid w:val="00B220F1"/>
    <w:rsid w:val="00B22BA0"/>
    <w:rsid w:val="00B22CBB"/>
    <w:rsid w:val="00B23330"/>
    <w:rsid w:val="00B236D2"/>
    <w:rsid w:val="00B259BC"/>
    <w:rsid w:val="00B27731"/>
    <w:rsid w:val="00B27767"/>
    <w:rsid w:val="00B279A7"/>
    <w:rsid w:val="00B30543"/>
    <w:rsid w:val="00B30AAE"/>
    <w:rsid w:val="00B31BE5"/>
    <w:rsid w:val="00B31F04"/>
    <w:rsid w:val="00B32012"/>
    <w:rsid w:val="00B321AD"/>
    <w:rsid w:val="00B32244"/>
    <w:rsid w:val="00B329E9"/>
    <w:rsid w:val="00B33520"/>
    <w:rsid w:val="00B342FC"/>
    <w:rsid w:val="00B351CB"/>
    <w:rsid w:val="00B35467"/>
    <w:rsid w:val="00B35803"/>
    <w:rsid w:val="00B37FA6"/>
    <w:rsid w:val="00B40086"/>
    <w:rsid w:val="00B40399"/>
    <w:rsid w:val="00B406E7"/>
    <w:rsid w:val="00B413EC"/>
    <w:rsid w:val="00B4158F"/>
    <w:rsid w:val="00B41D9B"/>
    <w:rsid w:val="00B41F7F"/>
    <w:rsid w:val="00B42129"/>
    <w:rsid w:val="00B428E2"/>
    <w:rsid w:val="00B43610"/>
    <w:rsid w:val="00B4667F"/>
    <w:rsid w:val="00B46A81"/>
    <w:rsid w:val="00B46FB9"/>
    <w:rsid w:val="00B47A20"/>
    <w:rsid w:val="00B501D6"/>
    <w:rsid w:val="00B504F2"/>
    <w:rsid w:val="00B506F7"/>
    <w:rsid w:val="00B51FE8"/>
    <w:rsid w:val="00B5237B"/>
    <w:rsid w:val="00B5245F"/>
    <w:rsid w:val="00B52986"/>
    <w:rsid w:val="00B540F7"/>
    <w:rsid w:val="00B54D64"/>
    <w:rsid w:val="00B55BEA"/>
    <w:rsid w:val="00B57515"/>
    <w:rsid w:val="00B6050E"/>
    <w:rsid w:val="00B61D5C"/>
    <w:rsid w:val="00B6494B"/>
    <w:rsid w:val="00B6590F"/>
    <w:rsid w:val="00B66A0A"/>
    <w:rsid w:val="00B670B9"/>
    <w:rsid w:val="00B679A6"/>
    <w:rsid w:val="00B701C4"/>
    <w:rsid w:val="00B70308"/>
    <w:rsid w:val="00B731FC"/>
    <w:rsid w:val="00B7563C"/>
    <w:rsid w:val="00B762A4"/>
    <w:rsid w:val="00B76409"/>
    <w:rsid w:val="00B769FA"/>
    <w:rsid w:val="00B7751F"/>
    <w:rsid w:val="00B804BB"/>
    <w:rsid w:val="00B80609"/>
    <w:rsid w:val="00B80685"/>
    <w:rsid w:val="00B81860"/>
    <w:rsid w:val="00B82466"/>
    <w:rsid w:val="00B83AF6"/>
    <w:rsid w:val="00B84061"/>
    <w:rsid w:val="00B861DE"/>
    <w:rsid w:val="00B86825"/>
    <w:rsid w:val="00B86BB6"/>
    <w:rsid w:val="00B86DD7"/>
    <w:rsid w:val="00B87744"/>
    <w:rsid w:val="00B87A7C"/>
    <w:rsid w:val="00B87AB3"/>
    <w:rsid w:val="00B900AB"/>
    <w:rsid w:val="00B935A6"/>
    <w:rsid w:val="00B963AD"/>
    <w:rsid w:val="00B97132"/>
    <w:rsid w:val="00BA0682"/>
    <w:rsid w:val="00BA0EBA"/>
    <w:rsid w:val="00BA1C39"/>
    <w:rsid w:val="00BA2337"/>
    <w:rsid w:val="00BA240E"/>
    <w:rsid w:val="00BA249C"/>
    <w:rsid w:val="00BA3580"/>
    <w:rsid w:val="00BA368D"/>
    <w:rsid w:val="00BA395E"/>
    <w:rsid w:val="00BA523B"/>
    <w:rsid w:val="00BA5341"/>
    <w:rsid w:val="00BA555B"/>
    <w:rsid w:val="00BA74D0"/>
    <w:rsid w:val="00BA7D20"/>
    <w:rsid w:val="00BB0C97"/>
    <w:rsid w:val="00BB21A0"/>
    <w:rsid w:val="00BB3369"/>
    <w:rsid w:val="00BB3A1B"/>
    <w:rsid w:val="00BB3BB6"/>
    <w:rsid w:val="00BB4ED9"/>
    <w:rsid w:val="00BB5DD5"/>
    <w:rsid w:val="00BB67C4"/>
    <w:rsid w:val="00BC07D6"/>
    <w:rsid w:val="00BC3C28"/>
    <w:rsid w:val="00BC40AC"/>
    <w:rsid w:val="00BC4173"/>
    <w:rsid w:val="00BC55AC"/>
    <w:rsid w:val="00BC55C4"/>
    <w:rsid w:val="00BC60C9"/>
    <w:rsid w:val="00BC66D2"/>
    <w:rsid w:val="00BC7D19"/>
    <w:rsid w:val="00BD07C3"/>
    <w:rsid w:val="00BD0D5E"/>
    <w:rsid w:val="00BD12C9"/>
    <w:rsid w:val="00BD1FA5"/>
    <w:rsid w:val="00BD43DC"/>
    <w:rsid w:val="00BD5D82"/>
    <w:rsid w:val="00BD66A8"/>
    <w:rsid w:val="00BE0733"/>
    <w:rsid w:val="00BE0A1F"/>
    <w:rsid w:val="00BE15A1"/>
    <w:rsid w:val="00BE2914"/>
    <w:rsid w:val="00BE3095"/>
    <w:rsid w:val="00BE3272"/>
    <w:rsid w:val="00BE4583"/>
    <w:rsid w:val="00BE4A84"/>
    <w:rsid w:val="00BE529F"/>
    <w:rsid w:val="00BE57C7"/>
    <w:rsid w:val="00BE600D"/>
    <w:rsid w:val="00BF1CEA"/>
    <w:rsid w:val="00BF31F5"/>
    <w:rsid w:val="00BF474E"/>
    <w:rsid w:val="00BF5101"/>
    <w:rsid w:val="00BF5269"/>
    <w:rsid w:val="00BF5FAB"/>
    <w:rsid w:val="00BF6A60"/>
    <w:rsid w:val="00C006CD"/>
    <w:rsid w:val="00C00A66"/>
    <w:rsid w:val="00C016F5"/>
    <w:rsid w:val="00C01F86"/>
    <w:rsid w:val="00C0252D"/>
    <w:rsid w:val="00C02902"/>
    <w:rsid w:val="00C02CA8"/>
    <w:rsid w:val="00C038DF"/>
    <w:rsid w:val="00C04F8B"/>
    <w:rsid w:val="00C05667"/>
    <w:rsid w:val="00C068F2"/>
    <w:rsid w:val="00C06F66"/>
    <w:rsid w:val="00C105EC"/>
    <w:rsid w:val="00C11D75"/>
    <w:rsid w:val="00C13587"/>
    <w:rsid w:val="00C135FA"/>
    <w:rsid w:val="00C1526A"/>
    <w:rsid w:val="00C155BF"/>
    <w:rsid w:val="00C15F13"/>
    <w:rsid w:val="00C16060"/>
    <w:rsid w:val="00C21C55"/>
    <w:rsid w:val="00C22F1A"/>
    <w:rsid w:val="00C23676"/>
    <w:rsid w:val="00C23EE6"/>
    <w:rsid w:val="00C24E18"/>
    <w:rsid w:val="00C25189"/>
    <w:rsid w:val="00C265C2"/>
    <w:rsid w:val="00C26802"/>
    <w:rsid w:val="00C3035E"/>
    <w:rsid w:val="00C31A5E"/>
    <w:rsid w:val="00C32201"/>
    <w:rsid w:val="00C324FB"/>
    <w:rsid w:val="00C3284F"/>
    <w:rsid w:val="00C35348"/>
    <w:rsid w:val="00C36350"/>
    <w:rsid w:val="00C367D0"/>
    <w:rsid w:val="00C3717D"/>
    <w:rsid w:val="00C37C54"/>
    <w:rsid w:val="00C37D6D"/>
    <w:rsid w:val="00C40012"/>
    <w:rsid w:val="00C401EE"/>
    <w:rsid w:val="00C415D7"/>
    <w:rsid w:val="00C418B9"/>
    <w:rsid w:val="00C41A0F"/>
    <w:rsid w:val="00C433F5"/>
    <w:rsid w:val="00C44147"/>
    <w:rsid w:val="00C44451"/>
    <w:rsid w:val="00C4465B"/>
    <w:rsid w:val="00C468DA"/>
    <w:rsid w:val="00C46ED0"/>
    <w:rsid w:val="00C508F9"/>
    <w:rsid w:val="00C51990"/>
    <w:rsid w:val="00C5199A"/>
    <w:rsid w:val="00C5207E"/>
    <w:rsid w:val="00C575F8"/>
    <w:rsid w:val="00C5791D"/>
    <w:rsid w:val="00C609DF"/>
    <w:rsid w:val="00C60D72"/>
    <w:rsid w:val="00C6163D"/>
    <w:rsid w:val="00C625EB"/>
    <w:rsid w:val="00C66614"/>
    <w:rsid w:val="00C679D3"/>
    <w:rsid w:val="00C67A3B"/>
    <w:rsid w:val="00C67F96"/>
    <w:rsid w:val="00C72D5E"/>
    <w:rsid w:val="00C74B03"/>
    <w:rsid w:val="00C74B89"/>
    <w:rsid w:val="00C74D80"/>
    <w:rsid w:val="00C74FF0"/>
    <w:rsid w:val="00C767C3"/>
    <w:rsid w:val="00C778ED"/>
    <w:rsid w:val="00C80A03"/>
    <w:rsid w:val="00C8182F"/>
    <w:rsid w:val="00C834CD"/>
    <w:rsid w:val="00C83B95"/>
    <w:rsid w:val="00C845DC"/>
    <w:rsid w:val="00C859AC"/>
    <w:rsid w:val="00C864FF"/>
    <w:rsid w:val="00C867A0"/>
    <w:rsid w:val="00C86C0F"/>
    <w:rsid w:val="00C87243"/>
    <w:rsid w:val="00C90118"/>
    <w:rsid w:val="00C91EF9"/>
    <w:rsid w:val="00C9227C"/>
    <w:rsid w:val="00C924D3"/>
    <w:rsid w:val="00C93F96"/>
    <w:rsid w:val="00C94500"/>
    <w:rsid w:val="00C97838"/>
    <w:rsid w:val="00C97CAE"/>
    <w:rsid w:val="00CA0BD1"/>
    <w:rsid w:val="00CA0F53"/>
    <w:rsid w:val="00CA27A0"/>
    <w:rsid w:val="00CA2C35"/>
    <w:rsid w:val="00CA39C1"/>
    <w:rsid w:val="00CA3C4A"/>
    <w:rsid w:val="00CB0887"/>
    <w:rsid w:val="00CB2498"/>
    <w:rsid w:val="00CB24FC"/>
    <w:rsid w:val="00CB4DD9"/>
    <w:rsid w:val="00CB58C0"/>
    <w:rsid w:val="00CB78CD"/>
    <w:rsid w:val="00CB79A1"/>
    <w:rsid w:val="00CC02B9"/>
    <w:rsid w:val="00CC066D"/>
    <w:rsid w:val="00CC15CF"/>
    <w:rsid w:val="00CC291D"/>
    <w:rsid w:val="00CC5FA2"/>
    <w:rsid w:val="00CC5FF0"/>
    <w:rsid w:val="00CC6847"/>
    <w:rsid w:val="00CC7A57"/>
    <w:rsid w:val="00CD0E35"/>
    <w:rsid w:val="00CD186B"/>
    <w:rsid w:val="00CD1C68"/>
    <w:rsid w:val="00CD1C9E"/>
    <w:rsid w:val="00CD272A"/>
    <w:rsid w:val="00CD3CC9"/>
    <w:rsid w:val="00CD6985"/>
    <w:rsid w:val="00CD71C2"/>
    <w:rsid w:val="00CE0405"/>
    <w:rsid w:val="00CE13B6"/>
    <w:rsid w:val="00CE1BFA"/>
    <w:rsid w:val="00CE2591"/>
    <w:rsid w:val="00CE2804"/>
    <w:rsid w:val="00CE2EA9"/>
    <w:rsid w:val="00CE32AC"/>
    <w:rsid w:val="00CE33AD"/>
    <w:rsid w:val="00CE3AB5"/>
    <w:rsid w:val="00CE4E80"/>
    <w:rsid w:val="00CE51B5"/>
    <w:rsid w:val="00CE5BD6"/>
    <w:rsid w:val="00CE5CA2"/>
    <w:rsid w:val="00CE691E"/>
    <w:rsid w:val="00CE77FE"/>
    <w:rsid w:val="00CF02D7"/>
    <w:rsid w:val="00CF0F26"/>
    <w:rsid w:val="00CF15FD"/>
    <w:rsid w:val="00CF1DB2"/>
    <w:rsid w:val="00CF482E"/>
    <w:rsid w:val="00CF4B0D"/>
    <w:rsid w:val="00CF4CF8"/>
    <w:rsid w:val="00CF5177"/>
    <w:rsid w:val="00CF5826"/>
    <w:rsid w:val="00CF5A6B"/>
    <w:rsid w:val="00CF5D8E"/>
    <w:rsid w:val="00CF793F"/>
    <w:rsid w:val="00CF7DE8"/>
    <w:rsid w:val="00D01962"/>
    <w:rsid w:val="00D02370"/>
    <w:rsid w:val="00D023A4"/>
    <w:rsid w:val="00D02989"/>
    <w:rsid w:val="00D04564"/>
    <w:rsid w:val="00D05B69"/>
    <w:rsid w:val="00D0711E"/>
    <w:rsid w:val="00D07676"/>
    <w:rsid w:val="00D07D36"/>
    <w:rsid w:val="00D10C5C"/>
    <w:rsid w:val="00D10F45"/>
    <w:rsid w:val="00D11888"/>
    <w:rsid w:val="00D11C3A"/>
    <w:rsid w:val="00D1213E"/>
    <w:rsid w:val="00D12311"/>
    <w:rsid w:val="00D128A4"/>
    <w:rsid w:val="00D12C0D"/>
    <w:rsid w:val="00D1364C"/>
    <w:rsid w:val="00D146DA"/>
    <w:rsid w:val="00D15EDC"/>
    <w:rsid w:val="00D2069D"/>
    <w:rsid w:val="00D208CA"/>
    <w:rsid w:val="00D2186A"/>
    <w:rsid w:val="00D223E9"/>
    <w:rsid w:val="00D22CBB"/>
    <w:rsid w:val="00D23EA4"/>
    <w:rsid w:val="00D23FAA"/>
    <w:rsid w:val="00D2471D"/>
    <w:rsid w:val="00D24DA5"/>
    <w:rsid w:val="00D25029"/>
    <w:rsid w:val="00D25965"/>
    <w:rsid w:val="00D25D01"/>
    <w:rsid w:val="00D26379"/>
    <w:rsid w:val="00D26E57"/>
    <w:rsid w:val="00D26FB5"/>
    <w:rsid w:val="00D27B4E"/>
    <w:rsid w:val="00D30B03"/>
    <w:rsid w:val="00D3143C"/>
    <w:rsid w:val="00D32088"/>
    <w:rsid w:val="00D3240F"/>
    <w:rsid w:val="00D32720"/>
    <w:rsid w:val="00D33253"/>
    <w:rsid w:val="00D33294"/>
    <w:rsid w:val="00D35D91"/>
    <w:rsid w:val="00D378B8"/>
    <w:rsid w:val="00D37A75"/>
    <w:rsid w:val="00D40219"/>
    <w:rsid w:val="00D40500"/>
    <w:rsid w:val="00D4158B"/>
    <w:rsid w:val="00D4195D"/>
    <w:rsid w:val="00D41DB2"/>
    <w:rsid w:val="00D42662"/>
    <w:rsid w:val="00D42D1D"/>
    <w:rsid w:val="00D444C4"/>
    <w:rsid w:val="00D44613"/>
    <w:rsid w:val="00D44719"/>
    <w:rsid w:val="00D454BF"/>
    <w:rsid w:val="00D456C7"/>
    <w:rsid w:val="00D45AFC"/>
    <w:rsid w:val="00D4641C"/>
    <w:rsid w:val="00D46A58"/>
    <w:rsid w:val="00D46CC8"/>
    <w:rsid w:val="00D477EB"/>
    <w:rsid w:val="00D504EF"/>
    <w:rsid w:val="00D509FF"/>
    <w:rsid w:val="00D50D2B"/>
    <w:rsid w:val="00D50EA8"/>
    <w:rsid w:val="00D526BC"/>
    <w:rsid w:val="00D52D29"/>
    <w:rsid w:val="00D533D4"/>
    <w:rsid w:val="00D53C9F"/>
    <w:rsid w:val="00D54E93"/>
    <w:rsid w:val="00D558D1"/>
    <w:rsid w:val="00D5724C"/>
    <w:rsid w:val="00D61381"/>
    <w:rsid w:val="00D631EE"/>
    <w:rsid w:val="00D63C45"/>
    <w:rsid w:val="00D7000D"/>
    <w:rsid w:val="00D702AF"/>
    <w:rsid w:val="00D729C0"/>
    <w:rsid w:val="00D73CCE"/>
    <w:rsid w:val="00D7438D"/>
    <w:rsid w:val="00D75C82"/>
    <w:rsid w:val="00D75F81"/>
    <w:rsid w:val="00D77243"/>
    <w:rsid w:val="00D777E7"/>
    <w:rsid w:val="00D77BB2"/>
    <w:rsid w:val="00D80F58"/>
    <w:rsid w:val="00D8146A"/>
    <w:rsid w:val="00D81B91"/>
    <w:rsid w:val="00D81BFE"/>
    <w:rsid w:val="00D82184"/>
    <w:rsid w:val="00D8304A"/>
    <w:rsid w:val="00D83A5B"/>
    <w:rsid w:val="00D83F9F"/>
    <w:rsid w:val="00D84A80"/>
    <w:rsid w:val="00D861CA"/>
    <w:rsid w:val="00D866B5"/>
    <w:rsid w:val="00D86D23"/>
    <w:rsid w:val="00D87CF4"/>
    <w:rsid w:val="00D907BC"/>
    <w:rsid w:val="00D90879"/>
    <w:rsid w:val="00D90CA5"/>
    <w:rsid w:val="00D91DC3"/>
    <w:rsid w:val="00D92D8E"/>
    <w:rsid w:val="00D93B7A"/>
    <w:rsid w:val="00D947D0"/>
    <w:rsid w:val="00D9598E"/>
    <w:rsid w:val="00DA04BF"/>
    <w:rsid w:val="00DA161C"/>
    <w:rsid w:val="00DA1A0A"/>
    <w:rsid w:val="00DA230B"/>
    <w:rsid w:val="00DA2701"/>
    <w:rsid w:val="00DA3CF4"/>
    <w:rsid w:val="00DA4506"/>
    <w:rsid w:val="00DA477F"/>
    <w:rsid w:val="00DA48C3"/>
    <w:rsid w:val="00DA4D36"/>
    <w:rsid w:val="00DA7F1B"/>
    <w:rsid w:val="00DB063D"/>
    <w:rsid w:val="00DB0D71"/>
    <w:rsid w:val="00DB1E45"/>
    <w:rsid w:val="00DB48F0"/>
    <w:rsid w:val="00DB54F5"/>
    <w:rsid w:val="00DB679F"/>
    <w:rsid w:val="00DB6A22"/>
    <w:rsid w:val="00DB7073"/>
    <w:rsid w:val="00DC1D04"/>
    <w:rsid w:val="00DC3EA2"/>
    <w:rsid w:val="00DC5B9F"/>
    <w:rsid w:val="00DC61EF"/>
    <w:rsid w:val="00DC63FF"/>
    <w:rsid w:val="00DC6DFA"/>
    <w:rsid w:val="00DC6F03"/>
    <w:rsid w:val="00DC7A75"/>
    <w:rsid w:val="00DC7FBF"/>
    <w:rsid w:val="00DD1518"/>
    <w:rsid w:val="00DD2D93"/>
    <w:rsid w:val="00DD3574"/>
    <w:rsid w:val="00DD38F4"/>
    <w:rsid w:val="00DD3C95"/>
    <w:rsid w:val="00DD3CB9"/>
    <w:rsid w:val="00DD422C"/>
    <w:rsid w:val="00DD4EE4"/>
    <w:rsid w:val="00DD5739"/>
    <w:rsid w:val="00DD6A14"/>
    <w:rsid w:val="00DD7E12"/>
    <w:rsid w:val="00DE00FD"/>
    <w:rsid w:val="00DE078C"/>
    <w:rsid w:val="00DE0E5D"/>
    <w:rsid w:val="00DE0F78"/>
    <w:rsid w:val="00DE22AF"/>
    <w:rsid w:val="00DE3850"/>
    <w:rsid w:val="00DE4F01"/>
    <w:rsid w:val="00DE50D7"/>
    <w:rsid w:val="00DE6412"/>
    <w:rsid w:val="00DE65B0"/>
    <w:rsid w:val="00DE66EB"/>
    <w:rsid w:val="00DE682A"/>
    <w:rsid w:val="00DF158F"/>
    <w:rsid w:val="00DF1C6F"/>
    <w:rsid w:val="00DF5C12"/>
    <w:rsid w:val="00DF5C2F"/>
    <w:rsid w:val="00DF6B2B"/>
    <w:rsid w:val="00E016FD"/>
    <w:rsid w:val="00E01AB5"/>
    <w:rsid w:val="00E02318"/>
    <w:rsid w:val="00E02933"/>
    <w:rsid w:val="00E02A4E"/>
    <w:rsid w:val="00E0414F"/>
    <w:rsid w:val="00E049B0"/>
    <w:rsid w:val="00E05E1B"/>
    <w:rsid w:val="00E0606D"/>
    <w:rsid w:val="00E07B80"/>
    <w:rsid w:val="00E10BB1"/>
    <w:rsid w:val="00E10D0C"/>
    <w:rsid w:val="00E112FF"/>
    <w:rsid w:val="00E1221A"/>
    <w:rsid w:val="00E14662"/>
    <w:rsid w:val="00E15002"/>
    <w:rsid w:val="00E1573D"/>
    <w:rsid w:val="00E16EF3"/>
    <w:rsid w:val="00E17A1C"/>
    <w:rsid w:val="00E200FE"/>
    <w:rsid w:val="00E201CF"/>
    <w:rsid w:val="00E205CB"/>
    <w:rsid w:val="00E2090D"/>
    <w:rsid w:val="00E20B49"/>
    <w:rsid w:val="00E21D50"/>
    <w:rsid w:val="00E22B5F"/>
    <w:rsid w:val="00E22D23"/>
    <w:rsid w:val="00E276CE"/>
    <w:rsid w:val="00E27FA7"/>
    <w:rsid w:val="00E30076"/>
    <w:rsid w:val="00E323C4"/>
    <w:rsid w:val="00E332E0"/>
    <w:rsid w:val="00E33486"/>
    <w:rsid w:val="00E334CA"/>
    <w:rsid w:val="00E338A9"/>
    <w:rsid w:val="00E338E4"/>
    <w:rsid w:val="00E33E15"/>
    <w:rsid w:val="00E34214"/>
    <w:rsid w:val="00E34B42"/>
    <w:rsid w:val="00E353E3"/>
    <w:rsid w:val="00E360DC"/>
    <w:rsid w:val="00E36D23"/>
    <w:rsid w:val="00E373AF"/>
    <w:rsid w:val="00E4025A"/>
    <w:rsid w:val="00E40FDF"/>
    <w:rsid w:val="00E41664"/>
    <w:rsid w:val="00E41843"/>
    <w:rsid w:val="00E41F81"/>
    <w:rsid w:val="00E44138"/>
    <w:rsid w:val="00E44644"/>
    <w:rsid w:val="00E465B0"/>
    <w:rsid w:val="00E46CF0"/>
    <w:rsid w:val="00E471E4"/>
    <w:rsid w:val="00E474A5"/>
    <w:rsid w:val="00E47544"/>
    <w:rsid w:val="00E50753"/>
    <w:rsid w:val="00E5129B"/>
    <w:rsid w:val="00E53030"/>
    <w:rsid w:val="00E5698B"/>
    <w:rsid w:val="00E61C5E"/>
    <w:rsid w:val="00E61EC2"/>
    <w:rsid w:val="00E6214F"/>
    <w:rsid w:val="00E63D18"/>
    <w:rsid w:val="00E63D6F"/>
    <w:rsid w:val="00E643D2"/>
    <w:rsid w:val="00E648A2"/>
    <w:rsid w:val="00E6504E"/>
    <w:rsid w:val="00E706E2"/>
    <w:rsid w:val="00E707B2"/>
    <w:rsid w:val="00E7099D"/>
    <w:rsid w:val="00E70A39"/>
    <w:rsid w:val="00E70D50"/>
    <w:rsid w:val="00E717E2"/>
    <w:rsid w:val="00E72F8B"/>
    <w:rsid w:val="00E74999"/>
    <w:rsid w:val="00E768B2"/>
    <w:rsid w:val="00E76ACE"/>
    <w:rsid w:val="00E77C8B"/>
    <w:rsid w:val="00E80145"/>
    <w:rsid w:val="00E80E96"/>
    <w:rsid w:val="00E8151F"/>
    <w:rsid w:val="00E828D2"/>
    <w:rsid w:val="00E83282"/>
    <w:rsid w:val="00E8355E"/>
    <w:rsid w:val="00E839A8"/>
    <w:rsid w:val="00E83AE8"/>
    <w:rsid w:val="00E83D8C"/>
    <w:rsid w:val="00E8519D"/>
    <w:rsid w:val="00E862C4"/>
    <w:rsid w:val="00E865C2"/>
    <w:rsid w:val="00E8677C"/>
    <w:rsid w:val="00E878BD"/>
    <w:rsid w:val="00E90563"/>
    <w:rsid w:val="00E91145"/>
    <w:rsid w:val="00E9181B"/>
    <w:rsid w:val="00E91D20"/>
    <w:rsid w:val="00E93147"/>
    <w:rsid w:val="00E93CA4"/>
    <w:rsid w:val="00E971D5"/>
    <w:rsid w:val="00E971E9"/>
    <w:rsid w:val="00E97B67"/>
    <w:rsid w:val="00E97E84"/>
    <w:rsid w:val="00EA0E42"/>
    <w:rsid w:val="00EA155D"/>
    <w:rsid w:val="00EA2687"/>
    <w:rsid w:val="00EA2C2D"/>
    <w:rsid w:val="00EA2CAA"/>
    <w:rsid w:val="00EA2D5A"/>
    <w:rsid w:val="00EA40AA"/>
    <w:rsid w:val="00EA4800"/>
    <w:rsid w:val="00EA6560"/>
    <w:rsid w:val="00EB0710"/>
    <w:rsid w:val="00EB0A24"/>
    <w:rsid w:val="00EB2085"/>
    <w:rsid w:val="00EB3671"/>
    <w:rsid w:val="00EB4B09"/>
    <w:rsid w:val="00EB5685"/>
    <w:rsid w:val="00EB6603"/>
    <w:rsid w:val="00EB6688"/>
    <w:rsid w:val="00EB74AE"/>
    <w:rsid w:val="00EB7710"/>
    <w:rsid w:val="00EC1353"/>
    <w:rsid w:val="00EC29C1"/>
    <w:rsid w:val="00EC2B13"/>
    <w:rsid w:val="00EC2B88"/>
    <w:rsid w:val="00EC3F37"/>
    <w:rsid w:val="00EC48A4"/>
    <w:rsid w:val="00EC4B4C"/>
    <w:rsid w:val="00EC5404"/>
    <w:rsid w:val="00EC5599"/>
    <w:rsid w:val="00EC7D92"/>
    <w:rsid w:val="00ED0146"/>
    <w:rsid w:val="00ED03E2"/>
    <w:rsid w:val="00ED04DF"/>
    <w:rsid w:val="00ED13AF"/>
    <w:rsid w:val="00ED1826"/>
    <w:rsid w:val="00ED2EF5"/>
    <w:rsid w:val="00ED3B8D"/>
    <w:rsid w:val="00ED3FC4"/>
    <w:rsid w:val="00ED4ECE"/>
    <w:rsid w:val="00ED6A72"/>
    <w:rsid w:val="00EE05D3"/>
    <w:rsid w:val="00EE2684"/>
    <w:rsid w:val="00EE2B67"/>
    <w:rsid w:val="00EE3A3C"/>
    <w:rsid w:val="00EE459D"/>
    <w:rsid w:val="00EE4DC3"/>
    <w:rsid w:val="00EE51E5"/>
    <w:rsid w:val="00EE5479"/>
    <w:rsid w:val="00EE5BB8"/>
    <w:rsid w:val="00EE6C9B"/>
    <w:rsid w:val="00EE7789"/>
    <w:rsid w:val="00EF11EB"/>
    <w:rsid w:val="00EF1D20"/>
    <w:rsid w:val="00EF2778"/>
    <w:rsid w:val="00EF442A"/>
    <w:rsid w:val="00EF4C10"/>
    <w:rsid w:val="00EF5B3B"/>
    <w:rsid w:val="00EF5C17"/>
    <w:rsid w:val="00EF6385"/>
    <w:rsid w:val="00EF64AB"/>
    <w:rsid w:val="00EF7BCE"/>
    <w:rsid w:val="00F01269"/>
    <w:rsid w:val="00F01542"/>
    <w:rsid w:val="00F0185C"/>
    <w:rsid w:val="00F02304"/>
    <w:rsid w:val="00F024AD"/>
    <w:rsid w:val="00F02572"/>
    <w:rsid w:val="00F028C4"/>
    <w:rsid w:val="00F02B36"/>
    <w:rsid w:val="00F0547D"/>
    <w:rsid w:val="00F1073A"/>
    <w:rsid w:val="00F109ED"/>
    <w:rsid w:val="00F10E86"/>
    <w:rsid w:val="00F11D4E"/>
    <w:rsid w:val="00F14082"/>
    <w:rsid w:val="00F146C3"/>
    <w:rsid w:val="00F1480B"/>
    <w:rsid w:val="00F15E3B"/>
    <w:rsid w:val="00F16026"/>
    <w:rsid w:val="00F16216"/>
    <w:rsid w:val="00F16F5E"/>
    <w:rsid w:val="00F17F36"/>
    <w:rsid w:val="00F2071B"/>
    <w:rsid w:val="00F22C56"/>
    <w:rsid w:val="00F23225"/>
    <w:rsid w:val="00F23226"/>
    <w:rsid w:val="00F23BC5"/>
    <w:rsid w:val="00F2513A"/>
    <w:rsid w:val="00F25582"/>
    <w:rsid w:val="00F25AEF"/>
    <w:rsid w:val="00F25D63"/>
    <w:rsid w:val="00F26F89"/>
    <w:rsid w:val="00F275A2"/>
    <w:rsid w:val="00F278ED"/>
    <w:rsid w:val="00F30828"/>
    <w:rsid w:val="00F32AF0"/>
    <w:rsid w:val="00F3305B"/>
    <w:rsid w:val="00F3331E"/>
    <w:rsid w:val="00F33CCA"/>
    <w:rsid w:val="00F343E4"/>
    <w:rsid w:val="00F370B4"/>
    <w:rsid w:val="00F37419"/>
    <w:rsid w:val="00F37D02"/>
    <w:rsid w:val="00F37D6A"/>
    <w:rsid w:val="00F37DD8"/>
    <w:rsid w:val="00F40454"/>
    <w:rsid w:val="00F404AE"/>
    <w:rsid w:val="00F40A4E"/>
    <w:rsid w:val="00F41761"/>
    <w:rsid w:val="00F41F95"/>
    <w:rsid w:val="00F41FAA"/>
    <w:rsid w:val="00F426FE"/>
    <w:rsid w:val="00F42CCA"/>
    <w:rsid w:val="00F43D05"/>
    <w:rsid w:val="00F449FB"/>
    <w:rsid w:val="00F44AE7"/>
    <w:rsid w:val="00F47B2E"/>
    <w:rsid w:val="00F5027B"/>
    <w:rsid w:val="00F513D8"/>
    <w:rsid w:val="00F51AC2"/>
    <w:rsid w:val="00F51B45"/>
    <w:rsid w:val="00F51F5D"/>
    <w:rsid w:val="00F5287D"/>
    <w:rsid w:val="00F53324"/>
    <w:rsid w:val="00F55320"/>
    <w:rsid w:val="00F5556A"/>
    <w:rsid w:val="00F55629"/>
    <w:rsid w:val="00F56B99"/>
    <w:rsid w:val="00F610F4"/>
    <w:rsid w:val="00F61B3F"/>
    <w:rsid w:val="00F622BE"/>
    <w:rsid w:val="00F62745"/>
    <w:rsid w:val="00F63D25"/>
    <w:rsid w:val="00F640EF"/>
    <w:rsid w:val="00F64582"/>
    <w:rsid w:val="00F6610F"/>
    <w:rsid w:val="00F66EF9"/>
    <w:rsid w:val="00F66EFE"/>
    <w:rsid w:val="00F66F31"/>
    <w:rsid w:val="00F67021"/>
    <w:rsid w:val="00F731C2"/>
    <w:rsid w:val="00F74F0B"/>
    <w:rsid w:val="00F74FC4"/>
    <w:rsid w:val="00F77115"/>
    <w:rsid w:val="00F778E2"/>
    <w:rsid w:val="00F8004F"/>
    <w:rsid w:val="00F8160A"/>
    <w:rsid w:val="00F86B66"/>
    <w:rsid w:val="00F871E7"/>
    <w:rsid w:val="00F900D7"/>
    <w:rsid w:val="00F911C7"/>
    <w:rsid w:val="00F91AD9"/>
    <w:rsid w:val="00F91C71"/>
    <w:rsid w:val="00F92931"/>
    <w:rsid w:val="00F92C6B"/>
    <w:rsid w:val="00F94217"/>
    <w:rsid w:val="00F95073"/>
    <w:rsid w:val="00F962D9"/>
    <w:rsid w:val="00F97A19"/>
    <w:rsid w:val="00F97B6C"/>
    <w:rsid w:val="00FA0563"/>
    <w:rsid w:val="00FA1EC0"/>
    <w:rsid w:val="00FA1FBC"/>
    <w:rsid w:val="00FA274E"/>
    <w:rsid w:val="00FA328A"/>
    <w:rsid w:val="00FA35A5"/>
    <w:rsid w:val="00FA3899"/>
    <w:rsid w:val="00FA4206"/>
    <w:rsid w:val="00FA44DA"/>
    <w:rsid w:val="00FA4836"/>
    <w:rsid w:val="00FA4E76"/>
    <w:rsid w:val="00FA50A3"/>
    <w:rsid w:val="00FA7C56"/>
    <w:rsid w:val="00FB06AB"/>
    <w:rsid w:val="00FB0B4D"/>
    <w:rsid w:val="00FB2CAB"/>
    <w:rsid w:val="00FB4430"/>
    <w:rsid w:val="00FB6910"/>
    <w:rsid w:val="00FB6D3C"/>
    <w:rsid w:val="00FB7226"/>
    <w:rsid w:val="00FB7740"/>
    <w:rsid w:val="00FB7F5D"/>
    <w:rsid w:val="00FC07DB"/>
    <w:rsid w:val="00FC134D"/>
    <w:rsid w:val="00FC1C6D"/>
    <w:rsid w:val="00FC239F"/>
    <w:rsid w:val="00FC3280"/>
    <w:rsid w:val="00FC35E8"/>
    <w:rsid w:val="00FC3C88"/>
    <w:rsid w:val="00FC3D7E"/>
    <w:rsid w:val="00FC4574"/>
    <w:rsid w:val="00FC4D60"/>
    <w:rsid w:val="00FC58DA"/>
    <w:rsid w:val="00FC5A7E"/>
    <w:rsid w:val="00FC633A"/>
    <w:rsid w:val="00FC6CB6"/>
    <w:rsid w:val="00FC6F0D"/>
    <w:rsid w:val="00FC7CC0"/>
    <w:rsid w:val="00FD0BED"/>
    <w:rsid w:val="00FD221A"/>
    <w:rsid w:val="00FD2727"/>
    <w:rsid w:val="00FD2EA8"/>
    <w:rsid w:val="00FD3756"/>
    <w:rsid w:val="00FD658F"/>
    <w:rsid w:val="00FD698D"/>
    <w:rsid w:val="00FD6F23"/>
    <w:rsid w:val="00FD75CF"/>
    <w:rsid w:val="00FE029B"/>
    <w:rsid w:val="00FE2D96"/>
    <w:rsid w:val="00FE38F0"/>
    <w:rsid w:val="00FE42DB"/>
    <w:rsid w:val="00FE696D"/>
    <w:rsid w:val="00FE7175"/>
    <w:rsid w:val="00FE7625"/>
    <w:rsid w:val="00FE7D6A"/>
    <w:rsid w:val="00FF0101"/>
    <w:rsid w:val="00FF0919"/>
    <w:rsid w:val="00FF097F"/>
    <w:rsid w:val="00FF1181"/>
    <w:rsid w:val="00FF3AB1"/>
    <w:rsid w:val="00FF43D4"/>
    <w:rsid w:val="00FF45BD"/>
    <w:rsid w:val="00FF5670"/>
    <w:rsid w:val="00FF6128"/>
    <w:rsid w:val="00FF62BC"/>
    <w:rsid w:val="00FF66C3"/>
    <w:rsid w:val="00FF67B0"/>
    <w:rsid w:val="00FF680E"/>
    <w:rsid w:val="00FF6B55"/>
    <w:rsid w:val="00FF6F60"/>
    <w:rsid w:val="011224FE"/>
    <w:rsid w:val="012B0EF5"/>
    <w:rsid w:val="01343E1F"/>
    <w:rsid w:val="0139378E"/>
    <w:rsid w:val="015D318F"/>
    <w:rsid w:val="0167130E"/>
    <w:rsid w:val="017716F4"/>
    <w:rsid w:val="01783BDB"/>
    <w:rsid w:val="017D4D3A"/>
    <w:rsid w:val="017E16E3"/>
    <w:rsid w:val="01822782"/>
    <w:rsid w:val="019D55FE"/>
    <w:rsid w:val="01A02BB9"/>
    <w:rsid w:val="01A03AD6"/>
    <w:rsid w:val="01AD2099"/>
    <w:rsid w:val="01B23A13"/>
    <w:rsid w:val="01B6221C"/>
    <w:rsid w:val="01C40DDD"/>
    <w:rsid w:val="01DF713D"/>
    <w:rsid w:val="01E13EDF"/>
    <w:rsid w:val="01EA5B99"/>
    <w:rsid w:val="01F13570"/>
    <w:rsid w:val="01FC748B"/>
    <w:rsid w:val="01FF0067"/>
    <w:rsid w:val="02090B42"/>
    <w:rsid w:val="020C4532"/>
    <w:rsid w:val="021624D9"/>
    <w:rsid w:val="02226142"/>
    <w:rsid w:val="022707A9"/>
    <w:rsid w:val="024164DA"/>
    <w:rsid w:val="02443C72"/>
    <w:rsid w:val="024F7469"/>
    <w:rsid w:val="02521E84"/>
    <w:rsid w:val="0254319C"/>
    <w:rsid w:val="0258282F"/>
    <w:rsid w:val="02607F39"/>
    <w:rsid w:val="0263637C"/>
    <w:rsid w:val="0267398C"/>
    <w:rsid w:val="027125E7"/>
    <w:rsid w:val="02847D1E"/>
    <w:rsid w:val="028E20EC"/>
    <w:rsid w:val="029F3581"/>
    <w:rsid w:val="02A8425B"/>
    <w:rsid w:val="02B454E1"/>
    <w:rsid w:val="02BC0A53"/>
    <w:rsid w:val="02C32E43"/>
    <w:rsid w:val="02DE5767"/>
    <w:rsid w:val="02E5725D"/>
    <w:rsid w:val="0302277B"/>
    <w:rsid w:val="03045209"/>
    <w:rsid w:val="03085120"/>
    <w:rsid w:val="03360C03"/>
    <w:rsid w:val="035A5FEA"/>
    <w:rsid w:val="03603771"/>
    <w:rsid w:val="03685798"/>
    <w:rsid w:val="036901FE"/>
    <w:rsid w:val="036B7D08"/>
    <w:rsid w:val="037732C7"/>
    <w:rsid w:val="037A1030"/>
    <w:rsid w:val="037C59E1"/>
    <w:rsid w:val="03920134"/>
    <w:rsid w:val="039F7D41"/>
    <w:rsid w:val="03A53D62"/>
    <w:rsid w:val="03A875D2"/>
    <w:rsid w:val="03AD764F"/>
    <w:rsid w:val="03B55A4D"/>
    <w:rsid w:val="03B709A5"/>
    <w:rsid w:val="03BB1E38"/>
    <w:rsid w:val="03BD6ED4"/>
    <w:rsid w:val="03CB609C"/>
    <w:rsid w:val="03D927EB"/>
    <w:rsid w:val="03DC4F07"/>
    <w:rsid w:val="03EB275C"/>
    <w:rsid w:val="03F23D0A"/>
    <w:rsid w:val="04086FF0"/>
    <w:rsid w:val="04124462"/>
    <w:rsid w:val="04165086"/>
    <w:rsid w:val="041740DE"/>
    <w:rsid w:val="041B1368"/>
    <w:rsid w:val="041C05BB"/>
    <w:rsid w:val="04212517"/>
    <w:rsid w:val="04221DEB"/>
    <w:rsid w:val="04323809"/>
    <w:rsid w:val="043755A5"/>
    <w:rsid w:val="04447FB3"/>
    <w:rsid w:val="045B63A0"/>
    <w:rsid w:val="0462668B"/>
    <w:rsid w:val="046E3819"/>
    <w:rsid w:val="046F46E2"/>
    <w:rsid w:val="04C51ABA"/>
    <w:rsid w:val="04C66C1A"/>
    <w:rsid w:val="04C9210F"/>
    <w:rsid w:val="04CF15E5"/>
    <w:rsid w:val="04E2157A"/>
    <w:rsid w:val="04E87DBA"/>
    <w:rsid w:val="04FA68C4"/>
    <w:rsid w:val="050769A3"/>
    <w:rsid w:val="051054BA"/>
    <w:rsid w:val="05177A3F"/>
    <w:rsid w:val="051B2158"/>
    <w:rsid w:val="0569194D"/>
    <w:rsid w:val="056F01B0"/>
    <w:rsid w:val="05701DE5"/>
    <w:rsid w:val="057A5434"/>
    <w:rsid w:val="057B088D"/>
    <w:rsid w:val="05A139E2"/>
    <w:rsid w:val="05A5395E"/>
    <w:rsid w:val="05C226D2"/>
    <w:rsid w:val="05C32E8F"/>
    <w:rsid w:val="05C72C4A"/>
    <w:rsid w:val="05C93DFF"/>
    <w:rsid w:val="05E31E62"/>
    <w:rsid w:val="05E76582"/>
    <w:rsid w:val="0629379D"/>
    <w:rsid w:val="06316315"/>
    <w:rsid w:val="0633186D"/>
    <w:rsid w:val="0634080E"/>
    <w:rsid w:val="063C5704"/>
    <w:rsid w:val="064E5836"/>
    <w:rsid w:val="0660639C"/>
    <w:rsid w:val="0661350E"/>
    <w:rsid w:val="067D4056"/>
    <w:rsid w:val="069D2A73"/>
    <w:rsid w:val="06A00547"/>
    <w:rsid w:val="06B244F7"/>
    <w:rsid w:val="06B9382D"/>
    <w:rsid w:val="06D50229"/>
    <w:rsid w:val="06DF3FC3"/>
    <w:rsid w:val="06E65352"/>
    <w:rsid w:val="06ED4932"/>
    <w:rsid w:val="070659F4"/>
    <w:rsid w:val="0728596A"/>
    <w:rsid w:val="07330F96"/>
    <w:rsid w:val="07406744"/>
    <w:rsid w:val="074F3A97"/>
    <w:rsid w:val="07666493"/>
    <w:rsid w:val="07854D3E"/>
    <w:rsid w:val="07991526"/>
    <w:rsid w:val="07AC0E5D"/>
    <w:rsid w:val="07BD3C84"/>
    <w:rsid w:val="07DD595F"/>
    <w:rsid w:val="07EA2C20"/>
    <w:rsid w:val="07ED0962"/>
    <w:rsid w:val="07FB5108"/>
    <w:rsid w:val="07FD6542"/>
    <w:rsid w:val="08053B6A"/>
    <w:rsid w:val="08112BB8"/>
    <w:rsid w:val="08147C9D"/>
    <w:rsid w:val="08161CD1"/>
    <w:rsid w:val="081736A4"/>
    <w:rsid w:val="081D0C13"/>
    <w:rsid w:val="08206641"/>
    <w:rsid w:val="082A6F7C"/>
    <w:rsid w:val="08450161"/>
    <w:rsid w:val="084F33CB"/>
    <w:rsid w:val="085E5E2E"/>
    <w:rsid w:val="0863622A"/>
    <w:rsid w:val="086750FC"/>
    <w:rsid w:val="08732E82"/>
    <w:rsid w:val="08792EF6"/>
    <w:rsid w:val="08921BDD"/>
    <w:rsid w:val="089B35A4"/>
    <w:rsid w:val="089F35DF"/>
    <w:rsid w:val="08A13C26"/>
    <w:rsid w:val="08B23E7C"/>
    <w:rsid w:val="08BD0334"/>
    <w:rsid w:val="08C835F4"/>
    <w:rsid w:val="08D579D6"/>
    <w:rsid w:val="08E47DDB"/>
    <w:rsid w:val="08EB0B10"/>
    <w:rsid w:val="08F47EBC"/>
    <w:rsid w:val="08F875BE"/>
    <w:rsid w:val="0926701B"/>
    <w:rsid w:val="092827A1"/>
    <w:rsid w:val="09342499"/>
    <w:rsid w:val="09353038"/>
    <w:rsid w:val="09485BF3"/>
    <w:rsid w:val="09562917"/>
    <w:rsid w:val="09623FE0"/>
    <w:rsid w:val="0966277A"/>
    <w:rsid w:val="09694018"/>
    <w:rsid w:val="09760DB5"/>
    <w:rsid w:val="09827219"/>
    <w:rsid w:val="098E3D7F"/>
    <w:rsid w:val="09917A47"/>
    <w:rsid w:val="099B4E6A"/>
    <w:rsid w:val="09A62ED0"/>
    <w:rsid w:val="09A746E7"/>
    <w:rsid w:val="09CB6A81"/>
    <w:rsid w:val="09D66DD6"/>
    <w:rsid w:val="09D973F0"/>
    <w:rsid w:val="09F8748A"/>
    <w:rsid w:val="0A0D281E"/>
    <w:rsid w:val="0A136187"/>
    <w:rsid w:val="0A1E5774"/>
    <w:rsid w:val="0A2543E3"/>
    <w:rsid w:val="0A295203"/>
    <w:rsid w:val="0A2C39C3"/>
    <w:rsid w:val="0A2D4FE0"/>
    <w:rsid w:val="0A373D8A"/>
    <w:rsid w:val="0A3E54A5"/>
    <w:rsid w:val="0A3F11F2"/>
    <w:rsid w:val="0A4114B2"/>
    <w:rsid w:val="0A41763A"/>
    <w:rsid w:val="0A4D7496"/>
    <w:rsid w:val="0A514815"/>
    <w:rsid w:val="0A660074"/>
    <w:rsid w:val="0A805ABD"/>
    <w:rsid w:val="0A943251"/>
    <w:rsid w:val="0AA738D2"/>
    <w:rsid w:val="0AA86481"/>
    <w:rsid w:val="0AB243BE"/>
    <w:rsid w:val="0AC309C6"/>
    <w:rsid w:val="0ACD3951"/>
    <w:rsid w:val="0AD36916"/>
    <w:rsid w:val="0AD63C41"/>
    <w:rsid w:val="0AE0030A"/>
    <w:rsid w:val="0AF80536"/>
    <w:rsid w:val="0AFF4AFA"/>
    <w:rsid w:val="0B021C2D"/>
    <w:rsid w:val="0B064109"/>
    <w:rsid w:val="0B0A4B64"/>
    <w:rsid w:val="0B136351"/>
    <w:rsid w:val="0B203F8E"/>
    <w:rsid w:val="0B2B4B1C"/>
    <w:rsid w:val="0B3463DC"/>
    <w:rsid w:val="0B4623C0"/>
    <w:rsid w:val="0B470389"/>
    <w:rsid w:val="0B743628"/>
    <w:rsid w:val="0B773A5D"/>
    <w:rsid w:val="0B791109"/>
    <w:rsid w:val="0B7A57FA"/>
    <w:rsid w:val="0B7C4006"/>
    <w:rsid w:val="0B9037C7"/>
    <w:rsid w:val="0B956FE5"/>
    <w:rsid w:val="0BA32A66"/>
    <w:rsid w:val="0BA44A52"/>
    <w:rsid w:val="0BAC540F"/>
    <w:rsid w:val="0BBC1D32"/>
    <w:rsid w:val="0BC11A15"/>
    <w:rsid w:val="0BCB21D4"/>
    <w:rsid w:val="0BCE4606"/>
    <w:rsid w:val="0BDB6B9A"/>
    <w:rsid w:val="0BE4108E"/>
    <w:rsid w:val="0BF61ABA"/>
    <w:rsid w:val="0BF740C0"/>
    <w:rsid w:val="0C265565"/>
    <w:rsid w:val="0C2F32F7"/>
    <w:rsid w:val="0C393D20"/>
    <w:rsid w:val="0C496197"/>
    <w:rsid w:val="0C612C7E"/>
    <w:rsid w:val="0C694173"/>
    <w:rsid w:val="0C70191C"/>
    <w:rsid w:val="0C882A07"/>
    <w:rsid w:val="0C9B6BDE"/>
    <w:rsid w:val="0CA439FC"/>
    <w:rsid w:val="0CA5278C"/>
    <w:rsid w:val="0CB14A17"/>
    <w:rsid w:val="0CE340E1"/>
    <w:rsid w:val="0CE82A48"/>
    <w:rsid w:val="0CF40FDA"/>
    <w:rsid w:val="0CF76DEA"/>
    <w:rsid w:val="0D04253E"/>
    <w:rsid w:val="0D043B1E"/>
    <w:rsid w:val="0D1B387B"/>
    <w:rsid w:val="0D2A6B4B"/>
    <w:rsid w:val="0D2F7B33"/>
    <w:rsid w:val="0D40588F"/>
    <w:rsid w:val="0D42452A"/>
    <w:rsid w:val="0D42549E"/>
    <w:rsid w:val="0D5A3A59"/>
    <w:rsid w:val="0D607838"/>
    <w:rsid w:val="0D616E33"/>
    <w:rsid w:val="0D6D3C19"/>
    <w:rsid w:val="0D827B6E"/>
    <w:rsid w:val="0D8F1948"/>
    <w:rsid w:val="0DA92A95"/>
    <w:rsid w:val="0DB63F61"/>
    <w:rsid w:val="0DC71698"/>
    <w:rsid w:val="0DCD4F7C"/>
    <w:rsid w:val="0DDB6F3F"/>
    <w:rsid w:val="0DDE4FD5"/>
    <w:rsid w:val="0DF34C7D"/>
    <w:rsid w:val="0DF447F8"/>
    <w:rsid w:val="0E083E00"/>
    <w:rsid w:val="0E0B38F0"/>
    <w:rsid w:val="0E122ED0"/>
    <w:rsid w:val="0E1924B1"/>
    <w:rsid w:val="0E1A2709"/>
    <w:rsid w:val="0E34011B"/>
    <w:rsid w:val="0E345BC0"/>
    <w:rsid w:val="0E40223A"/>
    <w:rsid w:val="0E464C8B"/>
    <w:rsid w:val="0E536488"/>
    <w:rsid w:val="0E717CC7"/>
    <w:rsid w:val="0E7414C9"/>
    <w:rsid w:val="0E75778E"/>
    <w:rsid w:val="0E95610E"/>
    <w:rsid w:val="0E9D32AB"/>
    <w:rsid w:val="0EA05236"/>
    <w:rsid w:val="0EA56B64"/>
    <w:rsid w:val="0EA855E3"/>
    <w:rsid w:val="0EB51DC1"/>
    <w:rsid w:val="0EB7414A"/>
    <w:rsid w:val="0EB81736"/>
    <w:rsid w:val="0EC07C41"/>
    <w:rsid w:val="0EC42C1B"/>
    <w:rsid w:val="0ED927E2"/>
    <w:rsid w:val="0EE121F0"/>
    <w:rsid w:val="0EE53289"/>
    <w:rsid w:val="0EE77E31"/>
    <w:rsid w:val="0EE90D9D"/>
    <w:rsid w:val="0EF13EB7"/>
    <w:rsid w:val="0F141E3E"/>
    <w:rsid w:val="0F174008"/>
    <w:rsid w:val="0F3020DD"/>
    <w:rsid w:val="0F333E6F"/>
    <w:rsid w:val="0F346249"/>
    <w:rsid w:val="0F405BCB"/>
    <w:rsid w:val="0F4309D7"/>
    <w:rsid w:val="0F5D0B31"/>
    <w:rsid w:val="0F5F2145"/>
    <w:rsid w:val="0F6A7BC5"/>
    <w:rsid w:val="0F70041D"/>
    <w:rsid w:val="0F8C6313"/>
    <w:rsid w:val="0F922BA2"/>
    <w:rsid w:val="0F9432D6"/>
    <w:rsid w:val="0F952DD2"/>
    <w:rsid w:val="0FA405E3"/>
    <w:rsid w:val="0FA82F44"/>
    <w:rsid w:val="0FAC6704"/>
    <w:rsid w:val="0FBF0E36"/>
    <w:rsid w:val="0FC34737"/>
    <w:rsid w:val="0FCD40D5"/>
    <w:rsid w:val="0FCF460E"/>
    <w:rsid w:val="0FD967CF"/>
    <w:rsid w:val="0FDA1C0E"/>
    <w:rsid w:val="0FFA1FD3"/>
    <w:rsid w:val="1007150B"/>
    <w:rsid w:val="1017657C"/>
    <w:rsid w:val="10195848"/>
    <w:rsid w:val="101F6716"/>
    <w:rsid w:val="10245236"/>
    <w:rsid w:val="102806CD"/>
    <w:rsid w:val="103477E1"/>
    <w:rsid w:val="10360CC2"/>
    <w:rsid w:val="1038554B"/>
    <w:rsid w:val="103D03A3"/>
    <w:rsid w:val="10507339"/>
    <w:rsid w:val="10594A08"/>
    <w:rsid w:val="10854085"/>
    <w:rsid w:val="108A31F2"/>
    <w:rsid w:val="108C51BC"/>
    <w:rsid w:val="109160DD"/>
    <w:rsid w:val="10A0731E"/>
    <w:rsid w:val="10A80A87"/>
    <w:rsid w:val="10A82F5A"/>
    <w:rsid w:val="10AA3894"/>
    <w:rsid w:val="10B85FB1"/>
    <w:rsid w:val="10BF1855"/>
    <w:rsid w:val="10C301A8"/>
    <w:rsid w:val="10C67A22"/>
    <w:rsid w:val="10D40911"/>
    <w:rsid w:val="10EA3E68"/>
    <w:rsid w:val="10FE0B0D"/>
    <w:rsid w:val="1109680C"/>
    <w:rsid w:val="1118788E"/>
    <w:rsid w:val="111A2D88"/>
    <w:rsid w:val="111D2249"/>
    <w:rsid w:val="11357601"/>
    <w:rsid w:val="11412771"/>
    <w:rsid w:val="114145F4"/>
    <w:rsid w:val="11500FF5"/>
    <w:rsid w:val="11546706"/>
    <w:rsid w:val="115D229C"/>
    <w:rsid w:val="1161257D"/>
    <w:rsid w:val="116678F3"/>
    <w:rsid w:val="118456C8"/>
    <w:rsid w:val="118E3A13"/>
    <w:rsid w:val="119B31DD"/>
    <w:rsid w:val="11A81CA9"/>
    <w:rsid w:val="11AF29A7"/>
    <w:rsid w:val="11BE21FF"/>
    <w:rsid w:val="11C0052E"/>
    <w:rsid w:val="11C568F0"/>
    <w:rsid w:val="11C6025A"/>
    <w:rsid w:val="11D07A25"/>
    <w:rsid w:val="11D17DAE"/>
    <w:rsid w:val="11ED1B9B"/>
    <w:rsid w:val="11EE4536"/>
    <w:rsid w:val="12056664"/>
    <w:rsid w:val="1211524D"/>
    <w:rsid w:val="12303510"/>
    <w:rsid w:val="12334793"/>
    <w:rsid w:val="12377173"/>
    <w:rsid w:val="123827CE"/>
    <w:rsid w:val="12394A8E"/>
    <w:rsid w:val="123D5DA2"/>
    <w:rsid w:val="123E3773"/>
    <w:rsid w:val="124B30FD"/>
    <w:rsid w:val="124B5A0F"/>
    <w:rsid w:val="12505989"/>
    <w:rsid w:val="12586C39"/>
    <w:rsid w:val="126A499B"/>
    <w:rsid w:val="12773960"/>
    <w:rsid w:val="127C6B6A"/>
    <w:rsid w:val="12851EC3"/>
    <w:rsid w:val="129F381C"/>
    <w:rsid w:val="12A129EB"/>
    <w:rsid w:val="12AB6427"/>
    <w:rsid w:val="12AB7493"/>
    <w:rsid w:val="12AF1FCF"/>
    <w:rsid w:val="12B216E7"/>
    <w:rsid w:val="12C549B5"/>
    <w:rsid w:val="12C97D91"/>
    <w:rsid w:val="12CF657E"/>
    <w:rsid w:val="12D52B7B"/>
    <w:rsid w:val="12D73EB3"/>
    <w:rsid w:val="12D93CE8"/>
    <w:rsid w:val="12DB3777"/>
    <w:rsid w:val="12DD31EC"/>
    <w:rsid w:val="12E32EDE"/>
    <w:rsid w:val="12E75CBF"/>
    <w:rsid w:val="12EF1782"/>
    <w:rsid w:val="12F41C5F"/>
    <w:rsid w:val="12F473A6"/>
    <w:rsid w:val="1300205B"/>
    <w:rsid w:val="13292DE0"/>
    <w:rsid w:val="134F427F"/>
    <w:rsid w:val="135F295C"/>
    <w:rsid w:val="13761EAE"/>
    <w:rsid w:val="137B10C2"/>
    <w:rsid w:val="13880B6C"/>
    <w:rsid w:val="13926548"/>
    <w:rsid w:val="13954387"/>
    <w:rsid w:val="139A1147"/>
    <w:rsid w:val="139C08D2"/>
    <w:rsid w:val="13B20360"/>
    <w:rsid w:val="13B9011A"/>
    <w:rsid w:val="13BE1478"/>
    <w:rsid w:val="13C07196"/>
    <w:rsid w:val="13CC5056"/>
    <w:rsid w:val="13E76BAD"/>
    <w:rsid w:val="13F96D41"/>
    <w:rsid w:val="140C50F1"/>
    <w:rsid w:val="1413370C"/>
    <w:rsid w:val="141A068F"/>
    <w:rsid w:val="141A206E"/>
    <w:rsid w:val="141E09F3"/>
    <w:rsid w:val="141F1EA3"/>
    <w:rsid w:val="144E6F54"/>
    <w:rsid w:val="14535FF1"/>
    <w:rsid w:val="14627FE2"/>
    <w:rsid w:val="14734F76"/>
    <w:rsid w:val="14772A73"/>
    <w:rsid w:val="147C5547"/>
    <w:rsid w:val="147E3E04"/>
    <w:rsid w:val="149845D8"/>
    <w:rsid w:val="14A10F94"/>
    <w:rsid w:val="14B72CF4"/>
    <w:rsid w:val="14BB0C18"/>
    <w:rsid w:val="14E568F3"/>
    <w:rsid w:val="14E629C1"/>
    <w:rsid w:val="14FB1D3F"/>
    <w:rsid w:val="14FE7D0A"/>
    <w:rsid w:val="150A66AF"/>
    <w:rsid w:val="150F0169"/>
    <w:rsid w:val="15111D25"/>
    <w:rsid w:val="15125204"/>
    <w:rsid w:val="15235B6D"/>
    <w:rsid w:val="152F75D4"/>
    <w:rsid w:val="15352916"/>
    <w:rsid w:val="15362CC6"/>
    <w:rsid w:val="153A7676"/>
    <w:rsid w:val="154C6C54"/>
    <w:rsid w:val="15554B20"/>
    <w:rsid w:val="15557480"/>
    <w:rsid w:val="155C1ABB"/>
    <w:rsid w:val="157C0A97"/>
    <w:rsid w:val="15842905"/>
    <w:rsid w:val="158A5A42"/>
    <w:rsid w:val="158B147D"/>
    <w:rsid w:val="158B1912"/>
    <w:rsid w:val="158F3C06"/>
    <w:rsid w:val="159A3655"/>
    <w:rsid w:val="15A37B93"/>
    <w:rsid w:val="15BF56EC"/>
    <w:rsid w:val="15C20F62"/>
    <w:rsid w:val="15DB63A7"/>
    <w:rsid w:val="15DF5D8E"/>
    <w:rsid w:val="15E61529"/>
    <w:rsid w:val="15E63B99"/>
    <w:rsid w:val="1603681E"/>
    <w:rsid w:val="160E2631"/>
    <w:rsid w:val="161B639F"/>
    <w:rsid w:val="161E0D86"/>
    <w:rsid w:val="16367C42"/>
    <w:rsid w:val="163B09C1"/>
    <w:rsid w:val="16696283"/>
    <w:rsid w:val="16707910"/>
    <w:rsid w:val="167A721E"/>
    <w:rsid w:val="16913720"/>
    <w:rsid w:val="16993132"/>
    <w:rsid w:val="169F20F0"/>
    <w:rsid w:val="16A81B55"/>
    <w:rsid w:val="16A8357F"/>
    <w:rsid w:val="16AF095C"/>
    <w:rsid w:val="16AF0CC7"/>
    <w:rsid w:val="16CD0D19"/>
    <w:rsid w:val="16CD3E38"/>
    <w:rsid w:val="16DC407B"/>
    <w:rsid w:val="16DD3E67"/>
    <w:rsid w:val="16E178E4"/>
    <w:rsid w:val="16E30EF5"/>
    <w:rsid w:val="16F70437"/>
    <w:rsid w:val="16FA2ADC"/>
    <w:rsid w:val="16FC2072"/>
    <w:rsid w:val="16FD0F5C"/>
    <w:rsid w:val="172305BE"/>
    <w:rsid w:val="174E2EB7"/>
    <w:rsid w:val="17650515"/>
    <w:rsid w:val="176B75F2"/>
    <w:rsid w:val="176F104E"/>
    <w:rsid w:val="177507CA"/>
    <w:rsid w:val="1778161B"/>
    <w:rsid w:val="177D7536"/>
    <w:rsid w:val="178957C0"/>
    <w:rsid w:val="179D32BF"/>
    <w:rsid w:val="17A074B3"/>
    <w:rsid w:val="17A86FB9"/>
    <w:rsid w:val="17B46C9D"/>
    <w:rsid w:val="17B678A0"/>
    <w:rsid w:val="17B70C64"/>
    <w:rsid w:val="17BB6EEA"/>
    <w:rsid w:val="17C676E8"/>
    <w:rsid w:val="17C81C85"/>
    <w:rsid w:val="17D62C90"/>
    <w:rsid w:val="17D724E0"/>
    <w:rsid w:val="17D808C5"/>
    <w:rsid w:val="17D840D7"/>
    <w:rsid w:val="17E547A3"/>
    <w:rsid w:val="17F3464E"/>
    <w:rsid w:val="17F41529"/>
    <w:rsid w:val="17FF1FAC"/>
    <w:rsid w:val="18026A1B"/>
    <w:rsid w:val="180E4A7A"/>
    <w:rsid w:val="1827199C"/>
    <w:rsid w:val="18345257"/>
    <w:rsid w:val="18416A46"/>
    <w:rsid w:val="185C4733"/>
    <w:rsid w:val="185F6026"/>
    <w:rsid w:val="18633981"/>
    <w:rsid w:val="187F4775"/>
    <w:rsid w:val="188A7C3C"/>
    <w:rsid w:val="18914C4B"/>
    <w:rsid w:val="18934C0E"/>
    <w:rsid w:val="189A5F9C"/>
    <w:rsid w:val="189F7AC9"/>
    <w:rsid w:val="18A96532"/>
    <w:rsid w:val="18B42C61"/>
    <w:rsid w:val="18B828C6"/>
    <w:rsid w:val="18C50FDE"/>
    <w:rsid w:val="18CD49B0"/>
    <w:rsid w:val="18CE4DBC"/>
    <w:rsid w:val="18D07AA1"/>
    <w:rsid w:val="18D50D8E"/>
    <w:rsid w:val="18E216F1"/>
    <w:rsid w:val="18ED6D19"/>
    <w:rsid w:val="18FD7227"/>
    <w:rsid w:val="190B4A31"/>
    <w:rsid w:val="19135D94"/>
    <w:rsid w:val="192C39C2"/>
    <w:rsid w:val="192E7CCB"/>
    <w:rsid w:val="19324427"/>
    <w:rsid w:val="19386FF0"/>
    <w:rsid w:val="193D19B1"/>
    <w:rsid w:val="194674E2"/>
    <w:rsid w:val="194A6741"/>
    <w:rsid w:val="194B2176"/>
    <w:rsid w:val="19522951"/>
    <w:rsid w:val="197762DD"/>
    <w:rsid w:val="19776673"/>
    <w:rsid w:val="198364BE"/>
    <w:rsid w:val="198E2E15"/>
    <w:rsid w:val="199364A5"/>
    <w:rsid w:val="19A47C8B"/>
    <w:rsid w:val="19A90B8D"/>
    <w:rsid w:val="19AF6C2D"/>
    <w:rsid w:val="19B474AD"/>
    <w:rsid w:val="19C10CE6"/>
    <w:rsid w:val="19C239FC"/>
    <w:rsid w:val="19F623F7"/>
    <w:rsid w:val="19FA779B"/>
    <w:rsid w:val="1A04744B"/>
    <w:rsid w:val="1A0A60E9"/>
    <w:rsid w:val="1A147FD0"/>
    <w:rsid w:val="1A201E77"/>
    <w:rsid w:val="1A3105DC"/>
    <w:rsid w:val="1A5756B2"/>
    <w:rsid w:val="1A575E48"/>
    <w:rsid w:val="1A5F3D37"/>
    <w:rsid w:val="1A703458"/>
    <w:rsid w:val="1A7E085D"/>
    <w:rsid w:val="1A8F30A6"/>
    <w:rsid w:val="1AA40AA4"/>
    <w:rsid w:val="1AAF2A75"/>
    <w:rsid w:val="1AC22029"/>
    <w:rsid w:val="1AFF671E"/>
    <w:rsid w:val="1B09251C"/>
    <w:rsid w:val="1B1A295C"/>
    <w:rsid w:val="1B365E16"/>
    <w:rsid w:val="1B3D4F7E"/>
    <w:rsid w:val="1B4D5548"/>
    <w:rsid w:val="1B4E4C23"/>
    <w:rsid w:val="1B606908"/>
    <w:rsid w:val="1B64563C"/>
    <w:rsid w:val="1B661988"/>
    <w:rsid w:val="1B701236"/>
    <w:rsid w:val="1B813443"/>
    <w:rsid w:val="1B8151F1"/>
    <w:rsid w:val="1B8A357F"/>
    <w:rsid w:val="1B95115E"/>
    <w:rsid w:val="1B99354D"/>
    <w:rsid w:val="1B9B27E8"/>
    <w:rsid w:val="1BB7531E"/>
    <w:rsid w:val="1BCD21D4"/>
    <w:rsid w:val="1BD55FBC"/>
    <w:rsid w:val="1BDA7737"/>
    <w:rsid w:val="1BDE2F56"/>
    <w:rsid w:val="1C085913"/>
    <w:rsid w:val="1C0B4F5D"/>
    <w:rsid w:val="1C1D13BE"/>
    <w:rsid w:val="1C264726"/>
    <w:rsid w:val="1C3D4BA5"/>
    <w:rsid w:val="1C42661B"/>
    <w:rsid w:val="1C440A81"/>
    <w:rsid w:val="1C460A4A"/>
    <w:rsid w:val="1C4E419D"/>
    <w:rsid w:val="1C513E1D"/>
    <w:rsid w:val="1C556DAA"/>
    <w:rsid w:val="1C593783"/>
    <w:rsid w:val="1C6A3ED7"/>
    <w:rsid w:val="1C6D1F48"/>
    <w:rsid w:val="1CAF0084"/>
    <w:rsid w:val="1CB13480"/>
    <w:rsid w:val="1CB52DC3"/>
    <w:rsid w:val="1CB54605"/>
    <w:rsid w:val="1CB77861"/>
    <w:rsid w:val="1CCA3F5F"/>
    <w:rsid w:val="1CD2721A"/>
    <w:rsid w:val="1D266FB6"/>
    <w:rsid w:val="1D333581"/>
    <w:rsid w:val="1D4C5C35"/>
    <w:rsid w:val="1D503CCE"/>
    <w:rsid w:val="1D5746BD"/>
    <w:rsid w:val="1D5E1C8E"/>
    <w:rsid w:val="1D5E2129"/>
    <w:rsid w:val="1D717AA2"/>
    <w:rsid w:val="1D72653D"/>
    <w:rsid w:val="1D8F62F3"/>
    <w:rsid w:val="1D911EEE"/>
    <w:rsid w:val="1DA31770"/>
    <w:rsid w:val="1DA86E9A"/>
    <w:rsid w:val="1DB96EC4"/>
    <w:rsid w:val="1DBD2FB4"/>
    <w:rsid w:val="1DC04A8F"/>
    <w:rsid w:val="1DDC049F"/>
    <w:rsid w:val="1E0821D6"/>
    <w:rsid w:val="1E0A1727"/>
    <w:rsid w:val="1E0C0164"/>
    <w:rsid w:val="1E193E07"/>
    <w:rsid w:val="1E1C1FB6"/>
    <w:rsid w:val="1E1D5A5B"/>
    <w:rsid w:val="1E347D99"/>
    <w:rsid w:val="1E3B4446"/>
    <w:rsid w:val="1E47464E"/>
    <w:rsid w:val="1E5C1B65"/>
    <w:rsid w:val="1E5D3CF4"/>
    <w:rsid w:val="1E7E58EA"/>
    <w:rsid w:val="1E8578BB"/>
    <w:rsid w:val="1E873E8D"/>
    <w:rsid w:val="1E8F0475"/>
    <w:rsid w:val="1E92219E"/>
    <w:rsid w:val="1E9846F5"/>
    <w:rsid w:val="1E9A18CE"/>
    <w:rsid w:val="1E9E4A13"/>
    <w:rsid w:val="1EA14120"/>
    <w:rsid w:val="1EA27958"/>
    <w:rsid w:val="1EA350E7"/>
    <w:rsid w:val="1EB321F6"/>
    <w:rsid w:val="1EB65EE0"/>
    <w:rsid w:val="1EBB1AD7"/>
    <w:rsid w:val="1EC009FF"/>
    <w:rsid w:val="1EC21DA9"/>
    <w:rsid w:val="1ECF73E0"/>
    <w:rsid w:val="1ED03F93"/>
    <w:rsid w:val="1EEE7443"/>
    <w:rsid w:val="1EF82A21"/>
    <w:rsid w:val="1F0965DD"/>
    <w:rsid w:val="1F0F1AD6"/>
    <w:rsid w:val="1F231026"/>
    <w:rsid w:val="1F32229F"/>
    <w:rsid w:val="1F374545"/>
    <w:rsid w:val="1F3A3F88"/>
    <w:rsid w:val="1F4F48B2"/>
    <w:rsid w:val="1F525966"/>
    <w:rsid w:val="1F535444"/>
    <w:rsid w:val="1F59095F"/>
    <w:rsid w:val="1F722353"/>
    <w:rsid w:val="1F7532BF"/>
    <w:rsid w:val="1F9101D8"/>
    <w:rsid w:val="1F9131B2"/>
    <w:rsid w:val="1F92203A"/>
    <w:rsid w:val="1FA31BDA"/>
    <w:rsid w:val="1FAB2560"/>
    <w:rsid w:val="1FBD17B6"/>
    <w:rsid w:val="1FCF03BF"/>
    <w:rsid w:val="1FE676F1"/>
    <w:rsid w:val="200776CC"/>
    <w:rsid w:val="200E71EB"/>
    <w:rsid w:val="200F0416"/>
    <w:rsid w:val="20133C7D"/>
    <w:rsid w:val="20383FC2"/>
    <w:rsid w:val="203A6A0B"/>
    <w:rsid w:val="203A6BC1"/>
    <w:rsid w:val="203E2FC5"/>
    <w:rsid w:val="2041079C"/>
    <w:rsid w:val="20527FD6"/>
    <w:rsid w:val="206431AD"/>
    <w:rsid w:val="206629C3"/>
    <w:rsid w:val="20686931"/>
    <w:rsid w:val="206A5C96"/>
    <w:rsid w:val="207B66B3"/>
    <w:rsid w:val="20873AF6"/>
    <w:rsid w:val="208D3101"/>
    <w:rsid w:val="208E288A"/>
    <w:rsid w:val="20A6645D"/>
    <w:rsid w:val="20AC520B"/>
    <w:rsid w:val="20B35EED"/>
    <w:rsid w:val="20BF3821"/>
    <w:rsid w:val="20C444FE"/>
    <w:rsid w:val="20C56D36"/>
    <w:rsid w:val="20DE4F6A"/>
    <w:rsid w:val="20EF3933"/>
    <w:rsid w:val="210163ED"/>
    <w:rsid w:val="211B0BF1"/>
    <w:rsid w:val="213C1752"/>
    <w:rsid w:val="215D5AE0"/>
    <w:rsid w:val="2178141F"/>
    <w:rsid w:val="21825DB6"/>
    <w:rsid w:val="21B52AC9"/>
    <w:rsid w:val="21BA464B"/>
    <w:rsid w:val="21C276C6"/>
    <w:rsid w:val="21C978F2"/>
    <w:rsid w:val="21F77FBB"/>
    <w:rsid w:val="22253382"/>
    <w:rsid w:val="22277688"/>
    <w:rsid w:val="223341F6"/>
    <w:rsid w:val="22364494"/>
    <w:rsid w:val="22396190"/>
    <w:rsid w:val="223E208E"/>
    <w:rsid w:val="2245098C"/>
    <w:rsid w:val="225418B2"/>
    <w:rsid w:val="22573150"/>
    <w:rsid w:val="22682C67"/>
    <w:rsid w:val="228326E5"/>
    <w:rsid w:val="229032BD"/>
    <w:rsid w:val="22BA5BB9"/>
    <w:rsid w:val="22C77E41"/>
    <w:rsid w:val="22CB7D75"/>
    <w:rsid w:val="22CE3412"/>
    <w:rsid w:val="22CE5939"/>
    <w:rsid w:val="22D64075"/>
    <w:rsid w:val="22D77C62"/>
    <w:rsid w:val="22E07BE3"/>
    <w:rsid w:val="22ED7C37"/>
    <w:rsid w:val="22FA3B3A"/>
    <w:rsid w:val="23197E99"/>
    <w:rsid w:val="232D7A92"/>
    <w:rsid w:val="232F6802"/>
    <w:rsid w:val="234822FE"/>
    <w:rsid w:val="234F5BD5"/>
    <w:rsid w:val="235D48BA"/>
    <w:rsid w:val="23633EA5"/>
    <w:rsid w:val="23694EE9"/>
    <w:rsid w:val="23723779"/>
    <w:rsid w:val="239B457D"/>
    <w:rsid w:val="239C1B14"/>
    <w:rsid w:val="23C94C24"/>
    <w:rsid w:val="23CB23F8"/>
    <w:rsid w:val="23D33350"/>
    <w:rsid w:val="23E74961"/>
    <w:rsid w:val="23EB15F1"/>
    <w:rsid w:val="23FA0066"/>
    <w:rsid w:val="240739F0"/>
    <w:rsid w:val="24084702"/>
    <w:rsid w:val="24093735"/>
    <w:rsid w:val="240B1EF1"/>
    <w:rsid w:val="24100849"/>
    <w:rsid w:val="2410601E"/>
    <w:rsid w:val="24127BF4"/>
    <w:rsid w:val="241A78AE"/>
    <w:rsid w:val="242279F0"/>
    <w:rsid w:val="24273BF0"/>
    <w:rsid w:val="24316771"/>
    <w:rsid w:val="2439627A"/>
    <w:rsid w:val="243F2ABD"/>
    <w:rsid w:val="24435A98"/>
    <w:rsid w:val="244B36AA"/>
    <w:rsid w:val="245E7685"/>
    <w:rsid w:val="2479794F"/>
    <w:rsid w:val="248C5097"/>
    <w:rsid w:val="24CB63F2"/>
    <w:rsid w:val="24D4278F"/>
    <w:rsid w:val="24F25D15"/>
    <w:rsid w:val="24F92CA5"/>
    <w:rsid w:val="250F1AC0"/>
    <w:rsid w:val="2513598F"/>
    <w:rsid w:val="2514417A"/>
    <w:rsid w:val="254F2B8B"/>
    <w:rsid w:val="255D5054"/>
    <w:rsid w:val="2582676A"/>
    <w:rsid w:val="258411B1"/>
    <w:rsid w:val="25864F36"/>
    <w:rsid w:val="25867ED0"/>
    <w:rsid w:val="258D1A39"/>
    <w:rsid w:val="258F3981"/>
    <w:rsid w:val="259D70CC"/>
    <w:rsid w:val="25AB2D7A"/>
    <w:rsid w:val="25B119B2"/>
    <w:rsid w:val="25B610A5"/>
    <w:rsid w:val="25D6316E"/>
    <w:rsid w:val="25D77F7D"/>
    <w:rsid w:val="25D9601A"/>
    <w:rsid w:val="25DF1492"/>
    <w:rsid w:val="25F56AF2"/>
    <w:rsid w:val="25F6410F"/>
    <w:rsid w:val="26175410"/>
    <w:rsid w:val="26414336"/>
    <w:rsid w:val="2644546E"/>
    <w:rsid w:val="264C6631"/>
    <w:rsid w:val="264D48C4"/>
    <w:rsid w:val="265A320F"/>
    <w:rsid w:val="265F24C5"/>
    <w:rsid w:val="26684F39"/>
    <w:rsid w:val="266877EA"/>
    <w:rsid w:val="26692B11"/>
    <w:rsid w:val="26694CB8"/>
    <w:rsid w:val="26776A60"/>
    <w:rsid w:val="269404CF"/>
    <w:rsid w:val="26AA2816"/>
    <w:rsid w:val="26AD060A"/>
    <w:rsid w:val="26AE1EE7"/>
    <w:rsid w:val="26B71CCE"/>
    <w:rsid w:val="26BF6625"/>
    <w:rsid w:val="26C3386D"/>
    <w:rsid w:val="270F7B55"/>
    <w:rsid w:val="271F0DEE"/>
    <w:rsid w:val="272A6282"/>
    <w:rsid w:val="27327868"/>
    <w:rsid w:val="273743F1"/>
    <w:rsid w:val="27436F47"/>
    <w:rsid w:val="27853E03"/>
    <w:rsid w:val="279318B5"/>
    <w:rsid w:val="27987D44"/>
    <w:rsid w:val="27B0758A"/>
    <w:rsid w:val="27B83025"/>
    <w:rsid w:val="27D76E3B"/>
    <w:rsid w:val="27E9565C"/>
    <w:rsid w:val="2804281E"/>
    <w:rsid w:val="281053F9"/>
    <w:rsid w:val="281A7C8A"/>
    <w:rsid w:val="281E2746"/>
    <w:rsid w:val="2825407B"/>
    <w:rsid w:val="283616EF"/>
    <w:rsid w:val="2843765A"/>
    <w:rsid w:val="284F029B"/>
    <w:rsid w:val="28527A75"/>
    <w:rsid w:val="28625728"/>
    <w:rsid w:val="286957F3"/>
    <w:rsid w:val="2870432E"/>
    <w:rsid w:val="287614C8"/>
    <w:rsid w:val="288240FF"/>
    <w:rsid w:val="288A444A"/>
    <w:rsid w:val="289131B4"/>
    <w:rsid w:val="289152B0"/>
    <w:rsid w:val="289A4CFE"/>
    <w:rsid w:val="28AD5571"/>
    <w:rsid w:val="28C4406E"/>
    <w:rsid w:val="28C71CB3"/>
    <w:rsid w:val="28D0450C"/>
    <w:rsid w:val="28D82873"/>
    <w:rsid w:val="28DC762E"/>
    <w:rsid w:val="28ED3DDB"/>
    <w:rsid w:val="2903193C"/>
    <w:rsid w:val="29184E96"/>
    <w:rsid w:val="29197B2F"/>
    <w:rsid w:val="292728BE"/>
    <w:rsid w:val="29427A49"/>
    <w:rsid w:val="294C32E2"/>
    <w:rsid w:val="29584B90"/>
    <w:rsid w:val="29591D3F"/>
    <w:rsid w:val="29666D5B"/>
    <w:rsid w:val="296C2D89"/>
    <w:rsid w:val="297474BC"/>
    <w:rsid w:val="297D7484"/>
    <w:rsid w:val="298725EB"/>
    <w:rsid w:val="29930FB3"/>
    <w:rsid w:val="29A94BD5"/>
    <w:rsid w:val="29AC3E33"/>
    <w:rsid w:val="29AD443F"/>
    <w:rsid w:val="29AE042A"/>
    <w:rsid w:val="29B449E4"/>
    <w:rsid w:val="29B7714B"/>
    <w:rsid w:val="29D9384A"/>
    <w:rsid w:val="29EB0205"/>
    <w:rsid w:val="29F24C38"/>
    <w:rsid w:val="2A0F40B8"/>
    <w:rsid w:val="2A2C4EF9"/>
    <w:rsid w:val="2A38783A"/>
    <w:rsid w:val="2A4346E5"/>
    <w:rsid w:val="2A484217"/>
    <w:rsid w:val="2A487AE0"/>
    <w:rsid w:val="2A5266D7"/>
    <w:rsid w:val="2A5D7228"/>
    <w:rsid w:val="2A6A756B"/>
    <w:rsid w:val="2A783C63"/>
    <w:rsid w:val="2A7F09BF"/>
    <w:rsid w:val="2A8D1AFD"/>
    <w:rsid w:val="2A8D770F"/>
    <w:rsid w:val="2A8E5D9E"/>
    <w:rsid w:val="2A8F08CE"/>
    <w:rsid w:val="2A95481D"/>
    <w:rsid w:val="2AA40306"/>
    <w:rsid w:val="2AA7405D"/>
    <w:rsid w:val="2AAD433F"/>
    <w:rsid w:val="2AB1079F"/>
    <w:rsid w:val="2AB97C95"/>
    <w:rsid w:val="2AC168A6"/>
    <w:rsid w:val="2AD74711"/>
    <w:rsid w:val="2B0112D9"/>
    <w:rsid w:val="2B020125"/>
    <w:rsid w:val="2B172C77"/>
    <w:rsid w:val="2B1A4D1A"/>
    <w:rsid w:val="2B1F6C7A"/>
    <w:rsid w:val="2B2007AA"/>
    <w:rsid w:val="2B2C043E"/>
    <w:rsid w:val="2B2C0713"/>
    <w:rsid w:val="2B2D2106"/>
    <w:rsid w:val="2B354638"/>
    <w:rsid w:val="2B412655"/>
    <w:rsid w:val="2B4324C3"/>
    <w:rsid w:val="2B520016"/>
    <w:rsid w:val="2B527B8B"/>
    <w:rsid w:val="2B5E2D68"/>
    <w:rsid w:val="2B5E540C"/>
    <w:rsid w:val="2B816300"/>
    <w:rsid w:val="2B8D7CD1"/>
    <w:rsid w:val="2B954300"/>
    <w:rsid w:val="2B9E3BC0"/>
    <w:rsid w:val="2BA22264"/>
    <w:rsid w:val="2BA54F2C"/>
    <w:rsid w:val="2BDE46D5"/>
    <w:rsid w:val="2BF37A45"/>
    <w:rsid w:val="2C0167A4"/>
    <w:rsid w:val="2C1125C1"/>
    <w:rsid w:val="2C17662C"/>
    <w:rsid w:val="2C1B5448"/>
    <w:rsid w:val="2C1B6A0E"/>
    <w:rsid w:val="2C2D5CF7"/>
    <w:rsid w:val="2C380015"/>
    <w:rsid w:val="2C3A7FF8"/>
    <w:rsid w:val="2C7645CC"/>
    <w:rsid w:val="2C7B08B7"/>
    <w:rsid w:val="2C7F39CF"/>
    <w:rsid w:val="2C816B0B"/>
    <w:rsid w:val="2C831310"/>
    <w:rsid w:val="2C882884"/>
    <w:rsid w:val="2C8C0524"/>
    <w:rsid w:val="2C8F5C76"/>
    <w:rsid w:val="2C941296"/>
    <w:rsid w:val="2CAD4098"/>
    <w:rsid w:val="2CBE5EC5"/>
    <w:rsid w:val="2CCE400E"/>
    <w:rsid w:val="2CE8602F"/>
    <w:rsid w:val="2CEF5652"/>
    <w:rsid w:val="2CF62334"/>
    <w:rsid w:val="2D1625B0"/>
    <w:rsid w:val="2D1F60E8"/>
    <w:rsid w:val="2D211F8B"/>
    <w:rsid w:val="2D344D56"/>
    <w:rsid w:val="2D38511E"/>
    <w:rsid w:val="2D406ABC"/>
    <w:rsid w:val="2D463D53"/>
    <w:rsid w:val="2D616C31"/>
    <w:rsid w:val="2D701C7C"/>
    <w:rsid w:val="2D726570"/>
    <w:rsid w:val="2D7C34BE"/>
    <w:rsid w:val="2D86478F"/>
    <w:rsid w:val="2D88252C"/>
    <w:rsid w:val="2D91742F"/>
    <w:rsid w:val="2D977CB0"/>
    <w:rsid w:val="2D9C5E16"/>
    <w:rsid w:val="2DB84824"/>
    <w:rsid w:val="2DD20CA5"/>
    <w:rsid w:val="2DDA5D44"/>
    <w:rsid w:val="2DEC072C"/>
    <w:rsid w:val="2DEE172B"/>
    <w:rsid w:val="2DF027EB"/>
    <w:rsid w:val="2DF113C2"/>
    <w:rsid w:val="2DF13D0E"/>
    <w:rsid w:val="2DF66D0E"/>
    <w:rsid w:val="2E074D66"/>
    <w:rsid w:val="2E0B53B7"/>
    <w:rsid w:val="2E126813"/>
    <w:rsid w:val="2E142DEE"/>
    <w:rsid w:val="2E387FCA"/>
    <w:rsid w:val="2E394D13"/>
    <w:rsid w:val="2E3F4299"/>
    <w:rsid w:val="2E5442E3"/>
    <w:rsid w:val="2E7C5476"/>
    <w:rsid w:val="2E7F34D1"/>
    <w:rsid w:val="2E817C6D"/>
    <w:rsid w:val="2E886FF6"/>
    <w:rsid w:val="2E8B0409"/>
    <w:rsid w:val="2E9F50E9"/>
    <w:rsid w:val="2EA40181"/>
    <w:rsid w:val="2EA67EEA"/>
    <w:rsid w:val="2EA77975"/>
    <w:rsid w:val="2EAD2A8F"/>
    <w:rsid w:val="2EBF00B3"/>
    <w:rsid w:val="2EC23538"/>
    <w:rsid w:val="2ECE479A"/>
    <w:rsid w:val="2EE04C18"/>
    <w:rsid w:val="2EEC3775"/>
    <w:rsid w:val="2EFC4014"/>
    <w:rsid w:val="2F125CDF"/>
    <w:rsid w:val="2F2A5BE7"/>
    <w:rsid w:val="2F2C0CD3"/>
    <w:rsid w:val="2F2D3A72"/>
    <w:rsid w:val="2F3565C7"/>
    <w:rsid w:val="2F372D57"/>
    <w:rsid w:val="2F3A4412"/>
    <w:rsid w:val="2F3D7429"/>
    <w:rsid w:val="2F494525"/>
    <w:rsid w:val="2F4A14FC"/>
    <w:rsid w:val="2F4E083A"/>
    <w:rsid w:val="2F523172"/>
    <w:rsid w:val="2F541FDB"/>
    <w:rsid w:val="2F560882"/>
    <w:rsid w:val="2F656C17"/>
    <w:rsid w:val="2F787408"/>
    <w:rsid w:val="2F7933EA"/>
    <w:rsid w:val="2F8D29E4"/>
    <w:rsid w:val="2F92040F"/>
    <w:rsid w:val="2F95018C"/>
    <w:rsid w:val="2F9B4F5A"/>
    <w:rsid w:val="2FA8548D"/>
    <w:rsid w:val="2FBA1FB1"/>
    <w:rsid w:val="2FC260AC"/>
    <w:rsid w:val="2FC85FE8"/>
    <w:rsid w:val="30004E27"/>
    <w:rsid w:val="300A495A"/>
    <w:rsid w:val="301046AC"/>
    <w:rsid w:val="302C05D9"/>
    <w:rsid w:val="303139E4"/>
    <w:rsid w:val="304A34E0"/>
    <w:rsid w:val="304C4CF6"/>
    <w:rsid w:val="305129F5"/>
    <w:rsid w:val="30572418"/>
    <w:rsid w:val="305A1716"/>
    <w:rsid w:val="307F5119"/>
    <w:rsid w:val="30A26718"/>
    <w:rsid w:val="30A77D27"/>
    <w:rsid w:val="30D02294"/>
    <w:rsid w:val="30DD17BF"/>
    <w:rsid w:val="30E12562"/>
    <w:rsid w:val="30E3443D"/>
    <w:rsid w:val="30EB372D"/>
    <w:rsid w:val="30EB518F"/>
    <w:rsid w:val="30F037CF"/>
    <w:rsid w:val="30FD5825"/>
    <w:rsid w:val="311204F9"/>
    <w:rsid w:val="311A02DC"/>
    <w:rsid w:val="311D195B"/>
    <w:rsid w:val="31254AB9"/>
    <w:rsid w:val="31257C11"/>
    <w:rsid w:val="313134D3"/>
    <w:rsid w:val="31443412"/>
    <w:rsid w:val="3145293B"/>
    <w:rsid w:val="31651FBB"/>
    <w:rsid w:val="317A1BAC"/>
    <w:rsid w:val="317B5F68"/>
    <w:rsid w:val="318269AD"/>
    <w:rsid w:val="318550B6"/>
    <w:rsid w:val="31874179"/>
    <w:rsid w:val="31896E18"/>
    <w:rsid w:val="31A32E5F"/>
    <w:rsid w:val="31B859B9"/>
    <w:rsid w:val="31C71704"/>
    <w:rsid w:val="31C942AB"/>
    <w:rsid w:val="31CA78F3"/>
    <w:rsid w:val="31CE074C"/>
    <w:rsid w:val="31E00D3E"/>
    <w:rsid w:val="31E75CF0"/>
    <w:rsid w:val="31FF2950"/>
    <w:rsid w:val="3201033B"/>
    <w:rsid w:val="32022CFB"/>
    <w:rsid w:val="32037F94"/>
    <w:rsid w:val="320769C1"/>
    <w:rsid w:val="32093404"/>
    <w:rsid w:val="320D7387"/>
    <w:rsid w:val="321D4746"/>
    <w:rsid w:val="321F5090"/>
    <w:rsid w:val="32246437"/>
    <w:rsid w:val="322F44D8"/>
    <w:rsid w:val="32313075"/>
    <w:rsid w:val="32532990"/>
    <w:rsid w:val="325A2A82"/>
    <w:rsid w:val="325C0C4B"/>
    <w:rsid w:val="32764F2C"/>
    <w:rsid w:val="327C5A7B"/>
    <w:rsid w:val="328238D1"/>
    <w:rsid w:val="328A09D8"/>
    <w:rsid w:val="328B66B3"/>
    <w:rsid w:val="32993FBD"/>
    <w:rsid w:val="32C219E5"/>
    <w:rsid w:val="32CD46FA"/>
    <w:rsid w:val="32E12CEE"/>
    <w:rsid w:val="32EE73AD"/>
    <w:rsid w:val="32FA32E6"/>
    <w:rsid w:val="32FB1250"/>
    <w:rsid w:val="33022C64"/>
    <w:rsid w:val="330A262A"/>
    <w:rsid w:val="330B4559"/>
    <w:rsid w:val="33410365"/>
    <w:rsid w:val="334314D7"/>
    <w:rsid w:val="334F654D"/>
    <w:rsid w:val="33604C72"/>
    <w:rsid w:val="33632D7C"/>
    <w:rsid w:val="336631F3"/>
    <w:rsid w:val="33773E94"/>
    <w:rsid w:val="337C33E4"/>
    <w:rsid w:val="33865643"/>
    <w:rsid w:val="338C30F1"/>
    <w:rsid w:val="33AC1339"/>
    <w:rsid w:val="33B7197E"/>
    <w:rsid w:val="33BB0DF2"/>
    <w:rsid w:val="33CF1164"/>
    <w:rsid w:val="33D377F4"/>
    <w:rsid w:val="33F10FE7"/>
    <w:rsid w:val="33F20028"/>
    <w:rsid w:val="340159EB"/>
    <w:rsid w:val="340771EC"/>
    <w:rsid w:val="340F5638"/>
    <w:rsid w:val="34360E17"/>
    <w:rsid w:val="34581C7A"/>
    <w:rsid w:val="345B262C"/>
    <w:rsid w:val="3468176E"/>
    <w:rsid w:val="34694A73"/>
    <w:rsid w:val="346B6F71"/>
    <w:rsid w:val="3478581C"/>
    <w:rsid w:val="349146B9"/>
    <w:rsid w:val="34973916"/>
    <w:rsid w:val="34AD17B8"/>
    <w:rsid w:val="34B05C48"/>
    <w:rsid w:val="34B468E5"/>
    <w:rsid w:val="34B87A7E"/>
    <w:rsid w:val="34C07321"/>
    <w:rsid w:val="34C26EA0"/>
    <w:rsid w:val="34CC4150"/>
    <w:rsid w:val="34D843EB"/>
    <w:rsid w:val="34DB4489"/>
    <w:rsid w:val="34E05800"/>
    <w:rsid w:val="350D601C"/>
    <w:rsid w:val="352F3309"/>
    <w:rsid w:val="35325A82"/>
    <w:rsid w:val="353E7630"/>
    <w:rsid w:val="35401C2F"/>
    <w:rsid w:val="355053EA"/>
    <w:rsid w:val="35620B4A"/>
    <w:rsid w:val="3565547E"/>
    <w:rsid w:val="356E37B3"/>
    <w:rsid w:val="35A85A41"/>
    <w:rsid w:val="35B91D00"/>
    <w:rsid w:val="35B92FD6"/>
    <w:rsid w:val="35C27A69"/>
    <w:rsid w:val="35C81F43"/>
    <w:rsid w:val="35D02D55"/>
    <w:rsid w:val="35D3612C"/>
    <w:rsid w:val="35DA0547"/>
    <w:rsid w:val="35EA010B"/>
    <w:rsid w:val="35F25212"/>
    <w:rsid w:val="35F7563C"/>
    <w:rsid w:val="360A03EE"/>
    <w:rsid w:val="361B2B63"/>
    <w:rsid w:val="362938F2"/>
    <w:rsid w:val="362A03A5"/>
    <w:rsid w:val="36355DFA"/>
    <w:rsid w:val="36392E68"/>
    <w:rsid w:val="364A0BAA"/>
    <w:rsid w:val="36674E48"/>
    <w:rsid w:val="366A24C1"/>
    <w:rsid w:val="367C29EA"/>
    <w:rsid w:val="368049F0"/>
    <w:rsid w:val="3686379D"/>
    <w:rsid w:val="368F65D6"/>
    <w:rsid w:val="36983883"/>
    <w:rsid w:val="36A57B46"/>
    <w:rsid w:val="36D14EEB"/>
    <w:rsid w:val="36D31FEB"/>
    <w:rsid w:val="36D5289C"/>
    <w:rsid w:val="36DA7EC6"/>
    <w:rsid w:val="36DF5796"/>
    <w:rsid w:val="36E07C40"/>
    <w:rsid w:val="36EA4B70"/>
    <w:rsid w:val="36EE608B"/>
    <w:rsid w:val="37092C93"/>
    <w:rsid w:val="370A20E7"/>
    <w:rsid w:val="3727713D"/>
    <w:rsid w:val="37411CBC"/>
    <w:rsid w:val="37476E97"/>
    <w:rsid w:val="374C50B7"/>
    <w:rsid w:val="376770E5"/>
    <w:rsid w:val="376E527F"/>
    <w:rsid w:val="37A434CC"/>
    <w:rsid w:val="37A91900"/>
    <w:rsid w:val="37AA1B92"/>
    <w:rsid w:val="37D0796E"/>
    <w:rsid w:val="37EE32C1"/>
    <w:rsid w:val="37F91B66"/>
    <w:rsid w:val="37FD66A0"/>
    <w:rsid w:val="38140290"/>
    <w:rsid w:val="3814146F"/>
    <w:rsid w:val="38290ADB"/>
    <w:rsid w:val="383C378F"/>
    <w:rsid w:val="383E6C98"/>
    <w:rsid w:val="38454CBB"/>
    <w:rsid w:val="38494CA3"/>
    <w:rsid w:val="384B18C4"/>
    <w:rsid w:val="38500654"/>
    <w:rsid w:val="388A771C"/>
    <w:rsid w:val="38935C5F"/>
    <w:rsid w:val="38993074"/>
    <w:rsid w:val="38997BC6"/>
    <w:rsid w:val="38B33B51"/>
    <w:rsid w:val="38B74B11"/>
    <w:rsid w:val="38BF478D"/>
    <w:rsid w:val="38E239E1"/>
    <w:rsid w:val="38EE79F7"/>
    <w:rsid w:val="38FB79F1"/>
    <w:rsid w:val="3914549F"/>
    <w:rsid w:val="391D1B99"/>
    <w:rsid w:val="3922196A"/>
    <w:rsid w:val="392832BA"/>
    <w:rsid w:val="39333B77"/>
    <w:rsid w:val="393E47A5"/>
    <w:rsid w:val="396A4218"/>
    <w:rsid w:val="396F26D5"/>
    <w:rsid w:val="39781A81"/>
    <w:rsid w:val="39840723"/>
    <w:rsid w:val="3985648C"/>
    <w:rsid w:val="39946B51"/>
    <w:rsid w:val="399A0281"/>
    <w:rsid w:val="39A405D1"/>
    <w:rsid w:val="39C40C73"/>
    <w:rsid w:val="39C8704A"/>
    <w:rsid w:val="39CB1624"/>
    <w:rsid w:val="39CC6AFF"/>
    <w:rsid w:val="39CD7129"/>
    <w:rsid w:val="39CF0DA2"/>
    <w:rsid w:val="39CF3215"/>
    <w:rsid w:val="39E47ADD"/>
    <w:rsid w:val="39F7099C"/>
    <w:rsid w:val="3A0D6176"/>
    <w:rsid w:val="3A1741D7"/>
    <w:rsid w:val="3A18424E"/>
    <w:rsid w:val="3A1F310B"/>
    <w:rsid w:val="3A2760E4"/>
    <w:rsid w:val="3A2A3123"/>
    <w:rsid w:val="3A2F750C"/>
    <w:rsid w:val="3A327A7E"/>
    <w:rsid w:val="3A362498"/>
    <w:rsid w:val="3A3D6ACB"/>
    <w:rsid w:val="3A683BE2"/>
    <w:rsid w:val="3A6B26F1"/>
    <w:rsid w:val="3A7B3631"/>
    <w:rsid w:val="3A8027DD"/>
    <w:rsid w:val="3A805B11"/>
    <w:rsid w:val="3A810BBB"/>
    <w:rsid w:val="3A8C779E"/>
    <w:rsid w:val="3A9C574C"/>
    <w:rsid w:val="3AA60D05"/>
    <w:rsid w:val="3AA86AE2"/>
    <w:rsid w:val="3ABC03EA"/>
    <w:rsid w:val="3ABE7713"/>
    <w:rsid w:val="3AC70A1B"/>
    <w:rsid w:val="3AD11AB3"/>
    <w:rsid w:val="3ADF64BD"/>
    <w:rsid w:val="3AE44579"/>
    <w:rsid w:val="3AED34FB"/>
    <w:rsid w:val="3AF1337E"/>
    <w:rsid w:val="3AF31810"/>
    <w:rsid w:val="3AFD5CEA"/>
    <w:rsid w:val="3B0B71E7"/>
    <w:rsid w:val="3B201FB2"/>
    <w:rsid w:val="3B4413D5"/>
    <w:rsid w:val="3B4A68F8"/>
    <w:rsid w:val="3B4F3814"/>
    <w:rsid w:val="3B5322AF"/>
    <w:rsid w:val="3B590826"/>
    <w:rsid w:val="3B5D137F"/>
    <w:rsid w:val="3B614DA3"/>
    <w:rsid w:val="3B631E57"/>
    <w:rsid w:val="3B657F1A"/>
    <w:rsid w:val="3B7F53CB"/>
    <w:rsid w:val="3B8310F3"/>
    <w:rsid w:val="3B9B39CD"/>
    <w:rsid w:val="3BA041DC"/>
    <w:rsid w:val="3BA14F3D"/>
    <w:rsid w:val="3BA614BF"/>
    <w:rsid w:val="3BA72258"/>
    <w:rsid w:val="3BB93335"/>
    <w:rsid w:val="3BBD0104"/>
    <w:rsid w:val="3BD42E4E"/>
    <w:rsid w:val="3BDB324F"/>
    <w:rsid w:val="3BDD30CB"/>
    <w:rsid w:val="3BDF28AE"/>
    <w:rsid w:val="3BE4790C"/>
    <w:rsid w:val="3BEB54A3"/>
    <w:rsid w:val="3BFC07A0"/>
    <w:rsid w:val="3C07622C"/>
    <w:rsid w:val="3C1B10AA"/>
    <w:rsid w:val="3C3F087D"/>
    <w:rsid w:val="3C430575"/>
    <w:rsid w:val="3C4908DC"/>
    <w:rsid w:val="3C4F6F1A"/>
    <w:rsid w:val="3C501F41"/>
    <w:rsid w:val="3C5F25AF"/>
    <w:rsid w:val="3C7906D5"/>
    <w:rsid w:val="3C885BC2"/>
    <w:rsid w:val="3C8F4CB2"/>
    <w:rsid w:val="3C964B49"/>
    <w:rsid w:val="3CA3164A"/>
    <w:rsid w:val="3CB21257"/>
    <w:rsid w:val="3CB70E00"/>
    <w:rsid w:val="3CB86AD7"/>
    <w:rsid w:val="3CB925E5"/>
    <w:rsid w:val="3CBF6A63"/>
    <w:rsid w:val="3CC52D38"/>
    <w:rsid w:val="3CD728B6"/>
    <w:rsid w:val="3CDF1CD3"/>
    <w:rsid w:val="3CE16539"/>
    <w:rsid w:val="3CEB74C1"/>
    <w:rsid w:val="3CF13165"/>
    <w:rsid w:val="3CFE26EE"/>
    <w:rsid w:val="3D046AB6"/>
    <w:rsid w:val="3D080C1E"/>
    <w:rsid w:val="3D0F3928"/>
    <w:rsid w:val="3D3A3646"/>
    <w:rsid w:val="3D3D4FD0"/>
    <w:rsid w:val="3D5141D7"/>
    <w:rsid w:val="3D682C08"/>
    <w:rsid w:val="3D7A3A35"/>
    <w:rsid w:val="3DA2459C"/>
    <w:rsid w:val="3DB01C3A"/>
    <w:rsid w:val="3DC47354"/>
    <w:rsid w:val="3DFE2A9F"/>
    <w:rsid w:val="3E0168AB"/>
    <w:rsid w:val="3E1F46CA"/>
    <w:rsid w:val="3E295A9C"/>
    <w:rsid w:val="3E2D6762"/>
    <w:rsid w:val="3E2E0028"/>
    <w:rsid w:val="3E2F19F2"/>
    <w:rsid w:val="3E39371C"/>
    <w:rsid w:val="3E4F6AEB"/>
    <w:rsid w:val="3E530273"/>
    <w:rsid w:val="3E71476B"/>
    <w:rsid w:val="3E787E6D"/>
    <w:rsid w:val="3E8B1E0D"/>
    <w:rsid w:val="3E8C750D"/>
    <w:rsid w:val="3E8D5526"/>
    <w:rsid w:val="3E950C88"/>
    <w:rsid w:val="3E9E1F10"/>
    <w:rsid w:val="3EA13331"/>
    <w:rsid w:val="3EA358E2"/>
    <w:rsid w:val="3EAB2402"/>
    <w:rsid w:val="3EB839AE"/>
    <w:rsid w:val="3EC965E3"/>
    <w:rsid w:val="3ECB004A"/>
    <w:rsid w:val="3ED50615"/>
    <w:rsid w:val="3ED90883"/>
    <w:rsid w:val="3EDC080D"/>
    <w:rsid w:val="3EE002FD"/>
    <w:rsid w:val="3EE22A20"/>
    <w:rsid w:val="3EF038F1"/>
    <w:rsid w:val="3EF23B8C"/>
    <w:rsid w:val="3EF92169"/>
    <w:rsid w:val="3F053CAA"/>
    <w:rsid w:val="3F147860"/>
    <w:rsid w:val="3F1E2131"/>
    <w:rsid w:val="3F1F1903"/>
    <w:rsid w:val="3F2004D3"/>
    <w:rsid w:val="3F24318A"/>
    <w:rsid w:val="3F277CDA"/>
    <w:rsid w:val="3F2A5A1C"/>
    <w:rsid w:val="3F2A77CA"/>
    <w:rsid w:val="3F2D1834"/>
    <w:rsid w:val="3F352DDD"/>
    <w:rsid w:val="3F410897"/>
    <w:rsid w:val="3F4C500F"/>
    <w:rsid w:val="3F503942"/>
    <w:rsid w:val="3F6F0A1B"/>
    <w:rsid w:val="3F6F1681"/>
    <w:rsid w:val="3F7559D6"/>
    <w:rsid w:val="3F8244E8"/>
    <w:rsid w:val="3F871CA4"/>
    <w:rsid w:val="3F9410E8"/>
    <w:rsid w:val="3FAD7E35"/>
    <w:rsid w:val="3FB33303"/>
    <w:rsid w:val="3FB377C0"/>
    <w:rsid w:val="3FBC11B0"/>
    <w:rsid w:val="3FD04679"/>
    <w:rsid w:val="3FDA36A9"/>
    <w:rsid w:val="3FE87FDB"/>
    <w:rsid w:val="3FEC2CD2"/>
    <w:rsid w:val="3FFB49A4"/>
    <w:rsid w:val="3FFF5BBF"/>
    <w:rsid w:val="40003751"/>
    <w:rsid w:val="40083775"/>
    <w:rsid w:val="40145F54"/>
    <w:rsid w:val="40190196"/>
    <w:rsid w:val="401F09B1"/>
    <w:rsid w:val="402A6942"/>
    <w:rsid w:val="403E2E27"/>
    <w:rsid w:val="40435F5E"/>
    <w:rsid w:val="40514CFE"/>
    <w:rsid w:val="4081341A"/>
    <w:rsid w:val="4082449F"/>
    <w:rsid w:val="409F1AF2"/>
    <w:rsid w:val="40A95E19"/>
    <w:rsid w:val="40AC7F25"/>
    <w:rsid w:val="40B363D3"/>
    <w:rsid w:val="40B6345F"/>
    <w:rsid w:val="40D22FB3"/>
    <w:rsid w:val="40D246E6"/>
    <w:rsid w:val="40D6636F"/>
    <w:rsid w:val="40EE3E7E"/>
    <w:rsid w:val="41022C69"/>
    <w:rsid w:val="412B1F10"/>
    <w:rsid w:val="4146538F"/>
    <w:rsid w:val="414F70AD"/>
    <w:rsid w:val="415A087B"/>
    <w:rsid w:val="415C79E3"/>
    <w:rsid w:val="41662976"/>
    <w:rsid w:val="418622FB"/>
    <w:rsid w:val="41874BF7"/>
    <w:rsid w:val="418F016A"/>
    <w:rsid w:val="41923405"/>
    <w:rsid w:val="41A13D3C"/>
    <w:rsid w:val="41A35612"/>
    <w:rsid w:val="41D818CE"/>
    <w:rsid w:val="41DD4D60"/>
    <w:rsid w:val="41DD55EC"/>
    <w:rsid w:val="41E47B7B"/>
    <w:rsid w:val="41E704CD"/>
    <w:rsid w:val="41F61BE6"/>
    <w:rsid w:val="41FA7928"/>
    <w:rsid w:val="42030C49"/>
    <w:rsid w:val="42085CF3"/>
    <w:rsid w:val="420A1D42"/>
    <w:rsid w:val="42182FD2"/>
    <w:rsid w:val="4220362C"/>
    <w:rsid w:val="42215201"/>
    <w:rsid w:val="423D181F"/>
    <w:rsid w:val="424534CC"/>
    <w:rsid w:val="42494B45"/>
    <w:rsid w:val="424C0FFB"/>
    <w:rsid w:val="42500727"/>
    <w:rsid w:val="42513E3C"/>
    <w:rsid w:val="4255075C"/>
    <w:rsid w:val="425D7100"/>
    <w:rsid w:val="4263744E"/>
    <w:rsid w:val="426B6D38"/>
    <w:rsid w:val="426E3E20"/>
    <w:rsid w:val="42814D0F"/>
    <w:rsid w:val="428A24E6"/>
    <w:rsid w:val="429856D1"/>
    <w:rsid w:val="42B64197"/>
    <w:rsid w:val="42BC3D58"/>
    <w:rsid w:val="42C41CE4"/>
    <w:rsid w:val="42DA1D0D"/>
    <w:rsid w:val="42E0341E"/>
    <w:rsid w:val="42E934F8"/>
    <w:rsid w:val="42F016AC"/>
    <w:rsid w:val="43022B82"/>
    <w:rsid w:val="430E3D19"/>
    <w:rsid w:val="433A4C14"/>
    <w:rsid w:val="433B4453"/>
    <w:rsid w:val="434E0079"/>
    <w:rsid w:val="43664B49"/>
    <w:rsid w:val="436A373C"/>
    <w:rsid w:val="43882D11"/>
    <w:rsid w:val="43900E91"/>
    <w:rsid w:val="439A47AD"/>
    <w:rsid w:val="439C056B"/>
    <w:rsid w:val="43A0005B"/>
    <w:rsid w:val="43A41906"/>
    <w:rsid w:val="43AD362C"/>
    <w:rsid w:val="43CD2999"/>
    <w:rsid w:val="43CE11F8"/>
    <w:rsid w:val="43D94951"/>
    <w:rsid w:val="43E03598"/>
    <w:rsid w:val="43E837B0"/>
    <w:rsid w:val="440D1E1F"/>
    <w:rsid w:val="44182C3B"/>
    <w:rsid w:val="441B2C89"/>
    <w:rsid w:val="442579C1"/>
    <w:rsid w:val="44374BF6"/>
    <w:rsid w:val="443D4E61"/>
    <w:rsid w:val="4447006A"/>
    <w:rsid w:val="44582860"/>
    <w:rsid w:val="447204BA"/>
    <w:rsid w:val="447916A2"/>
    <w:rsid w:val="447C2876"/>
    <w:rsid w:val="447D6A17"/>
    <w:rsid w:val="447F3173"/>
    <w:rsid w:val="449905D9"/>
    <w:rsid w:val="44BF09B5"/>
    <w:rsid w:val="44CD7749"/>
    <w:rsid w:val="44D734C4"/>
    <w:rsid w:val="44DE551A"/>
    <w:rsid w:val="44FC536A"/>
    <w:rsid w:val="45010FCD"/>
    <w:rsid w:val="453B2421"/>
    <w:rsid w:val="454B3FF6"/>
    <w:rsid w:val="455B3CD6"/>
    <w:rsid w:val="45725A27"/>
    <w:rsid w:val="458A3B9B"/>
    <w:rsid w:val="459C4852"/>
    <w:rsid w:val="45B56F76"/>
    <w:rsid w:val="45BD0F5F"/>
    <w:rsid w:val="45E15906"/>
    <w:rsid w:val="45E2495B"/>
    <w:rsid w:val="45E4438B"/>
    <w:rsid w:val="45F40D63"/>
    <w:rsid w:val="45F44786"/>
    <w:rsid w:val="460C7A3F"/>
    <w:rsid w:val="460F14C8"/>
    <w:rsid w:val="46102FD3"/>
    <w:rsid w:val="462D713C"/>
    <w:rsid w:val="46326F64"/>
    <w:rsid w:val="463C09B7"/>
    <w:rsid w:val="46420A17"/>
    <w:rsid w:val="464D778A"/>
    <w:rsid w:val="464F7B16"/>
    <w:rsid w:val="46507129"/>
    <w:rsid w:val="46537A41"/>
    <w:rsid w:val="46654707"/>
    <w:rsid w:val="466778DC"/>
    <w:rsid w:val="467152AF"/>
    <w:rsid w:val="46764DF7"/>
    <w:rsid w:val="467A1037"/>
    <w:rsid w:val="46841F07"/>
    <w:rsid w:val="468661A6"/>
    <w:rsid w:val="4688436F"/>
    <w:rsid w:val="468851D7"/>
    <w:rsid w:val="468A5082"/>
    <w:rsid w:val="46965077"/>
    <w:rsid w:val="46A152B3"/>
    <w:rsid w:val="46A4138A"/>
    <w:rsid w:val="46BE5B83"/>
    <w:rsid w:val="46C47640"/>
    <w:rsid w:val="46D3633A"/>
    <w:rsid w:val="46DF6973"/>
    <w:rsid w:val="46EB7AE7"/>
    <w:rsid w:val="46F56910"/>
    <w:rsid w:val="46FC5E48"/>
    <w:rsid w:val="471A6FC7"/>
    <w:rsid w:val="471D7DA5"/>
    <w:rsid w:val="472158A5"/>
    <w:rsid w:val="4723522B"/>
    <w:rsid w:val="4730335E"/>
    <w:rsid w:val="473465D0"/>
    <w:rsid w:val="474B65C4"/>
    <w:rsid w:val="474C59F4"/>
    <w:rsid w:val="4770238D"/>
    <w:rsid w:val="47792A47"/>
    <w:rsid w:val="47893502"/>
    <w:rsid w:val="47BD1010"/>
    <w:rsid w:val="47C6205A"/>
    <w:rsid w:val="47D97D4C"/>
    <w:rsid w:val="47E652C2"/>
    <w:rsid w:val="47E96D8F"/>
    <w:rsid w:val="47FB6982"/>
    <w:rsid w:val="48015ECB"/>
    <w:rsid w:val="480768FB"/>
    <w:rsid w:val="48077826"/>
    <w:rsid w:val="4812704D"/>
    <w:rsid w:val="481D430D"/>
    <w:rsid w:val="481D44F1"/>
    <w:rsid w:val="481E5F6E"/>
    <w:rsid w:val="483234C5"/>
    <w:rsid w:val="483D1893"/>
    <w:rsid w:val="4847660E"/>
    <w:rsid w:val="484E555F"/>
    <w:rsid w:val="485A123B"/>
    <w:rsid w:val="48687C2F"/>
    <w:rsid w:val="486B6887"/>
    <w:rsid w:val="48754B55"/>
    <w:rsid w:val="487B1097"/>
    <w:rsid w:val="48A57518"/>
    <w:rsid w:val="48AD6B31"/>
    <w:rsid w:val="48B13CBF"/>
    <w:rsid w:val="48BD31A2"/>
    <w:rsid w:val="48DB22FE"/>
    <w:rsid w:val="48DC265F"/>
    <w:rsid w:val="49037E4C"/>
    <w:rsid w:val="49064E04"/>
    <w:rsid w:val="49065575"/>
    <w:rsid w:val="490779EF"/>
    <w:rsid w:val="49163F98"/>
    <w:rsid w:val="491B30F2"/>
    <w:rsid w:val="49283C15"/>
    <w:rsid w:val="492F3277"/>
    <w:rsid w:val="49372552"/>
    <w:rsid w:val="49392E54"/>
    <w:rsid w:val="49425710"/>
    <w:rsid w:val="49454C8E"/>
    <w:rsid w:val="494D35E5"/>
    <w:rsid w:val="4958553F"/>
    <w:rsid w:val="495A08D2"/>
    <w:rsid w:val="496F2F35"/>
    <w:rsid w:val="498D1C1E"/>
    <w:rsid w:val="49996716"/>
    <w:rsid w:val="49B54134"/>
    <w:rsid w:val="49C3360D"/>
    <w:rsid w:val="49CE2073"/>
    <w:rsid w:val="49D45DEC"/>
    <w:rsid w:val="49D72799"/>
    <w:rsid w:val="4A05016D"/>
    <w:rsid w:val="4A1F71D6"/>
    <w:rsid w:val="4A207C29"/>
    <w:rsid w:val="4A3414FD"/>
    <w:rsid w:val="4A3634C7"/>
    <w:rsid w:val="4A480FB3"/>
    <w:rsid w:val="4A4E1203"/>
    <w:rsid w:val="4A5D5D84"/>
    <w:rsid w:val="4A712751"/>
    <w:rsid w:val="4A720F03"/>
    <w:rsid w:val="4A725C54"/>
    <w:rsid w:val="4A7C6F23"/>
    <w:rsid w:val="4A910BFE"/>
    <w:rsid w:val="4AA00EA9"/>
    <w:rsid w:val="4AA8171D"/>
    <w:rsid w:val="4AC30AA9"/>
    <w:rsid w:val="4AC453FB"/>
    <w:rsid w:val="4AC8754C"/>
    <w:rsid w:val="4AD714F4"/>
    <w:rsid w:val="4AD94818"/>
    <w:rsid w:val="4ADE364D"/>
    <w:rsid w:val="4ADF19C0"/>
    <w:rsid w:val="4AE528B3"/>
    <w:rsid w:val="4AE64EED"/>
    <w:rsid w:val="4B1732F9"/>
    <w:rsid w:val="4B2F192E"/>
    <w:rsid w:val="4B364751"/>
    <w:rsid w:val="4B3B3272"/>
    <w:rsid w:val="4B3B78E8"/>
    <w:rsid w:val="4B4A29BD"/>
    <w:rsid w:val="4B524331"/>
    <w:rsid w:val="4B566CA7"/>
    <w:rsid w:val="4B577B99"/>
    <w:rsid w:val="4B5F09D9"/>
    <w:rsid w:val="4B62430A"/>
    <w:rsid w:val="4B647494"/>
    <w:rsid w:val="4B6B4C49"/>
    <w:rsid w:val="4B723F05"/>
    <w:rsid w:val="4B7E5372"/>
    <w:rsid w:val="4B991F60"/>
    <w:rsid w:val="4BA25610"/>
    <w:rsid w:val="4BB42C4A"/>
    <w:rsid w:val="4BBA1C33"/>
    <w:rsid w:val="4BC92119"/>
    <w:rsid w:val="4BE614DC"/>
    <w:rsid w:val="4BED0E6E"/>
    <w:rsid w:val="4BF1575B"/>
    <w:rsid w:val="4BF94693"/>
    <w:rsid w:val="4C06086B"/>
    <w:rsid w:val="4C130973"/>
    <w:rsid w:val="4C15710C"/>
    <w:rsid w:val="4C226976"/>
    <w:rsid w:val="4C2B6930"/>
    <w:rsid w:val="4C31567B"/>
    <w:rsid w:val="4C360AA9"/>
    <w:rsid w:val="4C3C0B3D"/>
    <w:rsid w:val="4C473B7E"/>
    <w:rsid w:val="4C481290"/>
    <w:rsid w:val="4C49669E"/>
    <w:rsid w:val="4C5C2F8D"/>
    <w:rsid w:val="4C60222C"/>
    <w:rsid w:val="4C620767"/>
    <w:rsid w:val="4C6B4F7E"/>
    <w:rsid w:val="4C6C5A69"/>
    <w:rsid w:val="4C976993"/>
    <w:rsid w:val="4C9C022C"/>
    <w:rsid w:val="4CC6129D"/>
    <w:rsid w:val="4CDA034E"/>
    <w:rsid w:val="4CE11640"/>
    <w:rsid w:val="4CE74F4D"/>
    <w:rsid w:val="4CE9608D"/>
    <w:rsid w:val="4CF17FCE"/>
    <w:rsid w:val="4CF427B1"/>
    <w:rsid w:val="4D122BF3"/>
    <w:rsid w:val="4D2C26A6"/>
    <w:rsid w:val="4D3E3431"/>
    <w:rsid w:val="4D5D2548"/>
    <w:rsid w:val="4D6245D3"/>
    <w:rsid w:val="4D68282A"/>
    <w:rsid w:val="4D69341E"/>
    <w:rsid w:val="4D764DF5"/>
    <w:rsid w:val="4D7872D4"/>
    <w:rsid w:val="4D823F55"/>
    <w:rsid w:val="4D826A23"/>
    <w:rsid w:val="4D8B1D7C"/>
    <w:rsid w:val="4D8C5F97"/>
    <w:rsid w:val="4D8F4D84"/>
    <w:rsid w:val="4D900F31"/>
    <w:rsid w:val="4D9C6815"/>
    <w:rsid w:val="4D9F75D5"/>
    <w:rsid w:val="4DA478AD"/>
    <w:rsid w:val="4DC42C88"/>
    <w:rsid w:val="4DC8085E"/>
    <w:rsid w:val="4DC85818"/>
    <w:rsid w:val="4DE60D60"/>
    <w:rsid w:val="4DEA6F9D"/>
    <w:rsid w:val="4DF012AB"/>
    <w:rsid w:val="4DF214C3"/>
    <w:rsid w:val="4DF73844"/>
    <w:rsid w:val="4DFC7B4E"/>
    <w:rsid w:val="4E102281"/>
    <w:rsid w:val="4E14178A"/>
    <w:rsid w:val="4E17716C"/>
    <w:rsid w:val="4E207B61"/>
    <w:rsid w:val="4E233E1E"/>
    <w:rsid w:val="4E2D698F"/>
    <w:rsid w:val="4E322ADE"/>
    <w:rsid w:val="4E3F1528"/>
    <w:rsid w:val="4E4425A8"/>
    <w:rsid w:val="4E4B26D3"/>
    <w:rsid w:val="4E6045A1"/>
    <w:rsid w:val="4E686988"/>
    <w:rsid w:val="4E8A7EF1"/>
    <w:rsid w:val="4E985A3F"/>
    <w:rsid w:val="4E9E3248"/>
    <w:rsid w:val="4EA01857"/>
    <w:rsid w:val="4EA20D07"/>
    <w:rsid w:val="4EA416E7"/>
    <w:rsid w:val="4EA85D29"/>
    <w:rsid w:val="4EAC1FAA"/>
    <w:rsid w:val="4EB16272"/>
    <w:rsid w:val="4ED52AF6"/>
    <w:rsid w:val="4ED60DD5"/>
    <w:rsid w:val="4EDC2256"/>
    <w:rsid w:val="4EE80B08"/>
    <w:rsid w:val="4F003355"/>
    <w:rsid w:val="4F1049A3"/>
    <w:rsid w:val="4F1F277C"/>
    <w:rsid w:val="4F1F6913"/>
    <w:rsid w:val="4F3068D0"/>
    <w:rsid w:val="4F3212D0"/>
    <w:rsid w:val="4F423649"/>
    <w:rsid w:val="4F555807"/>
    <w:rsid w:val="4F560168"/>
    <w:rsid w:val="4F5A491C"/>
    <w:rsid w:val="4F691B00"/>
    <w:rsid w:val="4F721B3E"/>
    <w:rsid w:val="4F7E5458"/>
    <w:rsid w:val="4F7E691C"/>
    <w:rsid w:val="4F8768CE"/>
    <w:rsid w:val="4F8A1EC0"/>
    <w:rsid w:val="4F936BFA"/>
    <w:rsid w:val="4FA2365F"/>
    <w:rsid w:val="4FAD5FDA"/>
    <w:rsid w:val="4FC52689"/>
    <w:rsid w:val="4FCB13B0"/>
    <w:rsid w:val="4FD00F41"/>
    <w:rsid w:val="4FFA4F97"/>
    <w:rsid w:val="50011412"/>
    <w:rsid w:val="50055E16"/>
    <w:rsid w:val="50063DD3"/>
    <w:rsid w:val="500E158E"/>
    <w:rsid w:val="502B6EFE"/>
    <w:rsid w:val="503462A6"/>
    <w:rsid w:val="503E4824"/>
    <w:rsid w:val="50431FAF"/>
    <w:rsid w:val="5043249A"/>
    <w:rsid w:val="50454F41"/>
    <w:rsid w:val="505267D9"/>
    <w:rsid w:val="50672F54"/>
    <w:rsid w:val="507546A2"/>
    <w:rsid w:val="50797A0E"/>
    <w:rsid w:val="508266E2"/>
    <w:rsid w:val="508915C5"/>
    <w:rsid w:val="50940F47"/>
    <w:rsid w:val="50987945"/>
    <w:rsid w:val="50A74526"/>
    <w:rsid w:val="50AA2519"/>
    <w:rsid w:val="50BA039F"/>
    <w:rsid w:val="50BB6011"/>
    <w:rsid w:val="50C94831"/>
    <w:rsid w:val="50D92DFE"/>
    <w:rsid w:val="50DB42B0"/>
    <w:rsid w:val="50DD5102"/>
    <w:rsid w:val="50F0277D"/>
    <w:rsid w:val="50FC2CE4"/>
    <w:rsid w:val="50FC59B6"/>
    <w:rsid w:val="510800FB"/>
    <w:rsid w:val="51102709"/>
    <w:rsid w:val="511D3A5A"/>
    <w:rsid w:val="51293641"/>
    <w:rsid w:val="51446DD8"/>
    <w:rsid w:val="514D7E89"/>
    <w:rsid w:val="515E50B1"/>
    <w:rsid w:val="515F5A90"/>
    <w:rsid w:val="51760011"/>
    <w:rsid w:val="51854D7B"/>
    <w:rsid w:val="518E49AC"/>
    <w:rsid w:val="51992BBE"/>
    <w:rsid w:val="5199536B"/>
    <w:rsid w:val="519B694D"/>
    <w:rsid w:val="51A00814"/>
    <w:rsid w:val="51AE428B"/>
    <w:rsid w:val="51B3212C"/>
    <w:rsid w:val="51B55C83"/>
    <w:rsid w:val="51C972C4"/>
    <w:rsid w:val="51E312FA"/>
    <w:rsid w:val="51E41A5B"/>
    <w:rsid w:val="51E77DCC"/>
    <w:rsid w:val="51FF0643"/>
    <w:rsid w:val="52011A39"/>
    <w:rsid w:val="52212229"/>
    <w:rsid w:val="5247488A"/>
    <w:rsid w:val="524F6925"/>
    <w:rsid w:val="5259004F"/>
    <w:rsid w:val="5259550D"/>
    <w:rsid w:val="525B1B56"/>
    <w:rsid w:val="526C2699"/>
    <w:rsid w:val="527A416D"/>
    <w:rsid w:val="527F1783"/>
    <w:rsid w:val="52873B67"/>
    <w:rsid w:val="5297279D"/>
    <w:rsid w:val="52A3737C"/>
    <w:rsid w:val="52AF3C97"/>
    <w:rsid w:val="52B64F3A"/>
    <w:rsid w:val="52C75604"/>
    <w:rsid w:val="52CA0D07"/>
    <w:rsid w:val="52DA3D53"/>
    <w:rsid w:val="52EA3848"/>
    <w:rsid w:val="52EF2C1E"/>
    <w:rsid w:val="52FC6687"/>
    <w:rsid w:val="52FE08FA"/>
    <w:rsid w:val="5307019F"/>
    <w:rsid w:val="530B7346"/>
    <w:rsid w:val="5315144D"/>
    <w:rsid w:val="53254906"/>
    <w:rsid w:val="533A1C91"/>
    <w:rsid w:val="533A4B08"/>
    <w:rsid w:val="533C1422"/>
    <w:rsid w:val="533C216B"/>
    <w:rsid w:val="534435B8"/>
    <w:rsid w:val="534851C2"/>
    <w:rsid w:val="535B41FC"/>
    <w:rsid w:val="53761B3F"/>
    <w:rsid w:val="538826B7"/>
    <w:rsid w:val="53945D1C"/>
    <w:rsid w:val="53976CDE"/>
    <w:rsid w:val="53A63401"/>
    <w:rsid w:val="53AB327E"/>
    <w:rsid w:val="53AF1CD0"/>
    <w:rsid w:val="53B447E3"/>
    <w:rsid w:val="53B60FAB"/>
    <w:rsid w:val="53BB4A3D"/>
    <w:rsid w:val="53CA77F5"/>
    <w:rsid w:val="53CB6AED"/>
    <w:rsid w:val="53CC3F1D"/>
    <w:rsid w:val="53D9297D"/>
    <w:rsid w:val="53DC72CA"/>
    <w:rsid w:val="53E4780F"/>
    <w:rsid w:val="53F30709"/>
    <w:rsid w:val="53FA4B30"/>
    <w:rsid w:val="53FF4E30"/>
    <w:rsid w:val="54060DDF"/>
    <w:rsid w:val="5408251D"/>
    <w:rsid w:val="54097E2D"/>
    <w:rsid w:val="540C5299"/>
    <w:rsid w:val="540E1CEA"/>
    <w:rsid w:val="540E60F4"/>
    <w:rsid w:val="54102FDB"/>
    <w:rsid w:val="542424AB"/>
    <w:rsid w:val="54261E03"/>
    <w:rsid w:val="5428054E"/>
    <w:rsid w:val="54331F4D"/>
    <w:rsid w:val="543547EF"/>
    <w:rsid w:val="54363B76"/>
    <w:rsid w:val="543E18F6"/>
    <w:rsid w:val="54414288"/>
    <w:rsid w:val="545C0021"/>
    <w:rsid w:val="54706DDA"/>
    <w:rsid w:val="54784B7D"/>
    <w:rsid w:val="547F468A"/>
    <w:rsid w:val="54822A2F"/>
    <w:rsid w:val="548F4F7A"/>
    <w:rsid w:val="549922F3"/>
    <w:rsid w:val="54AC068E"/>
    <w:rsid w:val="54B00065"/>
    <w:rsid w:val="54B54DB2"/>
    <w:rsid w:val="54BC1B2B"/>
    <w:rsid w:val="54CC1CFC"/>
    <w:rsid w:val="54D10AA5"/>
    <w:rsid w:val="54D525EF"/>
    <w:rsid w:val="54D577A2"/>
    <w:rsid w:val="54DE65EB"/>
    <w:rsid w:val="54E01871"/>
    <w:rsid w:val="54F64338"/>
    <w:rsid w:val="54FA04B2"/>
    <w:rsid w:val="550D0483"/>
    <w:rsid w:val="55213F2E"/>
    <w:rsid w:val="55311C31"/>
    <w:rsid w:val="553C5E9D"/>
    <w:rsid w:val="553D35A7"/>
    <w:rsid w:val="553D4E90"/>
    <w:rsid w:val="553D7E00"/>
    <w:rsid w:val="55766011"/>
    <w:rsid w:val="55811DA5"/>
    <w:rsid w:val="558B3C9A"/>
    <w:rsid w:val="55A15634"/>
    <w:rsid w:val="55A175A6"/>
    <w:rsid w:val="55C01874"/>
    <w:rsid w:val="55CB1059"/>
    <w:rsid w:val="55DC01EC"/>
    <w:rsid w:val="55E16B3B"/>
    <w:rsid w:val="55E55580"/>
    <w:rsid w:val="55E62245"/>
    <w:rsid w:val="55EB50CC"/>
    <w:rsid w:val="55EC6EE7"/>
    <w:rsid w:val="56197654"/>
    <w:rsid w:val="561C5858"/>
    <w:rsid w:val="56257F65"/>
    <w:rsid w:val="563C1A68"/>
    <w:rsid w:val="563F5EAA"/>
    <w:rsid w:val="56410EA1"/>
    <w:rsid w:val="564329D1"/>
    <w:rsid w:val="565D2237"/>
    <w:rsid w:val="5679209B"/>
    <w:rsid w:val="5682113A"/>
    <w:rsid w:val="56B13FD8"/>
    <w:rsid w:val="56B17EE9"/>
    <w:rsid w:val="56B655C1"/>
    <w:rsid w:val="56BB40F2"/>
    <w:rsid w:val="56D241F0"/>
    <w:rsid w:val="56D41A26"/>
    <w:rsid w:val="56E147BB"/>
    <w:rsid w:val="570235A6"/>
    <w:rsid w:val="570E0081"/>
    <w:rsid w:val="5723475B"/>
    <w:rsid w:val="5749487F"/>
    <w:rsid w:val="574A05B2"/>
    <w:rsid w:val="575657CE"/>
    <w:rsid w:val="575B52E7"/>
    <w:rsid w:val="575F7626"/>
    <w:rsid w:val="576E2B10"/>
    <w:rsid w:val="577B3D89"/>
    <w:rsid w:val="577E4EB2"/>
    <w:rsid w:val="577F7419"/>
    <w:rsid w:val="579460D8"/>
    <w:rsid w:val="57974C8E"/>
    <w:rsid w:val="579E565A"/>
    <w:rsid w:val="57A63600"/>
    <w:rsid w:val="57AB043F"/>
    <w:rsid w:val="57AB7EC1"/>
    <w:rsid w:val="57B608FB"/>
    <w:rsid w:val="57C73387"/>
    <w:rsid w:val="57CE550D"/>
    <w:rsid w:val="57DE4DEC"/>
    <w:rsid w:val="57E722A5"/>
    <w:rsid w:val="57E82774"/>
    <w:rsid w:val="57F561BE"/>
    <w:rsid w:val="57F77D4D"/>
    <w:rsid w:val="580D7A60"/>
    <w:rsid w:val="580E2F14"/>
    <w:rsid w:val="5812683D"/>
    <w:rsid w:val="58260A99"/>
    <w:rsid w:val="5836173F"/>
    <w:rsid w:val="5844595D"/>
    <w:rsid w:val="584E2326"/>
    <w:rsid w:val="58544F00"/>
    <w:rsid w:val="586C6A02"/>
    <w:rsid w:val="586F2F25"/>
    <w:rsid w:val="58757631"/>
    <w:rsid w:val="58AA6037"/>
    <w:rsid w:val="58DB76CE"/>
    <w:rsid w:val="58DC502F"/>
    <w:rsid w:val="58E446C9"/>
    <w:rsid w:val="58E4675B"/>
    <w:rsid w:val="58ED3F87"/>
    <w:rsid w:val="58FA39D8"/>
    <w:rsid w:val="58FE045E"/>
    <w:rsid w:val="590420DE"/>
    <w:rsid w:val="590649AC"/>
    <w:rsid w:val="59097FF9"/>
    <w:rsid w:val="591405FA"/>
    <w:rsid w:val="59191A73"/>
    <w:rsid w:val="59260399"/>
    <w:rsid w:val="592A0FEA"/>
    <w:rsid w:val="592F21EA"/>
    <w:rsid w:val="59444183"/>
    <w:rsid w:val="5963595B"/>
    <w:rsid w:val="596A00DC"/>
    <w:rsid w:val="59842C4A"/>
    <w:rsid w:val="59913CC9"/>
    <w:rsid w:val="59987845"/>
    <w:rsid w:val="59994F95"/>
    <w:rsid w:val="59A1611D"/>
    <w:rsid w:val="59A214D7"/>
    <w:rsid w:val="59B241EC"/>
    <w:rsid w:val="59B419C2"/>
    <w:rsid w:val="59BC6923"/>
    <w:rsid w:val="59CE54CA"/>
    <w:rsid w:val="59D708D6"/>
    <w:rsid w:val="59E44536"/>
    <w:rsid w:val="59F25796"/>
    <w:rsid w:val="5A037B4C"/>
    <w:rsid w:val="5A112694"/>
    <w:rsid w:val="5A1F61F2"/>
    <w:rsid w:val="5A3E22D1"/>
    <w:rsid w:val="5A421A14"/>
    <w:rsid w:val="5A4A08C9"/>
    <w:rsid w:val="5A554F37"/>
    <w:rsid w:val="5A5B2A91"/>
    <w:rsid w:val="5A621DB8"/>
    <w:rsid w:val="5A67140D"/>
    <w:rsid w:val="5A6E0836"/>
    <w:rsid w:val="5A7A0834"/>
    <w:rsid w:val="5A9209EF"/>
    <w:rsid w:val="5AA24261"/>
    <w:rsid w:val="5AA61FA3"/>
    <w:rsid w:val="5ABC29E4"/>
    <w:rsid w:val="5ADC30C6"/>
    <w:rsid w:val="5AE81188"/>
    <w:rsid w:val="5AFE4D46"/>
    <w:rsid w:val="5B044F1C"/>
    <w:rsid w:val="5B064217"/>
    <w:rsid w:val="5B070B67"/>
    <w:rsid w:val="5B246A9B"/>
    <w:rsid w:val="5B2D6AF3"/>
    <w:rsid w:val="5B3B0F6B"/>
    <w:rsid w:val="5B3B534F"/>
    <w:rsid w:val="5B524DA3"/>
    <w:rsid w:val="5B6F4E81"/>
    <w:rsid w:val="5B70585B"/>
    <w:rsid w:val="5BAB490F"/>
    <w:rsid w:val="5BC47447"/>
    <w:rsid w:val="5BCA5D03"/>
    <w:rsid w:val="5BD95980"/>
    <w:rsid w:val="5BDD7D75"/>
    <w:rsid w:val="5BDE18EA"/>
    <w:rsid w:val="5BE00642"/>
    <w:rsid w:val="5BE70178"/>
    <w:rsid w:val="5BFA2FB9"/>
    <w:rsid w:val="5BFE4512"/>
    <w:rsid w:val="5C134609"/>
    <w:rsid w:val="5C1473E0"/>
    <w:rsid w:val="5C1A2979"/>
    <w:rsid w:val="5C270EC2"/>
    <w:rsid w:val="5C443177"/>
    <w:rsid w:val="5C507ED6"/>
    <w:rsid w:val="5C571D4E"/>
    <w:rsid w:val="5C5A0A01"/>
    <w:rsid w:val="5C5B1B25"/>
    <w:rsid w:val="5C6514C0"/>
    <w:rsid w:val="5C7629D6"/>
    <w:rsid w:val="5C892D0B"/>
    <w:rsid w:val="5CAA0818"/>
    <w:rsid w:val="5CB37A83"/>
    <w:rsid w:val="5CB84FA2"/>
    <w:rsid w:val="5CB97A26"/>
    <w:rsid w:val="5CCA2F37"/>
    <w:rsid w:val="5CCB6EAA"/>
    <w:rsid w:val="5CED474D"/>
    <w:rsid w:val="5D056AF2"/>
    <w:rsid w:val="5D064F7B"/>
    <w:rsid w:val="5D202A76"/>
    <w:rsid w:val="5D4E3D26"/>
    <w:rsid w:val="5D5201C0"/>
    <w:rsid w:val="5D8167CC"/>
    <w:rsid w:val="5D9028F2"/>
    <w:rsid w:val="5D925B0D"/>
    <w:rsid w:val="5DB354B5"/>
    <w:rsid w:val="5DB55350"/>
    <w:rsid w:val="5DBA17D4"/>
    <w:rsid w:val="5DBB3AE1"/>
    <w:rsid w:val="5DCF4408"/>
    <w:rsid w:val="5DE828D3"/>
    <w:rsid w:val="5E14515D"/>
    <w:rsid w:val="5E221460"/>
    <w:rsid w:val="5E244623"/>
    <w:rsid w:val="5E2501A5"/>
    <w:rsid w:val="5E2D4D0E"/>
    <w:rsid w:val="5E357F45"/>
    <w:rsid w:val="5E446D0A"/>
    <w:rsid w:val="5E59518E"/>
    <w:rsid w:val="5E596800"/>
    <w:rsid w:val="5E5A0938"/>
    <w:rsid w:val="5E5C1740"/>
    <w:rsid w:val="5E735A90"/>
    <w:rsid w:val="5E8336C9"/>
    <w:rsid w:val="5E8670BD"/>
    <w:rsid w:val="5E91682F"/>
    <w:rsid w:val="5E9F6493"/>
    <w:rsid w:val="5EA050E6"/>
    <w:rsid w:val="5EA06017"/>
    <w:rsid w:val="5EA36B33"/>
    <w:rsid w:val="5EA50BC4"/>
    <w:rsid w:val="5EA92062"/>
    <w:rsid w:val="5EA93E10"/>
    <w:rsid w:val="5EB049D8"/>
    <w:rsid w:val="5EBC2342"/>
    <w:rsid w:val="5EC16208"/>
    <w:rsid w:val="5EDA7D59"/>
    <w:rsid w:val="5EDF0196"/>
    <w:rsid w:val="5EEF6AEF"/>
    <w:rsid w:val="5F000AC8"/>
    <w:rsid w:val="5F1F07A7"/>
    <w:rsid w:val="5F1F545B"/>
    <w:rsid w:val="5F293A1B"/>
    <w:rsid w:val="5F3822D0"/>
    <w:rsid w:val="5F3913F3"/>
    <w:rsid w:val="5F6B1B68"/>
    <w:rsid w:val="5F6E6884"/>
    <w:rsid w:val="5F7A5064"/>
    <w:rsid w:val="5F855884"/>
    <w:rsid w:val="5F8764CC"/>
    <w:rsid w:val="5F8B62BE"/>
    <w:rsid w:val="5FA32F55"/>
    <w:rsid w:val="5FA42829"/>
    <w:rsid w:val="5FA46E5C"/>
    <w:rsid w:val="5FB255DF"/>
    <w:rsid w:val="5FCE4022"/>
    <w:rsid w:val="5FD6730B"/>
    <w:rsid w:val="5FE94ADE"/>
    <w:rsid w:val="5FEE2A01"/>
    <w:rsid w:val="5FF26ACB"/>
    <w:rsid w:val="5FF7215C"/>
    <w:rsid w:val="5FF76DFD"/>
    <w:rsid w:val="60026CA8"/>
    <w:rsid w:val="600D33A1"/>
    <w:rsid w:val="60387556"/>
    <w:rsid w:val="60392E2E"/>
    <w:rsid w:val="603B6F59"/>
    <w:rsid w:val="606466DA"/>
    <w:rsid w:val="60685D35"/>
    <w:rsid w:val="607940A4"/>
    <w:rsid w:val="60802CB5"/>
    <w:rsid w:val="60A07495"/>
    <w:rsid w:val="60B531C6"/>
    <w:rsid w:val="60B62C02"/>
    <w:rsid w:val="60BD4E6A"/>
    <w:rsid w:val="60BE30C0"/>
    <w:rsid w:val="60C33898"/>
    <w:rsid w:val="60C94B26"/>
    <w:rsid w:val="60F83D92"/>
    <w:rsid w:val="61076BE5"/>
    <w:rsid w:val="610D0C72"/>
    <w:rsid w:val="61121C1F"/>
    <w:rsid w:val="61132FB0"/>
    <w:rsid w:val="61246CB4"/>
    <w:rsid w:val="612956DC"/>
    <w:rsid w:val="612A5FDF"/>
    <w:rsid w:val="613C1835"/>
    <w:rsid w:val="613D1187"/>
    <w:rsid w:val="6152014D"/>
    <w:rsid w:val="616462AF"/>
    <w:rsid w:val="61656B6E"/>
    <w:rsid w:val="616C6292"/>
    <w:rsid w:val="618A11EB"/>
    <w:rsid w:val="618C323D"/>
    <w:rsid w:val="619533DD"/>
    <w:rsid w:val="619D5782"/>
    <w:rsid w:val="61A00F51"/>
    <w:rsid w:val="61A36BE3"/>
    <w:rsid w:val="61C71504"/>
    <w:rsid w:val="61F51F86"/>
    <w:rsid w:val="61F62C86"/>
    <w:rsid w:val="61F65C1C"/>
    <w:rsid w:val="62057B6D"/>
    <w:rsid w:val="620A0372"/>
    <w:rsid w:val="62115C6B"/>
    <w:rsid w:val="621576B3"/>
    <w:rsid w:val="621F70BE"/>
    <w:rsid w:val="622F0BA6"/>
    <w:rsid w:val="62376505"/>
    <w:rsid w:val="624327CD"/>
    <w:rsid w:val="624D175C"/>
    <w:rsid w:val="62500A46"/>
    <w:rsid w:val="6269361E"/>
    <w:rsid w:val="62703EA6"/>
    <w:rsid w:val="62782223"/>
    <w:rsid w:val="62844A6E"/>
    <w:rsid w:val="628801E0"/>
    <w:rsid w:val="629C5FF1"/>
    <w:rsid w:val="62AD385D"/>
    <w:rsid w:val="62B85E1F"/>
    <w:rsid w:val="62C40C4A"/>
    <w:rsid w:val="62C84A81"/>
    <w:rsid w:val="62DA714A"/>
    <w:rsid w:val="631B5DAA"/>
    <w:rsid w:val="632A50F1"/>
    <w:rsid w:val="633640E0"/>
    <w:rsid w:val="63443F42"/>
    <w:rsid w:val="6360223C"/>
    <w:rsid w:val="636D56BB"/>
    <w:rsid w:val="637D2130"/>
    <w:rsid w:val="637D721E"/>
    <w:rsid w:val="637E41FF"/>
    <w:rsid w:val="637F0F07"/>
    <w:rsid w:val="63864720"/>
    <w:rsid w:val="63B718A2"/>
    <w:rsid w:val="63B81AC2"/>
    <w:rsid w:val="63C21069"/>
    <w:rsid w:val="63C33BC6"/>
    <w:rsid w:val="63C43F9D"/>
    <w:rsid w:val="63C84487"/>
    <w:rsid w:val="63D06AB5"/>
    <w:rsid w:val="63F50717"/>
    <w:rsid w:val="63F923F3"/>
    <w:rsid w:val="64077497"/>
    <w:rsid w:val="640910F4"/>
    <w:rsid w:val="642B52C7"/>
    <w:rsid w:val="642E248D"/>
    <w:rsid w:val="64305C90"/>
    <w:rsid w:val="64307BE6"/>
    <w:rsid w:val="64370BC6"/>
    <w:rsid w:val="643A05FA"/>
    <w:rsid w:val="64462101"/>
    <w:rsid w:val="644A561F"/>
    <w:rsid w:val="645C3FA4"/>
    <w:rsid w:val="645E7808"/>
    <w:rsid w:val="64731F81"/>
    <w:rsid w:val="647B13BB"/>
    <w:rsid w:val="647F06D8"/>
    <w:rsid w:val="64812DEB"/>
    <w:rsid w:val="64835BC0"/>
    <w:rsid w:val="649143DE"/>
    <w:rsid w:val="64990EF3"/>
    <w:rsid w:val="64A660FD"/>
    <w:rsid w:val="64A94E83"/>
    <w:rsid w:val="64BB664B"/>
    <w:rsid w:val="64C07645"/>
    <w:rsid w:val="64C56067"/>
    <w:rsid w:val="64CA68EA"/>
    <w:rsid w:val="64D157D9"/>
    <w:rsid w:val="64D4595F"/>
    <w:rsid w:val="64E33DF4"/>
    <w:rsid w:val="64E81CE8"/>
    <w:rsid w:val="64F33C21"/>
    <w:rsid w:val="64F733FB"/>
    <w:rsid w:val="65085608"/>
    <w:rsid w:val="65261AD9"/>
    <w:rsid w:val="65353A93"/>
    <w:rsid w:val="653B0AC8"/>
    <w:rsid w:val="653C53F0"/>
    <w:rsid w:val="6546685C"/>
    <w:rsid w:val="654A025A"/>
    <w:rsid w:val="655C618A"/>
    <w:rsid w:val="657F3B1C"/>
    <w:rsid w:val="658516B3"/>
    <w:rsid w:val="65876E75"/>
    <w:rsid w:val="65943783"/>
    <w:rsid w:val="65962139"/>
    <w:rsid w:val="65963C1E"/>
    <w:rsid w:val="659C34FD"/>
    <w:rsid w:val="65A842A2"/>
    <w:rsid w:val="65B95486"/>
    <w:rsid w:val="65B9767B"/>
    <w:rsid w:val="65CB5859"/>
    <w:rsid w:val="65CD195D"/>
    <w:rsid w:val="65D905A2"/>
    <w:rsid w:val="65DB256F"/>
    <w:rsid w:val="65DB2FC5"/>
    <w:rsid w:val="65E552B8"/>
    <w:rsid w:val="65EF593A"/>
    <w:rsid w:val="65F63CF3"/>
    <w:rsid w:val="66195D1F"/>
    <w:rsid w:val="662367CA"/>
    <w:rsid w:val="66273120"/>
    <w:rsid w:val="662746FD"/>
    <w:rsid w:val="662C0CD7"/>
    <w:rsid w:val="66363287"/>
    <w:rsid w:val="663718FB"/>
    <w:rsid w:val="667C005C"/>
    <w:rsid w:val="669C06FE"/>
    <w:rsid w:val="66AA66AF"/>
    <w:rsid w:val="66C227CA"/>
    <w:rsid w:val="66C328F7"/>
    <w:rsid w:val="66DC45F8"/>
    <w:rsid w:val="66E83943"/>
    <w:rsid w:val="66ED5FF5"/>
    <w:rsid w:val="67010066"/>
    <w:rsid w:val="670238C5"/>
    <w:rsid w:val="670664EA"/>
    <w:rsid w:val="6723175B"/>
    <w:rsid w:val="672F0BE3"/>
    <w:rsid w:val="673051D2"/>
    <w:rsid w:val="67317098"/>
    <w:rsid w:val="67493A9D"/>
    <w:rsid w:val="67577F24"/>
    <w:rsid w:val="6759039D"/>
    <w:rsid w:val="6769310D"/>
    <w:rsid w:val="6775306E"/>
    <w:rsid w:val="67792589"/>
    <w:rsid w:val="678A373C"/>
    <w:rsid w:val="678D4508"/>
    <w:rsid w:val="679C4163"/>
    <w:rsid w:val="679D64DC"/>
    <w:rsid w:val="67B5067C"/>
    <w:rsid w:val="67C57AA3"/>
    <w:rsid w:val="67D650DE"/>
    <w:rsid w:val="67DA0714"/>
    <w:rsid w:val="67F726BC"/>
    <w:rsid w:val="681668C6"/>
    <w:rsid w:val="68175259"/>
    <w:rsid w:val="68210EBB"/>
    <w:rsid w:val="682E00B6"/>
    <w:rsid w:val="682F47C8"/>
    <w:rsid w:val="683D43BC"/>
    <w:rsid w:val="684848BE"/>
    <w:rsid w:val="685E13B0"/>
    <w:rsid w:val="68655499"/>
    <w:rsid w:val="688431F8"/>
    <w:rsid w:val="68993147"/>
    <w:rsid w:val="68A67612"/>
    <w:rsid w:val="68BB3F7B"/>
    <w:rsid w:val="68BF6993"/>
    <w:rsid w:val="68C80D9B"/>
    <w:rsid w:val="68D02BEC"/>
    <w:rsid w:val="68D93421"/>
    <w:rsid w:val="68E35372"/>
    <w:rsid w:val="68F243AF"/>
    <w:rsid w:val="68F565A6"/>
    <w:rsid w:val="68F640F6"/>
    <w:rsid w:val="690E575F"/>
    <w:rsid w:val="69124CA8"/>
    <w:rsid w:val="691E364C"/>
    <w:rsid w:val="69202CA9"/>
    <w:rsid w:val="692313ED"/>
    <w:rsid w:val="692360B1"/>
    <w:rsid w:val="692B4FF0"/>
    <w:rsid w:val="692D59A5"/>
    <w:rsid w:val="693410C2"/>
    <w:rsid w:val="693A4E36"/>
    <w:rsid w:val="69416EAD"/>
    <w:rsid w:val="69422F6B"/>
    <w:rsid w:val="69447B22"/>
    <w:rsid w:val="69565FE2"/>
    <w:rsid w:val="69574104"/>
    <w:rsid w:val="69615CF3"/>
    <w:rsid w:val="69691679"/>
    <w:rsid w:val="696A0640"/>
    <w:rsid w:val="696B1E57"/>
    <w:rsid w:val="69712043"/>
    <w:rsid w:val="69745898"/>
    <w:rsid w:val="697B65DC"/>
    <w:rsid w:val="698D71C4"/>
    <w:rsid w:val="699317E4"/>
    <w:rsid w:val="69943A2A"/>
    <w:rsid w:val="69961435"/>
    <w:rsid w:val="69A70735"/>
    <w:rsid w:val="69EF1C44"/>
    <w:rsid w:val="6A0B1340"/>
    <w:rsid w:val="6A0E7AF1"/>
    <w:rsid w:val="6A114F5F"/>
    <w:rsid w:val="6A127BEA"/>
    <w:rsid w:val="6A260536"/>
    <w:rsid w:val="6A2C6A3C"/>
    <w:rsid w:val="6A366774"/>
    <w:rsid w:val="6A3B295B"/>
    <w:rsid w:val="6A3B368F"/>
    <w:rsid w:val="6A551074"/>
    <w:rsid w:val="6A5E57EF"/>
    <w:rsid w:val="6A652756"/>
    <w:rsid w:val="6A707ED8"/>
    <w:rsid w:val="6A7177BA"/>
    <w:rsid w:val="6A7528F3"/>
    <w:rsid w:val="6A7B0302"/>
    <w:rsid w:val="6A9A293C"/>
    <w:rsid w:val="6AA54025"/>
    <w:rsid w:val="6AA77936"/>
    <w:rsid w:val="6AB12F58"/>
    <w:rsid w:val="6AC90DF4"/>
    <w:rsid w:val="6AD30890"/>
    <w:rsid w:val="6AD4061F"/>
    <w:rsid w:val="6ADF01CC"/>
    <w:rsid w:val="6AEF34F2"/>
    <w:rsid w:val="6AF67424"/>
    <w:rsid w:val="6B053972"/>
    <w:rsid w:val="6B126770"/>
    <w:rsid w:val="6B2C05AD"/>
    <w:rsid w:val="6B347157"/>
    <w:rsid w:val="6B39757A"/>
    <w:rsid w:val="6B441C0A"/>
    <w:rsid w:val="6B5862AA"/>
    <w:rsid w:val="6B685053"/>
    <w:rsid w:val="6B7208C9"/>
    <w:rsid w:val="6B7739CC"/>
    <w:rsid w:val="6B8302C4"/>
    <w:rsid w:val="6B8845FA"/>
    <w:rsid w:val="6B8B7D4A"/>
    <w:rsid w:val="6B9B2172"/>
    <w:rsid w:val="6BB27FAE"/>
    <w:rsid w:val="6BC24763"/>
    <w:rsid w:val="6BE8664A"/>
    <w:rsid w:val="6BFC528A"/>
    <w:rsid w:val="6C0B435C"/>
    <w:rsid w:val="6C0D1A0B"/>
    <w:rsid w:val="6C142268"/>
    <w:rsid w:val="6C2216A6"/>
    <w:rsid w:val="6C240BE7"/>
    <w:rsid w:val="6C2D3185"/>
    <w:rsid w:val="6C311952"/>
    <w:rsid w:val="6C31572D"/>
    <w:rsid w:val="6C405836"/>
    <w:rsid w:val="6C447F32"/>
    <w:rsid w:val="6C66039E"/>
    <w:rsid w:val="6C6C1EB2"/>
    <w:rsid w:val="6C8477D1"/>
    <w:rsid w:val="6C8E2897"/>
    <w:rsid w:val="6C977AFE"/>
    <w:rsid w:val="6CA75BF7"/>
    <w:rsid w:val="6CAA2B0F"/>
    <w:rsid w:val="6CC05951"/>
    <w:rsid w:val="6CCE28EA"/>
    <w:rsid w:val="6CD6672A"/>
    <w:rsid w:val="6CDB39FC"/>
    <w:rsid w:val="6CE66B6E"/>
    <w:rsid w:val="6CEA2D2E"/>
    <w:rsid w:val="6D002FBE"/>
    <w:rsid w:val="6D0051DC"/>
    <w:rsid w:val="6D01279B"/>
    <w:rsid w:val="6D0524D7"/>
    <w:rsid w:val="6D12414D"/>
    <w:rsid w:val="6D1A3224"/>
    <w:rsid w:val="6D2756E1"/>
    <w:rsid w:val="6D3E6CF0"/>
    <w:rsid w:val="6D580CDC"/>
    <w:rsid w:val="6D77157D"/>
    <w:rsid w:val="6D841E4C"/>
    <w:rsid w:val="6D853C9A"/>
    <w:rsid w:val="6D882E73"/>
    <w:rsid w:val="6D9D19A6"/>
    <w:rsid w:val="6DA274AF"/>
    <w:rsid w:val="6DB34CEB"/>
    <w:rsid w:val="6DBC5A46"/>
    <w:rsid w:val="6DD93C5A"/>
    <w:rsid w:val="6DD97F2E"/>
    <w:rsid w:val="6DE84D2A"/>
    <w:rsid w:val="6DE9247B"/>
    <w:rsid w:val="6DEE7D03"/>
    <w:rsid w:val="6DF71E80"/>
    <w:rsid w:val="6E052FAC"/>
    <w:rsid w:val="6E071C62"/>
    <w:rsid w:val="6E1D2977"/>
    <w:rsid w:val="6E1E5318"/>
    <w:rsid w:val="6E283010"/>
    <w:rsid w:val="6E2C72F0"/>
    <w:rsid w:val="6E3D3F41"/>
    <w:rsid w:val="6E421B8B"/>
    <w:rsid w:val="6E5E27AB"/>
    <w:rsid w:val="6E612994"/>
    <w:rsid w:val="6E6645E0"/>
    <w:rsid w:val="6E6803C8"/>
    <w:rsid w:val="6E7872A7"/>
    <w:rsid w:val="6E8977BA"/>
    <w:rsid w:val="6E90012A"/>
    <w:rsid w:val="6E907ED6"/>
    <w:rsid w:val="6E9A5523"/>
    <w:rsid w:val="6EB20673"/>
    <w:rsid w:val="6EBC5602"/>
    <w:rsid w:val="6EBC6FBF"/>
    <w:rsid w:val="6ED20A73"/>
    <w:rsid w:val="6ED517E9"/>
    <w:rsid w:val="6EE029C6"/>
    <w:rsid w:val="6EE466FD"/>
    <w:rsid w:val="6EED2A86"/>
    <w:rsid w:val="6F012FA0"/>
    <w:rsid w:val="6F0D6517"/>
    <w:rsid w:val="6F101C89"/>
    <w:rsid w:val="6F174B38"/>
    <w:rsid w:val="6F1C3E0B"/>
    <w:rsid w:val="6F1D0EF1"/>
    <w:rsid w:val="6F2F7149"/>
    <w:rsid w:val="6F32346A"/>
    <w:rsid w:val="6F397330"/>
    <w:rsid w:val="6F415FBF"/>
    <w:rsid w:val="6F437BA9"/>
    <w:rsid w:val="6F524050"/>
    <w:rsid w:val="6F5C1230"/>
    <w:rsid w:val="6F614704"/>
    <w:rsid w:val="6F8C1F27"/>
    <w:rsid w:val="6FBB0776"/>
    <w:rsid w:val="6FE0629E"/>
    <w:rsid w:val="6FE63B07"/>
    <w:rsid w:val="6FF5141A"/>
    <w:rsid w:val="6FFE46CD"/>
    <w:rsid w:val="70141305"/>
    <w:rsid w:val="70202F08"/>
    <w:rsid w:val="70204EB2"/>
    <w:rsid w:val="70216F85"/>
    <w:rsid w:val="702D56CE"/>
    <w:rsid w:val="703A6FBE"/>
    <w:rsid w:val="704E6E9A"/>
    <w:rsid w:val="704F55F3"/>
    <w:rsid w:val="70516995"/>
    <w:rsid w:val="7070716A"/>
    <w:rsid w:val="707D7387"/>
    <w:rsid w:val="7082711C"/>
    <w:rsid w:val="70900ABF"/>
    <w:rsid w:val="70A03792"/>
    <w:rsid w:val="70C139D4"/>
    <w:rsid w:val="70C14F41"/>
    <w:rsid w:val="70C85E77"/>
    <w:rsid w:val="70D07DE0"/>
    <w:rsid w:val="70DC1E23"/>
    <w:rsid w:val="70DF074B"/>
    <w:rsid w:val="70E17439"/>
    <w:rsid w:val="70F25AEA"/>
    <w:rsid w:val="710728D6"/>
    <w:rsid w:val="71080E6A"/>
    <w:rsid w:val="71097952"/>
    <w:rsid w:val="71106BBA"/>
    <w:rsid w:val="712E63F7"/>
    <w:rsid w:val="71306BAA"/>
    <w:rsid w:val="713554B3"/>
    <w:rsid w:val="714600AF"/>
    <w:rsid w:val="71594D33"/>
    <w:rsid w:val="71770F3C"/>
    <w:rsid w:val="718C5009"/>
    <w:rsid w:val="71925BBA"/>
    <w:rsid w:val="71AF6A35"/>
    <w:rsid w:val="71B65312"/>
    <w:rsid w:val="71B92164"/>
    <w:rsid w:val="71C1345D"/>
    <w:rsid w:val="71DF0B2D"/>
    <w:rsid w:val="720D7D27"/>
    <w:rsid w:val="7215794A"/>
    <w:rsid w:val="721970A7"/>
    <w:rsid w:val="721F207B"/>
    <w:rsid w:val="7238370F"/>
    <w:rsid w:val="723F7CBD"/>
    <w:rsid w:val="72423D3C"/>
    <w:rsid w:val="72480BA0"/>
    <w:rsid w:val="725138C5"/>
    <w:rsid w:val="72541131"/>
    <w:rsid w:val="72620926"/>
    <w:rsid w:val="726371D0"/>
    <w:rsid w:val="7265409A"/>
    <w:rsid w:val="72655822"/>
    <w:rsid w:val="72AA0772"/>
    <w:rsid w:val="72B71B6E"/>
    <w:rsid w:val="72BC0050"/>
    <w:rsid w:val="72C54B39"/>
    <w:rsid w:val="72D15361"/>
    <w:rsid w:val="72D33542"/>
    <w:rsid w:val="72EB2491"/>
    <w:rsid w:val="72F86293"/>
    <w:rsid w:val="72FB055A"/>
    <w:rsid w:val="73061921"/>
    <w:rsid w:val="730817B7"/>
    <w:rsid w:val="731B45A4"/>
    <w:rsid w:val="73216B6B"/>
    <w:rsid w:val="73223D39"/>
    <w:rsid w:val="732E4532"/>
    <w:rsid w:val="73301622"/>
    <w:rsid w:val="733C129F"/>
    <w:rsid w:val="733D31FE"/>
    <w:rsid w:val="73486F2D"/>
    <w:rsid w:val="73506BDD"/>
    <w:rsid w:val="73510C58"/>
    <w:rsid w:val="7354438F"/>
    <w:rsid w:val="73586742"/>
    <w:rsid w:val="736A172E"/>
    <w:rsid w:val="73736376"/>
    <w:rsid w:val="737F2F3A"/>
    <w:rsid w:val="73834F73"/>
    <w:rsid w:val="738D3403"/>
    <w:rsid w:val="73AF6C96"/>
    <w:rsid w:val="73C161F4"/>
    <w:rsid w:val="73C33969"/>
    <w:rsid w:val="73C878FB"/>
    <w:rsid w:val="73F531FC"/>
    <w:rsid w:val="740305F1"/>
    <w:rsid w:val="741661E7"/>
    <w:rsid w:val="741950ED"/>
    <w:rsid w:val="741E2752"/>
    <w:rsid w:val="74252D9B"/>
    <w:rsid w:val="74253A54"/>
    <w:rsid w:val="742553A1"/>
    <w:rsid w:val="743957DE"/>
    <w:rsid w:val="74470E83"/>
    <w:rsid w:val="745919DD"/>
    <w:rsid w:val="7483523C"/>
    <w:rsid w:val="748B3D8C"/>
    <w:rsid w:val="74926B16"/>
    <w:rsid w:val="74A57896"/>
    <w:rsid w:val="74B36BD4"/>
    <w:rsid w:val="74BB5821"/>
    <w:rsid w:val="74C66D2B"/>
    <w:rsid w:val="74C74391"/>
    <w:rsid w:val="74D23A3D"/>
    <w:rsid w:val="74D76839"/>
    <w:rsid w:val="74E90984"/>
    <w:rsid w:val="74F87447"/>
    <w:rsid w:val="74FD6C40"/>
    <w:rsid w:val="74FE5C82"/>
    <w:rsid w:val="7502373A"/>
    <w:rsid w:val="7503324B"/>
    <w:rsid w:val="750A647B"/>
    <w:rsid w:val="750D2D7E"/>
    <w:rsid w:val="750F340D"/>
    <w:rsid w:val="752F13C9"/>
    <w:rsid w:val="75376EE8"/>
    <w:rsid w:val="75513A71"/>
    <w:rsid w:val="7572331F"/>
    <w:rsid w:val="757C256B"/>
    <w:rsid w:val="757E5938"/>
    <w:rsid w:val="759311F7"/>
    <w:rsid w:val="759A1F6E"/>
    <w:rsid w:val="759B68E5"/>
    <w:rsid w:val="75A4312B"/>
    <w:rsid w:val="75B42E91"/>
    <w:rsid w:val="75B61AC7"/>
    <w:rsid w:val="75BA7197"/>
    <w:rsid w:val="75D93360"/>
    <w:rsid w:val="76077540"/>
    <w:rsid w:val="76126413"/>
    <w:rsid w:val="761F2641"/>
    <w:rsid w:val="76211766"/>
    <w:rsid w:val="76335855"/>
    <w:rsid w:val="76417535"/>
    <w:rsid w:val="764C239B"/>
    <w:rsid w:val="764D76B7"/>
    <w:rsid w:val="764F0BA0"/>
    <w:rsid w:val="76515048"/>
    <w:rsid w:val="765777EF"/>
    <w:rsid w:val="765A35F6"/>
    <w:rsid w:val="765B7F10"/>
    <w:rsid w:val="766C4DAD"/>
    <w:rsid w:val="767939DD"/>
    <w:rsid w:val="768B39A6"/>
    <w:rsid w:val="76A47B98"/>
    <w:rsid w:val="76A62636"/>
    <w:rsid w:val="76A719DB"/>
    <w:rsid w:val="76AD7DBE"/>
    <w:rsid w:val="76B16AD4"/>
    <w:rsid w:val="76BA1844"/>
    <w:rsid w:val="76C71F9C"/>
    <w:rsid w:val="76C84501"/>
    <w:rsid w:val="76CC5205"/>
    <w:rsid w:val="76D65566"/>
    <w:rsid w:val="76DC5A16"/>
    <w:rsid w:val="76FA290F"/>
    <w:rsid w:val="76FB1516"/>
    <w:rsid w:val="77072E6C"/>
    <w:rsid w:val="772321C6"/>
    <w:rsid w:val="775725EB"/>
    <w:rsid w:val="77623408"/>
    <w:rsid w:val="776D2980"/>
    <w:rsid w:val="77892BF6"/>
    <w:rsid w:val="77894387"/>
    <w:rsid w:val="778C6933"/>
    <w:rsid w:val="7792410A"/>
    <w:rsid w:val="779500A7"/>
    <w:rsid w:val="77973F1E"/>
    <w:rsid w:val="77BA7B83"/>
    <w:rsid w:val="77C1755D"/>
    <w:rsid w:val="77C84A1B"/>
    <w:rsid w:val="77CA01D6"/>
    <w:rsid w:val="77CB254A"/>
    <w:rsid w:val="77D52550"/>
    <w:rsid w:val="7807223C"/>
    <w:rsid w:val="783074DF"/>
    <w:rsid w:val="78422AC1"/>
    <w:rsid w:val="78424338"/>
    <w:rsid w:val="784B3ED9"/>
    <w:rsid w:val="78533409"/>
    <w:rsid w:val="787F2012"/>
    <w:rsid w:val="78803AD2"/>
    <w:rsid w:val="78A95890"/>
    <w:rsid w:val="78B93018"/>
    <w:rsid w:val="78BC0F0D"/>
    <w:rsid w:val="78C86D74"/>
    <w:rsid w:val="78CE1F8A"/>
    <w:rsid w:val="78CF4397"/>
    <w:rsid w:val="78D04369"/>
    <w:rsid w:val="78DC41DA"/>
    <w:rsid w:val="78E20EF9"/>
    <w:rsid w:val="78E93ADE"/>
    <w:rsid w:val="78EF1A00"/>
    <w:rsid w:val="79065AB5"/>
    <w:rsid w:val="79077C59"/>
    <w:rsid w:val="79132AA2"/>
    <w:rsid w:val="79416086"/>
    <w:rsid w:val="794644CA"/>
    <w:rsid w:val="794B223C"/>
    <w:rsid w:val="794C14AF"/>
    <w:rsid w:val="79546F23"/>
    <w:rsid w:val="795F311D"/>
    <w:rsid w:val="796F63ED"/>
    <w:rsid w:val="79733540"/>
    <w:rsid w:val="797B7AD9"/>
    <w:rsid w:val="798E2F39"/>
    <w:rsid w:val="799534B7"/>
    <w:rsid w:val="79A11E5C"/>
    <w:rsid w:val="79A15D2D"/>
    <w:rsid w:val="79AE0B68"/>
    <w:rsid w:val="79B61D6E"/>
    <w:rsid w:val="79B71F8B"/>
    <w:rsid w:val="79B80F53"/>
    <w:rsid w:val="79C35C3C"/>
    <w:rsid w:val="79CB5891"/>
    <w:rsid w:val="79CB60C5"/>
    <w:rsid w:val="79CD37A3"/>
    <w:rsid w:val="79CE42F2"/>
    <w:rsid w:val="79D42231"/>
    <w:rsid w:val="79F71A7C"/>
    <w:rsid w:val="79FD689F"/>
    <w:rsid w:val="7A36248D"/>
    <w:rsid w:val="7A385D2E"/>
    <w:rsid w:val="7A4B766C"/>
    <w:rsid w:val="7A54151E"/>
    <w:rsid w:val="7A7F6A1E"/>
    <w:rsid w:val="7A856461"/>
    <w:rsid w:val="7A8C2F3A"/>
    <w:rsid w:val="7A9967AE"/>
    <w:rsid w:val="7AA1145D"/>
    <w:rsid w:val="7AA94628"/>
    <w:rsid w:val="7AAB0E6A"/>
    <w:rsid w:val="7AAE6DEF"/>
    <w:rsid w:val="7AAF72D7"/>
    <w:rsid w:val="7AB731D7"/>
    <w:rsid w:val="7ABF7E05"/>
    <w:rsid w:val="7AC20D73"/>
    <w:rsid w:val="7AC676A0"/>
    <w:rsid w:val="7AE25E5C"/>
    <w:rsid w:val="7AE76E04"/>
    <w:rsid w:val="7AF17191"/>
    <w:rsid w:val="7AF679AD"/>
    <w:rsid w:val="7B081662"/>
    <w:rsid w:val="7B164183"/>
    <w:rsid w:val="7B256ABC"/>
    <w:rsid w:val="7B3C2E18"/>
    <w:rsid w:val="7B452AA4"/>
    <w:rsid w:val="7B4707E1"/>
    <w:rsid w:val="7B5178B1"/>
    <w:rsid w:val="7B606F65"/>
    <w:rsid w:val="7B7603DE"/>
    <w:rsid w:val="7B7610C6"/>
    <w:rsid w:val="7B7705E7"/>
    <w:rsid w:val="7B9A5655"/>
    <w:rsid w:val="7B9D6653"/>
    <w:rsid w:val="7BA93EBE"/>
    <w:rsid w:val="7BB8151E"/>
    <w:rsid w:val="7BB938A7"/>
    <w:rsid w:val="7BEE611A"/>
    <w:rsid w:val="7C067F4F"/>
    <w:rsid w:val="7C174657"/>
    <w:rsid w:val="7C1A41E0"/>
    <w:rsid w:val="7C1C1058"/>
    <w:rsid w:val="7C3511B2"/>
    <w:rsid w:val="7C35799E"/>
    <w:rsid w:val="7C382CBD"/>
    <w:rsid w:val="7C3A2EF0"/>
    <w:rsid w:val="7C4B2553"/>
    <w:rsid w:val="7C4D30F8"/>
    <w:rsid w:val="7C571603"/>
    <w:rsid w:val="7C7346FC"/>
    <w:rsid w:val="7C82580A"/>
    <w:rsid w:val="7CA42566"/>
    <w:rsid w:val="7CA7686B"/>
    <w:rsid w:val="7CAE04A4"/>
    <w:rsid w:val="7CB5297B"/>
    <w:rsid w:val="7CC005EC"/>
    <w:rsid w:val="7CC320EC"/>
    <w:rsid w:val="7CC40B25"/>
    <w:rsid w:val="7CC55E61"/>
    <w:rsid w:val="7CE41BCC"/>
    <w:rsid w:val="7CE840C9"/>
    <w:rsid w:val="7CFA3A06"/>
    <w:rsid w:val="7CFE0911"/>
    <w:rsid w:val="7D031664"/>
    <w:rsid w:val="7D065993"/>
    <w:rsid w:val="7D165246"/>
    <w:rsid w:val="7D326608"/>
    <w:rsid w:val="7D34103D"/>
    <w:rsid w:val="7D39038E"/>
    <w:rsid w:val="7D52589C"/>
    <w:rsid w:val="7D576182"/>
    <w:rsid w:val="7D577972"/>
    <w:rsid w:val="7D5D42EC"/>
    <w:rsid w:val="7D6A6A08"/>
    <w:rsid w:val="7D7D3C6D"/>
    <w:rsid w:val="7D8B7FFE"/>
    <w:rsid w:val="7D9C0ED3"/>
    <w:rsid w:val="7D9D3A60"/>
    <w:rsid w:val="7D9D5371"/>
    <w:rsid w:val="7D9F5613"/>
    <w:rsid w:val="7DA74661"/>
    <w:rsid w:val="7DAE0FEB"/>
    <w:rsid w:val="7DBC3708"/>
    <w:rsid w:val="7DD27CED"/>
    <w:rsid w:val="7DD60649"/>
    <w:rsid w:val="7E0462D0"/>
    <w:rsid w:val="7E153A97"/>
    <w:rsid w:val="7E257192"/>
    <w:rsid w:val="7E46208E"/>
    <w:rsid w:val="7E4A29B2"/>
    <w:rsid w:val="7E58763C"/>
    <w:rsid w:val="7E5C4F74"/>
    <w:rsid w:val="7E6F78B7"/>
    <w:rsid w:val="7E7A59E2"/>
    <w:rsid w:val="7E864025"/>
    <w:rsid w:val="7EA43E8A"/>
    <w:rsid w:val="7EB262F8"/>
    <w:rsid w:val="7EBC14E6"/>
    <w:rsid w:val="7EC641E6"/>
    <w:rsid w:val="7F14249F"/>
    <w:rsid w:val="7F191EFA"/>
    <w:rsid w:val="7F304AA5"/>
    <w:rsid w:val="7F421F36"/>
    <w:rsid w:val="7F613E48"/>
    <w:rsid w:val="7F6141AF"/>
    <w:rsid w:val="7F6652DD"/>
    <w:rsid w:val="7F695428"/>
    <w:rsid w:val="7F6E6D71"/>
    <w:rsid w:val="7F7428E8"/>
    <w:rsid w:val="7F7842ED"/>
    <w:rsid w:val="7F806F96"/>
    <w:rsid w:val="7F83434C"/>
    <w:rsid w:val="7F891081"/>
    <w:rsid w:val="7F913292"/>
    <w:rsid w:val="7F9B1DF3"/>
    <w:rsid w:val="7FB54037"/>
    <w:rsid w:val="7FBE4DEA"/>
    <w:rsid w:val="7FC25D4D"/>
    <w:rsid w:val="7FCB7EEE"/>
    <w:rsid w:val="7FCF5C28"/>
    <w:rsid w:val="7FD10B7C"/>
    <w:rsid w:val="7FD26F91"/>
    <w:rsid w:val="7FD350D8"/>
    <w:rsid w:val="7FD91C23"/>
    <w:rsid w:val="7FF7139B"/>
    <w:rsid w:val="7FFB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qFormat="1" w:uiPriority="99" w:semiHidden="0"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qFormat="1" w:unhideWhenUsed="0" w:uiPriority="0" w:semiHidden="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qFormat="1" w:unhideWhenUsed="0" w:uiPriority="0" w:semiHidden="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qFormat="1" w:uiPriority="99"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iPriority="0" w:semiHidden="0" w:name="Body Text Indent 3"/>
    <w:lsdException w:uiPriority="0" w:name="Block Text"/>
    <w:lsdException w:qFormat="1" w:uiPriority="0" w:name="Hyperlink"/>
    <w:lsdException w:qFormat="1" w:uiPriority="0" w:name="FollowedHyperlink"/>
    <w:lsdException w:qFormat="1" w:unhideWhenUsed="0" w:uiPriority="99" w:semiHidden="0" w:name="Strong"/>
    <w:lsdException w:qFormat="1" w:unhideWhenUsed="0" w:uiPriority="20" w:semiHidden="0" w:name="Emphasis"/>
    <w:lsdException w:qFormat="1" w:uiPriority="99" w:semiHidden="0" w:name="Document Map"/>
    <w:lsdException w:qFormat="1" w:uiPriority="99"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黑体"/>
      <w:kern w:val="2"/>
      <w:sz w:val="21"/>
      <w:szCs w:val="22"/>
      <w:lang w:val="en-US" w:eastAsia="zh-CN" w:bidi="ar-SA"/>
    </w:rPr>
  </w:style>
  <w:style w:type="paragraph" w:styleId="3">
    <w:name w:val="heading 1"/>
    <w:basedOn w:val="1"/>
    <w:next w:val="1"/>
    <w:qFormat/>
    <w:uiPriority w:val="0"/>
    <w:pPr>
      <w:keepNext/>
      <w:keepLines/>
      <w:spacing w:line="360" w:lineRule="auto"/>
      <w:outlineLvl w:val="0"/>
    </w:pPr>
    <w:rPr>
      <w:b/>
      <w:kern w:val="44"/>
      <w:sz w:val="28"/>
    </w:rPr>
  </w:style>
  <w:style w:type="paragraph" w:styleId="4">
    <w:name w:val="heading 2"/>
    <w:basedOn w:val="1"/>
    <w:next w:val="1"/>
    <w:unhideWhenUsed/>
    <w:qFormat/>
    <w:uiPriority w:val="0"/>
    <w:pPr>
      <w:keepNext/>
      <w:keepLines/>
      <w:spacing w:line="360" w:lineRule="auto"/>
      <w:jc w:val="left"/>
      <w:outlineLvl w:val="1"/>
    </w:pPr>
    <w:rPr>
      <w:b/>
      <w:bCs/>
      <w:sz w:val="24"/>
      <w:szCs w:val="32"/>
    </w:rPr>
  </w:style>
  <w:style w:type="paragraph" w:styleId="5">
    <w:name w:val="heading 3"/>
    <w:basedOn w:val="1"/>
    <w:next w:val="1"/>
    <w:unhideWhenUsed/>
    <w:qFormat/>
    <w:uiPriority w:val="9"/>
    <w:pPr>
      <w:spacing w:line="360" w:lineRule="auto"/>
      <w:jc w:val="left"/>
      <w:outlineLvl w:val="2"/>
    </w:pPr>
    <w:rPr>
      <w:rFonts w:hint="eastAsia" w:ascii="宋体" w:hAnsi="宋体" w:cs="Times New Roman"/>
      <w:b/>
      <w:bCs/>
      <w:kern w:val="0"/>
      <w:sz w:val="24"/>
      <w:szCs w:val="27"/>
    </w:rPr>
  </w:style>
  <w:style w:type="paragraph" w:styleId="6">
    <w:name w:val="heading 4"/>
    <w:basedOn w:val="1"/>
    <w:next w:val="1"/>
    <w:qFormat/>
    <w:uiPriority w:val="9"/>
    <w:pPr>
      <w:keepNext/>
      <w:keepLines/>
      <w:spacing w:before="280" w:after="290" w:line="376" w:lineRule="auto"/>
      <w:outlineLvl w:val="3"/>
    </w:pPr>
    <w:rPr>
      <w:rFonts w:ascii="Cambria" w:hAnsi="Cambria" w:cs="宋体"/>
      <w:b/>
      <w:bCs/>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table of figures"/>
    <w:basedOn w:val="1"/>
    <w:next w:val="1"/>
    <w:qFormat/>
    <w:uiPriority w:val="0"/>
    <w:pPr>
      <w:ind w:left="200" w:leftChars="200" w:hanging="200" w:hangingChars="200"/>
    </w:pPr>
    <w:rPr>
      <w:szCs w:val="24"/>
    </w:rPr>
  </w:style>
  <w:style w:type="paragraph" w:styleId="7">
    <w:name w:val="caption"/>
    <w:basedOn w:val="1"/>
    <w:next w:val="1"/>
    <w:qFormat/>
    <w:uiPriority w:val="0"/>
    <w:rPr>
      <w:rFonts w:ascii="Arial" w:hAnsi="Arial" w:eastAsia="黑体" w:cs="Arial"/>
      <w:sz w:val="20"/>
      <w:szCs w:val="20"/>
    </w:rPr>
  </w:style>
  <w:style w:type="paragraph" w:styleId="8">
    <w:name w:val="Document Map"/>
    <w:basedOn w:val="1"/>
    <w:link w:val="42"/>
    <w:unhideWhenUsed/>
    <w:qFormat/>
    <w:uiPriority w:val="99"/>
    <w:rPr>
      <w:rFonts w:ascii="宋体"/>
      <w:sz w:val="18"/>
      <w:szCs w:val="18"/>
    </w:rPr>
  </w:style>
  <w:style w:type="paragraph" w:styleId="9">
    <w:name w:val="toa heading"/>
    <w:basedOn w:val="1"/>
    <w:next w:val="1"/>
    <w:qFormat/>
    <w:uiPriority w:val="0"/>
    <w:pPr>
      <w:spacing w:before="120"/>
    </w:pPr>
    <w:rPr>
      <w:rFonts w:ascii="Arial" w:hAnsi="Arial" w:cs="Arial"/>
    </w:rPr>
  </w:style>
  <w:style w:type="paragraph" w:styleId="10">
    <w:name w:val="annotation text"/>
    <w:basedOn w:val="1"/>
    <w:link w:val="40"/>
    <w:unhideWhenUsed/>
    <w:qFormat/>
    <w:uiPriority w:val="99"/>
    <w:pPr>
      <w:jc w:val="left"/>
    </w:pPr>
  </w:style>
  <w:style w:type="paragraph" w:styleId="11">
    <w:name w:val="Body Text"/>
    <w:basedOn w:val="1"/>
    <w:next w:val="1"/>
    <w:link w:val="43"/>
    <w:qFormat/>
    <w:uiPriority w:val="0"/>
    <w:pPr>
      <w:spacing w:after="120"/>
    </w:pPr>
    <w:rPr>
      <w:rFonts w:cs="Times New Roman"/>
      <w:kern w:val="0"/>
      <w:sz w:val="20"/>
      <w:szCs w:val="24"/>
    </w:rPr>
  </w:style>
  <w:style w:type="paragraph" w:styleId="12">
    <w:name w:val="Body Text Indent"/>
    <w:basedOn w:val="1"/>
    <w:next w:val="13"/>
    <w:link w:val="44"/>
    <w:unhideWhenUsed/>
    <w:qFormat/>
    <w:uiPriority w:val="99"/>
    <w:pPr>
      <w:spacing w:after="120"/>
      <w:ind w:left="420" w:leftChars="200"/>
    </w:pPr>
  </w:style>
  <w:style w:type="paragraph" w:customStyle="1" w:styleId="13">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styleId="14">
    <w:name w:val="Plain Text"/>
    <w:basedOn w:val="1"/>
    <w:link w:val="58"/>
    <w:semiHidden/>
    <w:unhideWhenUsed/>
    <w:qFormat/>
    <w:uiPriority w:val="99"/>
    <w:rPr>
      <w:rFonts w:ascii="宋体" w:hAnsi="Courier New" w:cs="Courier New"/>
      <w:szCs w:val="21"/>
    </w:rPr>
  </w:style>
  <w:style w:type="paragraph" w:styleId="15">
    <w:name w:val="Body Text Indent 2"/>
    <w:basedOn w:val="1"/>
    <w:next w:val="16"/>
    <w:qFormat/>
    <w:uiPriority w:val="0"/>
    <w:pPr>
      <w:spacing w:after="120" w:line="480" w:lineRule="auto"/>
      <w:ind w:left="420" w:leftChars="200"/>
    </w:pPr>
  </w:style>
  <w:style w:type="paragraph" w:customStyle="1" w:styleId="16">
    <w:name w:val="表格文字"/>
    <w:basedOn w:val="1"/>
    <w:next w:val="1"/>
    <w:qFormat/>
    <w:uiPriority w:val="99"/>
    <w:pPr>
      <w:jc w:val="center"/>
    </w:pPr>
    <w:rPr>
      <w:rFonts w:ascii="仿宋_GB2312" w:hAnsi="Arial Black" w:eastAsia="仿宋_GB2312"/>
      <w:kern w:val="44"/>
    </w:rPr>
  </w:style>
  <w:style w:type="paragraph" w:styleId="17">
    <w:name w:val="Balloon Text"/>
    <w:basedOn w:val="1"/>
    <w:link w:val="45"/>
    <w:unhideWhenUsed/>
    <w:qFormat/>
    <w:uiPriority w:val="99"/>
    <w:rPr>
      <w:sz w:val="18"/>
      <w:szCs w:val="18"/>
    </w:rPr>
  </w:style>
  <w:style w:type="paragraph" w:styleId="18">
    <w:name w:val="footer"/>
    <w:basedOn w:val="1"/>
    <w:link w:val="46"/>
    <w:unhideWhenUsed/>
    <w:qFormat/>
    <w:uiPriority w:val="99"/>
    <w:pPr>
      <w:tabs>
        <w:tab w:val="center" w:pos="4153"/>
        <w:tab w:val="right" w:pos="8306"/>
      </w:tabs>
      <w:snapToGrid w:val="0"/>
      <w:jc w:val="left"/>
    </w:pPr>
    <w:rPr>
      <w:sz w:val="18"/>
      <w:szCs w:val="18"/>
    </w:rPr>
  </w:style>
  <w:style w:type="paragraph" w:styleId="19">
    <w:name w:val="header"/>
    <w:basedOn w:val="1"/>
    <w:next w:val="1"/>
    <w:link w:val="47"/>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index heading"/>
    <w:basedOn w:val="1"/>
    <w:next w:val="21"/>
    <w:unhideWhenUsed/>
    <w:qFormat/>
    <w:uiPriority w:val="99"/>
  </w:style>
  <w:style w:type="paragraph" w:styleId="21">
    <w:name w:val="index 1"/>
    <w:basedOn w:val="1"/>
    <w:next w:val="1"/>
    <w:unhideWhenUsed/>
    <w:qFormat/>
    <w:uiPriority w:val="99"/>
    <w:pPr>
      <w:spacing w:line="360" w:lineRule="auto"/>
      <w:ind w:firstLine="422" w:firstLineChars="200"/>
      <w:jc w:val="center"/>
    </w:pPr>
    <w:rPr>
      <w:b/>
      <w:bCs/>
    </w:rPr>
  </w:style>
  <w:style w:type="paragraph" w:styleId="22">
    <w:name w:val="Body Text Indent 3"/>
    <w:basedOn w:val="1"/>
    <w:link w:val="64"/>
    <w:unhideWhenUsed/>
    <w:qFormat/>
    <w:uiPriority w:val="0"/>
    <w:pPr>
      <w:spacing w:after="120"/>
      <w:ind w:left="420" w:leftChars="200"/>
    </w:pPr>
    <w:rPr>
      <w:rFonts w:cs="Times New Roman"/>
      <w:sz w:val="16"/>
      <w:szCs w:val="16"/>
      <w:lang w:val="zh-CN"/>
    </w:rPr>
  </w:style>
  <w:style w:type="paragraph" w:styleId="23">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0"/>
    <w:next w:val="10"/>
    <w:link w:val="41"/>
    <w:unhideWhenUsed/>
    <w:qFormat/>
    <w:uiPriority w:val="99"/>
    <w:rPr>
      <w:b/>
      <w:bCs/>
    </w:rPr>
  </w:style>
  <w:style w:type="paragraph" w:styleId="25">
    <w:name w:val="Body Text First Indent 2"/>
    <w:basedOn w:val="12"/>
    <w:next w:val="1"/>
    <w:unhideWhenUsed/>
    <w:qFormat/>
    <w:uiPriority w:val="99"/>
    <w:pPr>
      <w:widowControl/>
      <w:ind w:firstLine="420" w:firstLineChars="200"/>
      <w:jc w:val="left"/>
    </w:p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99"/>
  </w:style>
  <w:style w:type="character" w:styleId="30">
    <w:name w:val="FollowedHyperlink"/>
    <w:basedOn w:val="28"/>
    <w:semiHidden/>
    <w:unhideWhenUsed/>
    <w:qFormat/>
    <w:uiPriority w:val="0"/>
    <w:rPr>
      <w:color w:val="800080"/>
      <w:u w:val="none"/>
    </w:rPr>
  </w:style>
  <w:style w:type="character" w:styleId="31">
    <w:name w:val="Emphasis"/>
    <w:basedOn w:val="28"/>
    <w:qFormat/>
    <w:uiPriority w:val="20"/>
  </w:style>
  <w:style w:type="character" w:styleId="32">
    <w:name w:val="Hyperlink"/>
    <w:basedOn w:val="28"/>
    <w:semiHidden/>
    <w:unhideWhenUsed/>
    <w:qFormat/>
    <w:uiPriority w:val="0"/>
    <w:rPr>
      <w:color w:val="0000FF"/>
      <w:u w:val="none"/>
    </w:rPr>
  </w:style>
  <w:style w:type="character" w:styleId="33">
    <w:name w:val="annotation reference"/>
    <w:basedOn w:val="28"/>
    <w:unhideWhenUsed/>
    <w:qFormat/>
    <w:uiPriority w:val="99"/>
    <w:rPr>
      <w:sz w:val="21"/>
      <w:szCs w:val="21"/>
    </w:rPr>
  </w:style>
  <w:style w:type="paragraph" w:customStyle="1" w:styleId="34">
    <w:name w:val="Default"/>
    <w:basedOn w:val="35"/>
    <w:qFormat/>
    <w:uiPriority w:val="0"/>
    <w:pPr>
      <w:tabs>
        <w:tab w:val="left" w:pos="377"/>
      </w:tabs>
      <w:autoSpaceDE w:val="0"/>
      <w:autoSpaceDN w:val="0"/>
      <w:adjustRightInd w:val="0"/>
    </w:pPr>
    <w:rPr>
      <w:rFonts w:hAnsi="Times New Roman" w:cs="宋体"/>
      <w:color w:val="000000"/>
      <w:sz w:val="24"/>
      <w:szCs w:val="24"/>
    </w:rPr>
  </w:style>
  <w:style w:type="paragraph" w:customStyle="1" w:styleId="35">
    <w:name w:val="纯文本1"/>
    <w:basedOn w:val="1"/>
    <w:qFormat/>
    <w:uiPriority w:val="0"/>
    <w:rPr>
      <w:rFonts w:ascii="宋体" w:hAnsi="Courier New"/>
    </w:rPr>
  </w:style>
  <w:style w:type="paragraph" w:customStyle="1" w:styleId="36">
    <w:name w:val="简单回函地址"/>
    <w:basedOn w:val="1"/>
    <w:next w:val="37"/>
    <w:qFormat/>
    <w:uiPriority w:val="0"/>
    <w:pPr>
      <w:widowControl/>
    </w:pPr>
    <w:rPr>
      <w:rFonts w:ascii="宋体" w:hAnsi="宋体" w:cs="宋体"/>
      <w:kern w:val="0"/>
      <w:szCs w:val="20"/>
    </w:rPr>
  </w:style>
  <w:style w:type="paragraph" w:customStyle="1" w:styleId="37">
    <w:name w:val="正文2"/>
    <w:basedOn w:val="12"/>
    <w:next w:val="1"/>
    <w:qFormat/>
    <w:uiPriority w:val="0"/>
    <w:pPr>
      <w:spacing w:line="360" w:lineRule="auto"/>
    </w:pPr>
    <w:rPr>
      <w:rFonts w:eastAsia="仿宋_GB2312"/>
      <w:szCs w:val="28"/>
      <w:lang w:val="zh-CN"/>
    </w:rPr>
  </w:style>
  <w:style w:type="paragraph" w:customStyle="1" w:styleId="38">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39">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character" w:customStyle="1" w:styleId="40">
    <w:name w:val="批注文字 字符"/>
    <w:basedOn w:val="28"/>
    <w:link w:val="10"/>
    <w:semiHidden/>
    <w:qFormat/>
    <w:uiPriority w:val="99"/>
  </w:style>
  <w:style w:type="character" w:customStyle="1" w:styleId="41">
    <w:name w:val="批注主题 字符"/>
    <w:link w:val="24"/>
    <w:semiHidden/>
    <w:qFormat/>
    <w:uiPriority w:val="99"/>
    <w:rPr>
      <w:b/>
      <w:bCs/>
    </w:rPr>
  </w:style>
  <w:style w:type="character" w:customStyle="1" w:styleId="42">
    <w:name w:val="文档结构图 字符"/>
    <w:link w:val="8"/>
    <w:semiHidden/>
    <w:qFormat/>
    <w:uiPriority w:val="99"/>
    <w:rPr>
      <w:rFonts w:ascii="宋体" w:eastAsia="宋体"/>
      <w:sz w:val="18"/>
      <w:szCs w:val="18"/>
    </w:rPr>
  </w:style>
  <w:style w:type="character" w:customStyle="1" w:styleId="43">
    <w:name w:val="正文文本 字符"/>
    <w:link w:val="11"/>
    <w:qFormat/>
    <w:uiPriority w:val="0"/>
    <w:rPr>
      <w:szCs w:val="24"/>
    </w:rPr>
  </w:style>
  <w:style w:type="character" w:customStyle="1" w:styleId="44">
    <w:name w:val="正文文本缩进 字符"/>
    <w:basedOn w:val="28"/>
    <w:link w:val="12"/>
    <w:semiHidden/>
    <w:qFormat/>
    <w:uiPriority w:val="99"/>
  </w:style>
  <w:style w:type="character" w:customStyle="1" w:styleId="45">
    <w:name w:val="批注框文本 字符"/>
    <w:link w:val="17"/>
    <w:semiHidden/>
    <w:qFormat/>
    <w:uiPriority w:val="99"/>
    <w:rPr>
      <w:sz w:val="18"/>
      <w:szCs w:val="18"/>
    </w:rPr>
  </w:style>
  <w:style w:type="character" w:customStyle="1" w:styleId="46">
    <w:name w:val="页脚 字符"/>
    <w:link w:val="18"/>
    <w:qFormat/>
    <w:uiPriority w:val="99"/>
    <w:rPr>
      <w:sz w:val="18"/>
      <w:szCs w:val="18"/>
    </w:rPr>
  </w:style>
  <w:style w:type="character" w:customStyle="1" w:styleId="47">
    <w:name w:val="页眉 字符"/>
    <w:link w:val="19"/>
    <w:qFormat/>
    <w:uiPriority w:val="99"/>
    <w:rPr>
      <w:sz w:val="18"/>
      <w:szCs w:val="18"/>
    </w:rPr>
  </w:style>
  <w:style w:type="paragraph" w:customStyle="1" w:styleId="48">
    <w:name w:val="表格文字2"/>
    <w:basedOn w:val="1"/>
    <w:qFormat/>
    <w:uiPriority w:val="0"/>
    <w:pPr>
      <w:adjustRightInd w:val="0"/>
      <w:spacing w:before="60"/>
      <w:jc w:val="center"/>
      <w:textAlignment w:val="baseline"/>
    </w:pPr>
    <w:rPr>
      <w:rFonts w:ascii="宋体" w:cs="Times New Roman"/>
      <w:kern w:val="0"/>
      <w:sz w:val="24"/>
      <w:szCs w:val="20"/>
    </w:rPr>
  </w:style>
  <w:style w:type="paragraph" w:customStyle="1" w:styleId="49">
    <w:name w:val="表"/>
    <w:basedOn w:val="1"/>
    <w:qFormat/>
    <w:uiPriority w:val="0"/>
    <w:pPr>
      <w:spacing w:line="240" w:lineRule="exact"/>
    </w:pPr>
    <w:rPr>
      <w:rFonts w:ascii="仿宋_GB2312" w:hAnsi="宋体" w:eastAsia="仿宋_GB2312" w:cs="Times New Roman"/>
      <w:sz w:val="18"/>
      <w:szCs w:val="20"/>
    </w:rPr>
  </w:style>
  <w:style w:type="paragraph" w:customStyle="1" w:styleId="50">
    <w:name w:val="表格内容"/>
    <w:basedOn w:val="1"/>
    <w:next w:val="3"/>
    <w:link w:val="51"/>
    <w:qFormat/>
    <w:uiPriority w:val="0"/>
    <w:pPr>
      <w:jc w:val="center"/>
    </w:pPr>
    <w:rPr>
      <w:rFonts w:eastAsia="Times New Roman" w:cs="Times New Roman"/>
      <w:kern w:val="0"/>
      <w:sz w:val="20"/>
      <w:szCs w:val="21"/>
    </w:rPr>
  </w:style>
  <w:style w:type="character" w:customStyle="1" w:styleId="51">
    <w:name w:val="表格内容 Char"/>
    <w:link w:val="50"/>
    <w:qFormat/>
    <w:uiPriority w:val="0"/>
    <w:rPr>
      <w:rFonts w:ascii="Times New Roman" w:hAnsi="Times New Roman" w:eastAsia="Times New Roman" w:cs="Times New Roman"/>
      <w:szCs w:val="21"/>
    </w:rPr>
  </w:style>
  <w:style w:type="paragraph" w:customStyle="1" w:styleId="52">
    <w:name w:val="表格首行"/>
    <w:basedOn w:val="1"/>
    <w:next w:val="1"/>
    <w:qFormat/>
    <w:uiPriority w:val="0"/>
    <w:pPr>
      <w:jc w:val="center"/>
    </w:pPr>
    <w:rPr>
      <w:rFonts w:cs="宋体"/>
      <w:b/>
      <w:szCs w:val="20"/>
    </w:rPr>
  </w:style>
  <w:style w:type="paragraph" w:customStyle="1" w:styleId="53">
    <w:name w:val="正文-欣欣"/>
    <w:basedOn w:val="14"/>
    <w:next w:val="1"/>
    <w:qFormat/>
    <w:uiPriority w:val="0"/>
    <w:pPr>
      <w:adjustRightInd w:val="0"/>
      <w:spacing w:line="360" w:lineRule="auto"/>
      <w:ind w:firstLine="200" w:firstLineChars="200"/>
    </w:pPr>
    <w:rPr>
      <w:rFonts w:cs="Times New Roman"/>
      <w:sz w:val="24"/>
      <w:szCs w:val="30"/>
    </w:rPr>
  </w:style>
  <w:style w:type="character" w:customStyle="1" w:styleId="54">
    <w:name w:val="正文文本 Char1"/>
    <w:basedOn w:val="28"/>
    <w:semiHidden/>
    <w:qFormat/>
    <w:uiPriority w:val="99"/>
  </w:style>
  <w:style w:type="character" w:customStyle="1" w:styleId="55">
    <w:name w:val="占位符文本1"/>
    <w:semiHidden/>
    <w:qFormat/>
    <w:uiPriority w:val="99"/>
    <w:rPr>
      <w:color w:val="808080"/>
    </w:rPr>
  </w:style>
  <w:style w:type="table" w:customStyle="1" w:styleId="56">
    <w:name w:val="网格型1"/>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7">
    <w:name w:val="网格型2"/>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8">
    <w:name w:val="纯文本 字符"/>
    <w:link w:val="14"/>
    <w:semiHidden/>
    <w:qFormat/>
    <w:uiPriority w:val="99"/>
    <w:rPr>
      <w:rFonts w:ascii="宋体" w:hAnsi="Courier New" w:cs="Courier New"/>
      <w:kern w:val="2"/>
      <w:sz w:val="21"/>
      <w:szCs w:val="21"/>
    </w:rPr>
  </w:style>
  <w:style w:type="paragraph" w:customStyle="1" w:styleId="59">
    <w:name w:val="章节目录"/>
    <w:basedOn w:val="1"/>
    <w:link w:val="60"/>
    <w:qFormat/>
    <w:uiPriority w:val="0"/>
    <w:pPr>
      <w:spacing w:line="360" w:lineRule="auto"/>
      <w:outlineLvl w:val="0"/>
    </w:pPr>
    <w:rPr>
      <w:b/>
      <w:sz w:val="28"/>
      <w:szCs w:val="28"/>
    </w:rPr>
  </w:style>
  <w:style w:type="character" w:customStyle="1" w:styleId="60">
    <w:name w:val="章节目录 Char"/>
    <w:link w:val="59"/>
    <w:qFormat/>
    <w:uiPriority w:val="0"/>
    <w:rPr>
      <w:rFonts w:cs="黑体"/>
      <w:b/>
      <w:kern w:val="2"/>
      <w:sz w:val="28"/>
      <w:szCs w:val="28"/>
    </w:rPr>
  </w:style>
  <w:style w:type="paragraph" w:customStyle="1" w:styleId="61">
    <w:name w:val="Char4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62">
    <w:name w:val="表头"/>
    <w:basedOn w:val="1"/>
    <w:link w:val="63"/>
    <w:qFormat/>
    <w:uiPriority w:val="0"/>
    <w:pPr>
      <w:spacing w:line="360" w:lineRule="auto"/>
      <w:jc w:val="center"/>
    </w:pPr>
    <w:rPr>
      <w:rFonts w:eastAsia="黑体" w:cs="Times New Roman"/>
      <w:color w:val="FF0000"/>
      <w:szCs w:val="21"/>
    </w:rPr>
  </w:style>
  <w:style w:type="character" w:customStyle="1" w:styleId="63">
    <w:name w:val="表头 Char"/>
    <w:link w:val="62"/>
    <w:qFormat/>
    <w:uiPriority w:val="0"/>
    <w:rPr>
      <w:rFonts w:eastAsia="黑体"/>
      <w:color w:val="FF0000"/>
      <w:kern w:val="2"/>
      <w:sz w:val="21"/>
      <w:szCs w:val="21"/>
    </w:rPr>
  </w:style>
  <w:style w:type="character" w:customStyle="1" w:styleId="64">
    <w:name w:val="正文文本缩进 3 字符"/>
    <w:link w:val="22"/>
    <w:qFormat/>
    <w:uiPriority w:val="0"/>
    <w:rPr>
      <w:kern w:val="2"/>
      <w:sz w:val="16"/>
      <w:szCs w:val="16"/>
      <w:lang w:val="zh-CN" w:eastAsia="zh-CN"/>
    </w:rPr>
  </w:style>
  <w:style w:type="paragraph" w:customStyle="1" w:styleId="65">
    <w:name w:val="四级标题"/>
    <w:basedOn w:val="1"/>
    <w:link w:val="66"/>
    <w:qFormat/>
    <w:uiPriority w:val="0"/>
    <w:pPr>
      <w:spacing w:line="360" w:lineRule="auto"/>
      <w:ind w:firstLine="200" w:firstLineChars="200"/>
      <w:outlineLvl w:val="3"/>
    </w:pPr>
    <w:rPr>
      <w:rFonts w:cs="Times New Roman"/>
      <w:b/>
      <w:sz w:val="24"/>
      <w:szCs w:val="24"/>
    </w:rPr>
  </w:style>
  <w:style w:type="character" w:customStyle="1" w:styleId="66">
    <w:name w:val="四级标题 Char"/>
    <w:link w:val="65"/>
    <w:qFormat/>
    <w:uiPriority w:val="0"/>
    <w:rPr>
      <w:b/>
      <w:kern w:val="2"/>
      <w:sz w:val="24"/>
      <w:szCs w:val="24"/>
    </w:rPr>
  </w:style>
  <w:style w:type="paragraph" w:customStyle="1" w:styleId="67">
    <w:name w:val="报告表格"/>
    <w:basedOn w:val="1"/>
    <w:link w:val="68"/>
    <w:qFormat/>
    <w:uiPriority w:val="0"/>
    <w:pPr>
      <w:autoSpaceDE w:val="0"/>
      <w:autoSpaceDN w:val="0"/>
      <w:adjustRightInd w:val="0"/>
      <w:spacing w:before="40" w:after="40"/>
      <w:jc w:val="center"/>
      <w:textAlignment w:val="bottom"/>
    </w:pPr>
    <w:rPr>
      <w:rFonts w:cs="Times New Roman"/>
      <w:kern w:val="0"/>
      <w:szCs w:val="20"/>
    </w:rPr>
  </w:style>
  <w:style w:type="character" w:customStyle="1" w:styleId="68">
    <w:name w:val="报告表格 Char"/>
    <w:link w:val="67"/>
    <w:qFormat/>
    <w:uiPriority w:val="0"/>
    <w:rPr>
      <w:sz w:val="21"/>
    </w:rPr>
  </w:style>
  <w:style w:type="paragraph" w:styleId="69">
    <w:name w:val="List Paragraph"/>
    <w:basedOn w:val="1"/>
    <w:qFormat/>
    <w:uiPriority w:val="99"/>
    <w:pPr>
      <w:ind w:firstLine="420" w:firstLineChars="200"/>
    </w:pPr>
  </w:style>
  <w:style w:type="paragraph" w:customStyle="1" w:styleId="70">
    <w:name w:val="宋-正文"/>
    <w:basedOn w:val="1"/>
    <w:qFormat/>
    <w:uiPriority w:val="0"/>
    <w:pPr>
      <w:autoSpaceDE w:val="0"/>
      <w:autoSpaceDN w:val="0"/>
      <w:adjustRightInd w:val="0"/>
      <w:spacing w:line="360" w:lineRule="auto"/>
      <w:ind w:firstLine="200" w:firstLineChars="200"/>
    </w:pPr>
    <w:rPr>
      <w:kern w:val="0"/>
      <w:sz w:val="24"/>
    </w:rPr>
  </w:style>
  <w:style w:type="paragraph" w:customStyle="1" w:styleId="71">
    <w:name w:val="报告"/>
    <w:basedOn w:val="1"/>
    <w:qFormat/>
    <w:uiPriority w:val="0"/>
    <w:pPr>
      <w:spacing w:beforeLines="30" w:afterLines="30" w:line="400" w:lineRule="atLeast"/>
      <w:ind w:firstLine="200" w:firstLineChars="200"/>
    </w:pPr>
    <w:rPr>
      <w:rFonts w:ascii="Calibri" w:hAnsi="Calibri" w:cs="Times New Roman"/>
      <w:sz w:val="24"/>
    </w:rPr>
  </w:style>
  <w:style w:type="paragraph" w:customStyle="1" w:styleId="72">
    <w:name w:val="A表内文字"/>
    <w:basedOn w:val="1"/>
    <w:next w:val="1"/>
    <w:qFormat/>
    <w:uiPriority w:val="0"/>
    <w:pPr>
      <w:autoSpaceDE w:val="0"/>
      <w:autoSpaceDN w:val="0"/>
      <w:adjustRightInd w:val="0"/>
      <w:jc w:val="center"/>
    </w:pPr>
    <w:rPr>
      <w:rFonts w:cs="Times New Roman"/>
      <w:szCs w:val="24"/>
    </w:rPr>
  </w:style>
  <w:style w:type="paragraph" w:customStyle="1" w:styleId="73">
    <w:name w:val="表1"/>
    <w:basedOn w:val="1"/>
    <w:qFormat/>
    <w:uiPriority w:val="0"/>
    <w:pPr>
      <w:spacing w:line="260" w:lineRule="exact"/>
      <w:jc w:val="center"/>
    </w:pPr>
    <w:rPr>
      <w:sz w:val="18"/>
      <w:szCs w:val="20"/>
    </w:rPr>
  </w:style>
  <w:style w:type="paragraph" w:customStyle="1" w:styleId="74">
    <w:name w:val="正文-蓝色"/>
    <w:basedOn w:val="53"/>
    <w:next w:val="1"/>
    <w:qFormat/>
    <w:uiPriority w:val="0"/>
    <w:rPr>
      <w:color w:val="FF0000"/>
      <w:szCs w:val="28"/>
    </w:rPr>
  </w:style>
  <w:style w:type="paragraph" w:customStyle="1" w:styleId="75">
    <w:name w:val="1、L表内字"/>
    <w:basedOn w:val="1"/>
    <w:qFormat/>
    <w:uiPriority w:val="0"/>
    <w:pPr>
      <w:adjustRightInd w:val="0"/>
      <w:snapToGrid w:val="0"/>
      <w:jc w:val="center"/>
    </w:pPr>
    <w:rPr>
      <w:color w:val="000000"/>
      <w:szCs w:val="21"/>
    </w:rPr>
  </w:style>
  <w:style w:type="paragraph" w:customStyle="1" w:styleId="76">
    <w:name w:val="表内字"/>
    <w:basedOn w:val="1"/>
    <w:qFormat/>
    <w:uiPriority w:val="0"/>
    <w:pPr>
      <w:jc w:val="center"/>
    </w:pPr>
    <w:rPr>
      <w:szCs w:val="18"/>
    </w:rPr>
  </w:style>
  <w:style w:type="paragraph" w:customStyle="1" w:styleId="77">
    <w:name w:val="rpt_表项"/>
    <w:basedOn w:val="1"/>
    <w:qFormat/>
    <w:uiPriority w:val="0"/>
    <w:pPr>
      <w:spacing w:before="60" w:after="60"/>
      <w:jc w:val="center"/>
    </w:pPr>
    <w:rPr>
      <w:rFonts w:cs="宋体"/>
      <w:sz w:val="22"/>
      <w:szCs w:val="20"/>
    </w:rPr>
  </w:style>
  <w:style w:type="paragraph" w:customStyle="1" w:styleId="78">
    <w:name w:val="样式 表格 32 + 首行缩进:  2 字符"/>
    <w:basedOn w:val="1"/>
    <w:qFormat/>
    <w:uiPriority w:val="0"/>
    <w:pPr>
      <w:autoSpaceDE w:val="0"/>
      <w:autoSpaceDN w:val="0"/>
      <w:adjustRightInd w:val="0"/>
      <w:spacing w:line="0" w:lineRule="atLeast"/>
      <w:jc w:val="center"/>
      <w:textAlignment w:val="baseline"/>
    </w:pPr>
    <w:rPr>
      <w:szCs w:val="21"/>
    </w:rPr>
  </w:style>
  <w:style w:type="character" w:customStyle="1" w:styleId="79">
    <w:name w:val="NormalCharacter"/>
    <w:semiHidden/>
    <w:qFormat/>
    <w:uiPriority w:val="0"/>
  </w:style>
  <w:style w:type="paragraph" w:customStyle="1" w:styleId="80">
    <w:name w:val="龚艺正文"/>
    <w:basedOn w:val="1"/>
    <w:qFormat/>
    <w:uiPriority w:val="0"/>
    <w:pPr>
      <w:overflowPunct w:val="0"/>
      <w:spacing w:line="360" w:lineRule="auto"/>
      <w:ind w:firstLine="200" w:firstLineChars="200"/>
      <w:textAlignment w:val="baseline"/>
    </w:pPr>
    <w:rPr>
      <w:color w:val="000000"/>
      <w:sz w:val="24"/>
    </w:rPr>
  </w:style>
  <w:style w:type="paragraph" w:customStyle="1" w:styleId="81">
    <w:name w:val="宋-表名"/>
    <w:basedOn w:val="82"/>
    <w:next w:val="82"/>
    <w:qFormat/>
    <w:uiPriority w:val="1"/>
    <w:pPr>
      <w:spacing w:line="240" w:lineRule="auto"/>
      <w:ind w:firstLine="0"/>
      <w:jc w:val="center"/>
    </w:pPr>
    <w:rPr>
      <w:b/>
      <w:sz w:val="21"/>
    </w:rPr>
  </w:style>
  <w:style w:type="paragraph" w:customStyle="1" w:styleId="82">
    <w:name w:val="A6正文"/>
    <w:basedOn w:val="1"/>
    <w:qFormat/>
    <w:uiPriority w:val="2"/>
    <w:pPr>
      <w:spacing w:line="360" w:lineRule="auto"/>
      <w:ind w:firstLine="482"/>
    </w:pPr>
    <w:rPr>
      <w:sz w:val="24"/>
    </w:rPr>
  </w:style>
  <w:style w:type="paragraph" w:customStyle="1" w:styleId="83">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8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85">
    <w:name w:val="Table Grid_0"/>
    <w:basedOn w:val="26"/>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6">
    <w:name w:val="No Spacing"/>
    <w:qFormat/>
    <w:uiPriority w:val="1"/>
    <w:pPr>
      <w:widowControl w:val="0"/>
      <w:spacing w:beforeLines="50" w:afterLines="50" w:line="360" w:lineRule="auto"/>
      <w:jc w:val="both"/>
    </w:pPr>
    <w:rPr>
      <w:rFonts w:ascii="Calibri" w:hAnsi="Calibri" w:eastAsia="宋体" w:cs="Times New Roman"/>
      <w:kern w:val="2"/>
      <w:sz w:val="24"/>
      <w:szCs w:val="22"/>
      <w:lang w:val="en-US" w:eastAsia="zh-CN" w:bidi="ar-SA"/>
    </w:rPr>
  </w:style>
  <w:style w:type="character" w:customStyle="1" w:styleId="87">
    <w:name w:val="disabled"/>
    <w:basedOn w:val="28"/>
    <w:qFormat/>
    <w:uiPriority w:val="0"/>
    <w:rPr>
      <w:vanish/>
    </w:rPr>
  </w:style>
  <w:style w:type="character" w:customStyle="1" w:styleId="88">
    <w:name w:val="znspantitle"/>
    <w:basedOn w:val="28"/>
    <w:qFormat/>
    <w:uiPriority w:val="0"/>
    <w:rPr>
      <w:b/>
      <w:bCs/>
      <w:color w:val="333333"/>
    </w:rPr>
  </w:style>
  <w:style w:type="character" w:customStyle="1" w:styleId="89">
    <w:name w:val="fontstyle01"/>
    <w:qFormat/>
    <w:uiPriority w:val="0"/>
    <w:rPr>
      <w:rFonts w:ascii="宋体" w:hAnsi="宋体" w:eastAsia="宋体" w:cs="宋体"/>
      <w:color w:val="000000"/>
      <w:kern w:val="0"/>
      <w:sz w:val="24"/>
      <w:szCs w:val="24"/>
    </w:rPr>
  </w:style>
  <w:style w:type="paragraph" w:customStyle="1" w:styleId="90">
    <w:name w:val="纯文本3"/>
    <w:basedOn w:val="1"/>
    <w:qFormat/>
    <w:uiPriority w:val="0"/>
    <w:pPr>
      <w:adjustRightInd w:val="0"/>
      <w:spacing w:line="312" w:lineRule="atLeast"/>
      <w:textAlignment w:val="baseline"/>
    </w:pPr>
    <w:rPr>
      <w:caps/>
      <w:kern w:val="0"/>
      <w:szCs w:val="20"/>
    </w:rPr>
  </w:style>
  <w:style w:type="paragraph" w:customStyle="1" w:styleId="91">
    <w:name w:val="+++正文、"/>
    <w:basedOn w:val="1"/>
    <w:qFormat/>
    <w:uiPriority w:val="0"/>
    <w:pPr>
      <w:autoSpaceDE w:val="0"/>
      <w:autoSpaceDN w:val="0"/>
      <w:adjustRightInd w:val="0"/>
      <w:spacing w:line="360" w:lineRule="auto"/>
      <w:ind w:firstLine="200" w:firstLineChars="200"/>
    </w:pPr>
    <w:rPr>
      <w:rFonts w:ascii="Calibri" w:hAnsi="Calibri" w:cs="Times New Roman"/>
      <w:sz w:val="24"/>
      <w:szCs w:val="24"/>
    </w:rPr>
  </w:style>
  <w:style w:type="paragraph" w:customStyle="1" w:styleId="92">
    <w:name w:val="标准正文"/>
    <w:qFormat/>
    <w:uiPriority w:val="0"/>
    <w:pPr>
      <w:keepNext/>
      <w:keepLines/>
      <w:snapToGrid w:val="0"/>
      <w:spacing w:before="50" w:beforeLines="50" w:after="50" w:afterLines="50" w:line="360" w:lineRule="auto"/>
      <w:ind w:firstLine="200" w:firstLineChars="200"/>
      <w:jc w:val="both"/>
    </w:pPr>
    <w:rPr>
      <w:rFonts w:ascii="Times New Roman" w:hAnsi="Times New Roman" w:eastAsia="宋体" w:cs="Times New Roman"/>
      <w:sz w:val="24"/>
      <w:szCs w:val="24"/>
      <w:lang w:val="en-US" w:eastAsia="zh-CN" w:bidi="ar-SA"/>
    </w:rPr>
  </w:style>
  <w:style w:type="character" w:customStyle="1" w:styleId="93">
    <w:name w:val="font61"/>
    <w:basedOn w:val="28"/>
    <w:qFormat/>
    <w:uiPriority w:val="0"/>
    <w:rPr>
      <w:rFonts w:hint="eastAsia" w:ascii="宋体" w:hAnsi="宋体" w:eastAsia="宋体" w:cs="宋体"/>
      <w:color w:val="000000"/>
      <w:sz w:val="28"/>
      <w:szCs w:val="28"/>
      <w:u w:val="none"/>
      <w:vertAlign w:val="superscript"/>
    </w:rPr>
  </w:style>
  <w:style w:type="character" w:customStyle="1" w:styleId="94">
    <w:name w:val="font51"/>
    <w:basedOn w:val="28"/>
    <w:qFormat/>
    <w:uiPriority w:val="0"/>
    <w:rPr>
      <w:rFonts w:ascii="Calibri" w:hAnsi="Calibri" w:cs="Calibri"/>
      <w:color w:val="000000"/>
      <w:sz w:val="28"/>
      <w:szCs w:val="28"/>
      <w:u w:val="none"/>
    </w:rPr>
  </w:style>
  <w:style w:type="character" w:customStyle="1" w:styleId="95">
    <w:name w:val="font71"/>
    <w:basedOn w:val="28"/>
    <w:qFormat/>
    <w:uiPriority w:val="0"/>
    <w:rPr>
      <w:rFonts w:hint="eastAsia" w:ascii="宋体" w:hAnsi="宋体" w:eastAsia="宋体" w:cs="宋体"/>
      <w:color w:val="000000"/>
      <w:sz w:val="28"/>
      <w:szCs w:val="28"/>
      <w:u w:val="none"/>
    </w:rPr>
  </w:style>
  <w:style w:type="character" w:customStyle="1" w:styleId="96">
    <w:name w:val="font21"/>
    <w:basedOn w:val="28"/>
    <w:qFormat/>
    <w:uiPriority w:val="0"/>
    <w:rPr>
      <w:rFonts w:hint="eastAsia" w:ascii="宋体" w:hAnsi="宋体" w:eastAsia="宋体" w:cs="宋体"/>
      <w:color w:val="000000"/>
      <w:sz w:val="18"/>
      <w:szCs w:val="18"/>
      <w:u w:val="none"/>
    </w:rPr>
  </w:style>
  <w:style w:type="paragraph" w:customStyle="1" w:styleId="97">
    <w:name w:val="小四缩进2"/>
    <w:basedOn w:val="1"/>
    <w:qFormat/>
    <w:uiPriority w:val="0"/>
    <w:pPr>
      <w:adjustRightInd w:val="0"/>
      <w:snapToGrid w:val="0"/>
      <w:spacing w:line="360" w:lineRule="auto"/>
      <w:ind w:firstLine="480" w:firstLineChars="200"/>
    </w:pPr>
    <w:rPr>
      <w:rFonts w:ascii="Calibri" w:hAnsi="Calibri" w:cs="Calibri"/>
      <w:sz w:val="24"/>
      <w:szCs w:val="24"/>
    </w:rPr>
  </w:style>
  <w:style w:type="paragraph" w:customStyle="1" w:styleId="98">
    <w:name w:val="Normal_44"/>
    <w:qFormat/>
    <w:uiPriority w:val="0"/>
    <w:pPr>
      <w:spacing w:before="120" w:after="240"/>
      <w:jc w:val="both"/>
    </w:pPr>
    <w:rPr>
      <w:rFonts w:ascii="Calibri" w:hAnsi="Calibri" w:eastAsia="Calibri" w:cs="Times New Roman"/>
      <w:sz w:val="22"/>
      <w:szCs w:val="22"/>
      <w:lang w:val="ru-RU" w:eastAsia="en-US" w:bidi="ar-SA"/>
    </w:rPr>
  </w:style>
  <w:style w:type="paragraph" w:customStyle="1" w:styleId="99">
    <w:name w:val="表格"/>
    <w:basedOn w:val="1"/>
    <w:qFormat/>
    <w:uiPriority w:val="0"/>
    <w:pPr>
      <w:jc w:val="center"/>
    </w:pPr>
    <w:rPr>
      <w:szCs w:val="21"/>
    </w:rPr>
  </w:style>
  <w:style w:type="paragraph" w:customStyle="1" w:styleId="100">
    <w:name w:val="无间隔1"/>
    <w:next w:val="1"/>
    <w:qFormat/>
    <w:uiPriority w:val="0"/>
    <w:pPr>
      <w:widowControl w:val="0"/>
      <w:jc w:val="center"/>
    </w:pPr>
    <w:rPr>
      <w:rFonts w:ascii="Times New Roman" w:hAnsi="Times New Roman" w:eastAsia="宋体" w:cs="Times New Roman"/>
      <w:kern w:val="2"/>
      <w:sz w:val="21"/>
      <w:szCs w:val="22"/>
      <w:lang w:val="en-US" w:eastAsia="zh-CN" w:bidi="ar-SA"/>
    </w:rPr>
  </w:style>
  <w:style w:type="character" w:customStyle="1" w:styleId="101">
    <w:name w:val="font11"/>
    <w:basedOn w:val="28"/>
    <w:qFormat/>
    <w:uiPriority w:val="0"/>
    <w:rPr>
      <w:rFonts w:hint="default" w:ascii="Times New Roman" w:hAnsi="Times New Roman" w:cs="Times New Roman"/>
      <w:color w:val="000000"/>
      <w:sz w:val="21"/>
      <w:szCs w:val="21"/>
      <w:u w:val="none"/>
    </w:rPr>
  </w:style>
  <w:style w:type="character" w:customStyle="1" w:styleId="102">
    <w:name w:val="font31"/>
    <w:basedOn w:val="28"/>
    <w:qFormat/>
    <w:uiPriority w:val="0"/>
    <w:rPr>
      <w:rFonts w:hint="eastAsia" w:ascii="宋体" w:hAnsi="宋体" w:eastAsia="宋体" w:cs="宋体"/>
      <w:color w:val="000000"/>
      <w:sz w:val="21"/>
      <w:szCs w:val="21"/>
      <w:u w:val="none"/>
    </w:rPr>
  </w:style>
  <w:style w:type="paragraph" w:customStyle="1" w:styleId="103">
    <w:name w:val="样式 小四 居中 行距: 固定值 24 磅"/>
    <w:basedOn w:val="1"/>
    <w:qFormat/>
    <w:uiPriority w:val="0"/>
    <w:pPr>
      <w:spacing w:line="360" w:lineRule="auto"/>
      <w:jc w:val="center"/>
    </w:pPr>
    <w:rPr>
      <w:rFonts w:cs="宋体"/>
      <w:sz w:val="24"/>
      <w:szCs w:val="20"/>
    </w:rPr>
  </w:style>
  <w:style w:type="paragraph" w:customStyle="1" w:styleId="104">
    <w:name w:val="rpt_Cover_项目名称"/>
    <w:basedOn w:val="105"/>
    <w:qFormat/>
    <w:uiPriority w:val="0"/>
  </w:style>
  <w:style w:type="paragraph" w:customStyle="1" w:styleId="105">
    <w:name w:val="rpt_Cover_项目内容"/>
    <w:basedOn w:val="1"/>
    <w:qFormat/>
    <w:uiPriority w:val="0"/>
    <w:rPr>
      <w:sz w:val="30"/>
      <w:szCs w:val="30"/>
    </w:rPr>
  </w:style>
  <w:style w:type="paragraph" w:customStyle="1" w:styleId="106">
    <w:name w:val="报告正文"/>
    <w:basedOn w:val="1"/>
    <w:qFormat/>
    <w:uiPriority w:val="0"/>
    <w:pPr>
      <w:adjustRightInd w:val="0"/>
      <w:snapToGrid w:val="0"/>
      <w:spacing w:line="360" w:lineRule="auto"/>
      <w:ind w:firstLine="200" w:firstLineChars="200"/>
    </w:pPr>
    <w:rPr>
      <w:sz w:val="24"/>
    </w:rPr>
  </w:style>
  <w:style w:type="paragraph" w:customStyle="1" w:styleId="107">
    <w:name w:val="Table Paragraph"/>
    <w:basedOn w:val="1"/>
    <w:qFormat/>
    <w:uiPriority w:val="1"/>
    <w:rPr>
      <w:rFonts w:ascii="宋体" w:hAnsi="宋体" w:cs="宋体"/>
      <w:lang w:val="zh-CN" w:bidi="zh-CN"/>
    </w:rPr>
  </w:style>
  <w:style w:type="paragraph" w:customStyle="1" w:styleId="108">
    <w:name w:val="表格内文字"/>
    <w:basedOn w:val="1"/>
    <w:next w:val="1"/>
    <w:qFormat/>
    <w:uiPriority w:val="0"/>
    <w:pPr>
      <w:jc w:val="center"/>
    </w:pPr>
  </w:style>
  <w:style w:type="paragraph" w:customStyle="1" w:styleId="109">
    <w:name w:val="_Style 4"/>
    <w:qFormat/>
    <w:uiPriority w:val="1"/>
    <w:pPr>
      <w:widowControl w:val="0"/>
      <w:spacing w:line="440" w:lineRule="exact"/>
      <w:jc w:val="both"/>
    </w:pPr>
    <w:rPr>
      <w:rFonts w:ascii="Times New Roman" w:hAnsi="Times New Roman" w:eastAsia="仿宋_GB2312" w:cs="Times New Roman"/>
      <w:kern w:val="2"/>
      <w:sz w:val="24"/>
      <w:szCs w:val="24"/>
      <w:lang w:val="en-US" w:eastAsia="zh-CN" w:bidi="ar-SA"/>
    </w:rPr>
  </w:style>
  <w:style w:type="character" w:customStyle="1" w:styleId="110">
    <w:name w:val="font01"/>
    <w:basedOn w:val="28"/>
    <w:qFormat/>
    <w:uiPriority w:val="0"/>
    <w:rPr>
      <w:rFonts w:hint="eastAsia" w:ascii="宋体" w:hAnsi="宋体" w:eastAsia="宋体" w:cs="宋体"/>
      <w:b/>
      <w:bCs/>
      <w:color w:val="000000"/>
      <w:sz w:val="21"/>
      <w:szCs w:val="21"/>
      <w:u w:val="none"/>
    </w:rPr>
  </w:style>
  <w:style w:type="paragraph" w:customStyle="1" w:styleId="111">
    <w:name w:val="正文首行缩进1"/>
    <w:basedOn w:val="11"/>
    <w:qFormat/>
    <w:uiPriority w:val="0"/>
    <w:pPr>
      <w:ind w:firstLine="420" w:firstLineChars="100"/>
    </w:pPr>
    <w:rPr>
      <w:szCs w:val="21"/>
    </w:rPr>
  </w:style>
  <w:style w:type="table" w:customStyle="1" w:styleId="112">
    <w:name w:val="Table Normal"/>
    <w:unhideWhenUsed/>
    <w:qFormat/>
    <w:uiPriority w:val="0"/>
    <w:tblPr>
      <w:tblCellMar>
        <w:top w:w="0" w:type="dxa"/>
        <w:left w:w="0" w:type="dxa"/>
        <w:bottom w:w="0" w:type="dxa"/>
        <w:right w:w="0" w:type="dxa"/>
      </w:tblCellMar>
    </w:tblPr>
  </w:style>
  <w:style w:type="paragraph" w:customStyle="1" w:styleId="113">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7.png"/><Relationship Id="rId40" Type="http://schemas.openxmlformats.org/officeDocument/2006/relationships/image" Target="media/image26.wmf"/><Relationship Id="rId4" Type="http://schemas.openxmlformats.org/officeDocument/2006/relationships/footer" Target="footer1.xml"/><Relationship Id="rId39" Type="http://schemas.openxmlformats.org/officeDocument/2006/relationships/oleObject" Target="embeddings/oleObject7.bin"/><Relationship Id="rId38" Type="http://schemas.openxmlformats.org/officeDocument/2006/relationships/image" Target="media/image25.wmf"/><Relationship Id="rId37" Type="http://schemas.openxmlformats.org/officeDocument/2006/relationships/oleObject" Target="embeddings/oleObject6.bin"/><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header" Target="head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emf"/><Relationship Id="rId22" Type="http://schemas.openxmlformats.org/officeDocument/2006/relationships/oleObject" Target="embeddings/oleObject5.bin"/><Relationship Id="rId21" Type="http://schemas.openxmlformats.org/officeDocument/2006/relationships/image" Target="media/image10.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3.bin"/><Relationship Id="rId17" Type="http://schemas.openxmlformats.org/officeDocument/2006/relationships/image" Target="media/image8.emf"/><Relationship Id="rId16" Type="http://schemas.openxmlformats.org/officeDocument/2006/relationships/oleObject" Target="embeddings/oleObject2.bin"/><Relationship Id="rId15" Type="http://schemas.openxmlformats.org/officeDocument/2006/relationships/image" Target="media/image7.emf"/><Relationship Id="rId14" Type="http://schemas.openxmlformats.org/officeDocument/2006/relationships/oleObject" Target="embeddings/oleObject1.bin"/><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9BBEF4-A1BF-46D5-81C8-979E0E58305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144</Pages>
  <Words>89231</Words>
  <Characters>110584</Characters>
  <Lines>872</Lines>
  <Paragraphs>245</Paragraphs>
  <TotalTime>12</TotalTime>
  <ScaleCrop>false</ScaleCrop>
  <LinksUpToDate>false</LinksUpToDate>
  <CharactersWithSpaces>111207</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2015-06-30T08:58:00Z</dcterms:created>
  <dc:creator>Yc.</dc:creator>
  <cp:lastModifiedBy>Administrator</cp:lastModifiedBy>
  <cp:lastPrinted>2023-08-11T06:41:00Z</cp:lastPrinted>
  <dcterms:modified xsi:type="dcterms:W3CDTF">2023-12-18T07:59:26Z</dcterms:modified>
  <dc:title>建设项目环境影响报告表</dc:title>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D1F9DA9193564DEABED8D2C5259C35C1_13</vt:lpwstr>
  </property>
</Properties>
</file>